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cs="宋体"/>
          <w:b/>
          <w:bCs/>
          <w:color w:val="auto"/>
          <w:kern w:val="0"/>
          <w:sz w:val="60"/>
          <w:szCs w:val="60"/>
          <w:highlight w:val="none"/>
          <w:lang w:val="zh-CN"/>
        </w:rPr>
      </w:pPr>
      <w:r>
        <w:rPr>
          <w:rFonts w:hint="eastAsia" w:ascii="宋体" w:hAnsi="宋体" w:cs="宋体"/>
          <w:b/>
          <w:bCs/>
          <w:color w:val="auto"/>
          <w:kern w:val="0"/>
          <w:sz w:val="60"/>
          <w:szCs w:val="60"/>
          <w:highlight w:val="none"/>
          <w:lang w:val="zh-CN"/>
        </w:rPr>
        <w:t>东莞市众源环境投资有限公司2025年污泥处理用聚丙烯酰胺采购项目</w:t>
      </w:r>
    </w:p>
    <w:p>
      <w:pPr>
        <w:autoSpaceDE w:val="0"/>
        <w:autoSpaceDN w:val="0"/>
        <w:adjustRightInd w:val="0"/>
        <w:spacing w:line="276" w:lineRule="auto"/>
        <w:ind w:left="357" w:leftChars="170" w:right="-23" w:rightChars="-11"/>
        <w:jc w:val="center"/>
        <w:rPr>
          <w:rFonts w:ascii="宋体" w:hAnsi="宋体" w:cs="宋体"/>
          <w:b/>
          <w:bCs/>
          <w:color w:val="auto"/>
          <w:kern w:val="0"/>
          <w:sz w:val="44"/>
          <w:szCs w:val="44"/>
          <w:highlight w:val="none"/>
          <w:lang w:val="zh-CN"/>
        </w:rPr>
      </w:pPr>
    </w:p>
    <w:p>
      <w:pPr>
        <w:autoSpaceDE w:val="0"/>
        <w:autoSpaceDN w:val="0"/>
        <w:adjustRightInd w:val="0"/>
        <w:ind w:right="-23" w:rightChars="-11"/>
        <w:jc w:val="left"/>
        <w:rPr>
          <w:rFonts w:ascii="宋体" w:hAnsi="宋体" w:cs="宋体"/>
          <w:b/>
          <w:bCs/>
          <w:color w:val="auto"/>
          <w:sz w:val="44"/>
          <w:szCs w:val="44"/>
          <w:highlight w:val="none"/>
          <w:lang w:val="zh-CN"/>
        </w:rPr>
      </w:pPr>
    </w:p>
    <w:p>
      <w:pPr>
        <w:autoSpaceDE w:val="0"/>
        <w:autoSpaceDN w:val="0"/>
        <w:adjustRightInd w:val="0"/>
        <w:ind w:right="-23" w:rightChars="-11"/>
        <w:jc w:val="center"/>
        <w:rPr>
          <w:rFonts w:ascii="宋体" w:hAnsi="宋体" w:cs="Times New Roman"/>
          <w:b/>
          <w:bCs/>
          <w:color w:val="auto"/>
          <w:sz w:val="72"/>
          <w:szCs w:val="72"/>
          <w:highlight w:val="none"/>
        </w:rPr>
      </w:pPr>
    </w:p>
    <w:p>
      <w:pPr>
        <w:autoSpaceDE w:val="0"/>
        <w:autoSpaceDN w:val="0"/>
        <w:adjustRightInd w:val="0"/>
        <w:ind w:right="-23" w:rightChars="-11"/>
        <w:jc w:val="center"/>
        <w:rPr>
          <w:rFonts w:ascii="宋体" w:hAnsi="宋体" w:cs="Times New Roman"/>
          <w:b/>
          <w:bCs/>
          <w:color w:val="auto"/>
          <w:sz w:val="72"/>
          <w:szCs w:val="72"/>
          <w:highlight w:val="none"/>
          <w:lang w:val="zh-CN"/>
        </w:rPr>
      </w:pPr>
      <w:r>
        <w:rPr>
          <w:rFonts w:hint="eastAsia" w:ascii="宋体" w:hAnsi="宋体" w:cs="Times New Roman"/>
          <w:b/>
          <w:bCs/>
          <w:color w:val="auto"/>
          <w:sz w:val="72"/>
          <w:szCs w:val="72"/>
          <w:highlight w:val="none"/>
          <w:lang w:val="zh-CN"/>
        </w:rPr>
        <w:t>招</w:t>
      </w:r>
      <w:r>
        <w:rPr>
          <w:rFonts w:hint="eastAsia" w:ascii="宋体" w:hAnsi="宋体" w:cs="Times New Roman"/>
          <w:b/>
          <w:bCs/>
          <w:color w:val="auto"/>
          <w:sz w:val="72"/>
          <w:szCs w:val="72"/>
          <w:highlight w:val="none"/>
        </w:rPr>
        <w:t xml:space="preserve"> </w:t>
      </w:r>
      <w:r>
        <w:rPr>
          <w:rFonts w:hint="eastAsia" w:ascii="宋体" w:hAnsi="宋体" w:cs="Times New Roman"/>
          <w:b/>
          <w:bCs/>
          <w:color w:val="auto"/>
          <w:sz w:val="72"/>
          <w:szCs w:val="72"/>
          <w:highlight w:val="none"/>
          <w:lang w:val="zh-CN"/>
        </w:rPr>
        <w:t>标</w:t>
      </w:r>
      <w:r>
        <w:rPr>
          <w:rFonts w:hint="eastAsia" w:ascii="宋体" w:hAnsi="宋体" w:cs="Times New Roman"/>
          <w:b/>
          <w:bCs/>
          <w:color w:val="auto"/>
          <w:sz w:val="72"/>
          <w:szCs w:val="72"/>
          <w:highlight w:val="none"/>
        </w:rPr>
        <w:t xml:space="preserve"> </w:t>
      </w:r>
      <w:r>
        <w:rPr>
          <w:rFonts w:hint="eastAsia" w:ascii="宋体" w:hAnsi="宋体" w:cs="Times New Roman"/>
          <w:b/>
          <w:bCs/>
          <w:color w:val="auto"/>
          <w:sz w:val="72"/>
          <w:szCs w:val="72"/>
          <w:highlight w:val="none"/>
          <w:lang w:val="zh-CN"/>
        </w:rPr>
        <w:t>文</w:t>
      </w:r>
      <w:r>
        <w:rPr>
          <w:rFonts w:hint="eastAsia" w:ascii="宋体" w:hAnsi="宋体" w:cs="Times New Roman"/>
          <w:b/>
          <w:bCs/>
          <w:color w:val="auto"/>
          <w:sz w:val="72"/>
          <w:szCs w:val="72"/>
          <w:highlight w:val="none"/>
        </w:rPr>
        <w:t xml:space="preserve"> </w:t>
      </w:r>
      <w:r>
        <w:rPr>
          <w:rFonts w:hint="eastAsia" w:ascii="宋体" w:hAnsi="宋体" w:cs="Times New Roman"/>
          <w:b/>
          <w:bCs/>
          <w:color w:val="auto"/>
          <w:sz w:val="72"/>
          <w:szCs w:val="72"/>
          <w:highlight w:val="none"/>
          <w:lang w:val="zh-CN"/>
        </w:rPr>
        <w:t>件</w:t>
      </w:r>
    </w:p>
    <w:p>
      <w:pPr>
        <w:autoSpaceDE w:val="0"/>
        <w:autoSpaceDN w:val="0"/>
        <w:adjustRightInd w:val="0"/>
        <w:ind w:right="-23" w:rightChars="-11"/>
        <w:jc w:val="center"/>
        <w:rPr>
          <w:rFonts w:ascii="宋体" w:hAnsi="宋体" w:cs="宋体"/>
          <w:b/>
          <w:bCs/>
          <w:color w:val="auto"/>
          <w:sz w:val="32"/>
          <w:szCs w:val="32"/>
          <w:highlight w:val="none"/>
          <w:lang w:val="zh-CN"/>
        </w:rPr>
      </w:pPr>
    </w:p>
    <w:p>
      <w:pPr>
        <w:autoSpaceDE w:val="0"/>
        <w:autoSpaceDN w:val="0"/>
        <w:adjustRightInd w:val="0"/>
        <w:ind w:right="-23" w:rightChars="-11"/>
        <w:jc w:val="center"/>
        <w:rPr>
          <w:rFonts w:ascii="宋体" w:hAnsi="宋体" w:cs="宋体"/>
          <w:b/>
          <w:bCs/>
          <w:color w:val="auto"/>
          <w:sz w:val="44"/>
          <w:szCs w:val="44"/>
          <w:highlight w:val="none"/>
          <w:lang w:val="zh-CN"/>
        </w:rPr>
      </w:pPr>
    </w:p>
    <w:p>
      <w:pPr>
        <w:autoSpaceDE w:val="0"/>
        <w:autoSpaceDN w:val="0"/>
        <w:adjustRightInd w:val="0"/>
        <w:ind w:right="-23" w:rightChars="-11"/>
        <w:jc w:val="left"/>
        <w:rPr>
          <w:rFonts w:ascii="宋体" w:hAnsi="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cs="Times New Roman"/>
          <w:b/>
          <w:bCs/>
          <w:color w:val="auto"/>
          <w:sz w:val="32"/>
          <w:szCs w:val="32"/>
          <w:highlight w:val="none"/>
          <w:lang w:val="zh-CN"/>
        </w:rPr>
      </w:pPr>
      <w:r>
        <w:rPr>
          <w:rFonts w:hint="eastAsia" w:ascii="宋体" w:hAnsi="宋体" w:cs="Times New Roman"/>
          <w:b/>
          <w:bCs/>
          <w:color w:val="auto"/>
          <w:sz w:val="32"/>
          <w:szCs w:val="32"/>
          <w:highlight w:val="none"/>
          <w:lang w:val="zh-CN"/>
        </w:rPr>
        <w:t>招</w:t>
      </w:r>
      <w:r>
        <w:rPr>
          <w:rFonts w:hint="eastAsia" w:ascii="宋体" w:hAnsi="宋体" w:cs="Times New Roman"/>
          <w:b/>
          <w:bCs/>
          <w:color w:val="auto"/>
          <w:sz w:val="32"/>
          <w:szCs w:val="32"/>
          <w:highlight w:val="none"/>
        </w:rPr>
        <w:t xml:space="preserve"> </w:t>
      </w:r>
      <w:r>
        <w:rPr>
          <w:rFonts w:hint="eastAsia" w:ascii="宋体" w:hAnsi="宋体" w:cs="Times New Roman"/>
          <w:b/>
          <w:bCs/>
          <w:color w:val="auto"/>
          <w:sz w:val="32"/>
          <w:szCs w:val="32"/>
          <w:highlight w:val="none"/>
          <w:lang w:val="zh-CN"/>
        </w:rPr>
        <w:t>标</w:t>
      </w:r>
      <w:r>
        <w:rPr>
          <w:rFonts w:hint="eastAsia" w:ascii="宋体" w:hAnsi="宋体" w:cs="Times New Roman"/>
          <w:b/>
          <w:bCs/>
          <w:color w:val="auto"/>
          <w:sz w:val="32"/>
          <w:szCs w:val="32"/>
          <w:highlight w:val="none"/>
        </w:rPr>
        <w:t xml:space="preserve"> </w:t>
      </w:r>
      <w:r>
        <w:rPr>
          <w:rFonts w:hint="eastAsia" w:ascii="宋体" w:hAnsi="宋体" w:cs="Times New Roman"/>
          <w:b/>
          <w:bCs/>
          <w:color w:val="auto"/>
          <w:sz w:val="32"/>
          <w:szCs w:val="32"/>
          <w:highlight w:val="none"/>
          <w:lang w:val="zh-CN"/>
        </w:rPr>
        <w:t>编</w:t>
      </w:r>
      <w:r>
        <w:rPr>
          <w:rFonts w:hint="eastAsia" w:ascii="宋体" w:hAnsi="宋体" w:cs="Times New Roman"/>
          <w:b/>
          <w:bCs/>
          <w:color w:val="auto"/>
          <w:sz w:val="32"/>
          <w:szCs w:val="32"/>
          <w:highlight w:val="none"/>
        </w:rPr>
        <w:t xml:space="preserve"> </w:t>
      </w:r>
      <w:r>
        <w:rPr>
          <w:rFonts w:hint="eastAsia" w:ascii="宋体" w:hAnsi="宋体" w:cs="Times New Roman"/>
          <w:b/>
          <w:bCs/>
          <w:color w:val="auto"/>
          <w:sz w:val="32"/>
          <w:szCs w:val="32"/>
          <w:highlight w:val="none"/>
          <w:lang w:val="zh-CN"/>
        </w:rPr>
        <w:t>号：0832-SFCX25DG020A</w:t>
      </w:r>
    </w:p>
    <w:p>
      <w:pPr>
        <w:autoSpaceDE w:val="0"/>
        <w:autoSpaceDN w:val="0"/>
        <w:adjustRightInd w:val="0"/>
        <w:spacing w:line="480" w:lineRule="auto"/>
        <w:ind w:left="1842" w:leftChars="877" w:firstLine="19" w:firstLineChars="6"/>
        <w:jc w:val="left"/>
        <w:rPr>
          <w:rFonts w:ascii="宋体" w:hAnsi="宋体" w:cs="Times New Roman"/>
          <w:b/>
          <w:bCs/>
          <w:color w:val="auto"/>
          <w:sz w:val="32"/>
          <w:szCs w:val="32"/>
          <w:highlight w:val="none"/>
          <w:lang w:val="zh-CN"/>
        </w:rPr>
      </w:pPr>
      <w:r>
        <w:rPr>
          <w:rFonts w:hint="eastAsia" w:ascii="宋体" w:hAnsi="宋体" w:cs="Times New Roman"/>
          <w:b/>
          <w:bCs/>
          <w:color w:val="auto"/>
          <w:sz w:val="32"/>
          <w:szCs w:val="32"/>
          <w:highlight w:val="none"/>
          <w:lang w:val="zh-CN"/>
        </w:rPr>
        <w:t>招</w:t>
      </w:r>
      <w:r>
        <w:rPr>
          <w:rFonts w:hint="eastAsia" w:ascii="宋体" w:hAnsi="宋体" w:cs="Times New Roman"/>
          <w:b/>
          <w:bCs/>
          <w:color w:val="auto"/>
          <w:sz w:val="32"/>
          <w:szCs w:val="32"/>
          <w:highlight w:val="none"/>
        </w:rPr>
        <w:t xml:space="preserve"> </w:t>
      </w:r>
      <w:r>
        <w:rPr>
          <w:rFonts w:hint="eastAsia" w:ascii="宋体" w:hAnsi="宋体" w:cs="Times New Roman"/>
          <w:b/>
          <w:bCs/>
          <w:color w:val="auto"/>
          <w:sz w:val="32"/>
          <w:szCs w:val="32"/>
          <w:highlight w:val="none"/>
          <w:lang w:val="zh-CN"/>
        </w:rPr>
        <w:t>标</w:t>
      </w:r>
      <w:r>
        <w:rPr>
          <w:rFonts w:hint="eastAsia" w:ascii="宋体" w:hAnsi="宋体" w:cs="Times New Roman"/>
          <w:b/>
          <w:bCs/>
          <w:color w:val="auto"/>
          <w:sz w:val="32"/>
          <w:szCs w:val="32"/>
          <w:highlight w:val="none"/>
        </w:rPr>
        <w:t xml:space="preserve"> </w:t>
      </w:r>
      <w:r>
        <w:rPr>
          <w:rFonts w:hint="eastAsia" w:ascii="宋体" w:hAnsi="宋体" w:cs="Times New Roman"/>
          <w:b/>
          <w:bCs/>
          <w:color w:val="auto"/>
          <w:sz w:val="32"/>
          <w:szCs w:val="32"/>
          <w:highlight w:val="none"/>
          <w:lang w:val="zh-CN"/>
        </w:rPr>
        <w:t>人：东莞市众源环境投资有限公司</w:t>
      </w:r>
    </w:p>
    <w:p>
      <w:pPr>
        <w:autoSpaceDE w:val="0"/>
        <w:autoSpaceDN w:val="0"/>
        <w:adjustRightInd w:val="0"/>
        <w:spacing w:line="480" w:lineRule="auto"/>
        <w:ind w:left="1842" w:leftChars="877" w:firstLine="19" w:firstLineChars="6"/>
        <w:jc w:val="left"/>
        <w:rPr>
          <w:rFonts w:ascii="宋体" w:hAnsi="宋体" w:cs="Times New Roman"/>
          <w:b/>
          <w:bCs/>
          <w:color w:val="auto"/>
          <w:sz w:val="32"/>
          <w:szCs w:val="32"/>
          <w:highlight w:val="none"/>
          <w:lang w:val="zh-CN"/>
        </w:rPr>
      </w:pPr>
      <w:r>
        <w:rPr>
          <w:rFonts w:hint="eastAsia" w:ascii="宋体" w:hAnsi="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cs="宋体"/>
          <w:b/>
          <w:bCs/>
          <w:color w:val="auto"/>
          <w:kern w:val="0"/>
          <w:sz w:val="52"/>
          <w:szCs w:val="52"/>
          <w:highlight w:val="none"/>
        </w:rPr>
      </w:pPr>
      <w:r>
        <w:rPr>
          <w:rFonts w:hint="eastAsia" w:ascii="宋体" w:hAnsi="宋体" w:cs="宋体"/>
          <w:b/>
          <w:bCs/>
          <w:color w:val="auto"/>
          <w:sz w:val="32"/>
          <w:szCs w:val="32"/>
          <w:highlight w:val="none"/>
          <w:lang w:val="zh-CN"/>
        </w:rPr>
        <w:t>2025年</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lang w:val="zh-CN"/>
        </w:rPr>
        <w:t>月</w:t>
      </w:r>
      <w:r>
        <w:rPr>
          <w:rFonts w:hint="eastAsia" w:ascii="宋体" w:hAnsi="宋体" w:cs="宋体"/>
          <w:b/>
          <w:bCs/>
          <w:color w:val="auto"/>
          <w:sz w:val="32"/>
          <w:szCs w:val="32"/>
          <w:highlight w:val="none"/>
          <w:lang w:val="en-US" w:eastAsia="zh-CN"/>
        </w:rPr>
        <w:t>13</w:t>
      </w:r>
      <w:r>
        <w:rPr>
          <w:rFonts w:hint="eastAsia" w:ascii="宋体" w:hAnsi="宋体" w:cs="宋体"/>
          <w:b/>
          <w:bCs/>
          <w:color w:val="auto"/>
          <w:sz w:val="32"/>
          <w:szCs w:val="32"/>
          <w:highlight w:val="none"/>
          <w:lang w:val="zh-CN"/>
        </w:rPr>
        <w:t>日</w:t>
      </w:r>
    </w:p>
    <w:p>
      <w:pPr>
        <w:autoSpaceDE w:val="0"/>
        <w:autoSpaceDN w:val="0"/>
        <w:adjustRightInd w:val="0"/>
        <w:snapToGrid w:val="0"/>
        <w:spacing w:line="360" w:lineRule="auto"/>
        <w:ind w:right="-34" w:firstLine="420" w:firstLineChars="200"/>
        <w:rPr>
          <w:rFonts w:hint="eastAsia" w:ascii="宋体" w:hAnsi="宋体" w:cs="Times New Roman"/>
          <w:color w:val="auto"/>
          <w:kern w:val="0"/>
          <w:szCs w:val="21"/>
          <w:highlight w:val="none"/>
          <w:lang w:eastAsia="zh-CN"/>
        </w:rPr>
      </w:pPr>
    </w:p>
    <w:p>
      <w:pPr>
        <w:autoSpaceDE w:val="0"/>
        <w:autoSpaceDN w:val="0"/>
        <w:adjustRightInd w:val="0"/>
        <w:snapToGrid w:val="0"/>
        <w:spacing w:line="360" w:lineRule="auto"/>
        <w:ind w:right="-34" w:firstLine="420" w:firstLineChars="200"/>
        <w:rPr>
          <w:rFonts w:hint="eastAsia" w:ascii="宋体" w:hAnsi="宋体" w:cs="Times New Roman"/>
          <w:color w:val="auto"/>
          <w:kern w:val="0"/>
          <w:szCs w:val="21"/>
          <w:highlight w:val="none"/>
          <w:lang w:eastAsia="zh-CN"/>
        </w:rPr>
      </w:pPr>
    </w:p>
    <w:p>
      <w:pPr>
        <w:autoSpaceDE w:val="0"/>
        <w:autoSpaceDN w:val="0"/>
        <w:adjustRightInd w:val="0"/>
        <w:snapToGrid w:val="0"/>
        <w:spacing w:line="360" w:lineRule="auto"/>
        <w:ind w:right="-34"/>
        <w:jc w:val="center"/>
        <w:rPr>
          <w:rFonts w:hint="eastAsia" w:ascii="宋体" w:hAnsi="宋体" w:eastAsia="宋体" w:cs="Times New Roman"/>
          <w:b/>
          <w:bCs/>
          <w:color w:val="auto"/>
          <w:kern w:val="44"/>
          <w:sz w:val="32"/>
          <w:szCs w:val="32"/>
          <w:highlight w:val="none"/>
          <w:lang w:val="en-US" w:eastAsia="zh-CN"/>
        </w:rPr>
      </w:pPr>
      <w:r>
        <w:rPr>
          <w:rFonts w:hint="eastAsia" w:ascii="宋体" w:hAnsi="宋体" w:cs="Times New Roman"/>
          <w:b/>
          <w:bCs/>
          <w:color w:val="auto"/>
          <w:kern w:val="44"/>
          <w:sz w:val="32"/>
          <w:szCs w:val="32"/>
          <w:highlight w:val="none"/>
          <w:lang w:val="en-US" w:eastAsia="zh-CN"/>
        </w:rPr>
        <w:t>目  录</w:t>
      </w:r>
    </w:p>
    <w:p>
      <w:pPr>
        <w:pStyle w:val="27"/>
        <w:keepNext w:val="0"/>
        <w:keepLines w:val="0"/>
        <w:pageBreakBefore w:val="0"/>
        <w:widowControl w:val="0"/>
        <w:tabs>
          <w:tab w:val="right" w:leader="dot" w:pos="10154"/>
        </w:tabs>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lang w:val="zh-CN"/>
        </w:rPr>
        <w:fldChar w:fldCharType="begin"/>
      </w:r>
      <w:r>
        <w:rPr>
          <w:rFonts w:hint="eastAsia" w:ascii="宋体" w:hAnsi="宋体" w:eastAsia="宋体" w:cs="宋体"/>
          <w:b/>
          <w:bCs/>
          <w:color w:val="auto"/>
          <w:kern w:val="44"/>
          <w:sz w:val="21"/>
          <w:szCs w:val="21"/>
          <w:highlight w:val="none"/>
          <w:lang w:val="zh-CN"/>
        </w:rPr>
        <w:instrText xml:space="preserve">TOC \o "1-3" \h \u </w:instrText>
      </w:r>
      <w:r>
        <w:rPr>
          <w:rFonts w:hint="eastAsia" w:ascii="宋体" w:hAnsi="宋体" w:eastAsia="宋体" w:cs="宋体"/>
          <w:b/>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_Toc30746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_Toc23835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_Toc3621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_Toc3621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_Toc10832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_Toc10832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_Toc6566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_Toc6566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_Toc19218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_Toc6068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_Toc12684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_Toc12684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_Toc15737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_Toc17220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_Toc21340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_Toc9237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_Toc16028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_Toc23015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_Toc21648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_Toc5988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_Toc11566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_Toc11501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_Toc5769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_Toc23197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_Toc6490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_Toc21288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_Toc16093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_Toc32461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_Toc2694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_Toc18098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_Toc28243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_Toc13423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_Toc30413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_Toc20108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_Toc5110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_Toc8758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_Toc20144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_Toc11141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_Toc30312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_Toc6406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_Toc28936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_Toc28936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_Toc3166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_Toc26489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_Toc18755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_Toc6975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_Toc3371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_Toc3371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_Toc22008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_Toc23887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_Toc10688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_Toc17916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_Toc12746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0"/>
        <w:keepNext w:val="0"/>
        <w:keepLines w:val="0"/>
        <w:pageBreakBefore w:val="0"/>
        <w:widowControl w:val="0"/>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_Toc7502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_Toc7502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_Toc15532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_Toc11453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_Toc18930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_Toc18930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_Toc6923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pStyle w:val="27"/>
        <w:keepNext w:val="0"/>
        <w:keepLines w:val="0"/>
        <w:pageBreakBefore w:val="0"/>
        <w:widowControl w:val="0"/>
        <w:tabs>
          <w:tab w:val="right" w:leader="dot" w:pos="10154"/>
        </w:tabs>
        <w:kinsoku/>
        <w:wordWrap/>
        <w:overflowPunct/>
        <w:topLinePunct w:val="0"/>
        <w:bidi w:val="0"/>
        <w:adjustRightInd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_Toc30756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44"/>
          <w:sz w:val="21"/>
          <w:szCs w:val="21"/>
          <w:highlight w:val="none"/>
          <w:lang w:val="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auto"/>
        <w:rPr>
          <w:rFonts w:ascii="宋体" w:hAnsi="宋体" w:cs="Times New Roman"/>
          <w:b/>
          <w:bCs/>
          <w:color w:val="auto"/>
          <w:kern w:val="44"/>
          <w:sz w:val="32"/>
          <w:szCs w:val="32"/>
          <w:highlight w:val="none"/>
          <w:lang w:val="zh-CN"/>
        </w:rPr>
      </w:pPr>
      <w:r>
        <w:rPr>
          <w:rFonts w:hint="eastAsia" w:ascii="宋体" w:hAnsi="宋体" w:eastAsia="宋体" w:cs="宋体"/>
          <w:bCs/>
          <w:color w:val="auto"/>
          <w:kern w:val="44"/>
          <w:sz w:val="21"/>
          <w:szCs w:val="21"/>
          <w:highlight w:val="none"/>
          <w:lang w:val="zh-CN"/>
        </w:rPr>
        <w:fldChar w:fldCharType="end"/>
      </w:r>
    </w:p>
    <w:p>
      <w:pPr>
        <w:rPr>
          <w:rFonts w:ascii="宋体" w:hAnsi="宋体" w:cs="Times New Roman"/>
          <w:b/>
          <w:bCs/>
          <w:color w:val="auto"/>
          <w:kern w:val="44"/>
          <w:sz w:val="32"/>
          <w:szCs w:val="32"/>
          <w:highlight w:val="none"/>
          <w:lang w:val="zh-CN"/>
        </w:rPr>
      </w:pPr>
      <w:r>
        <w:rPr>
          <w:rFonts w:ascii="宋体" w:hAnsi="宋体" w:cs="Times New Roman"/>
          <w:b/>
          <w:bCs/>
          <w:color w:val="auto"/>
          <w:kern w:val="44"/>
          <w:sz w:val="32"/>
          <w:szCs w:val="32"/>
          <w:highlight w:val="none"/>
          <w:lang w:val="zh-CN"/>
        </w:rPr>
        <w:br w:type="page"/>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eastAsia="zh-CN"/>
        </w:rPr>
      </w:pPr>
      <w:bookmarkStart w:id="0" w:name="_Toc30746"/>
      <w:r>
        <w:rPr>
          <w:rFonts w:hint="eastAsia" w:ascii="宋体" w:hAnsi="宋体" w:eastAsia="宋体" w:cs="宋体"/>
          <w:b/>
          <w:bCs/>
          <w:color w:val="auto"/>
          <w:kern w:val="44"/>
          <w:sz w:val="32"/>
          <w:szCs w:val="32"/>
          <w:highlight w:val="none"/>
          <w:lang w:val="zh-CN"/>
        </w:rPr>
        <w:t>第一篇 招标公告</w:t>
      </w:r>
      <w:bookmarkEnd w:id="0"/>
    </w:p>
    <w:p>
      <w:pPr>
        <w:autoSpaceDE w:val="0"/>
        <w:autoSpaceDN w:val="0"/>
        <w:adjustRightInd w:val="0"/>
        <w:snapToGrid w:val="0"/>
        <w:spacing w:line="360" w:lineRule="auto"/>
        <w:ind w:right="-34" w:firstLine="420" w:firstLineChars="200"/>
        <w:rPr>
          <w:rFonts w:ascii="宋体" w:hAnsi="宋体" w:cs="Times New Roman"/>
          <w:color w:val="auto"/>
          <w:szCs w:val="21"/>
          <w:highlight w:val="none"/>
          <w:lang w:val="zh-CN"/>
        </w:rPr>
      </w:pPr>
      <w:r>
        <w:rPr>
          <w:rFonts w:hint="eastAsia" w:ascii="宋体" w:hAnsi="宋体" w:cs="Times New Roman"/>
          <w:color w:val="auto"/>
          <w:kern w:val="0"/>
          <w:szCs w:val="21"/>
          <w:highlight w:val="none"/>
          <w:lang w:eastAsia="zh-CN"/>
        </w:rPr>
        <w:t>三方诚信招标有限公司</w:t>
      </w:r>
      <w:r>
        <w:rPr>
          <w:rFonts w:ascii="宋体" w:hAnsi="宋体" w:cs="Times New Roman"/>
          <w:color w:val="auto"/>
          <w:szCs w:val="21"/>
          <w:highlight w:val="none"/>
          <w:lang w:val="zh-CN"/>
        </w:rPr>
        <w:t>（以下简称“招标代理机构”）受</w:t>
      </w:r>
      <w:r>
        <w:rPr>
          <w:rFonts w:ascii="宋体" w:hAnsi="宋体" w:cs="Times New Roman"/>
          <w:color w:val="auto"/>
          <w:kern w:val="0"/>
          <w:szCs w:val="21"/>
          <w:highlight w:val="none"/>
        </w:rPr>
        <w:t>东莞市众源环境投资有限公司</w:t>
      </w:r>
      <w:r>
        <w:rPr>
          <w:rFonts w:ascii="宋体" w:hAnsi="宋体" w:cs="Times New Roman"/>
          <w:color w:val="auto"/>
          <w:szCs w:val="21"/>
          <w:highlight w:val="none"/>
          <w:lang w:val="zh-CN"/>
        </w:rPr>
        <w:t>（以下简称“招标人”）的委托，对</w:t>
      </w:r>
      <w:bookmarkStart w:id="1" w:name="_Hlk41903390"/>
      <w:r>
        <w:rPr>
          <w:rFonts w:hint="eastAsia" w:ascii="宋体" w:hAnsi="宋体" w:cs="Times New Roman"/>
          <w:color w:val="auto"/>
          <w:kern w:val="0"/>
          <w:szCs w:val="21"/>
          <w:highlight w:val="none"/>
          <w:lang w:eastAsia="zh-CN"/>
        </w:rPr>
        <w:t>东莞市众源环境投资有限公司2025年污泥处理用聚丙烯酰胺采购项目</w:t>
      </w:r>
      <w:r>
        <w:rPr>
          <w:rFonts w:ascii="宋体" w:hAnsi="宋体" w:cs="Times New Roman"/>
          <w:color w:val="auto"/>
          <w:szCs w:val="21"/>
          <w:highlight w:val="none"/>
          <w:lang w:val="zh-CN"/>
        </w:rPr>
        <w:t>(招标编号：</w:t>
      </w:r>
      <w:r>
        <w:rPr>
          <w:rFonts w:hint="eastAsia" w:ascii="宋体" w:hAnsi="宋体" w:cs="Times New Roman"/>
          <w:color w:val="auto"/>
          <w:szCs w:val="21"/>
          <w:highlight w:val="none"/>
          <w:lang w:val="zh-CN"/>
        </w:rPr>
        <w:t>0832-SFCX25DG020A</w:t>
      </w:r>
      <w:r>
        <w:rPr>
          <w:rFonts w:ascii="宋体" w:hAnsi="宋体" w:cs="Times New Roman"/>
          <w:color w:val="auto"/>
          <w:szCs w:val="21"/>
          <w:highlight w:val="none"/>
          <w:lang w:val="zh-CN"/>
        </w:rPr>
        <w:t>)</w:t>
      </w:r>
      <w:bookmarkEnd w:id="1"/>
      <w:r>
        <w:rPr>
          <w:rFonts w:ascii="宋体" w:hAnsi="宋体" w:cs="Times New Roman"/>
          <w:color w:val="auto"/>
          <w:szCs w:val="21"/>
          <w:highlight w:val="none"/>
          <w:lang w:val="zh-CN"/>
        </w:rPr>
        <w:t>进行国内公开招标，</w:t>
      </w:r>
      <w:r>
        <w:rPr>
          <w:rFonts w:hint="eastAsia" w:ascii="宋体" w:hAnsi="宋体" w:cs="Times New Roman"/>
          <w:bCs/>
          <w:color w:val="auto"/>
          <w:kern w:val="0"/>
          <w:szCs w:val="21"/>
          <w:highlight w:val="none"/>
        </w:rPr>
        <w:t>详情请参见本招标文件</w:t>
      </w:r>
      <w:r>
        <w:rPr>
          <w:rFonts w:ascii="宋体" w:hAnsi="宋体" w:cs="Times New Roman"/>
          <w:bCs/>
          <w:color w:val="auto"/>
          <w:kern w:val="0"/>
          <w:szCs w:val="21"/>
          <w:highlight w:val="none"/>
        </w:rPr>
        <w:t>。</w:t>
      </w:r>
      <w:r>
        <w:rPr>
          <w:rFonts w:hint="eastAsia" w:ascii="宋体" w:hAnsi="宋体" w:cs="Times New Roman"/>
          <w:color w:val="auto"/>
          <w:kern w:val="0"/>
          <w:szCs w:val="21"/>
          <w:highlight w:val="none"/>
        </w:rPr>
        <w:t>欢迎符合条件的合格投标人参加投标，</w:t>
      </w:r>
      <w:r>
        <w:rPr>
          <w:rFonts w:hint="eastAsia" w:ascii="宋体" w:hAnsi="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招标范围：</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9"/>
        <w:gridCol w:w="1132"/>
        <w:gridCol w:w="1560"/>
        <w:gridCol w:w="1985"/>
        <w:gridCol w:w="269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序号</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货物名称</w:t>
            </w:r>
          </w:p>
        </w:tc>
        <w:tc>
          <w:tcPr>
            <w:tcW w:w="546" w:type="pct"/>
            <w:tcBorders>
              <w:top w:val="single" w:color="auto" w:sz="4" w:space="0"/>
              <w:left w:val="nil"/>
              <w:bottom w:val="single" w:color="auto" w:sz="4" w:space="0"/>
              <w:right w:val="single" w:color="auto" w:sz="4" w:space="0"/>
            </w:tcBorders>
            <w:shd w:val="clear" w:color="auto" w:fill="FFFFFF"/>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暂定采购数量</w:t>
            </w:r>
          </w:p>
        </w:tc>
        <w:tc>
          <w:tcPr>
            <w:tcW w:w="752" w:type="pct"/>
            <w:tcBorders>
              <w:top w:val="single" w:color="auto" w:sz="4" w:space="0"/>
              <w:left w:val="nil"/>
              <w:bottom w:val="single" w:color="auto" w:sz="4" w:space="0"/>
              <w:right w:val="single" w:color="auto" w:sz="4" w:space="0"/>
            </w:tcBorders>
            <w:shd w:val="clear" w:color="auto" w:fill="FFFFFF"/>
            <w:vAlign w:val="center"/>
          </w:tcPr>
          <w:p>
            <w:pPr>
              <w:pStyle w:val="15"/>
              <w:widowControl/>
              <w:spacing w:line="276" w:lineRule="auto"/>
              <w:jc w:val="center"/>
              <w:rPr>
                <w:rFonts w:ascii="宋体" w:hAnsi="宋体"/>
                <w:b/>
                <w:color w:val="auto"/>
                <w:highlight w:val="none"/>
              </w:rPr>
            </w:pPr>
            <w:r>
              <w:rPr>
                <w:rFonts w:hint="eastAsia" w:ascii="宋体" w:hAnsi="宋体" w:cs="宋体"/>
                <w:b/>
                <w:bCs/>
                <w:color w:val="auto"/>
                <w:szCs w:val="21"/>
                <w:highlight w:val="none"/>
              </w:rPr>
              <w:t>最高投标限价（不含税综合单价）</w:t>
            </w:r>
          </w:p>
        </w:tc>
        <w:tc>
          <w:tcPr>
            <w:tcW w:w="957" w:type="pct"/>
            <w:tcBorders>
              <w:top w:val="single" w:color="auto" w:sz="4" w:space="0"/>
              <w:left w:val="nil"/>
              <w:bottom w:val="single" w:color="auto" w:sz="4" w:space="0"/>
              <w:right w:val="single" w:color="auto" w:sz="4" w:space="0"/>
            </w:tcBorders>
            <w:shd w:val="clear" w:color="auto" w:fill="FFFFFF"/>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供货期</w:t>
            </w:r>
          </w:p>
        </w:tc>
        <w:tc>
          <w:tcPr>
            <w:tcW w:w="1298" w:type="pct"/>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交货时间</w:t>
            </w:r>
          </w:p>
        </w:tc>
        <w:tc>
          <w:tcPr>
            <w:tcW w:w="574" w:type="pct"/>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阳离子聚丙烯酰胺</w:t>
            </w:r>
          </w:p>
        </w:tc>
        <w:tc>
          <w:tcPr>
            <w:tcW w:w="546" w:type="pct"/>
            <w:tcBorders>
              <w:top w:val="single" w:color="auto" w:sz="4" w:space="0"/>
              <w:left w:val="nil"/>
              <w:bottom w:val="single" w:color="auto" w:sz="4" w:space="0"/>
              <w:right w:val="single" w:color="auto" w:sz="4" w:space="0"/>
            </w:tcBorders>
            <w:shd w:val="clear" w:color="auto" w:fill="FFFFFF"/>
            <w:vAlign w:val="center"/>
          </w:tcPr>
          <w:p>
            <w:pPr>
              <w:widowControl/>
              <w:autoSpaceDE w:val="0"/>
              <w:autoSpaceDN w:val="0"/>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110</w:t>
            </w:r>
            <w:r>
              <w:rPr>
                <w:rFonts w:hint="eastAsia" w:ascii="宋体" w:hAnsi="宋体" w:cs="宋体"/>
                <w:color w:val="auto"/>
                <w:szCs w:val="21"/>
                <w:highlight w:val="none"/>
              </w:rPr>
              <w:t>吨</w:t>
            </w:r>
          </w:p>
        </w:tc>
        <w:tc>
          <w:tcPr>
            <w:tcW w:w="752" w:type="pct"/>
            <w:tcBorders>
              <w:top w:val="single" w:color="auto" w:sz="4" w:space="0"/>
              <w:left w:val="nil"/>
              <w:bottom w:val="single" w:color="auto" w:sz="4" w:space="0"/>
              <w:right w:val="single" w:color="auto" w:sz="4" w:space="0"/>
            </w:tcBorders>
            <w:shd w:val="clear" w:color="auto" w:fill="FFFFFF"/>
            <w:vAlign w:val="center"/>
          </w:tcPr>
          <w:p>
            <w:pPr>
              <w:widowControl/>
              <w:autoSpaceDE w:val="0"/>
              <w:autoSpaceDN w:val="0"/>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13,888.14元/吨</w:t>
            </w:r>
          </w:p>
        </w:tc>
        <w:tc>
          <w:tcPr>
            <w:tcW w:w="957" w:type="pct"/>
            <w:tcBorders>
              <w:top w:val="single" w:color="auto" w:sz="4" w:space="0"/>
              <w:left w:val="nil"/>
              <w:bottom w:val="single" w:color="auto" w:sz="4" w:space="0"/>
              <w:right w:val="single" w:color="auto" w:sz="4" w:space="0"/>
            </w:tcBorders>
            <w:shd w:val="clear" w:color="auto" w:fill="FFFFFF"/>
            <w:vAlign w:val="center"/>
          </w:tcPr>
          <w:p>
            <w:pPr>
              <w:widowControl/>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合同签订之日起一年，具体供货起始日期以甲方书面通知为准。</w:t>
            </w:r>
          </w:p>
        </w:tc>
        <w:tc>
          <w:tcPr>
            <w:tcW w:w="1298"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投标人按</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人发出的供货通知进行供货。投标人接到</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的供货通知后必须在2个日历天内将阳离子聚丙烯酰胺送达交货地点。如</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要求加急供货，投标人应在1个日历天内将阳离子聚丙烯酰胺送达。</w:t>
            </w:r>
          </w:p>
        </w:tc>
        <w:tc>
          <w:tcPr>
            <w:tcW w:w="574"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招标人所属的在东莞市范围内的</w:t>
            </w:r>
            <w:r>
              <w:rPr>
                <w:rFonts w:hint="eastAsia" w:ascii="宋体" w:hAnsi="宋体" w:cs="宋体"/>
                <w:color w:val="auto"/>
                <w:szCs w:val="21"/>
                <w:highlight w:val="none"/>
                <w:lang w:val="en-US" w:eastAsia="zh-CN"/>
              </w:rPr>
              <w:t>各个</w:t>
            </w:r>
            <w:r>
              <w:rPr>
                <w:rFonts w:hint="eastAsia" w:ascii="宋体" w:hAnsi="宋体" w:cs="宋体"/>
                <w:color w:val="auto"/>
                <w:szCs w:val="21"/>
                <w:highlight w:val="none"/>
              </w:rPr>
              <w:t>污泥减量化运营项目</w:t>
            </w:r>
            <w:r>
              <w:rPr>
                <w:rFonts w:hint="eastAsia" w:ascii="宋体" w:hAnsi="宋体" w:cs="宋体"/>
                <w:color w:val="auto"/>
                <w:szCs w:val="21"/>
                <w:highlight w:val="none"/>
                <w:lang w:val="en-US" w:eastAsia="zh-CN"/>
              </w:rPr>
              <w:t>现场</w:t>
            </w:r>
          </w:p>
        </w:tc>
      </w:tr>
    </w:tbl>
    <w:p>
      <w:p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（具体内容详见：第三篇用户需求书）。</w:t>
      </w:r>
    </w:p>
    <w:p>
      <w:pPr>
        <w:autoSpaceDE w:val="0"/>
        <w:autoSpaceDN w:val="0"/>
        <w:adjustRightInd w:val="0"/>
        <w:spacing w:line="360" w:lineRule="auto"/>
        <w:ind w:right="-29" w:rightChars="-14"/>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b/>
          <w:color w:val="auto"/>
          <w:szCs w:val="21"/>
          <w:highlight w:val="none"/>
          <w:lang w:val="zh-CN"/>
        </w:rPr>
      </w:pPr>
      <w:r>
        <w:rPr>
          <w:rFonts w:ascii="宋体" w:hAnsi="宋体" w:cs="Times New Roman"/>
          <w:b/>
          <w:color w:val="auto"/>
          <w:szCs w:val="21"/>
          <w:highlight w:val="none"/>
          <w:lang w:val="zh-CN"/>
        </w:rPr>
        <w:t>合格投标人</w:t>
      </w:r>
      <w:r>
        <w:rPr>
          <w:rFonts w:hint="eastAsia" w:ascii="宋体" w:hAnsi="宋体" w:cs="Times New Roman"/>
          <w:b/>
          <w:color w:val="auto"/>
          <w:szCs w:val="21"/>
          <w:highlight w:val="none"/>
          <w:lang w:val="zh-CN"/>
        </w:rPr>
        <w:t>资格要求</w:t>
      </w:r>
      <w:r>
        <w:rPr>
          <w:rFonts w:ascii="宋体" w:hAnsi="宋体" w:cs="Times New Roman"/>
          <w:b/>
          <w:color w:val="auto"/>
          <w:szCs w:val="21"/>
          <w:highlight w:val="none"/>
          <w:lang w:val="zh-CN"/>
        </w:rPr>
        <w:t>：</w:t>
      </w:r>
    </w:p>
    <w:p>
      <w:pPr>
        <w:pStyle w:val="159"/>
        <w:spacing w:line="360" w:lineRule="auto"/>
        <w:ind w:right="-29" w:rightChars="-14" w:firstLine="0" w:firstLineChars="0"/>
        <w:jc w:val="both"/>
        <w:rPr>
          <w:rFonts w:hAnsi="宋体"/>
          <w:b/>
          <w:color w:val="auto"/>
          <w:sz w:val="21"/>
          <w:szCs w:val="21"/>
          <w:highlight w:val="none"/>
          <w:lang w:val="zh-CN"/>
        </w:rPr>
      </w:pPr>
      <w:r>
        <w:rPr>
          <w:rFonts w:hint="eastAsia" w:hAnsi="宋体"/>
          <w:b/>
          <w:color w:val="auto"/>
          <w:sz w:val="21"/>
          <w:szCs w:val="21"/>
          <w:highlight w:val="none"/>
          <w:lang w:val="zh-CN"/>
        </w:rPr>
        <w:t>2</w:t>
      </w:r>
      <w:r>
        <w:rPr>
          <w:rFonts w:hAnsi="宋体"/>
          <w:b/>
          <w:color w:val="auto"/>
          <w:sz w:val="21"/>
          <w:szCs w:val="21"/>
          <w:highlight w:val="none"/>
          <w:lang w:val="zh-CN"/>
        </w:rPr>
        <w:t xml:space="preserve">.1 </w:t>
      </w:r>
      <w:r>
        <w:rPr>
          <w:rFonts w:hint="eastAsia" w:hAnsi="宋体"/>
          <w:b/>
          <w:color w:val="auto"/>
          <w:sz w:val="21"/>
          <w:szCs w:val="21"/>
          <w:highlight w:val="none"/>
          <w:lang w:val="zh-CN"/>
        </w:rPr>
        <w:t>在中华人民共和国境内登记注册、合法存续、正常经营且具有独立承担民事责任能力的法人或其他组织</w:t>
      </w:r>
      <w:r>
        <w:rPr>
          <w:rFonts w:hAnsi="宋体"/>
          <w:b/>
          <w:color w:val="auto"/>
          <w:sz w:val="21"/>
          <w:szCs w:val="21"/>
          <w:highlight w:val="none"/>
          <w:lang w:val="zh-CN"/>
        </w:rPr>
        <w:t>；</w:t>
      </w:r>
    </w:p>
    <w:p>
      <w:pPr>
        <w:pStyle w:val="159"/>
        <w:spacing w:line="360" w:lineRule="auto"/>
        <w:ind w:right="-29" w:rightChars="-14" w:firstLine="0" w:firstLineChars="0"/>
        <w:jc w:val="both"/>
        <w:rPr>
          <w:rFonts w:hAnsi="宋体"/>
          <w:b/>
          <w:color w:val="auto"/>
          <w:sz w:val="21"/>
          <w:szCs w:val="21"/>
          <w:highlight w:val="none"/>
          <w:lang w:val="zh-CN"/>
        </w:rPr>
      </w:pPr>
      <w:bookmarkStart w:id="2" w:name="_Toc25819"/>
      <w:r>
        <w:rPr>
          <w:rFonts w:hint="eastAsia" w:hAnsi="宋体"/>
          <w:b/>
          <w:color w:val="auto"/>
          <w:sz w:val="21"/>
          <w:szCs w:val="21"/>
          <w:highlight w:val="none"/>
          <w:lang w:val="zh-CN"/>
        </w:rPr>
        <w:t>2.2 投标人必须是投标产品的制造商，或取得投标产品制造商就本次投标</w:t>
      </w:r>
      <w:r>
        <w:rPr>
          <w:rFonts w:hint="eastAsia" w:hAnsi="宋体"/>
          <w:b/>
          <w:color w:val="auto"/>
          <w:sz w:val="21"/>
          <w:szCs w:val="21"/>
          <w:highlight w:val="none"/>
        </w:rPr>
        <w:t>独家</w:t>
      </w:r>
      <w:r>
        <w:rPr>
          <w:rFonts w:hint="eastAsia" w:hAnsi="宋体"/>
          <w:b/>
          <w:color w:val="auto"/>
          <w:sz w:val="21"/>
          <w:szCs w:val="21"/>
          <w:highlight w:val="none"/>
          <w:lang w:val="zh-CN"/>
        </w:rPr>
        <w:t>授权的经销商；</w:t>
      </w:r>
    </w:p>
    <w:p>
      <w:pPr>
        <w:pStyle w:val="159"/>
        <w:spacing w:line="360" w:lineRule="auto"/>
        <w:ind w:left="420" w:right="-29" w:rightChars="-14" w:hanging="420" w:hangingChars="199"/>
        <w:rPr>
          <w:rFonts w:hAnsi="宋体"/>
          <w:b/>
          <w:color w:val="auto"/>
          <w:sz w:val="21"/>
          <w:szCs w:val="21"/>
          <w:highlight w:val="none"/>
        </w:rPr>
      </w:pPr>
      <w:r>
        <w:rPr>
          <w:rFonts w:hint="eastAsia" w:hAnsi="宋体"/>
          <w:b/>
          <w:color w:val="auto"/>
          <w:sz w:val="21"/>
          <w:szCs w:val="21"/>
          <w:highlight w:val="none"/>
        </w:rPr>
        <w:t>2.3</w:t>
      </w:r>
      <w:r>
        <w:rPr>
          <w:rFonts w:hAnsi="宋体"/>
          <w:b/>
          <w:color w:val="auto"/>
          <w:sz w:val="21"/>
          <w:szCs w:val="21"/>
          <w:highlight w:val="none"/>
        </w:rPr>
        <w:t xml:space="preserve"> </w:t>
      </w:r>
      <w:r>
        <w:rPr>
          <w:rFonts w:hint="eastAsia" w:hAnsi="宋体"/>
          <w:b/>
          <w:color w:val="auto"/>
          <w:sz w:val="21"/>
          <w:szCs w:val="21"/>
          <w:highlight w:val="none"/>
        </w:rPr>
        <w:t>所投产品制造商具有环境管理部门核发的合法有效的环评批复（批复内容须体现含投标产品）；</w:t>
      </w:r>
    </w:p>
    <w:p>
      <w:pPr>
        <w:pStyle w:val="159"/>
        <w:spacing w:line="360" w:lineRule="auto"/>
        <w:ind w:left="420" w:right="-29" w:rightChars="-14" w:hanging="420" w:hangingChars="199"/>
        <w:rPr>
          <w:rFonts w:hAnsi="宋体"/>
          <w:b/>
          <w:color w:val="auto"/>
          <w:sz w:val="21"/>
          <w:szCs w:val="21"/>
          <w:highlight w:val="none"/>
          <w:lang w:val="zh-CN"/>
        </w:rPr>
      </w:pPr>
      <w:r>
        <w:rPr>
          <w:rFonts w:hint="eastAsia" w:hAnsi="宋体"/>
          <w:b/>
          <w:color w:val="auto"/>
          <w:sz w:val="21"/>
          <w:szCs w:val="21"/>
          <w:highlight w:val="none"/>
        </w:rPr>
        <w:t>2</w:t>
      </w:r>
      <w:r>
        <w:rPr>
          <w:rFonts w:hAnsi="宋体"/>
          <w:b/>
          <w:color w:val="auto"/>
          <w:sz w:val="21"/>
          <w:szCs w:val="21"/>
          <w:highlight w:val="none"/>
        </w:rPr>
        <w:t xml:space="preserve">.4 </w:t>
      </w:r>
      <w:r>
        <w:rPr>
          <w:rFonts w:hint="eastAsia" w:hAnsi="宋体"/>
          <w:b/>
          <w:color w:val="auto"/>
          <w:sz w:val="21"/>
          <w:szCs w:val="21"/>
          <w:highlight w:val="none"/>
        </w:rPr>
        <w:t>投标人</w:t>
      </w:r>
      <w:r>
        <w:rPr>
          <w:rFonts w:hint="eastAsia" w:hAnsi="宋体"/>
          <w:b/>
          <w:color w:val="auto"/>
          <w:sz w:val="21"/>
          <w:szCs w:val="21"/>
          <w:highlight w:val="none"/>
          <w:lang w:val="en-US" w:eastAsia="zh-CN"/>
        </w:rPr>
        <w:t>自</w:t>
      </w:r>
      <w:r>
        <w:rPr>
          <w:rFonts w:hAnsi="宋体"/>
          <w:b/>
          <w:color w:val="auto"/>
          <w:sz w:val="21"/>
          <w:szCs w:val="21"/>
          <w:highlight w:val="none"/>
        </w:rPr>
        <w:t>202</w:t>
      </w:r>
      <w:r>
        <w:rPr>
          <w:rFonts w:hint="eastAsia" w:hAnsi="宋体"/>
          <w:b/>
          <w:color w:val="auto"/>
          <w:sz w:val="21"/>
          <w:szCs w:val="21"/>
          <w:highlight w:val="none"/>
          <w:lang w:val="en-US" w:eastAsia="zh-CN"/>
        </w:rPr>
        <w:t>2</w:t>
      </w:r>
      <w:r>
        <w:rPr>
          <w:rFonts w:hAnsi="宋体"/>
          <w:b/>
          <w:color w:val="auto"/>
          <w:sz w:val="21"/>
          <w:szCs w:val="21"/>
          <w:highlight w:val="none"/>
        </w:rPr>
        <w:t>年1月1日以来至少具有一份投标品牌</w:t>
      </w:r>
      <w:r>
        <w:rPr>
          <w:rFonts w:hint="eastAsia" w:hAnsi="宋体"/>
          <w:b/>
          <w:color w:val="auto"/>
          <w:sz w:val="21"/>
          <w:szCs w:val="21"/>
          <w:highlight w:val="none"/>
          <w:lang w:eastAsia="zh-CN"/>
        </w:rPr>
        <w:t>阳离子聚丙烯酰胺</w:t>
      </w:r>
      <w:r>
        <w:rPr>
          <w:rFonts w:hAnsi="宋体"/>
          <w:b/>
          <w:color w:val="auto"/>
          <w:sz w:val="21"/>
          <w:szCs w:val="21"/>
          <w:highlight w:val="none"/>
        </w:rPr>
        <w:t>供货业绩</w:t>
      </w:r>
      <w:r>
        <w:rPr>
          <w:rFonts w:hint="eastAsia" w:hAnsi="宋体"/>
          <w:b/>
          <w:color w:val="auto"/>
          <w:sz w:val="21"/>
          <w:szCs w:val="21"/>
          <w:highlight w:val="none"/>
        </w:rPr>
        <w:t>（合同签订日期为2022年1月1日或以后）；</w:t>
      </w:r>
    </w:p>
    <w:p>
      <w:pPr>
        <w:pStyle w:val="159"/>
        <w:spacing w:line="360" w:lineRule="auto"/>
        <w:ind w:right="-29" w:rightChars="-14" w:firstLine="0" w:firstLineChars="0"/>
        <w:jc w:val="both"/>
        <w:rPr>
          <w:rFonts w:hAnsi="宋体"/>
          <w:b/>
          <w:color w:val="auto"/>
          <w:sz w:val="21"/>
          <w:szCs w:val="21"/>
          <w:highlight w:val="none"/>
          <w:lang w:val="zh-CN"/>
        </w:rPr>
      </w:pPr>
      <w:r>
        <w:rPr>
          <w:rFonts w:hint="eastAsia" w:hAnsi="宋体"/>
          <w:b/>
          <w:color w:val="auto"/>
          <w:sz w:val="21"/>
          <w:szCs w:val="21"/>
          <w:highlight w:val="none"/>
        </w:rPr>
        <w:t>2.</w:t>
      </w:r>
      <w:r>
        <w:rPr>
          <w:rFonts w:hAnsi="宋体"/>
          <w:b/>
          <w:color w:val="auto"/>
          <w:sz w:val="21"/>
          <w:szCs w:val="21"/>
          <w:highlight w:val="none"/>
        </w:rPr>
        <w:t>5</w:t>
      </w:r>
      <w:r>
        <w:rPr>
          <w:rFonts w:hint="eastAsia" w:hAnsi="宋体"/>
          <w:b/>
          <w:color w:val="auto"/>
          <w:sz w:val="21"/>
          <w:szCs w:val="21"/>
          <w:highlight w:val="none"/>
        </w:rPr>
        <w:t xml:space="preserve"> </w:t>
      </w:r>
      <w:r>
        <w:rPr>
          <w:rFonts w:hint="eastAsia" w:hAnsi="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ascii="宋体" w:hAnsi="宋体" w:cs="Times New Roman"/>
          <w:color w:val="auto"/>
          <w:szCs w:val="21"/>
          <w:highlight w:val="none"/>
          <w:lang w:val="zh-CN"/>
        </w:rPr>
        <w:t>获取招标文件的方式：本项目采用“不记名网上下载”的方式发布招标文件，</w:t>
      </w:r>
      <w:r>
        <w:rPr>
          <w:rFonts w:hint="eastAsia" w:ascii="宋体" w:hAnsi="宋体" w:cs="Times New Roman"/>
          <w:color w:val="auto"/>
          <w:szCs w:val="21"/>
          <w:highlight w:val="none"/>
          <w:lang w:val="zh-CN"/>
        </w:rPr>
        <w:t>有意向的投标人可于本项目投标截止时间前，在本项目招标信息发布媒介</w:t>
      </w:r>
      <w:r>
        <w:rPr>
          <w:rFonts w:hint="eastAsia" w:ascii="宋体" w:hAnsi="宋体" w:cs="Times New Roman"/>
          <w:color w:val="auto"/>
          <w:szCs w:val="21"/>
          <w:highlight w:val="none"/>
        </w:rPr>
        <w:t>【</w:t>
      </w:r>
      <w:r>
        <w:rPr>
          <w:rFonts w:hint="eastAsia" w:ascii="宋体" w:hAnsi="宋体" w:cs="Times New Roman"/>
          <w:color w:val="auto"/>
          <w:szCs w:val="21"/>
          <w:highlight w:val="none"/>
          <w:lang w:val="zh-CN"/>
        </w:rPr>
        <w:t>详见本招标公告第7点（除中国招标投标公共服务平台外）</w:t>
      </w:r>
      <w:r>
        <w:rPr>
          <w:rFonts w:hint="eastAsia" w:ascii="宋体" w:hAnsi="宋体" w:cs="Times New Roman"/>
          <w:color w:val="auto"/>
          <w:szCs w:val="21"/>
          <w:highlight w:val="none"/>
        </w:rPr>
        <w:t>】</w:t>
      </w:r>
      <w:r>
        <w:rPr>
          <w:rFonts w:hint="eastAsia" w:ascii="宋体" w:hAnsi="宋体" w:cs="Times New Roman"/>
          <w:color w:val="auto"/>
          <w:szCs w:val="21"/>
          <w:highlight w:val="none"/>
          <w:lang w:val="zh-CN"/>
        </w:rPr>
        <w:t>下载招标文件</w:t>
      </w:r>
      <w:r>
        <w:rPr>
          <w:rFonts w:hint="eastAsia" w:ascii="宋体" w:hAnsi="宋体" w:cs="宋体"/>
          <w:color w:val="auto"/>
          <w:szCs w:val="21"/>
          <w:highlight w:val="none"/>
          <w:shd w:val="clear" w:color="auto" w:fill="FFFFFF"/>
        </w:rPr>
        <w:t>【本招标公告第7点媒介发布招标文件不一致时,以东莞市水务集团有限公司网(www,dgswjt.cn)发布的招标文件为准】</w:t>
      </w:r>
      <w:r>
        <w:rPr>
          <w:rFonts w:hint="eastAsia" w:ascii="宋体" w:hAnsi="宋体" w:cs="Times New Roman"/>
          <w:color w:val="auto"/>
          <w:szCs w:val="21"/>
          <w:highlight w:val="none"/>
          <w:lang w:val="zh-CN"/>
        </w:rPr>
        <w:t>。</w:t>
      </w:r>
    </w:p>
    <w:p>
      <w:pPr>
        <w:autoSpaceDE w:val="0"/>
        <w:autoSpaceDN w:val="0"/>
        <w:adjustRightInd w:val="0"/>
        <w:spacing w:line="360" w:lineRule="auto"/>
        <w:ind w:left="630" w:leftChars="100" w:right="-29" w:rightChars="-14" w:hanging="420" w:hangingChars="200"/>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ascii="宋体" w:hAnsi="宋体" w:cs="Times New Roman"/>
          <w:color w:val="auto"/>
          <w:szCs w:val="21"/>
          <w:highlight w:val="none"/>
          <w:lang w:val="zh-CN"/>
        </w:rPr>
        <w:t>招标代理机构</w:t>
      </w:r>
      <w:r>
        <w:rPr>
          <w:rFonts w:hint="eastAsia" w:ascii="宋体" w:hAnsi="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cs="Times New Roman"/>
          <w:color w:val="auto"/>
          <w:szCs w:val="21"/>
          <w:highlight w:val="none"/>
        </w:rPr>
        <w:t>政府采购</w:t>
      </w:r>
      <w:r>
        <w:rPr>
          <w:rFonts w:hint="eastAsia" w:ascii="宋体" w:hAnsi="宋体" w:cs="Times New Roman"/>
          <w:color w:val="auto"/>
          <w:szCs w:val="21"/>
          <w:highlight w:val="none"/>
          <w:lang w:val="zh-CN"/>
        </w:rPr>
        <w:t>严重违法失信行为记录名单的投标人，做好相关记录（处罚期限届满的除外）</w:t>
      </w:r>
      <w:r>
        <w:rPr>
          <w:rFonts w:ascii="宋体" w:hAnsi="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ascii="宋体" w:hAnsi="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cs="Times New Roman"/>
          <w:color w:val="auto"/>
          <w:szCs w:val="21"/>
          <w:highlight w:val="none"/>
          <w:lang w:val="zh-CN"/>
        </w:rPr>
      </w:pPr>
      <w:r>
        <w:rPr>
          <w:rFonts w:hint="eastAsia" w:ascii="宋体" w:hAnsi="宋体" w:cs="Times New Roman"/>
          <w:color w:val="auto"/>
          <w:szCs w:val="21"/>
          <w:highlight w:val="none"/>
          <w:lang w:val="zh-CN"/>
        </w:rPr>
        <w:t xml:space="preserve">5.1 </w:t>
      </w:r>
      <w:r>
        <w:rPr>
          <w:rFonts w:ascii="宋体" w:hAnsi="宋体" w:cs="Times New Roman"/>
          <w:color w:val="auto"/>
          <w:szCs w:val="21"/>
          <w:highlight w:val="none"/>
          <w:lang w:val="zh-CN"/>
        </w:rPr>
        <w:t>投标文件递交时间：</w:t>
      </w:r>
      <w:r>
        <w:rPr>
          <w:rFonts w:hint="eastAsia" w:ascii="宋体" w:hAnsi="宋体" w:cs="Times New Roman"/>
          <w:color w:val="auto"/>
          <w:szCs w:val="21"/>
          <w:highlight w:val="none"/>
          <w:u w:val="single"/>
          <w:lang w:val="en-US" w:eastAsia="zh-CN"/>
        </w:rPr>
        <w:t xml:space="preserve">  2025   </w:t>
      </w:r>
      <w:r>
        <w:rPr>
          <w:rFonts w:hint="eastAsia" w:ascii="宋体" w:hAnsi="宋体" w:cs="Times New Roman"/>
          <w:bCs/>
          <w:color w:val="auto"/>
          <w:kern w:val="0"/>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bCs/>
          <w:color w:val="auto"/>
          <w:kern w:val="0"/>
          <w:szCs w:val="21"/>
          <w:highlight w:val="none"/>
        </w:rPr>
        <w:t>月</w:t>
      </w:r>
      <w:r>
        <w:rPr>
          <w:rFonts w:ascii="宋体" w:hAnsi="宋体" w:cs="Times New Roman"/>
          <w:color w:val="auto"/>
          <w:szCs w:val="21"/>
          <w:highlight w:val="none"/>
          <w:u w:val="single"/>
          <w:lang w:val="zh-CN"/>
        </w:rPr>
        <w:t xml:space="preserve"> </w:t>
      </w:r>
      <w:r>
        <w:rPr>
          <w:rFonts w:hint="eastAsia" w:ascii="宋体" w:hAnsi="宋体" w:cs="Times New Roman"/>
          <w:color w:val="auto"/>
          <w:szCs w:val="21"/>
          <w:highlight w:val="none"/>
          <w:u w:val="single"/>
          <w:lang w:val="en-US" w:eastAsia="zh-CN"/>
        </w:rPr>
        <w:t>3</w:t>
      </w:r>
      <w:r>
        <w:rPr>
          <w:rFonts w:ascii="宋体" w:hAnsi="宋体" w:cs="Times New Roman"/>
          <w:color w:val="auto"/>
          <w:szCs w:val="21"/>
          <w:highlight w:val="none"/>
          <w:u w:val="single"/>
          <w:lang w:val="zh-CN"/>
        </w:rPr>
        <w:t xml:space="preserve"> </w:t>
      </w:r>
      <w:r>
        <w:rPr>
          <w:rFonts w:hint="eastAsia" w:ascii="宋体" w:hAnsi="宋体" w:cs="Times New Roman"/>
          <w:bCs/>
          <w:color w:val="auto"/>
          <w:kern w:val="0"/>
          <w:szCs w:val="21"/>
          <w:highlight w:val="none"/>
        </w:rPr>
        <w:t>日</w:t>
      </w:r>
      <w:r>
        <w:rPr>
          <w:rFonts w:hint="eastAsia" w:ascii="宋体" w:hAnsi="宋体" w:cs="Times New Roman"/>
          <w:color w:val="auto"/>
          <w:szCs w:val="21"/>
          <w:highlight w:val="none"/>
          <w:u w:val="single"/>
          <w:lang w:val="en-US" w:eastAsia="zh-CN"/>
        </w:rPr>
        <w:t xml:space="preserve"> 13 </w:t>
      </w:r>
      <w:r>
        <w:rPr>
          <w:rFonts w:hint="eastAsia" w:ascii="宋体" w:hAnsi="宋体" w:cs="Times New Roman"/>
          <w:bCs/>
          <w:color w:val="auto"/>
          <w:kern w:val="0"/>
          <w:szCs w:val="21"/>
          <w:highlight w:val="none"/>
          <w:u w:val="single"/>
        </w:rPr>
        <w:t>:</w:t>
      </w:r>
      <w:r>
        <w:rPr>
          <w:rFonts w:hint="eastAsia" w:ascii="宋体" w:hAnsi="宋体" w:cs="Times New Roman"/>
          <w:bCs/>
          <w:color w:val="auto"/>
          <w:kern w:val="0"/>
          <w:szCs w:val="21"/>
          <w:highlight w:val="none"/>
          <w:u w:val="single"/>
          <w:lang w:val="en-US" w:eastAsia="zh-CN"/>
        </w:rPr>
        <w:t xml:space="preserve"> 30 </w:t>
      </w:r>
      <w:r>
        <w:rPr>
          <w:rFonts w:hint="eastAsia" w:ascii="宋体" w:hAnsi="宋体" w:cs="Times New Roman"/>
          <w:bCs/>
          <w:color w:val="auto"/>
          <w:kern w:val="0"/>
          <w:szCs w:val="21"/>
          <w:highlight w:val="none"/>
        </w:rPr>
        <w:t>～</w:t>
      </w:r>
      <w:r>
        <w:rPr>
          <w:rFonts w:hint="eastAsia" w:ascii="宋体" w:hAnsi="宋体" w:cs="Times New Roman"/>
          <w:color w:val="auto"/>
          <w:szCs w:val="21"/>
          <w:highlight w:val="none"/>
          <w:u w:val="single"/>
          <w:lang w:val="en-US" w:eastAsia="zh-CN"/>
        </w:rPr>
        <w:t xml:space="preserve"> 14 </w:t>
      </w:r>
      <w:r>
        <w:rPr>
          <w:rFonts w:hint="eastAsia" w:ascii="宋体" w:hAnsi="宋体" w:cs="Times New Roman"/>
          <w:bCs/>
          <w:color w:val="auto"/>
          <w:kern w:val="0"/>
          <w:szCs w:val="21"/>
          <w:highlight w:val="none"/>
          <w:u w:val="single"/>
        </w:rPr>
        <w:t>:</w:t>
      </w:r>
      <w:r>
        <w:rPr>
          <w:rFonts w:hint="eastAsia" w:ascii="宋体" w:hAnsi="宋体" w:cs="Times New Roman"/>
          <w:color w:val="auto"/>
          <w:szCs w:val="21"/>
          <w:highlight w:val="none"/>
          <w:u w:val="single"/>
          <w:lang w:val="en-US" w:eastAsia="zh-CN"/>
        </w:rPr>
        <w:t xml:space="preserve"> 00 </w:t>
      </w:r>
      <w:r>
        <w:rPr>
          <w:rFonts w:hint="eastAsia" w:ascii="宋体" w:hAnsi="宋体" w:cs="Times New Roman"/>
          <w:bCs/>
          <w:color w:val="auto"/>
          <w:kern w:val="0"/>
          <w:szCs w:val="21"/>
          <w:highlight w:val="none"/>
        </w:rPr>
        <w:t>；</w:t>
      </w:r>
    </w:p>
    <w:p>
      <w:pPr>
        <w:autoSpaceDE w:val="0"/>
        <w:autoSpaceDN w:val="0"/>
        <w:adjustRightInd w:val="0"/>
        <w:spacing w:line="360" w:lineRule="auto"/>
        <w:ind w:right="-29" w:rightChars="-14"/>
        <w:rPr>
          <w:rFonts w:ascii="宋体" w:hAnsi="宋体" w:cs="Times New Roman"/>
          <w:color w:val="auto"/>
          <w:szCs w:val="21"/>
          <w:highlight w:val="none"/>
          <w:lang w:val="zh-CN"/>
        </w:rPr>
      </w:pPr>
      <w:r>
        <w:rPr>
          <w:rFonts w:hint="eastAsia" w:ascii="宋体" w:hAnsi="宋体" w:cs="Times New Roman"/>
          <w:color w:val="auto"/>
          <w:szCs w:val="21"/>
          <w:highlight w:val="none"/>
          <w:lang w:val="zh-CN"/>
        </w:rPr>
        <w:t xml:space="preserve">5.2 </w:t>
      </w:r>
      <w:r>
        <w:rPr>
          <w:rFonts w:ascii="宋体" w:hAnsi="宋体" w:cs="Times New Roman"/>
          <w:color w:val="auto"/>
          <w:szCs w:val="21"/>
          <w:highlight w:val="none"/>
          <w:lang w:val="zh-CN"/>
        </w:rPr>
        <w:t>投标截止及开标时间：</w:t>
      </w:r>
      <w:r>
        <w:rPr>
          <w:rFonts w:hint="eastAsia" w:ascii="宋体" w:hAnsi="宋体" w:cs="Times New Roman"/>
          <w:color w:val="auto"/>
          <w:szCs w:val="21"/>
          <w:highlight w:val="none"/>
          <w:u w:val="single"/>
          <w:lang w:val="en-US" w:eastAsia="zh-CN"/>
        </w:rPr>
        <w:t xml:space="preserve">  2025  </w:t>
      </w:r>
      <w:r>
        <w:rPr>
          <w:rFonts w:hint="eastAsia" w:ascii="宋体" w:hAnsi="宋体" w:cs="Times New Roman"/>
          <w:bCs/>
          <w:color w:val="auto"/>
          <w:kern w:val="0"/>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bCs/>
          <w:color w:val="auto"/>
          <w:kern w:val="0"/>
          <w:szCs w:val="21"/>
          <w:highlight w:val="none"/>
        </w:rPr>
        <w:t>月</w:t>
      </w:r>
      <w:r>
        <w:rPr>
          <w:rFonts w:ascii="宋体" w:hAnsi="宋体" w:cs="Times New Roman"/>
          <w:color w:val="auto"/>
          <w:szCs w:val="21"/>
          <w:highlight w:val="none"/>
          <w:u w:val="single"/>
          <w:lang w:val="zh-CN"/>
        </w:rPr>
        <w:t xml:space="preserve"> </w:t>
      </w:r>
      <w:r>
        <w:rPr>
          <w:rFonts w:hint="eastAsia" w:ascii="宋体" w:hAnsi="宋体" w:cs="Times New Roman"/>
          <w:color w:val="auto"/>
          <w:szCs w:val="21"/>
          <w:highlight w:val="none"/>
          <w:u w:val="single"/>
          <w:lang w:val="en-US" w:eastAsia="zh-CN"/>
        </w:rPr>
        <w:t>3</w:t>
      </w:r>
      <w:bookmarkStart w:id="752" w:name="_GoBack"/>
      <w:bookmarkEnd w:id="752"/>
      <w:r>
        <w:rPr>
          <w:rFonts w:ascii="宋体" w:hAnsi="宋体" w:cs="Times New Roman"/>
          <w:color w:val="auto"/>
          <w:szCs w:val="21"/>
          <w:highlight w:val="none"/>
          <w:u w:val="single"/>
          <w:lang w:val="zh-CN"/>
        </w:rPr>
        <w:t xml:space="preserve"> </w:t>
      </w:r>
      <w:r>
        <w:rPr>
          <w:rFonts w:hint="eastAsia" w:ascii="宋体" w:hAnsi="宋体" w:cs="Times New Roman"/>
          <w:bCs/>
          <w:color w:val="auto"/>
          <w:kern w:val="0"/>
          <w:szCs w:val="21"/>
          <w:highlight w:val="none"/>
        </w:rPr>
        <w:t>日</w:t>
      </w:r>
      <w:r>
        <w:rPr>
          <w:rFonts w:hint="eastAsia" w:ascii="宋体" w:hAnsi="宋体" w:cs="Times New Roman"/>
          <w:color w:val="auto"/>
          <w:szCs w:val="21"/>
          <w:highlight w:val="none"/>
          <w:u w:val="single"/>
          <w:lang w:val="en-US" w:eastAsia="zh-CN"/>
        </w:rPr>
        <w:t xml:space="preserve"> 14 </w:t>
      </w:r>
      <w:r>
        <w:rPr>
          <w:rFonts w:hint="eastAsia" w:ascii="宋体" w:hAnsi="宋体" w:cs="Times New Roman"/>
          <w:bCs/>
          <w:color w:val="auto"/>
          <w:kern w:val="0"/>
          <w:szCs w:val="21"/>
          <w:highlight w:val="none"/>
          <w:u w:val="single"/>
        </w:rPr>
        <w:t>:</w:t>
      </w:r>
      <w:r>
        <w:rPr>
          <w:rFonts w:hint="eastAsia" w:ascii="宋体" w:hAnsi="宋体" w:cs="Times New Roman"/>
          <w:color w:val="auto"/>
          <w:szCs w:val="21"/>
          <w:highlight w:val="none"/>
          <w:u w:val="single"/>
          <w:lang w:val="en-US" w:eastAsia="zh-CN"/>
        </w:rPr>
        <w:t xml:space="preserve"> 00 </w:t>
      </w:r>
      <w:r>
        <w:rPr>
          <w:rFonts w:hint="eastAsia" w:ascii="宋体" w:hAnsi="宋体" w:cs="Times New Roman"/>
          <w:bCs/>
          <w:color w:val="auto"/>
          <w:kern w:val="0"/>
          <w:szCs w:val="21"/>
          <w:highlight w:val="none"/>
        </w:rPr>
        <w:t>；</w:t>
      </w:r>
    </w:p>
    <w:p>
      <w:pPr>
        <w:autoSpaceDE w:val="0"/>
        <w:autoSpaceDN w:val="0"/>
        <w:adjustRightInd w:val="0"/>
        <w:spacing w:line="360" w:lineRule="auto"/>
        <w:ind w:right="-29" w:rightChars="-14"/>
        <w:rPr>
          <w:rFonts w:ascii="宋体" w:hAnsi="宋体" w:cs="Times New Roman"/>
          <w:color w:val="auto"/>
          <w:kern w:val="0"/>
          <w:szCs w:val="21"/>
          <w:highlight w:val="none"/>
        </w:rPr>
      </w:pPr>
      <w:r>
        <w:rPr>
          <w:rFonts w:ascii="宋体" w:hAnsi="宋体" w:cs="Times New Roman"/>
          <w:color w:val="auto"/>
          <w:szCs w:val="21"/>
          <w:highlight w:val="none"/>
          <w:lang w:val="zh-CN"/>
        </w:rPr>
        <w:t>5.3 投标及开标地点：</w:t>
      </w:r>
      <w:r>
        <w:rPr>
          <w:rFonts w:hint="eastAsia" w:ascii="宋体" w:hAnsi="宋体" w:cs="Times New Roman"/>
          <w:color w:val="auto"/>
          <w:kern w:val="0"/>
          <w:szCs w:val="21"/>
          <w:highlight w:val="none"/>
          <w:u w:val="single"/>
          <w:lang w:eastAsia="zh-CN"/>
        </w:rPr>
        <w:t>广东省东莞市南城街道鸿福西路81号国际商会大厦</w:t>
      </w:r>
      <w:r>
        <w:rPr>
          <w:rFonts w:hint="eastAsia" w:ascii="宋体" w:hAnsi="宋体" w:cs="Times New Roman"/>
          <w:color w:val="auto"/>
          <w:kern w:val="0"/>
          <w:szCs w:val="21"/>
          <w:highlight w:val="none"/>
          <w:u w:val="single"/>
          <w:lang w:val="en-US" w:eastAsia="zh-CN"/>
        </w:rPr>
        <w:t>601</w:t>
      </w:r>
      <w:r>
        <w:rPr>
          <w:rFonts w:hint="eastAsia" w:ascii="宋体" w:hAnsi="宋体" w:cs="Times New Roman"/>
          <w:color w:val="auto"/>
          <w:kern w:val="0"/>
          <w:szCs w:val="21"/>
          <w:highlight w:val="none"/>
          <w:u w:val="single"/>
          <w:lang w:eastAsia="zh-CN"/>
        </w:rPr>
        <w:t>室</w:t>
      </w:r>
      <w:r>
        <w:rPr>
          <w:rFonts w:hint="eastAsia" w:ascii="宋体" w:hAnsi="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hint="eastAsia" w:ascii="宋体" w:hAnsi="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lang w:val="zh-CN"/>
        </w:rPr>
      </w:pPr>
      <w:r>
        <w:rPr>
          <w:rFonts w:hint="eastAsia" w:ascii="宋体" w:hAnsi="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cs="Times New Roman"/>
          <w:color w:val="auto"/>
          <w:szCs w:val="21"/>
          <w:highlight w:val="none"/>
          <w:lang w:val="zh-CN"/>
        </w:rPr>
        <w:t>代理</w:t>
      </w:r>
      <w:r>
        <w:rPr>
          <w:rFonts w:hint="eastAsia" w:ascii="宋体" w:hAnsi="宋体" w:cs="Times New Roman"/>
          <w:color w:val="auto"/>
          <w:szCs w:val="21"/>
          <w:highlight w:val="none"/>
        </w:rPr>
        <w:t>机构</w:t>
      </w:r>
      <w:r>
        <w:rPr>
          <w:rFonts w:hint="eastAsia" w:ascii="宋体" w:hAnsi="宋体" w:cs="Times New Roman"/>
          <w:color w:val="auto"/>
          <w:szCs w:val="21"/>
          <w:highlight w:val="none"/>
          <w:lang w:val="zh-CN"/>
        </w:rPr>
        <w:t>网站（</w:t>
      </w:r>
      <w:r>
        <w:rPr>
          <w:rFonts w:hint="eastAsia" w:ascii="宋体" w:hAnsi="宋体" w:cs="Times New Roman"/>
          <w:bCs/>
          <w:color w:val="auto"/>
          <w:szCs w:val="21"/>
          <w:highlight w:val="none"/>
          <w:lang w:eastAsia="zh-CN"/>
        </w:rPr>
        <w:t>www.sfcx.cn</w:t>
      </w:r>
      <w:r>
        <w:rPr>
          <w:rFonts w:ascii="宋体" w:hAnsi="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rPr>
      </w:pPr>
      <w:r>
        <w:rPr>
          <w:rFonts w:ascii="宋体" w:hAnsi="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ascii="宋体" w:hAnsi="宋体" w:cs="Times New Roman"/>
          <w:color w:val="auto"/>
          <w:kern w:val="0"/>
          <w:szCs w:val="21"/>
          <w:highlight w:val="none"/>
        </w:rPr>
      </w:pPr>
      <w:r>
        <w:rPr>
          <w:rFonts w:ascii="宋体" w:hAnsi="宋体" w:cs="Times New Roman"/>
          <w:color w:val="auto"/>
          <w:kern w:val="0"/>
          <w:szCs w:val="21"/>
          <w:highlight w:val="none"/>
        </w:rPr>
        <w:t>招标人：东莞市众源环境投资有限公司</w:t>
      </w:r>
    </w:p>
    <w:p>
      <w:pPr>
        <w:widowControl/>
        <w:autoSpaceDE w:val="0"/>
        <w:autoSpaceDN w:val="0"/>
        <w:adjustRightInd w:val="0"/>
        <w:spacing w:line="360" w:lineRule="auto"/>
        <w:ind w:right="-31" w:rightChars="-15" w:firstLine="424" w:firstLineChars="202"/>
        <w:jc w:val="left"/>
        <w:textAlignment w:val="bottom"/>
        <w:rPr>
          <w:rFonts w:ascii="宋体" w:hAnsi="宋体" w:cs="Times New Roman"/>
          <w:color w:val="auto"/>
          <w:kern w:val="0"/>
          <w:szCs w:val="21"/>
          <w:highlight w:val="none"/>
        </w:rPr>
      </w:pPr>
      <w:r>
        <w:rPr>
          <w:rFonts w:ascii="宋体" w:hAnsi="宋体" w:cs="Times New Roman"/>
          <w:color w:val="auto"/>
          <w:kern w:val="0"/>
          <w:szCs w:val="21"/>
          <w:highlight w:val="none"/>
        </w:rPr>
        <w:t>地</w:t>
      </w:r>
      <w:r>
        <w:rPr>
          <w:rFonts w:hint="eastAsia" w:ascii="宋体" w:hAnsi="宋体" w:cs="Times New Roman"/>
          <w:color w:val="auto"/>
          <w:kern w:val="0"/>
          <w:szCs w:val="21"/>
          <w:highlight w:val="none"/>
        </w:rPr>
        <w:t xml:space="preserve"> </w:t>
      </w:r>
      <w:r>
        <w:rPr>
          <w:rFonts w:ascii="宋体" w:hAnsi="宋体" w:cs="Times New Roman"/>
          <w:color w:val="auto"/>
          <w:kern w:val="0"/>
          <w:szCs w:val="21"/>
          <w:highlight w:val="none"/>
        </w:rPr>
        <w:t xml:space="preserve"> 址：</w:t>
      </w:r>
      <w:r>
        <w:rPr>
          <w:rFonts w:hint="eastAsia" w:ascii="宋体" w:hAnsi="宋体" w:cs="Times New Roman"/>
          <w:color w:val="auto"/>
          <w:kern w:val="0"/>
          <w:szCs w:val="21"/>
          <w:highlight w:val="none"/>
        </w:rPr>
        <w:t>东莞市南城街道滨河路</w:t>
      </w:r>
      <w:r>
        <w:rPr>
          <w:rFonts w:ascii="宋体" w:hAnsi="宋体" w:cs="Times New Roman"/>
          <w:color w:val="auto"/>
          <w:kern w:val="0"/>
          <w:szCs w:val="21"/>
          <w:highlight w:val="none"/>
        </w:rPr>
        <w:t>100号二期3号楼3楼</w:t>
      </w:r>
    </w:p>
    <w:p>
      <w:pPr>
        <w:widowControl/>
        <w:autoSpaceDE w:val="0"/>
        <w:autoSpaceDN w:val="0"/>
        <w:adjustRightInd w:val="0"/>
        <w:spacing w:line="360" w:lineRule="auto"/>
        <w:ind w:right="-31" w:rightChars="-15" w:firstLine="424" w:firstLineChars="202"/>
        <w:jc w:val="left"/>
        <w:textAlignment w:val="bottom"/>
        <w:rPr>
          <w:rFonts w:ascii="宋体" w:hAnsi="宋体" w:cs="Times New Roman"/>
          <w:color w:val="auto"/>
          <w:kern w:val="0"/>
          <w:szCs w:val="21"/>
          <w:highlight w:val="none"/>
        </w:rPr>
      </w:pPr>
      <w:r>
        <w:rPr>
          <w:rFonts w:ascii="宋体" w:hAnsi="宋体" w:cs="Times New Roman"/>
          <w:color w:val="auto"/>
          <w:kern w:val="0"/>
          <w:szCs w:val="21"/>
          <w:highlight w:val="none"/>
        </w:rPr>
        <w:t>联系人</w:t>
      </w:r>
      <w:r>
        <w:rPr>
          <w:rFonts w:hint="eastAsia" w:ascii="宋体" w:hAnsi="宋体" w:cs="Times New Roman"/>
          <w:color w:val="auto"/>
          <w:kern w:val="0"/>
          <w:szCs w:val="21"/>
          <w:highlight w:val="none"/>
        </w:rPr>
        <w:t>：何浩林</w:t>
      </w:r>
    </w:p>
    <w:p>
      <w:pPr>
        <w:widowControl/>
        <w:autoSpaceDE w:val="0"/>
        <w:autoSpaceDN w:val="0"/>
        <w:adjustRightInd w:val="0"/>
        <w:spacing w:line="360" w:lineRule="auto"/>
        <w:ind w:right="-31" w:rightChars="-15" w:firstLine="424" w:firstLineChars="202"/>
        <w:jc w:val="left"/>
        <w:textAlignment w:val="bottom"/>
        <w:rPr>
          <w:rFonts w:ascii="宋体" w:hAnsi="宋体" w:cs="Times New Roman"/>
          <w:color w:val="auto"/>
          <w:kern w:val="0"/>
          <w:szCs w:val="21"/>
          <w:highlight w:val="none"/>
        </w:rPr>
      </w:pPr>
      <w:r>
        <w:rPr>
          <w:rFonts w:ascii="宋体" w:hAnsi="宋体" w:cs="Times New Roman"/>
          <w:color w:val="auto"/>
          <w:kern w:val="0"/>
          <w:szCs w:val="21"/>
          <w:highlight w:val="none"/>
        </w:rPr>
        <w:t>电  话：0769-22621996</w:t>
      </w:r>
    </w:p>
    <w:p>
      <w:pPr>
        <w:autoSpaceDE w:val="0"/>
        <w:autoSpaceDN w:val="0"/>
        <w:adjustRightInd w:val="0"/>
        <w:spacing w:line="360" w:lineRule="auto"/>
        <w:ind w:right="-29" w:rightChars="-14" w:firstLine="420"/>
        <w:rPr>
          <w:rFonts w:ascii="宋体" w:hAnsi="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cs="Times New Roman"/>
          <w:color w:val="auto"/>
          <w:szCs w:val="21"/>
          <w:highlight w:val="none"/>
        </w:rPr>
      </w:pPr>
      <w:r>
        <w:rPr>
          <w:rFonts w:ascii="宋体" w:hAnsi="宋体" w:cs="Times New Roman"/>
          <w:color w:val="auto"/>
          <w:szCs w:val="21"/>
          <w:highlight w:val="none"/>
        </w:rPr>
        <w:t>招标代理机构</w:t>
      </w:r>
      <w:r>
        <w:rPr>
          <w:rFonts w:hint="eastAsia" w:ascii="宋体" w:hAnsi="宋体" w:cs="宋体"/>
          <w:color w:val="auto"/>
          <w:szCs w:val="21"/>
          <w:highlight w:val="none"/>
          <w:shd w:val="clear" w:color="auto" w:fill="FFFFFF"/>
        </w:rPr>
        <w:t>及异议受理联系方式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450662847"/>
      <w:bookmarkStart w:id="4" w:name="_Toc486167661"/>
      <w:bookmarkStart w:id="5" w:name="_Toc31764_WPSOffice_Level1"/>
      <w:r>
        <w:rPr>
          <w:rFonts w:ascii="宋体" w:hAnsi="宋体" w:cs="Times New Roman"/>
          <w:color w:val="auto"/>
          <w:kern w:val="0"/>
          <w:szCs w:val="21"/>
          <w:highlight w:val="none"/>
        </w:rPr>
        <w:t>招标代理机构：</w:t>
      </w:r>
      <w:r>
        <w:rPr>
          <w:rFonts w:hint="eastAsia" w:ascii="宋体" w:hAnsi="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cs="Times New Roman"/>
          <w:color w:val="auto"/>
          <w:kern w:val="0"/>
          <w:szCs w:val="21"/>
          <w:highlight w:val="none"/>
        </w:rPr>
        <w:t>地  址：</w:t>
      </w:r>
      <w:r>
        <w:rPr>
          <w:rFonts w:hint="eastAsia" w:ascii="宋体" w:hAnsi="宋体" w:cs="Times New Roman"/>
          <w:color w:val="auto"/>
          <w:kern w:val="0"/>
          <w:szCs w:val="21"/>
          <w:highlight w:val="none"/>
          <w:lang w:eastAsia="zh-CN"/>
        </w:rPr>
        <w:t>广东省东莞市南城街道鸿福西路81号国际商会大厦</w:t>
      </w:r>
      <w:r>
        <w:rPr>
          <w:rFonts w:hint="eastAsia" w:ascii="宋体" w:hAnsi="宋体" w:cs="Times New Roman"/>
          <w:color w:val="auto"/>
          <w:kern w:val="0"/>
          <w:szCs w:val="21"/>
          <w:highlight w:val="none"/>
          <w:lang w:val="en-US" w:eastAsia="zh-CN"/>
        </w:rPr>
        <w:t>706</w:t>
      </w:r>
      <w:r>
        <w:rPr>
          <w:rFonts w:hint="eastAsia" w:ascii="宋体" w:hAnsi="宋体" w:cs="Times New Roman"/>
          <w:color w:val="auto"/>
          <w:kern w:val="0"/>
          <w:szCs w:val="21"/>
          <w:highlight w:val="none"/>
          <w:lang w:eastAsia="zh-CN"/>
        </w:rPr>
        <w:t>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cs="Times New Roman"/>
          <w:color w:val="auto"/>
          <w:kern w:val="0"/>
          <w:szCs w:val="21"/>
          <w:highlight w:val="none"/>
        </w:rPr>
        <w:t>联系人：</w:t>
      </w:r>
      <w:r>
        <w:rPr>
          <w:rFonts w:hint="eastAsia" w:ascii="宋体" w:hAnsi="宋体" w:cs="Times New Roman"/>
          <w:color w:val="auto"/>
          <w:kern w:val="0"/>
          <w:szCs w:val="21"/>
          <w:highlight w:val="none"/>
          <w:lang w:eastAsia="zh-CN"/>
        </w:rPr>
        <w:t>陈树辉</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rPr>
        <w:t xml:space="preserve">电 </w:t>
      </w:r>
      <w:r>
        <w:rPr>
          <w:rFonts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话</w:t>
      </w:r>
      <w:r>
        <w:rPr>
          <w:rFonts w:ascii="宋体" w:hAnsi="宋体" w:cs="Times New Roman"/>
          <w:color w:val="auto"/>
          <w:kern w:val="0"/>
          <w:szCs w:val="21"/>
          <w:highlight w:val="none"/>
        </w:rPr>
        <w:t>：</w:t>
      </w:r>
      <w:r>
        <w:rPr>
          <w:rFonts w:hint="eastAsia" w:ascii="宋体" w:hAnsi="宋体" w:cs="Times New Roman"/>
          <w:color w:val="auto"/>
          <w:kern w:val="0"/>
          <w:szCs w:val="21"/>
          <w:highlight w:val="none"/>
          <w:lang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cs="宋体"/>
          <w:b/>
          <w:bCs/>
          <w:color w:val="auto"/>
          <w:kern w:val="44"/>
          <w:sz w:val="32"/>
          <w:szCs w:val="32"/>
          <w:highlight w:val="none"/>
        </w:rPr>
      </w:pPr>
      <w:bookmarkStart w:id="6" w:name="_Toc142508311"/>
      <w:bookmarkStart w:id="7" w:name="_Toc12475"/>
      <w:bookmarkStart w:id="8" w:name="_Toc23835"/>
      <w:bookmarkStart w:id="9" w:name="_Toc173684875"/>
      <w:r>
        <w:rPr>
          <w:rFonts w:hint="eastAsia" w:ascii="宋体" w:hAnsi="宋体" w:cs="宋体"/>
          <w:b/>
          <w:bCs/>
          <w:color w:val="auto"/>
          <w:kern w:val="44"/>
          <w:sz w:val="32"/>
          <w:szCs w:val="32"/>
          <w:highlight w:val="none"/>
          <w:lang w:val="zh-CN"/>
        </w:rPr>
        <w:t>第二篇</w:t>
      </w:r>
      <w:r>
        <w:rPr>
          <w:rFonts w:ascii="宋体" w:hAnsi="宋体" w:cs="宋体"/>
          <w:b/>
          <w:bCs/>
          <w:color w:val="auto"/>
          <w:kern w:val="44"/>
          <w:sz w:val="32"/>
          <w:szCs w:val="32"/>
          <w:highlight w:val="none"/>
        </w:rPr>
        <w:t xml:space="preserve"> </w:t>
      </w:r>
      <w:r>
        <w:rPr>
          <w:rFonts w:hint="eastAsia" w:ascii="宋体" w:hAnsi="宋体" w:cs="宋体"/>
          <w:b/>
          <w:bCs/>
          <w:color w:val="auto"/>
          <w:kern w:val="44"/>
          <w:sz w:val="32"/>
          <w:szCs w:val="32"/>
          <w:highlight w:val="none"/>
          <w:lang w:val="zh-CN"/>
        </w:rPr>
        <w:t>投标人须知</w:t>
      </w:r>
      <w:bookmarkEnd w:id="3"/>
      <w:bookmarkEnd w:id="4"/>
      <w:bookmarkEnd w:id="5"/>
      <w:bookmarkEnd w:id="6"/>
      <w:bookmarkEnd w:id="7"/>
      <w:bookmarkEnd w:id="8"/>
      <w:bookmarkEnd w:id="9"/>
    </w:p>
    <w:p>
      <w:pPr>
        <w:keepNext/>
        <w:keepLines/>
        <w:autoSpaceDE w:val="0"/>
        <w:autoSpaceDN w:val="0"/>
        <w:adjustRightInd w:val="0"/>
        <w:spacing w:line="360" w:lineRule="auto"/>
        <w:jc w:val="left"/>
        <w:outlineLvl w:val="0"/>
        <w:rPr>
          <w:rFonts w:ascii="宋体" w:hAnsi="宋体" w:cs="宋体"/>
          <w:b/>
          <w:bCs/>
          <w:color w:val="auto"/>
          <w:kern w:val="44"/>
          <w:szCs w:val="21"/>
          <w:highlight w:val="none"/>
          <w:lang w:val="zh-CN"/>
        </w:rPr>
      </w:pPr>
      <w:bookmarkStart w:id="10" w:name="_Toc3621"/>
      <w:bookmarkStart w:id="11" w:name="_Toc486167662"/>
      <w:bookmarkStart w:id="12" w:name="_Toc16098"/>
      <w:bookmarkStart w:id="13" w:name="_Toc142508312"/>
      <w:bookmarkStart w:id="14" w:name="_Toc450662848"/>
      <w:bookmarkStart w:id="15" w:name="_Toc140596871"/>
      <w:bookmarkStart w:id="16" w:name="_Toc173684876"/>
      <w:bookmarkStart w:id="17" w:name="_Toc15366_WPSOffice_Level2"/>
      <w:r>
        <w:rPr>
          <w:rFonts w:hint="eastAsia" w:ascii="宋体" w:hAnsi="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8" w:name="_Toc16700"/>
      <w:bookmarkStart w:id="19" w:name="_Toc173684877"/>
      <w:bookmarkStart w:id="20" w:name="_Toc21710_WPSOffice_Level3"/>
      <w:bookmarkStart w:id="21" w:name="_Toc450662849"/>
      <w:bookmarkStart w:id="22" w:name="_Toc10832"/>
      <w:bookmarkStart w:id="23" w:name="_Toc486167663"/>
      <w:bookmarkStart w:id="24" w:name="_Toc142508313"/>
      <w:r>
        <w:rPr>
          <w:rFonts w:hint="eastAsia" w:ascii="宋体" w:hAnsi="宋体" w:cs="宋体"/>
          <w:color w:val="auto"/>
          <w:szCs w:val="21"/>
          <w:highlight w:val="none"/>
          <w:lang w:val="zh-CN"/>
        </w:rPr>
        <w:t>1</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资金来源：企业自筹资金。</w:t>
      </w:r>
      <w:bookmarkEnd w:id="18"/>
      <w:bookmarkEnd w:id="19"/>
      <w:bookmarkEnd w:id="20"/>
      <w:bookmarkEnd w:id="21"/>
      <w:bookmarkEnd w:id="22"/>
      <w:bookmarkEnd w:id="23"/>
      <w:bookmarkEnd w:id="24"/>
    </w:p>
    <w:p>
      <w:pPr>
        <w:autoSpaceDE w:val="0"/>
        <w:autoSpaceDN w:val="0"/>
        <w:adjustRightInd w:val="0"/>
        <w:jc w:val="left"/>
        <w:rPr>
          <w:rFonts w:ascii="宋体" w:hAnsi="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cs="宋体"/>
          <w:b/>
          <w:color w:val="auto"/>
          <w:szCs w:val="21"/>
          <w:highlight w:val="none"/>
          <w:lang w:val="zh-CN"/>
        </w:rPr>
      </w:pPr>
      <w:bookmarkStart w:id="25" w:name="_Toc80_WPSOffice_Level3"/>
      <w:bookmarkStart w:id="26" w:name="_Toc450662850"/>
      <w:bookmarkStart w:id="27" w:name="_Toc6566"/>
      <w:bookmarkStart w:id="28" w:name="_Toc5550"/>
      <w:bookmarkStart w:id="29" w:name="_Toc173684878"/>
      <w:bookmarkStart w:id="30" w:name="_Toc142508314"/>
      <w:bookmarkStart w:id="31" w:name="_Toc486167664"/>
      <w:r>
        <w:rPr>
          <w:rFonts w:hint="eastAsia" w:ascii="宋体" w:hAnsi="宋体" w:cs="宋体"/>
          <w:b/>
          <w:color w:val="auto"/>
          <w:szCs w:val="21"/>
          <w:highlight w:val="none"/>
          <w:lang w:val="zh-CN"/>
        </w:rPr>
        <w:t>2</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合格的投标人</w:t>
      </w:r>
      <w:bookmarkEnd w:id="25"/>
      <w:bookmarkEnd w:id="26"/>
      <w:bookmarkEnd w:id="27"/>
      <w:bookmarkEnd w:id="28"/>
      <w:bookmarkEnd w:id="29"/>
      <w:bookmarkEnd w:id="30"/>
      <w:bookmarkEnd w:id="31"/>
    </w:p>
    <w:p>
      <w:pPr>
        <w:autoSpaceDE w:val="0"/>
        <w:autoSpaceDN w:val="0"/>
        <w:adjustRightInd w:val="0"/>
        <w:spacing w:line="360" w:lineRule="auto"/>
        <w:ind w:left="317" w:leftChars="-100" w:hanging="527" w:hangingChars="250"/>
        <w:rPr>
          <w:rFonts w:ascii="宋体" w:hAnsi="宋体" w:cs="宋体"/>
          <w:b/>
          <w:color w:val="auto"/>
          <w:szCs w:val="21"/>
          <w:highlight w:val="none"/>
          <w:lang w:val="zh-CN"/>
        </w:rPr>
      </w:pPr>
      <w:r>
        <w:rPr>
          <w:rFonts w:hint="eastAsia" w:ascii="宋体" w:hAnsi="宋体" w:cs="宋体"/>
          <w:b/>
          <w:color w:val="auto"/>
          <w:szCs w:val="21"/>
          <w:highlight w:val="none"/>
          <w:lang w:val="zh-CN"/>
        </w:rPr>
        <w:t xml:space="preserve">2.1  </w:t>
      </w:r>
      <w:r>
        <w:rPr>
          <w:rFonts w:hint="eastAsia" w:ascii="宋体" w:hAnsi="宋体" w:cs="宋体"/>
          <w:b/>
          <w:color w:val="auto"/>
          <w:szCs w:val="21"/>
          <w:highlight w:val="none"/>
          <w:u w:val="single"/>
          <w:lang w:val="zh-CN"/>
        </w:rPr>
        <w:t>合格的投标人条件见第一篇《招标公告》中第</w:t>
      </w:r>
      <w:r>
        <w:rPr>
          <w:rFonts w:ascii="宋体" w:hAnsi="宋体" w:cs="宋体"/>
          <w:b/>
          <w:color w:val="auto"/>
          <w:szCs w:val="21"/>
          <w:highlight w:val="none"/>
          <w:u w:val="single"/>
          <w:lang w:val="zh-CN"/>
        </w:rPr>
        <w:t>2</w:t>
      </w:r>
      <w:r>
        <w:rPr>
          <w:rFonts w:hint="eastAsia" w:ascii="宋体" w:hAnsi="宋体" w:cs="宋体"/>
          <w:b/>
          <w:color w:val="auto"/>
          <w:szCs w:val="21"/>
          <w:highlight w:val="none"/>
          <w:u w:val="single"/>
          <w:lang w:val="zh-CN"/>
        </w:rPr>
        <w:t>条的“合格投标人资格要求”及本条以下2.2款至2.</w:t>
      </w:r>
      <w:r>
        <w:rPr>
          <w:rFonts w:hint="eastAsia" w:ascii="宋体" w:hAnsi="宋体" w:cs="宋体"/>
          <w:b/>
          <w:color w:val="auto"/>
          <w:szCs w:val="21"/>
          <w:highlight w:val="none"/>
          <w:u w:val="single"/>
        </w:rPr>
        <w:t>5</w:t>
      </w:r>
      <w:r>
        <w:rPr>
          <w:rFonts w:hint="eastAsia" w:ascii="宋体" w:hAnsi="宋体" w:cs="宋体"/>
          <w:b/>
          <w:color w:val="auto"/>
          <w:szCs w:val="21"/>
          <w:highlight w:val="none"/>
          <w:u w:val="single"/>
          <w:lang w:val="zh-CN"/>
        </w:rPr>
        <w:t>款的通用要求</w:t>
      </w:r>
      <w:r>
        <w:rPr>
          <w:rFonts w:hint="eastAsia" w:ascii="宋体" w:hAnsi="宋体" w:cs="宋体"/>
          <w:b/>
          <w:color w:val="auto"/>
          <w:szCs w:val="21"/>
          <w:highlight w:val="none"/>
          <w:lang w:val="zh-CN"/>
        </w:rPr>
        <w:t>。</w:t>
      </w:r>
    </w:p>
    <w:p>
      <w:pPr>
        <w:autoSpaceDE w:val="0"/>
        <w:autoSpaceDN w:val="0"/>
        <w:adjustRightInd w:val="0"/>
        <w:spacing w:line="360" w:lineRule="auto"/>
        <w:ind w:left="359" w:leftChars="-100" w:hanging="569" w:hangingChars="270"/>
        <w:rPr>
          <w:rFonts w:ascii="宋体" w:hAnsi="宋体" w:cs="宋体"/>
          <w:b/>
          <w:color w:val="auto"/>
          <w:kern w:val="0"/>
          <w:szCs w:val="21"/>
          <w:highlight w:val="none"/>
        </w:rPr>
      </w:pPr>
      <w:r>
        <w:rPr>
          <w:rFonts w:hint="eastAsia" w:ascii="宋体" w:hAnsi="宋体" w:cs="宋体"/>
          <w:b/>
          <w:color w:val="auto"/>
          <w:kern w:val="0"/>
          <w:szCs w:val="24"/>
          <w:highlight w:val="none"/>
        </w:rPr>
        <w:t xml:space="preserve">2.2  </w:t>
      </w:r>
      <w:r>
        <w:rPr>
          <w:rFonts w:hint="eastAsia" w:ascii="宋体" w:hAnsi="宋体" w:cs="宋体"/>
          <w:b/>
          <w:color w:val="auto"/>
          <w:kern w:val="0"/>
          <w:szCs w:val="21"/>
          <w:highlight w:val="none"/>
          <w:u w:val="single"/>
        </w:rPr>
        <w:t>投标人</w:t>
      </w:r>
      <w:r>
        <w:rPr>
          <w:rFonts w:hint="eastAsia" w:ascii="宋体" w:hAnsi="宋体" w:cs="Times New Roman"/>
          <w:b/>
          <w:color w:val="auto"/>
          <w:kern w:val="0"/>
          <w:szCs w:val="21"/>
          <w:highlight w:val="none"/>
          <w:u w:val="single"/>
        </w:rPr>
        <w:t>在参加本项目投标前的三年内不得在投标活动中存在《中华人民共和国招标投标法</w:t>
      </w:r>
      <w:r>
        <w:rPr>
          <w:rFonts w:hint="eastAsia" w:ascii="宋体" w:hAnsi="宋体" w:eastAsia="宋体" w:cs="Times New Roman"/>
          <w:b/>
          <w:color w:val="auto"/>
          <w:kern w:val="0"/>
          <w:szCs w:val="21"/>
          <w:highlight w:val="none"/>
          <w:u w:val="single"/>
        </w:rPr>
        <w:t>（2023年修订）</w:t>
      </w:r>
      <w:r>
        <w:rPr>
          <w:rFonts w:hint="eastAsia" w:ascii="宋体" w:hAnsi="宋体" w:cs="Times New Roman"/>
          <w:b/>
          <w:color w:val="auto"/>
          <w:kern w:val="0"/>
          <w:szCs w:val="21"/>
          <w:highlight w:val="none"/>
          <w:u w:val="single"/>
        </w:rPr>
        <w:t>》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cs="Times New Roman"/>
          <w:b/>
          <w:color w:val="auto"/>
          <w:kern w:val="0"/>
          <w:szCs w:val="21"/>
          <w:highlight w:val="none"/>
          <w:u w:val="single"/>
          <w:lang w:val="zh-CN"/>
        </w:rPr>
        <w:t>处罚说明</w:t>
      </w:r>
      <w:r>
        <w:rPr>
          <w:rFonts w:hint="eastAsia" w:ascii="宋体" w:hAnsi="宋体" w:cs="Times New Roman"/>
          <w:b/>
          <w:color w:val="auto"/>
          <w:kern w:val="0"/>
          <w:szCs w:val="21"/>
          <w:highlight w:val="none"/>
          <w:u w:val="single"/>
        </w:rPr>
        <w:t>”，如果不主动填报而被事后发现的，将取消其投标（中标）资格，并按有关规定从重处理</w:t>
      </w:r>
      <w:r>
        <w:rPr>
          <w:rFonts w:hint="eastAsia" w:ascii="宋体" w:hAnsi="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cs="宋体"/>
          <w:b/>
          <w:color w:val="auto"/>
          <w:szCs w:val="21"/>
          <w:highlight w:val="none"/>
          <w:lang w:val="zh-CN"/>
        </w:rPr>
      </w:pPr>
      <w:r>
        <w:rPr>
          <w:rFonts w:hint="eastAsia" w:ascii="宋体" w:hAnsi="宋体" w:cs="宋体"/>
          <w:b/>
          <w:color w:val="auto"/>
          <w:kern w:val="0"/>
          <w:szCs w:val="21"/>
          <w:highlight w:val="none"/>
          <w:lang w:val="zh-CN"/>
        </w:rPr>
        <w:t>2.</w:t>
      </w:r>
      <w:r>
        <w:rPr>
          <w:rFonts w:ascii="宋体" w:hAnsi="宋体" w:cs="宋体"/>
          <w:b/>
          <w:color w:val="auto"/>
          <w:kern w:val="0"/>
          <w:szCs w:val="21"/>
          <w:highlight w:val="none"/>
          <w:lang w:val="zh-CN"/>
        </w:rPr>
        <w:t>3</w:t>
      </w:r>
      <w:r>
        <w:rPr>
          <w:rFonts w:hint="eastAsia" w:ascii="宋体" w:hAnsi="宋体" w:cs="宋体"/>
          <w:b/>
          <w:color w:val="auto"/>
          <w:kern w:val="0"/>
          <w:szCs w:val="21"/>
          <w:highlight w:val="none"/>
          <w:lang w:val="zh-CN"/>
        </w:rPr>
        <w:t xml:space="preserve">  </w:t>
      </w:r>
      <w:r>
        <w:rPr>
          <w:rFonts w:hint="eastAsia" w:ascii="宋体" w:hAnsi="宋体" w:cs="宋体"/>
          <w:b/>
          <w:color w:val="auto"/>
          <w:kern w:val="0"/>
          <w:szCs w:val="21"/>
          <w:highlight w:val="none"/>
          <w:u w:val="single"/>
          <w:lang w:val="zh-CN"/>
        </w:rPr>
        <w:t>投标人</w:t>
      </w:r>
      <w:r>
        <w:rPr>
          <w:rFonts w:hint="eastAsia" w:ascii="宋体" w:hAnsi="宋体" w:cs="宋体"/>
          <w:b/>
          <w:color w:val="auto"/>
          <w:szCs w:val="21"/>
          <w:highlight w:val="none"/>
          <w:u w:val="single"/>
          <w:lang w:val="zh-CN"/>
        </w:rPr>
        <w:t>符合《中华人民共和国招标投标法》第二十六条规定</w:t>
      </w:r>
      <w:r>
        <w:rPr>
          <w:rFonts w:hint="eastAsia" w:ascii="宋体" w:hAnsi="宋体" w:cs="宋体"/>
          <w:b/>
          <w:color w:val="auto"/>
          <w:szCs w:val="21"/>
          <w:highlight w:val="none"/>
          <w:lang w:val="zh-CN"/>
        </w:rPr>
        <w:t>。</w:t>
      </w:r>
    </w:p>
    <w:p>
      <w:pPr>
        <w:autoSpaceDE w:val="0"/>
        <w:autoSpaceDN w:val="0"/>
        <w:adjustRightInd w:val="0"/>
        <w:spacing w:line="360" w:lineRule="auto"/>
        <w:ind w:left="359" w:leftChars="-99" w:hanging="567" w:hangingChars="269"/>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4</w:t>
      </w:r>
      <w:r>
        <w:rPr>
          <w:rFonts w:hint="eastAsia" w:ascii="宋体" w:hAnsi="宋体" w:cs="宋体"/>
          <w:b/>
          <w:color w:val="auto"/>
          <w:kern w:val="0"/>
          <w:szCs w:val="21"/>
          <w:highlight w:val="none"/>
        </w:rPr>
        <w:t xml:space="preserve">  </w:t>
      </w:r>
      <w:r>
        <w:rPr>
          <w:rFonts w:hint="eastAsia" w:ascii="宋体" w:hAnsi="宋体" w:cs="Times New Roman"/>
          <w:b/>
          <w:color w:val="auto"/>
          <w:kern w:val="0"/>
          <w:szCs w:val="21"/>
          <w:highlight w:val="none"/>
          <w:u w:val="singl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cs="宋体"/>
          <w:b/>
          <w:color w:val="auto"/>
          <w:kern w:val="0"/>
          <w:szCs w:val="21"/>
          <w:highlight w:val="none"/>
          <w:lang w:val="zh-CN"/>
        </w:rPr>
      </w:pPr>
      <w:r>
        <w:rPr>
          <w:rFonts w:hint="eastAsia" w:ascii="宋体" w:hAnsi="宋体" w:cs="宋体"/>
          <w:b/>
          <w:color w:val="auto"/>
          <w:szCs w:val="21"/>
          <w:highlight w:val="none"/>
          <w:lang w:val="zh-CN"/>
        </w:rPr>
        <w:t>2.</w:t>
      </w:r>
      <w:r>
        <w:rPr>
          <w:rFonts w:ascii="宋体" w:hAnsi="宋体" w:cs="宋体"/>
          <w:b/>
          <w:color w:val="auto"/>
          <w:szCs w:val="21"/>
          <w:highlight w:val="none"/>
          <w:lang w:val="zh-CN"/>
        </w:rPr>
        <w:t>5</w:t>
      </w:r>
      <w:r>
        <w:rPr>
          <w:rFonts w:hint="eastAsia" w:ascii="宋体" w:hAnsi="宋体" w:cs="宋体"/>
          <w:b/>
          <w:color w:val="auto"/>
          <w:szCs w:val="21"/>
          <w:highlight w:val="none"/>
          <w:lang w:val="zh-CN"/>
        </w:rPr>
        <w:t xml:space="preserve">  </w:t>
      </w:r>
      <w:r>
        <w:rPr>
          <w:rFonts w:hint="eastAsia" w:ascii="宋体" w:hAnsi="宋体" w:cs="Times New Roman"/>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cs="宋体"/>
          <w:b/>
          <w:color w:val="auto"/>
          <w:szCs w:val="21"/>
          <w:highlight w:val="none"/>
          <w:lang w:val="zh-CN"/>
        </w:rPr>
      </w:pPr>
      <w:bookmarkStart w:id="32" w:name="_Toc19218"/>
      <w:bookmarkStart w:id="33" w:name="_Toc8199"/>
      <w:bookmarkStart w:id="34" w:name="_Toc142508315"/>
      <w:bookmarkStart w:id="35" w:name="_Toc173684879"/>
      <w:bookmarkStart w:id="36" w:name="_Toc23847_WPSOffice_Level3"/>
      <w:bookmarkStart w:id="37" w:name="_Toc486167665"/>
      <w:bookmarkStart w:id="38" w:name="_Toc450662851"/>
      <w:r>
        <w:rPr>
          <w:rFonts w:hint="eastAsia" w:ascii="宋体" w:hAnsi="宋体" w:cs="宋体"/>
          <w:b/>
          <w:color w:val="auto"/>
          <w:szCs w:val="21"/>
          <w:highlight w:val="none"/>
          <w:lang w:val="zh-CN"/>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合格的货物</w:t>
      </w:r>
      <w:bookmarkEnd w:id="32"/>
      <w:bookmarkEnd w:id="33"/>
      <w:bookmarkEnd w:id="34"/>
      <w:bookmarkEnd w:id="35"/>
      <w:bookmarkEnd w:id="36"/>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r>
        <w:rPr>
          <w:rFonts w:ascii="宋体" w:hAnsi="宋体" w:cs="Times New Roman"/>
          <w:color w:val="auto"/>
          <w:szCs w:val="21"/>
          <w:highlight w:val="none"/>
          <w:lang w:val="zh-CN"/>
        </w:rPr>
        <w:t>3.</w:t>
      </w:r>
      <w:r>
        <w:rPr>
          <w:rFonts w:hint="eastAsia" w:ascii="宋体" w:hAnsi="宋体" w:cs="Times New Roman"/>
          <w:color w:val="auto"/>
          <w:szCs w:val="21"/>
          <w:highlight w:val="none"/>
          <w:lang w:val="zh-CN"/>
        </w:rPr>
        <w:t>1</w:t>
      </w:r>
      <w:r>
        <w:rPr>
          <w:rFonts w:ascii="宋体" w:hAnsi="宋体" w:cs="Times New Roman"/>
          <w:color w:val="auto"/>
          <w:szCs w:val="21"/>
          <w:highlight w:val="none"/>
        </w:rPr>
        <w:t xml:space="preserve"> </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39" w:name="_Toc533708063"/>
      <w:bookmarkStart w:id="40" w:name="_Toc1977663"/>
      <w:r>
        <w:rPr>
          <w:rFonts w:hint="eastAsia" w:ascii="宋体" w:hAnsi="宋体" w:cs="宋体"/>
          <w:color w:val="auto"/>
          <w:szCs w:val="21"/>
          <w:highlight w:val="none"/>
          <w:lang w:val="zh-CN"/>
        </w:rPr>
        <w:t>3.2  投标人</w:t>
      </w:r>
      <w:r>
        <w:rPr>
          <w:rFonts w:hint="eastAsia" w:ascii="宋体" w:hAnsi="宋体" w:cs="Times New Roman"/>
          <w:color w:val="auto"/>
          <w:szCs w:val="21"/>
          <w:highlight w:val="none"/>
          <w:lang w:val="zh-CN"/>
        </w:rPr>
        <w:t>中标后提供的货物</w:t>
      </w:r>
      <w:r>
        <w:rPr>
          <w:rFonts w:hint="eastAsia" w:ascii="宋体" w:hAnsi="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cs="Times New Roman"/>
          <w:color w:val="auto"/>
          <w:kern w:val="0"/>
          <w:szCs w:val="21"/>
          <w:highlight w:val="none"/>
        </w:rPr>
        <w:t>负责办理所有货物的进口及商检手续</w:t>
      </w:r>
      <w:r>
        <w:rPr>
          <w:rFonts w:hint="eastAsia" w:ascii="宋体" w:hAnsi="宋体" w:cs="Times New Roman"/>
          <w:color w:val="auto"/>
          <w:kern w:val="0"/>
          <w:szCs w:val="21"/>
          <w:highlight w:val="none"/>
        </w:rPr>
        <w:t>，并承担相关费用</w:t>
      </w:r>
      <w:r>
        <w:rPr>
          <w:rFonts w:hint="eastAsia" w:ascii="宋体" w:hAnsi="宋体" w:cs="宋体"/>
          <w:color w:val="auto"/>
          <w:szCs w:val="21"/>
          <w:highlight w:val="none"/>
          <w:lang w:val="zh-CN"/>
        </w:rPr>
        <w:t>。</w:t>
      </w:r>
    </w:p>
    <w:bookmarkEnd w:id="39"/>
    <w:bookmarkEnd w:id="40"/>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41" w:name="_Toc1977664"/>
      <w:bookmarkStart w:id="42" w:name="_Toc533708064"/>
      <w:r>
        <w:rPr>
          <w:rFonts w:hint="eastAsia" w:ascii="宋体" w:hAnsi="宋体" w:cs="宋体"/>
          <w:color w:val="auto"/>
          <w:szCs w:val="21"/>
          <w:highlight w:val="none"/>
          <w:lang w:val="zh-CN"/>
        </w:rPr>
        <w:t xml:space="preserve">3.3  </w:t>
      </w:r>
      <w:bookmarkEnd w:id="41"/>
      <w:bookmarkEnd w:id="42"/>
      <w:bookmarkStart w:id="43" w:name="_Toc1977665"/>
      <w:bookmarkStart w:id="44" w:name="_Toc533708065"/>
      <w:r>
        <w:rPr>
          <w:rFonts w:hint="eastAsia" w:ascii="宋体" w:hAnsi="宋体" w:cs="宋体"/>
          <w:color w:val="auto"/>
          <w:szCs w:val="21"/>
          <w:highlight w:val="none"/>
          <w:lang w:val="zh-CN"/>
        </w:rPr>
        <w:t>投标人</w:t>
      </w:r>
      <w:r>
        <w:rPr>
          <w:rFonts w:hint="eastAsia" w:ascii="宋体" w:hAnsi="宋体" w:cs="Times New Roman"/>
          <w:color w:val="auto"/>
          <w:szCs w:val="21"/>
          <w:highlight w:val="none"/>
          <w:lang w:val="zh-CN"/>
        </w:rPr>
        <w:t>必须保证提供的所有货物或货物的任何部分均为最新正式版本</w:t>
      </w:r>
      <w:r>
        <w:rPr>
          <w:rFonts w:hint="eastAsia" w:ascii="宋体" w:hAnsi="宋体" w:cs="宋体"/>
          <w:color w:val="auto"/>
          <w:szCs w:val="21"/>
          <w:highlight w:val="none"/>
          <w:lang w:val="zh-CN"/>
        </w:rPr>
        <w:t>。</w:t>
      </w:r>
      <w:bookmarkEnd w:id="43"/>
      <w:bookmarkEnd w:id="44"/>
    </w:p>
    <w:p>
      <w:pPr>
        <w:autoSpaceDE w:val="0"/>
        <w:autoSpaceDN w:val="0"/>
        <w:adjustRightInd w:val="0"/>
        <w:spacing w:line="360" w:lineRule="auto"/>
        <w:ind w:left="315" w:leftChars="-100" w:hanging="525" w:hangingChars="250"/>
        <w:rPr>
          <w:rFonts w:ascii="宋体" w:hAnsi="宋体" w:cs="Times New Roman"/>
          <w:color w:val="auto"/>
          <w:kern w:val="0"/>
          <w:szCs w:val="21"/>
          <w:highlight w:val="none"/>
        </w:rPr>
      </w:pPr>
      <w:bookmarkStart w:id="45" w:name="_Toc1977666"/>
      <w:bookmarkStart w:id="46" w:name="_Toc533708066"/>
      <w:r>
        <w:rPr>
          <w:rFonts w:hint="eastAsia" w:ascii="宋体" w:hAnsi="宋体" w:cs="宋体"/>
          <w:color w:val="auto"/>
          <w:szCs w:val="21"/>
          <w:highlight w:val="none"/>
          <w:lang w:val="zh-CN"/>
        </w:rPr>
        <w:t>3.</w:t>
      </w:r>
      <w:r>
        <w:rPr>
          <w:rFonts w:hint="eastAsia" w:ascii="宋体" w:hAnsi="宋体" w:cs="宋体"/>
          <w:color w:val="auto"/>
          <w:szCs w:val="21"/>
          <w:highlight w:val="none"/>
        </w:rPr>
        <w:t>4</w:t>
      </w:r>
      <w:r>
        <w:rPr>
          <w:rFonts w:hint="eastAsia" w:ascii="宋体" w:hAnsi="宋体" w:cs="宋体"/>
          <w:color w:val="auto"/>
          <w:szCs w:val="21"/>
          <w:highlight w:val="none"/>
          <w:lang w:val="zh-CN"/>
        </w:rPr>
        <w:t xml:space="preserve">  </w:t>
      </w:r>
      <w:r>
        <w:rPr>
          <w:rFonts w:hint="eastAsia" w:ascii="宋体" w:hAnsi="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47" w:name="_Toc533708067"/>
      <w:bookmarkStart w:id="48" w:name="_Toc1977667"/>
      <w:r>
        <w:rPr>
          <w:rFonts w:hint="eastAsia" w:ascii="宋体" w:hAnsi="宋体" w:cs="宋体"/>
          <w:color w:val="auto"/>
          <w:szCs w:val="21"/>
          <w:highlight w:val="none"/>
          <w:lang w:val="zh-CN"/>
        </w:rPr>
        <w:t>3.</w:t>
      </w:r>
      <w:r>
        <w:rPr>
          <w:rFonts w:hint="eastAsia" w:ascii="宋体" w:hAnsi="宋体" w:cs="宋体"/>
          <w:color w:val="auto"/>
          <w:szCs w:val="21"/>
          <w:highlight w:val="none"/>
        </w:rPr>
        <w:t>5</w:t>
      </w:r>
      <w:r>
        <w:rPr>
          <w:rFonts w:hint="eastAsia" w:ascii="宋体" w:hAnsi="宋体" w:cs="宋体"/>
          <w:color w:val="auto"/>
          <w:szCs w:val="21"/>
          <w:highlight w:val="none"/>
          <w:lang w:val="zh-CN"/>
        </w:rPr>
        <w:t xml:space="preserve">  投标人</w:t>
      </w:r>
      <w:r>
        <w:rPr>
          <w:rFonts w:hint="eastAsia" w:ascii="宋体" w:hAnsi="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cs="宋体"/>
          <w:color w:val="auto"/>
          <w:szCs w:val="21"/>
          <w:highlight w:val="none"/>
          <w:lang w:val="zh-CN"/>
        </w:rPr>
        <w:t>。</w:t>
      </w:r>
      <w:bookmarkEnd w:id="47"/>
      <w:bookmarkEnd w:id="48"/>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49" w:name="_Toc533708068"/>
      <w:bookmarkStart w:id="50" w:name="_Toc1977668"/>
      <w:r>
        <w:rPr>
          <w:rFonts w:hint="eastAsia" w:ascii="宋体" w:hAnsi="宋体" w:cs="宋体"/>
          <w:color w:val="auto"/>
          <w:szCs w:val="21"/>
          <w:highlight w:val="none"/>
          <w:lang w:val="zh-CN"/>
        </w:rPr>
        <w:t>3.</w:t>
      </w:r>
      <w:r>
        <w:rPr>
          <w:rFonts w:hint="eastAsia" w:ascii="宋体" w:hAnsi="宋体" w:cs="宋体"/>
          <w:color w:val="auto"/>
          <w:szCs w:val="21"/>
          <w:highlight w:val="none"/>
        </w:rPr>
        <w:t>6</w:t>
      </w:r>
      <w:r>
        <w:rPr>
          <w:rFonts w:hint="eastAsia" w:ascii="宋体" w:hAnsi="宋体" w:cs="宋体"/>
          <w:color w:val="auto"/>
          <w:szCs w:val="21"/>
          <w:highlight w:val="none"/>
          <w:lang w:val="zh-CN"/>
        </w:rPr>
        <w:t xml:space="preserve">  无论投标人</w:t>
      </w:r>
      <w:r>
        <w:rPr>
          <w:rFonts w:hint="eastAsia" w:ascii="宋体" w:hAnsi="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cs="宋体"/>
          <w:color w:val="auto"/>
          <w:szCs w:val="21"/>
          <w:highlight w:val="none"/>
          <w:lang w:val="zh-CN"/>
        </w:rPr>
        <w:t>。</w:t>
      </w:r>
      <w:bookmarkEnd w:id="49"/>
      <w:bookmarkEnd w:id="50"/>
    </w:p>
    <w:p>
      <w:pPr>
        <w:autoSpaceDE w:val="0"/>
        <w:autoSpaceDN w:val="0"/>
        <w:adjustRightInd w:val="0"/>
        <w:spacing w:line="360" w:lineRule="auto"/>
        <w:jc w:val="left"/>
        <w:rPr>
          <w:rFonts w:ascii="宋体" w:hAnsi="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51" w:name="_Toc9658_WPSOffice_Level3"/>
      <w:bookmarkStart w:id="52" w:name="_Toc142508316"/>
      <w:bookmarkStart w:id="53" w:name="_Toc23394"/>
      <w:bookmarkStart w:id="54" w:name="_Toc173684880"/>
      <w:bookmarkStart w:id="55" w:name="_Toc6068"/>
      <w:r>
        <w:rPr>
          <w:rFonts w:hint="eastAsia" w:ascii="宋体" w:hAnsi="宋体" w:cs="宋体"/>
          <w:color w:val="auto"/>
          <w:szCs w:val="21"/>
          <w:highlight w:val="none"/>
          <w:lang w:val="zh-CN"/>
        </w:rPr>
        <w:t>4</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其它说明</w:t>
      </w:r>
      <w:bookmarkEnd w:id="51"/>
      <w:bookmarkEnd w:id="52"/>
      <w:bookmarkEnd w:id="53"/>
      <w:bookmarkEnd w:id="54"/>
      <w:bookmarkEnd w:id="55"/>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56" w:name="_Toc1977670"/>
      <w:bookmarkStart w:id="57" w:name="_Toc533708070"/>
      <w:r>
        <w:rPr>
          <w:rFonts w:hint="eastAsia" w:ascii="宋体" w:hAnsi="宋体" w:cs="宋体"/>
          <w:color w:val="auto"/>
          <w:szCs w:val="21"/>
          <w:highlight w:val="none"/>
          <w:lang w:val="zh-CN"/>
        </w:rPr>
        <w:t>4.1  投标费用</w:t>
      </w:r>
      <w:bookmarkEnd w:id="56"/>
      <w:bookmarkEnd w:id="57"/>
    </w:p>
    <w:p>
      <w:pPr>
        <w:autoSpaceDE w:val="0"/>
        <w:autoSpaceDN w:val="0"/>
        <w:adjustRightInd w:val="0"/>
        <w:spacing w:line="360" w:lineRule="auto"/>
        <w:ind w:left="210" w:leftChars="100" w:firstLine="420" w:firstLineChars="200"/>
        <w:rPr>
          <w:rFonts w:ascii="宋体" w:hAnsi="宋体" w:cs="宋体"/>
          <w:color w:val="auto"/>
          <w:szCs w:val="21"/>
          <w:highlight w:val="none"/>
          <w:lang w:val="zh-CN"/>
        </w:rPr>
      </w:pPr>
      <w:bookmarkStart w:id="58" w:name="_Toc533708072"/>
      <w:bookmarkStart w:id="59" w:name="_Toc1977672"/>
      <w:r>
        <w:rPr>
          <w:rFonts w:hint="eastAsia" w:ascii="宋体" w:hAnsi="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cs="宋体"/>
          <w:color w:val="auto"/>
          <w:szCs w:val="21"/>
          <w:highlight w:val="none"/>
          <w:lang w:val="zh-CN"/>
        </w:rPr>
        <w:t>。</w:t>
      </w:r>
      <w:bookmarkEnd w:id="58"/>
      <w:bookmarkEnd w:id="59"/>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bookmarkStart w:id="60" w:name="_Toc1977673"/>
      <w:bookmarkStart w:id="61" w:name="_Toc533708073"/>
      <w:r>
        <w:rPr>
          <w:rFonts w:hint="eastAsia" w:ascii="宋体" w:hAnsi="宋体" w:cs="宋体"/>
          <w:color w:val="auto"/>
          <w:szCs w:val="21"/>
          <w:highlight w:val="none"/>
          <w:lang w:val="zh-CN"/>
        </w:rPr>
        <w:t>4.2  踏勘现场</w:t>
      </w:r>
      <w:bookmarkEnd w:id="60"/>
      <w:bookmarkEnd w:id="61"/>
    </w:p>
    <w:p>
      <w:pPr>
        <w:autoSpaceDE w:val="0"/>
        <w:autoSpaceDN w:val="0"/>
        <w:adjustRightInd w:val="0"/>
        <w:spacing w:line="360" w:lineRule="auto"/>
        <w:ind w:left="300" w:leftChars="-59" w:hanging="424" w:hangingChars="202"/>
        <w:jc w:val="left"/>
        <w:rPr>
          <w:rFonts w:ascii="宋体" w:hAnsi="宋体" w:cs="Times New Roman"/>
          <w:color w:val="auto"/>
          <w:kern w:val="0"/>
          <w:szCs w:val="21"/>
          <w:highlight w:val="none"/>
        </w:rPr>
      </w:pPr>
      <w:bookmarkStart w:id="62" w:name="_Toc1977676"/>
      <w:bookmarkStart w:id="63" w:name="_Toc533708076"/>
      <w:r>
        <w:rPr>
          <w:rFonts w:hint="eastAsia" w:ascii="宋体" w:hAnsi="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4.3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纪律与保密事项</w:t>
      </w:r>
      <w:bookmarkEnd w:id="37"/>
      <w:bookmarkEnd w:id="38"/>
      <w:bookmarkEnd w:id="62"/>
      <w:bookmarkEnd w:id="63"/>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lang w:val="zh-CN"/>
        </w:rPr>
        <w:t>（2</w:t>
      </w:r>
      <w:r>
        <w:rPr>
          <w:rFonts w:hint="eastAsia" w:ascii="宋体" w:hAnsi="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cs="宋体"/>
          <w:color w:val="auto"/>
          <w:szCs w:val="21"/>
          <w:highlight w:val="none"/>
        </w:rPr>
      </w:pPr>
    </w:p>
    <w:p>
      <w:pPr>
        <w:keepNext/>
        <w:keepLines/>
        <w:autoSpaceDE w:val="0"/>
        <w:autoSpaceDN w:val="0"/>
        <w:adjustRightInd w:val="0"/>
        <w:spacing w:line="360" w:lineRule="auto"/>
        <w:jc w:val="left"/>
        <w:outlineLvl w:val="0"/>
        <w:rPr>
          <w:rFonts w:ascii="宋体" w:hAnsi="宋体" w:cs="宋体"/>
          <w:b/>
          <w:bCs/>
          <w:color w:val="auto"/>
          <w:kern w:val="44"/>
          <w:szCs w:val="21"/>
          <w:highlight w:val="none"/>
          <w:lang w:val="zh-CN"/>
        </w:rPr>
      </w:pPr>
      <w:bookmarkStart w:id="64" w:name="_Toc486167667"/>
      <w:bookmarkStart w:id="65" w:name="_Toc173684881"/>
      <w:bookmarkStart w:id="66" w:name="_Toc450662853"/>
      <w:bookmarkStart w:id="67" w:name="_Toc12684"/>
      <w:bookmarkStart w:id="68" w:name="_Toc142508317"/>
      <w:bookmarkStart w:id="69" w:name="_Toc30507_WPSOffice_Level2"/>
      <w:bookmarkStart w:id="70" w:name="_Toc1482"/>
      <w:bookmarkStart w:id="71" w:name="_Toc140596876"/>
      <w:r>
        <w:rPr>
          <w:rFonts w:hint="eastAsia" w:ascii="宋体" w:hAnsi="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72" w:name="_Toc26635_WPSOffice_Level3"/>
      <w:bookmarkStart w:id="73" w:name="_Toc15737"/>
      <w:bookmarkStart w:id="74" w:name="_Toc28179"/>
      <w:bookmarkStart w:id="75" w:name="_Toc450662854"/>
      <w:bookmarkStart w:id="76" w:name="_Toc486167668"/>
      <w:bookmarkStart w:id="77" w:name="_Toc142508318"/>
      <w:bookmarkStart w:id="78" w:name="_Toc173684882"/>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招标文件的构成</w:t>
      </w:r>
      <w:bookmarkEnd w:id="72"/>
      <w:bookmarkEnd w:id="73"/>
      <w:bookmarkEnd w:id="74"/>
      <w:bookmarkEnd w:id="75"/>
      <w:bookmarkEnd w:id="76"/>
      <w:bookmarkEnd w:id="77"/>
      <w:bookmarkEnd w:id="78"/>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5.1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cs="Times New Roman"/>
          <w:color w:val="auto"/>
          <w:szCs w:val="21"/>
          <w:highlight w:val="none"/>
          <w:lang w:val="zh-CN"/>
        </w:rPr>
      </w:pPr>
      <w:r>
        <w:rPr>
          <w:rFonts w:hint="eastAsia" w:ascii="宋体" w:hAnsi="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ascii="宋体" w:hAnsi="宋体" w:cs="宋体"/>
          <w:b/>
          <w:bCs/>
          <w:color w:val="auto"/>
          <w:szCs w:val="21"/>
          <w:highlight w:val="none"/>
          <w:lang w:val="zh-CN"/>
        </w:rPr>
      </w:pPr>
      <w:r>
        <w:rPr>
          <w:rFonts w:hint="eastAsia" w:ascii="宋体" w:hAnsi="宋体" w:cs="宋体"/>
          <w:bCs/>
          <w:color w:val="auto"/>
          <w:szCs w:val="21"/>
          <w:highlight w:val="none"/>
          <w:lang w:val="zh-CN"/>
        </w:rPr>
        <w:t>5.2</w:t>
      </w:r>
      <w:r>
        <w:rPr>
          <w:rFonts w:hint="eastAsia" w:ascii="宋体" w:hAnsi="宋体" w:cs="宋体"/>
          <w:b/>
          <w:bCs/>
          <w:color w:val="auto"/>
          <w:szCs w:val="21"/>
          <w:highlight w:val="none"/>
          <w:lang w:val="zh-CN"/>
        </w:rPr>
        <w:tab/>
      </w:r>
      <w:r>
        <w:rPr>
          <w:rFonts w:hint="eastAsia" w:ascii="宋体" w:hAnsi="宋体" w:cs="宋体"/>
          <w:b/>
          <w:bCs/>
          <w:color w:val="auto"/>
          <w:szCs w:val="21"/>
          <w:highlight w:val="none"/>
          <w:u w:val="single"/>
          <w:lang w:val="zh-CN"/>
        </w:rPr>
        <w:t>投标人</w:t>
      </w:r>
      <w:r>
        <w:rPr>
          <w:rFonts w:hint="eastAsia" w:ascii="宋体" w:hAnsi="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cs="宋体"/>
          <w:b/>
          <w:bCs/>
          <w:color w:val="auto"/>
          <w:szCs w:val="21"/>
          <w:highlight w:val="none"/>
          <w:u w:val="single"/>
          <w:lang w:val="zh-CN"/>
        </w:rPr>
        <w:t>★</w:t>
      </w:r>
      <w:r>
        <w:rPr>
          <w:rFonts w:hint="eastAsia" w:ascii="宋体" w:hAnsi="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cs="宋体"/>
          <w:b/>
          <w:bCs/>
          <w:color w:val="auto"/>
          <w:szCs w:val="21"/>
          <w:highlight w:val="none"/>
          <w:u w:val="single"/>
        </w:rPr>
      </w:pPr>
      <w:r>
        <w:rPr>
          <w:rFonts w:hint="eastAsia" w:ascii="宋体" w:hAnsi="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（1）“招标人”指东莞市众源环境投资有限公司；</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w:t>
      </w:r>
      <w:r>
        <w:rPr>
          <w:rFonts w:hint="eastAsia" w:ascii="宋体" w:hAnsi="宋体" w:cs="Times New Roman"/>
          <w:color w:val="auto"/>
          <w:kern w:val="0"/>
          <w:szCs w:val="21"/>
          <w:highlight w:val="none"/>
        </w:rPr>
        <w:t>）“招标代理机构”指</w:t>
      </w:r>
      <w:r>
        <w:rPr>
          <w:rFonts w:hint="eastAsia" w:ascii="宋体" w:hAnsi="宋体" w:cs="Times New Roman"/>
          <w:color w:val="auto"/>
          <w:kern w:val="0"/>
          <w:szCs w:val="21"/>
          <w:highlight w:val="none"/>
          <w:lang w:eastAsia="zh-CN"/>
        </w:rPr>
        <w:t>三方诚信招标有限公司</w:t>
      </w:r>
      <w:r>
        <w:rPr>
          <w:rFonts w:hint="eastAsia" w:ascii="宋体" w:hAnsi="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）“投标人”指参加</w:t>
      </w:r>
      <w:r>
        <w:rPr>
          <w:rFonts w:hint="eastAsia" w:ascii="宋体" w:hAnsi="宋体" w:cs="Times New Roman"/>
          <w:color w:val="auto"/>
          <w:kern w:val="0"/>
          <w:szCs w:val="21"/>
          <w:highlight w:val="none"/>
          <w:lang w:eastAsia="zh-CN"/>
        </w:rPr>
        <w:t>东莞市众源环境投资有限公司2025年污泥处理用聚丙烯酰胺采购项目</w:t>
      </w:r>
      <w:r>
        <w:rPr>
          <w:rFonts w:hint="eastAsia" w:ascii="宋体" w:hAnsi="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5</w:t>
      </w:r>
      <w:r>
        <w:rPr>
          <w:rFonts w:hint="eastAsia" w:ascii="宋体" w:hAnsi="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6</w:t>
      </w:r>
      <w:r>
        <w:rPr>
          <w:rFonts w:hint="eastAsia" w:ascii="宋体" w:hAnsi="宋体" w:cs="Times New Roman"/>
          <w:color w:val="auto"/>
          <w:kern w:val="0"/>
          <w:szCs w:val="21"/>
          <w:highlight w:val="none"/>
        </w:rPr>
        <w:t>）“甲方”指在合同条款中指明的购买货物及有关服务的单位，即东莞市众源环境投资有限公司；</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7</w:t>
      </w:r>
      <w:r>
        <w:rPr>
          <w:rFonts w:hint="eastAsia" w:ascii="宋体" w:hAnsi="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8</w:t>
      </w:r>
      <w:r>
        <w:rPr>
          <w:rFonts w:hint="eastAsia" w:ascii="宋体" w:hAnsi="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9</w:t>
      </w:r>
      <w:r>
        <w:rPr>
          <w:rFonts w:hint="eastAsia" w:ascii="宋体" w:hAnsi="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10</w:t>
      </w:r>
      <w:r>
        <w:rPr>
          <w:rFonts w:hint="eastAsia" w:ascii="宋体" w:hAnsi="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11</w:t>
      </w:r>
      <w:r>
        <w:rPr>
          <w:rFonts w:hint="eastAsia" w:ascii="宋体" w:hAnsi="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12</w:t>
      </w:r>
      <w:r>
        <w:rPr>
          <w:rFonts w:hint="eastAsia" w:ascii="宋体" w:hAnsi="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13</w:t>
      </w:r>
      <w:r>
        <w:rPr>
          <w:rFonts w:hint="eastAsia" w:ascii="宋体" w:hAnsi="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14</w:t>
      </w:r>
      <w:r>
        <w:rPr>
          <w:rFonts w:hint="eastAsia" w:ascii="宋体" w:hAnsi="宋体" w:cs="Times New Roman"/>
          <w:color w:val="auto"/>
          <w:kern w:val="0"/>
          <w:szCs w:val="21"/>
          <w:highlight w:val="none"/>
        </w:rPr>
        <w:t>）不含税价，即为《中华人民共和国增值税暂行条例》（国务院令第6</w:t>
      </w:r>
      <w:r>
        <w:rPr>
          <w:rFonts w:ascii="宋体" w:hAnsi="宋体" w:cs="Times New Roman"/>
          <w:color w:val="auto"/>
          <w:kern w:val="0"/>
          <w:szCs w:val="21"/>
          <w:highlight w:val="none"/>
        </w:rPr>
        <w:t>91</w:t>
      </w:r>
      <w:r>
        <w:rPr>
          <w:rFonts w:hint="eastAsia" w:ascii="宋体" w:hAnsi="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79" w:name="_Toc450662855"/>
      <w:bookmarkStart w:id="80" w:name="_Toc29125_WPSOffice_Level3"/>
      <w:bookmarkStart w:id="81" w:name="_Toc142508319"/>
      <w:bookmarkStart w:id="82" w:name="_Toc173684883"/>
      <w:bookmarkStart w:id="83" w:name="_Toc486167669"/>
      <w:bookmarkStart w:id="84" w:name="_Toc17220"/>
      <w:bookmarkStart w:id="85" w:name="_Toc18407"/>
      <w:r>
        <w:rPr>
          <w:rFonts w:hint="eastAsia" w:ascii="宋体" w:hAnsi="宋体" w:cs="宋体"/>
          <w:color w:val="auto"/>
          <w:szCs w:val="21"/>
          <w:highlight w:val="none"/>
          <w:lang w:val="zh-CN"/>
        </w:rPr>
        <w:t>6</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招标文件的异议</w:t>
      </w:r>
      <w:bookmarkEnd w:id="79"/>
      <w:bookmarkEnd w:id="80"/>
      <w:bookmarkEnd w:id="81"/>
      <w:bookmarkEnd w:id="82"/>
      <w:bookmarkEnd w:id="83"/>
      <w:bookmarkEnd w:id="84"/>
      <w:bookmarkEnd w:id="85"/>
    </w:p>
    <w:p>
      <w:pPr>
        <w:autoSpaceDE w:val="0"/>
        <w:autoSpaceDN w:val="0"/>
        <w:adjustRightInd w:val="0"/>
        <w:spacing w:line="360" w:lineRule="auto"/>
        <w:ind w:left="288" w:leftChars="137" w:firstLine="420" w:firstLineChars="200"/>
        <w:rPr>
          <w:rFonts w:ascii="宋体" w:hAnsi="宋体" w:cs="宋体"/>
          <w:bCs/>
          <w:color w:val="auto"/>
          <w:szCs w:val="21"/>
          <w:highlight w:val="none"/>
          <w:lang w:val="zh-CN"/>
        </w:rPr>
      </w:pPr>
      <w:r>
        <w:rPr>
          <w:rFonts w:hint="eastAsia" w:ascii="宋体" w:hAnsi="宋体" w:cs="Times New Roman"/>
          <w:bCs/>
          <w:color w:val="auto"/>
          <w:szCs w:val="21"/>
          <w:highlight w:val="none"/>
          <w:lang w:val="zh-CN"/>
        </w:rPr>
        <w:t>投标人或者其他利害关系人对招标文件有异议的，应当在投标截止时间10日前</w:t>
      </w:r>
      <w:r>
        <w:rPr>
          <w:rFonts w:ascii="宋体" w:hAnsi="宋体" w:cs="Times New Roman"/>
          <w:color w:val="auto"/>
          <w:szCs w:val="21"/>
          <w:highlight w:val="none"/>
          <w:lang w:val="zh-CN"/>
        </w:rPr>
        <w:t>以书面形式向</w:t>
      </w:r>
      <w:r>
        <w:rPr>
          <w:rFonts w:hint="eastAsia" w:ascii="宋体" w:hAnsi="宋体" w:cs="Times New Roman"/>
          <w:color w:val="auto"/>
          <w:szCs w:val="21"/>
          <w:highlight w:val="none"/>
          <w:lang w:val="zh-CN"/>
        </w:rPr>
        <w:t>招标代理机构</w:t>
      </w:r>
      <w:r>
        <w:rPr>
          <w:rFonts w:ascii="宋体" w:hAnsi="宋体" w:cs="Times New Roman"/>
          <w:color w:val="auto"/>
          <w:szCs w:val="21"/>
          <w:highlight w:val="none"/>
          <w:lang w:val="zh-CN"/>
        </w:rPr>
        <w:t>提出</w:t>
      </w:r>
      <w:r>
        <w:rPr>
          <w:rFonts w:hint="eastAsia" w:ascii="宋体" w:hAnsi="宋体" w:cs="Times New Roman"/>
          <w:color w:val="auto"/>
          <w:szCs w:val="21"/>
          <w:highlight w:val="none"/>
          <w:lang w:val="zh-CN"/>
        </w:rPr>
        <w:t>，</w:t>
      </w:r>
      <w:r>
        <w:rPr>
          <w:rFonts w:ascii="宋体" w:hAnsi="宋体" w:cs="Times New Roman"/>
          <w:color w:val="auto"/>
          <w:szCs w:val="21"/>
          <w:highlight w:val="none"/>
          <w:lang w:val="zh-CN"/>
        </w:rPr>
        <w:t>并</w:t>
      </w:r>
      <w:r>
        <w:rPr>
          <w:rFonts w:hint="eastAsia" w:ascii="宋体" w:hAnsi="宋体" w:cs="Times New Roman"/>
          <w:color w:val="auto"/>
          <w:szCs w:val="21"/>
          <w:highlight w:val="none"/>
          <w:lang w:val="zh-CN"/>
        </w:rPr>
        <w:t>将材料原件</w:t>
      </w:r>
      <w:r>
        <w:rPr>
          <w:rFonts w:ascii="宋体" w:hAnsi="宋体" w:cs="Times New Roman"/>
          <w:color w:val="auto"/>
          <w:szCs w:val="21"/>
          <w:highlight w:val="none"/>
          <w:lang w:val="zh-CN"/>
        </w:rPr>
        <w:t>送</w:t>
      </w:r>
      <w:r>
        <w:rPr>
          <w:rFonts w:hint="eastAsia" w:ascii="宋体" w:hAnsi="宋体" w:cs="Times New Roman"/>
          <w:color w:val="auto"/>
          <w:szCs w:val="21"/>
          <w:highlight w:val="none"/>
          <w:lang w:val="zh-CN"/>
        </w:rPr>
        <w:t>达招标代理机构</w:t>
      </w:r>
      <w:r>
        <w:rPr>
          <w:rFonts w:ascii="宋体" w:hAnsi="宋体" w:cs="Times New Roman"/>
          <w:color w:val="auto"/>
          <w:szCs w:val="21"/>
          <w:highlight w:val="none"/>
          <w:lang w:val="zh-CN"/>
        </w:rPr>
        <w:t>，逾期则视为</w:t>
      </w:r>
      <w:r>
        <w:rPr>
          <w:rFonts w:hint="eastAsia" w:ascii="宋体" w:hAnsi="宋体" w:cs="Times New Roman"/>
          <w:color w:val="auto"/>
          <w:szCs w:val="21"/>
          <w:highlight w:val="none"/>
          <w:lang w:val="zh-CN"/>
        </w:rPr>
        <w:t>对</w:t>
      </w:r>
      <w:r>
        <w:rPr>
          <w:rFonts w:ascii="宋体" w:hAnsi="宋体" w:cs="Times New Roman"/>
          <w:color w:val="auto"/>
          <w:szCs w:val="21"/>
          <w:highlight w:val="none"/>
          <w:lang w:val="zh-CN"/>
        </w:rPr>
        <w:t>招标文件所有内容</w:t>
      </w:r>
      <w:r>
        <w:rPr>
          <w:rFonts w:hint="eastAsia" w:ascii="宋体" w:hAnsi="宋体" w:cs="Times New Roman"/>
          <w:color w:val="auto"/>
          <w:szCs w:val="21"/>
          <w:highlight w:val="none"/>
          <w:lang w:val="zh-CN"/>
        </w:rPr>
        <w:t>无异议</w:t>
      </w:r>
      <w:r>
        <w:rPr>
          <w:rFonts w:ascii="宋体" w:hAnsi="宋体" w:cs="Times New Roman"/>
          <w:color w:val="auto"/>
          <w:szCs w:val="21"/>
          <w:highlight w:val="none"/>
          <w:lang w:val="zh-CN"/>
        </w:rPr>
        <w:t>。</w:t>
      </w:r>
      <w:r>
        <w:rPr>
          <w:rFonts w:hint="eastAsia" w:ascii="宋体" w:hAnsi="宋体" w:cs="Times New Roman"/>
          <w:bCs/>
          <w:color w:val="auto"/>
          <w:szCs w:val="21"/>
          <w:highlight w:val="none"/>
          <w:lang w:val="zh-CN"/>
        </w:rPr>
        <w:t>异议</w:t>
      </w:r>
      <w:r>
        <w:rPr>
          <w:rFonts w:hint="eastAsia" w:ascii="宋体" w:hAnsi="宋体" w:cs="Times New Roman"/>
          <w:color w:val="auto"/>
          <w:szCs w:val="21"/>
          <w:highlight w:val="none"/>
          <w:lang w:val="zh-CN"/>
        </w:rPr>
        <w:t>书面材料必须</w:t>
      </w:r>
      <w:r>
        <w:rPr>
          <w:rFonts w:ascii="宋体" w:hAnsi="宋体" w:cs="Times New Roman"/>
          <w:color w:val="auto"/>
          <w:szCs w:val="21"/>
          <w:highlight w:val="none"/>
          <w:lang w:val="zh-CN"/>
        </w:rPr>
        <w:t>加盖投标人</w:t>
      </w:r>
      <w:r>
        <w:rPr>
          <w:rFonts w:hint="eastAsia" w:ascii="宋体" w:hAnsi="宋体" w:cs="Times New Roman"/>
          <w:color w:val="auto"/>
          <w:szCs w:val="21"/>
          <w:highlight w:val="none"/>
          <w:lang w:val="zh-CN"/>
        </w:rPr>
        <w:t>法人</w:t>
      </w:r>
      <w:r>
        <w:rPr>
          <w:rFonts w:ascii="宋体" w:hAnsi="宋体" w:cs="Times New Roman"/>
          <w:color w:val="auto"/>
          <w:szCs w:val="21"/>
          <w:highlight w:val="none"/>
          <w:lang w:val="zh-CN"/>
        </w:rPr>
        <w:t>公章</w:t>
      </w:r>
      <w:r>
        <w:rPr>
          <w:rFonts w:hint="eastAsia" w:ascii="宋体" w:hAnsi="宋体" w:cs="Times New Roman"/>
          <w:color w:val="auto"/>
          <w:szCs w:val="21"/>
          <w:highlight w:val="none"/>
          <w:lang w:val="zh-CN"/>
        </w:rPr>
        <w:t>，并注明联系人、联系电话、联系地址。</w:t>
      </w:r>
      <w:r>
        <w:rPr>
          <w:rFonts w:hint="eastAsia" w:ascii="宋体" w:hAnsi="宋体" w:cs="Times New Roman"/>
          <w:bCs/>
          <w:color w:val="auto"/>
          <w:szCs w:val="21"/>
          <w:highlight w:val="none"/>
          <w:lang w:val="zh-CN"/>
        </w:rPr>
        <w:t>超出</w:t>
      </w:r>
      <w:r>
        <w:rPr>
          <w:rFonts w:hint="eastAsia" w:ascii="宋体" w:hAnsi="宋体" w:cs="Times New Roman"/>
          <w:color w:val="auto"/>
          <w:szCs w:val="21"/>
          <w:highlight w:val="none"/>
          <w:lang w:val="zh-CN"/>
        </w:rPr>
        <w:t>提交接收异议截止时间而</w:t>
      </w:r>
      <w:r>
        <w:rPr>
          <w:rFonts w:hint="eastAsia" w:ascii="宋体" w:hAnsi="宋体" w:cs="Times New Roman"/>
          <w:bCs/>
          <w:color w:val="auto"/>
          <w:szCs w:val="21"/>
          <w:highlight w:val="none"/>
          <w:lang w:val="zh-CN"/>
        </w:rPr>
        <w:t>提出的任何疑问，招标代理机构可不予答复。</w:t>
      </w:r>
      <w:r>
        <w:rPr>
          <w:rFonts w:hint="eastAsia" w:ascii="宋体" w:hAnsi="宋体" w:cs="Times New Roman"/>
          <w:b/>
          <w:bCs/>
          <w:color w:val="auto"/>
          <w:szCs w:val="21"/>
          <w:highlight w:val="none"/>
          <w:u w:val="single"/>
          <w:lang w:val="zh-CN"/>
        </w:rPr>
        <w:t>投标人必须在投标文件中提供投标承诺书（格式详见第六篇投标文件格式）</w:t>
      </w:r>
      <w:r>
        <w:rPr>
          <w:rFonts w:hint="eastAsia" w:ascii="宋体" w:hAnsi="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86" w:name="_Toc23483_WPSOffice_Level3"/>
      <w:bookmarkStart w:id="87" w:name="_Toc21340"/>
      <w:bookmarkStart w:id="88" w:name="_Toc142508320"/>
      <w:bookmarkStart w:id="89" w:name="_Toc173684884"/>
      <w:bookmarkStart w:id="90" w:name="_Toc486167670"/>
      <w:bookmarkStart w:id="91" w:name="_Toc450662856"/>
      <w:bookmarkStart w:id="92" w:name="_Toc26320"/>
      <w:r>
        <w:rPr>
          <w:rFonts w:hint="eastAsia" w:ascii="宋体" w:hAnsi="宋体" w:cs="宋体"/>
          <w:color w:val="auto"/>
          <w:szCs w:val="21"/>
          <w:highlight w:val="none"/>
          <w:lang w:val="zh-CN"/>
        </w:rPr>
        <w:t>7</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招标文件的澄清及修改</w:t>
      </w:r>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7.1  招标代理机构对已发出的招标文件进行必要澄清或者修改的，将在招标文件要求提交投标文件截止时间1</w:t>
      </w:r>
      <w:r>
        <w:rPr>
          <w:rFonts w:ascii="宋体" w:hAnsi="宋体" w:cs="宋体"/>
          <w:color w:val="auto"/>
          <w:szCs w:val="21"/>
          <w:highlight w:val="none"/>
          <w:lang w:val="zh-CN"/>
        </w:rPr>
        <w:t>5</w:t>
      </w:r>
      <w:r>
        <w:rPr>
          <w:rFonts w:hint="eastAsia" w:ascii="宋体" w:hAnsi="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7.2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7.3  招标文件的修改、补充通知在</w:t>
      </w:r>
      <w:r>
        <w:rPr>
          <w:rFonts w:ascii="宋体" w:hAnsi="宋体" w:cs="Times New Roman"/>
          <w:color w:val="auto"/>
          <w:szCs w:val="21"/>
          <w:highlight w:val="none"/>
          <w:lang w:val="zh-CN"/>
        </w:rPr>
        <w:t>中国招标投标公共服务平台</w:t>
      </w:r>
      <w:r>
        <w:rPr>
          <w:rFonts w:ascii="宋体" w:hAnsi="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cs="Times New Roman"/>
          <w:color w:val="auto"/>
          <w:szCs w:val="21"/>
          <w:highlight w:val="none"/>
        </w:rPr>
        <w:t>www.cebpubservice.com）</w:t>
      </w:r>
      <w:r>
        <w:rPr>
          <w:rFonts w:ascii="宋体" w:hAnsi="宋体" w:cs="Times New Roman"/>
          <w:color w:val="auto"/>
          <w:szCs w:val="21"/>
          <w:highlight w:val="none"/>
          <w:lang w:val="zh-CN"/>
        </w:rPr>
        <w:t>、</w:t>
      </w:r>
      <w:r>
        <w:rPr>
          <w:rFonts w:ascii="宋体" w:hAnsi="宋体" w:cs="Times New Roman"/>
          <w:color w:val="auto"/>
          <w:szCs w:val="21"/>
          <w:highlight w:val="none"/>
          <w:lang w:val="zh-CN"/>
        </w:rPr>
        <w:fldChar w:fldCharType="end"/>
      </w:r>
      <w:r>
        <w:rPr>
          <w:rFonts w:ascii="宋体" w:hAnsi="宋体" w:cs="Times New Roman"/>
          <w:color w:val="auto"/>
          <w:szCs w:val="21"/>
          <w:highlight w:val="none"/>
          <w:lang w:val="zh-CN"/>
        </w:rPr>
        <w:t>东莞市水务集团有限公司网</w:t>
      </w:r>
      <w:r>
        <w:rPr>
          <w:rFonts w:ascii="宋体" w:hAnsi="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cs="Times New Roman"/>
          <w:color w:val="auto"/>
          <w:sz w:val="21"/>
          <w:szCs w:val="21"/>
          <w:highlight w:val="none"/>
        </w:rPr>
        <w:t>www.dgswjt.cn）</w:t>
      </w:r>
      <w:r>
        <w:rPr>
          <w:rStyle w:val="44"/>
          <w:rFonts w:ascii="宋体" w:hAnsi="宋体" w:cs="Times New Roman"/>
          <w:color w:val="auto"/>
          <w:sz w:val="21"/>
          <w:szCs w:val="21"/>
          <w:highlight w:val="none"/>
          <w:lang w:val="zh-CN"/>
        </w:rPr>
        <w:t>、</w:t>
      </w:r>
      <w:r>
        <w:rPr>
          <w:rStyle w:val="44"/>
          <w:rFonts w:hint="eastAsia" w:ascii="宋体" w:hAnsi="宋体" w:cs="Times New Roman"/>
          <w:bCs/>
          <w:color w:val="auto"/>
          <w:kern w:val="0"/>
          <w:sz w:val="21"/>
          <w:szCs w:val="21"/>
          <w:highlight w:val="none"/>
        </w:rPr>
        <w:t>招标代理机构网站（</w:t>
      </w:r>
      <w:r>
        <w:rPr>
          <w:rFonts w:hint="eastAsia" w:ascii="宋体" w:hAnsi="宋体" w:cs="Times New Roman"/>
          <w:bCs/>
          <w:color w:val="auto"/>
          <w:szCs w:val="21"/>
          <w:highlight w:val="none"/>
          <w:lang w:eastAsia="zh-CN"/>
        </w:rPr>
        <w:t>www.sfcx.cn</w:t>
      </w:r>
      <w:r>
        <w:rPr>
          <w:rStyle w:val="44"/>
          <w:rFonts w:ascii="宋体" w:hAnsi="宋体" w:cs="Times New Roman"/>
          <w:bCs/>
          <w:color w:val="auto"/>
          <w:kern w:val="0"/>
          <w:sz w:val="21"/>
          <w:szCs w:val="21"/>
          <w:highlight w:val="none"/>
        </w:rPr>
        <w:t>）</w:t>
      </w:r>
      <w:r>
        <w:rPr>
          <w:rStyle w:val="44"/>
          <w:rFonts w:ascii="宋体" w:hAnsi="宋体" w:cs="Times New Roman"/>
          <w:bCs/>
          <w:color w:val="auto"/>
          <w:kern w:val="0"/>
          <w:sz w:val="21"/>
          <w:szCs w:val="21"/>
          <w:highlight w:val="none"/>
        </w:rPr>
        <w:fldChar w:fldCharType="end"/>
      </w:r>
      <w:r>
        <w:rPr>
          <w:rFonts w:hint="eastAsia" w:ascii="宋体" w:hAnsi="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cs="宋体"/>
          <w:b/>
          <w:bCs/>
          <w:color w:val="auto"/>
          <w:kern w:val="44"/>
          <w:szCs w:val="21"/>
          <w:highlight w:val="none"/>
          <w:lang w:val="zh-CN"/>
        </w:rPr>
      </w:pPr>
      <w:bookmarkStart w:id="93" w:name="_Toc142508321"/>
      <w:bookmarkStart w:id="94" w:name="_Toc173684885"/>
      <w:bookmarkStart w:id="95" w:name="_Toc140596880"/>
      <w:bookmarkStart w:id="96" w:name="_Toc29659_WPSOffice_Level2"/>
      <w:bookmarkStart w:id="97" w:name="_Toc6039"/>
      <w:bookmarkStart w:id="98" w:name="_Toc9237"/>
      <w:bookmarkStart w:id="99" w:name="_Toc486167671"/>
      <w:bookmarkStart w:id="100" w:name="_Toc450662857"/>
      <w:r>
        <w:rPr>
          <w:rFonts w:hint="eastAsia" w:ascii="宋体" w:hAnsi="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pPr>
        <w:tabs>
          <w:tab w:val="left" w:pos="675"/>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01" w:name="_Toc142508322"/>
      <w:bookmarkStart w:id="102" w:name="_Toc10015_WPSOffice_Level3"/>
      <w:bookmarkStart w:id="103" w:name="_Toc450662858"/>
      <w:bookmarkStart w:id="104" w:name="_Toc173684886"/>
      <w:bookmarkStart w:id="105" w:name="_Toc16028"/>
      <w:bookmarkStart w:id="106" w:name="_Toc25773"/>
      <w:bookmarkStart w:id="107" w:name="_Toc486167672"/>
      <w:r>
        <w:rPr>
          <w:rFonts w:hint="eastAsia" w:ascii="宋体" w:hAnsi="宋体" w:cs="宋体"/>
          <w:color w:val="auto"/>
          <w:szCs w:val="21"/>
          <w:highlight w:val="none"/>
          <w:lang w:val="zh-CN"/>
        </w:rPr>
        <w:t>8</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cs="宋体"/>
          <w:color w:val="auto"/>
          <w:sz w:val="24"/>
          <w:szCs w:val="24"/>
          <w:highlight w:val="none"/>
          <w:lang w:val="zh-CN"/>
        </w:rPr>
      </w:pPr>
      <w:bookmarkStart w:id="108" w:name="_Toc173684887"/>
      <w:bookmarkStart w:id="109" w:name="_Toc142508323"/>
      <w:bookmarkStart w:id="110" w:name="_Toc23015"/>
      <w:bookmarkStart w:id="111" w:name="_Toc450662859"/>
      <w:bookmarkStart w:id="112" w:name="_Toc1879"/>
      <w:bookmarkStart w:id="113" w:name="_Toc24916_WPSOffice_Level3"/>
      <w:bookmarkStart w:id="114" w:name="_Toc486167673"/>
      <w:r>
        <w:rPr>
          <w:rFonts w:hint="eastAsia" w:ascii="宋体" w:hAnsi="宋体" w:cs="宋体"/>
          <w:color w:val="auto"/>
          <w:szCs w:val="21"/>
          <w:highlight w:val="none"/>
          <w:lang w:val="zh-CN"/>
        </w:rPr>
        <w:t>9</w:t>
      </w:r>
      <w:r>
        <w:rPr>
          <w:rFonts w:ascii="宋体" w:hAnsi="宋体" w:cs="宋体"/>
          <w:color w:val="auto"/>
          <w:sz w:val="24"/>
          <w:szCs w:val="24"/>
          <w:highlight w:val="none"/>
          <w:lang w:val="zh-CN"/>
        </w:rPr>
        <w:t xml:space="preserve"> </w:t>
      </w:r>
      <w:r>
        <w:rPr>
          <w:rFonts w:hint="eastAsia" w:ascii="宋体" w:hAnsi="宋体" w:cs="宋体"/>
          <w:color w:val="auto"/>
          <w:szCs w:val="21"/>
          <w:highlight w:val="none"/>
          <w:lang w:val="zh-CN"/>
        </w:rPr>
        <w:t>投标文件的组成</w:t>
      </w:r>
      <w:bookmarkEnd w:id="108"/>
      <w:bookmarkEnd w:id="109"/>
      <w:bookmarkEnd w:id="110"/>
      <w:bookmarkEnd w:id="111"/>
      <w:bookmarkEnd w:id="112"/>
      <w:bookmarkEnd w:id="113"/>
      <w:bookmarkEnd w:id="114"/>
    </w:p>
    <w:p>
      <w:pPr>
        <w:autoSpaceDE w:val="0"/>
        <w:autoSpaceDN w:val="0"/>
        <w:adjustRightInd w:val="0"/>
        <w:spacing w:line="360" w:lineRule="auto"/>
        <w:ind w:left="422" w:leftChars="-100" w:hanging="632" w:hangingChars="300"/>
        <w:rPr>
          <w:rFonts w:ascii="宋体" w:hAnsi="宋体" w:cs="Times New Roman"/>
          <w:b/>
          <w:color w:val="auto"/>
          <w:kern w:val="0"/>
          <w:szCs w:val="21"/>
          <w:highlight w:val="none"/>
        </w:rPr>
      </w:pPr>
      <w:r>
        <w:rPr>
          <w:rFonts w:hint="eastAsia" w:ascii="宋体" w:hAnsi="宋体" w:cs="宋体"/>
          <w:b/>
          <w:color w:val="auto"/>
          <w:kern w:val="0"/>
          <w:szCs w:val="24"/>
          <w:highlight w:val="none"/>
        </w:rPr>
        <w:t xml:space="preserve">9.1  </w:t>
      </w:r>
      <w:r>
        <w:rPr>
          <w:rFonts w:hint="eastAsia" w:ascii="宋体" w:hAnsi="宋体" w:cs="宋体"/>
          <w:color w:val="auto"/>
          <w:kern w:val="0"/>
          <w:szCs w:val="24"/>
          <w:highlight w:val="none"/>
        </w:rPr>
        <w:t>投标文件的组成：</w:t>
      </w:r>
      <w:r>
        <w:rPr>
          <w:rFonts w:hint="eastAsia" w:ascii="宋体" w:hAnsi="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cs="Times New Roman"/>
          <w:b/>
          <w:color w:val="auto"/>
          <w:kern w:val="0"/>
          <w:szCs w:val="21"/>
          <w:highlight w:val="none"/>
        </w:rPr>
      </w:pPr>
      <w:r>
        <w:rPr>
          <w:rFonts w:hint="eastAsia" w:ascii="宋体" w:hAnsi="宋体" w:cs="宋体"/>
          <w:b/>
          <w:color w:val="auto"/>
          <w:kern w:val="0"/>
          <w:szCs w:val="24"/>
          <w:highlight w:val="none"/>
        </w:rPr>
        <w:t>9.1.1 商务文件：</w:t>
      </w:r>
    </w:p>
    <w:p>
      <w:pPr>
        <w:autoSpaceDE w:val="0"/>
        <w:autoSpaceDN w:val="0"/>
        <w:adjustRightInd w:val="0"/>
        <w:spacing w:line="360" w:lineRule="auto"/>
        <w:jc w:val="left"/>
        <w:rPr>
          <w:rFonts w:ascii="宋体" w:hAnsi="宋体" w:cs="Times New Roman"/>
          <w:b/>
          <w:color w:val="auto"/>
          <w:kern w:val="0"/>
          <w:szCs w:val="21"/>
          <w:highlight w:val="none"/>
          <w:lang w:val="zh-CN"/>
        </w:rPr>
      </w:pPr>
      <w:r>
        <w:rPr>
          <w:rFonts w:hint="eastAsia" w:ascii="宋体" w:hAnsi="宋体" w:cs="Times New Roman"/>
          <w:color w:val="auto"/>
          <w:kern w:val="0"/>
          <w:sz w:val="24"/>
          <w:szCs w:val="24"/>
          <w:highlight w:val="none"/>
          <w:lang w:val="zh-CN"/>
        </w:rPr>
        <w:t xml:space="preserve">  </w:t>
      </w:r>
      <w:r>
        <w:rPr>
          <w:rFonts w:ascii="宋体" w:hAnsi="宋体" w:cs="Times New Roman"/>
          <w:color w:val="auto"/>
          <w:kern w:val="0"/>
          <w:sz w:val="24"/>
          <w:szCs w:val="24"/>
          <w:highlight w:val="none"/>
          <w:lang w:val="zh-CN"/>
        </w:rPr>
        <w:t xml:space="preserve"> </w:t>
      </w:r>
      <w:r>
        <w:rPr>
          <w:rFonts w:hint="eastAsia" w:ascii="宋体" w:hAnsi="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ascii="宋体" w:hAnsi="宋体" w:cs="宋体"/>
          <w:color w:val="auto"/>
          <w:szCs w:val="21"/>
          <w:highlight w:val="none"/>
          <w:lang w:val="zh-CN"/>
        </w:rPr>
        <w:t>3</w:t>
      </w:r>
      <w:r>
        <w:rPr>
          <w:rFonts w:hint="eastAsia" w:ascii="宋体" w:hAnsi="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cs="Times New Roman"/>
          <w:color w:val="auto"/>
          <w:szCs w:val="21"/>
          <w:highlight w:val="none"/>
          <w:lang w:val="zh-CN"/>
        </w:rPr>
      </w:pPr>
      <w:r>
        <w:rPr>
          <w:rFonts w:ascii="宋体" w:hAnsi="宋体" w:cs="Times New Roman"/>
          <w:color w:val="auto"/>
          <w:szCs w:val="21"/>
          <w:highlight w:val="none"/>
          <w:lang w:val="zh-CN"/>
        </w:rPr>
        <w:t>1）多证合一营业执照</w:t>
      </w:r>
      <w:r>
        <w:rPr>
          <w:rFonts w:hint="eastAsia" w:ascii="宋体" w:hAnsi="宋体" w:cs="Times New Roman"/>
          <w:color w:val="auto"/>
          <w:kern w:val="0"/>
          <w:szCs w:val="21"/>
          <w:highlight w:val="none"/>
        </w:rPr>
        <w:t>（或事业单位法人证书）</w:t>
      </w:r>
      <w:r>
        <w:rPr>
          <w:rFonts w:ascii="宋体" w:hAnsi="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cs="Times New Roman"/>
          <w:color w:val="auto"/>
          <w:szCs w:val="21"/>
          <w:highlight w:val="none"/>
          <w:lang w:val="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zh-CN"/>
        </w:rPr>
        <w:t>）</w:t>
      </w:r>
      <w:r>
        <w:rPr>
          <w:rFonts w:ascii="宋体" w:hAnsi="宋体" w:cs="Times New Roman"/>
          <w:color w:val="auto"/>
          <w:szCs w:val="21"/>
          <w:highlight w:val="none"/>
          <w:lang w:val="zh-CN"/>
        </w:rPr>
        <w:t>开户许可证复印件（基本存款账户）</w:t>
      </w:r>
      <w:r>
        <w:rPr>
          <w:rFonts w:hint="eastAsia" w:ascii="宋体" w:hAnsi="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cs="Times New Roman"/>
          <w:color w:val="auto"/>
          <w:szCs w:val="21"/>
          <w:highlight w:val="none"/>
          <w:lang w:val="zh-CN"/>
        </w:rPr>
      </w:pPr>
      <w:r>
        <w:rPr>
          <w:rFonts w:hint="eastAsia" w:ascii="宋体" w:hAnsi="宋体" w:cs="Times New Roman"/>
          <w:color w:val="auto"/>
          <w:szCs w:val="21"/>
          <w:highlight w:val="none"/>
        </w:rPr>
        <w:t>3</w:t>
      </w:r>
      <w:r>
        <w:rPr>
          <w:rFonts w:ascii="宋体" w:hAnsi="宋体" w:cs="Times New Roman"/>
          <w:color w:val="auto"/>
          <w:szCs w:val="21"/>
          <w:highlight w:val="none"/>
          <w:lang w:val="zh-CN"/>
        </w:rPr>
        <w:t>）法定代表人身份证明书和法定代表人授权书原件（法定代表人投标时只提供法定代表人身份证明书，委托</w:t>
      </w:r>
      <w:r>
        <w:rPr>
          <w:rFonts w:ascii="宋体" w:hAnsi="宋体" w:cs="Times New Roman"/>
          <w:color w:val="auto"/>
          <w:szCs w:val="21"/>
          <w:highlight w:val="none"/>
        </w:rPr>
        <w:t>他人</w:t>
      </w:r>
      <w:r>
        <w:rPr>
          <w:rFonts w:ascii="宋体" w:hAnsi="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ascii="宋体" w:hAnsi="宋体"/>
          <w:color w:val="auto"/>
          <w:szCs w:val="21"/>
          <w:highlight w:val="none"/>
        </w:rPr>
      </w:pPr>
      <w:r>
        <w:rPr>
          <w:rFonts w:hint="eastAsia" w:ascii="宋体" w:hAnsi="宋体" w:cs="Times New Roman"/>
          <w:color w:val="auto"/>
          <w:szCs w:val="21"/>
          <w:highlight w:val="none"/>
          <w:lang w:val="zh-CN"/>
        </w:rPr>
        <w:t>4</w:t>
      </w:r>
      <w:r>
        <w:rPr>
          <w:rFonts w:hint="eastAsia" w:ascii="宋体" w:hAnsi="宋体" w:cs="宋体"/>
          <w:color w:val="auto"/>
          <w:szCs w:val="21"/>
          <w:highlight w:val="none"/>
        </w:rPr>
        <w:t>）制造商资格声明和授权销售及售后服务承诺函（</w:t>
      </w:r>
      <w:r>
        <w:rPr>
          <w:rFonts w:ascii="宋体" w:hAnsi="宋体" w:cs="宋体"/>
          <w:color w:val="auto"/>
          <w:szCs w:val="21"/>
          <w:highlight w:val="none"/>
        </w:rPr>
        <w:t>若投标人为制造商，必须提供制造商资格声明原件</w:t>
      </w:r>
      <w:r>
        <w:rPr>
          <w:rFonts w:hint="eastAsia" w:ascii="宋体" w:hAnsi="宋体" w:cs="宋体"/>
          <w:color w:val="auto"/>
          <w:szCs w:val="21"/>
          <w:highlight w:val="none"/>
        </w:rPr>
        <w:t>；</w:t>
      </w:r>
      <w:r>
        <w:rPr>
          <w:rFonts w:ascii="宋体" w:hAnsi="宋体" w:cs="宋体"/>
          <w:color w:val="auto"/>
          <w:szCs w:val="21"/>
          <w:highlight w:val="none"/>
        </w:rPr>
        <w:t>若投标人为经销商，必须同时提供制造商资格声明原件和投标产品制造商就本次投标出具的授权销售及售后服务承诺函原件</w:t>
      </w:r>
      <w:r>
        <w:rPr>
          <w:rFonts w:hint="eastAsia" w:ascii="宋体" w:hAnsi="宋体" w:cs="宋体"/>
          <w:color w:val="auto"/>
          <w:szCs w:val="21"/>
          <w:highlight w:val="none"/>
        </w:rPr>
        <w:t>）</w:t>
      </w:r>
      <w:r>
        <w:rPr>
          <w:rFonts w:ascii="宋体" w:hAnsi="宋体" w:cs="宋体"/>
          <w:color w:val="auto"/>
          <w:szCs w:val="21"/>
          <w:highlight w:val="none"/>
        </w:rPr>
        <w:t>；</w:t>
      </w:r>
    </w:p>
    <w:p>
      <w:pPr>
        <w:tabs>
          <w:tab w:val="left" w:pos="1276"/>
        </w:tabs>
        <w:spacing w:line="360" w:lineRule="auto"/>
        <w:ind w:left="283" w:hanging="283" w:hangingChars="135"/>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投标产品制造商产品生产项目已取得的生态环境主管部门环境影响评价文件</w:t>
      </w:r>
      <w:r>
        <w:rPr>
          <w:rFonts w:hint="eastAsia" w:ascii="宋体" w:hAnsi="宋体" w:cs="宋体"/>
          <w:color w:val="auto"/>
          <w:szCs w:val="21"/>
          <w:highlight w:val="none"/>
        </w:rPr>
        <w:t>（</w:t>
      </w:r>
      <w:r>
        <w:rPr>
          <w:rFonts w:ascii="宋体" w:hAnsi="宋体"/>
          <w:color w:val="auto"/>
          <w:szCs w:val="21"/>
          <w:highlight w:val="none"/>
        </w:rPr>
        <w:t>生产产品包含投标产品</w:t>
      </w:r>
      <w:r>
        <w:rPr>
          <w:rFonts w:hint="eastAsia" w:ascii="宋体" w:hAnsi="宋体" w:cs="宋体"/>
          <w:color w:val="auto"/>
          <w:szCs w:val="21"/>
          <w:highlight w:val="none"/>
        </w:rPr>
        <w:t>）</w:t>
      </w:r>
      <w:r>
        <w:rPr>
          <w:rFonts w:ascii="宋体" w:hAnsi="宋体"/>
          <w:color w:val="auto"/>
          <w:szCs w:val="21"/>
          <w:highlight w:val="none"/>
        </w:rPr>
        <w:t>的批复复印件</w:t>
      </w:r>
      <w:r>
        <w:rPr>
          <w:rFonts w:hint="eastAsia" w:ascii="宋体" w:hAnsi="宋体"/>
          <w:color w:val="auto"/>
          <w:szCs w:val="21"/>
          <w:highlight w:val="none"/>
        </w:rPr>
        <w:t>；</w:t>
      </w:r>
    </w:p>
    <w:p>
      <w:pPr>
        <w:tabs>
          <w:tab w:val="left" w:pos="1276"/>
        </w:tabs>
        <w:spacing w:line="360" w:lineRule="auto"/>
        <w:ind w:left="283" w:hanging="283" w:hangingChars="135"/>
        <w:rPr>
          <w:rFonts w:ascii="宋体" w:hAnsi="宋体"/>
          <w:color w:val="auto"/>
          <w:szCs w:val="21"/>
          <w:highlight w:val="none"/>
        </w:rPr>
      </w:pPr>
      <w:r>
        <w:rPr>
          <w:rFonts w:hint="eastAsia" w:ascii="宋体" w:hAnsi="宋体"/>
          <w:color w:val="auto"/>
          <w:szCs w:val="21"/>
          <w:highlight w:val="none"/>
        </w:rPr>
        <w:t>6）投标产品制造商产品生产项目已取得生态环境主管部门的环保验收批复文件复印件，或者该项目环境保护设施自主验收合格证明材料；</w:t>
      </w:r>
    </w:p>
    <w:p>
      <w:pPr>
        <w:tabs>
          <w:tab w:val="left" w:pos="1276"/>
        </w:tabs>
        <w:spacing w:line="360" w:lineRule="auto"/>
        <w:ind w:left="283" w:hanging="283" w:hangingChars="135"/>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资格业绩【投标人自2022年1月1日以来至少具有一份投标品牌阳离子聚丙烯酰胺供货业绩（合同签订日期为2022年1月1日或以后）</w:t>
      </w:r>
      <w:r>
        <w:rPr>
          <w:rFonts w:hint="eastAsia" w:ascii="宋体" w:hAnsi="宋体" w:cs="宋体"/>
          <w:color w:val="auto"/>
          <w:szCs w:val="21"/>
          <w:highlight w:val="none"/>
        </w:rPr>
        <w:t>，资格业绩证明材料提交要求详见招标文件第六篇投标文件格式</w:t>
      </w:r>
      <w:r>
        <w:rPr>
          <w:rFonts w:hint="eastAsia" w:ascii="宋体" w:hAnsi="宋体" w:cs="宋体"/>
          <w:color w:val="auto"/>
          <w:szCs w:val="21"/>
          <w:highlight w:val="none"/>
          <w:u w:val="single"/>
        </w:rPr>
        <w:t>5.7</w:t>
      </w:r>
      <w:r>
        <w:rPr>
          <w:rFonts w:hint="eastAsia" w:ascii="宋体" w:hAnsi="宋体"/>
          <w:color w:val="auto"/>
          <w:szCs w:val="21"/>
          <w:highlight w:val="none"/>
        </w:rPr>
        <w:t>】；</w:t>
      </w:r>
    </w:p>
    <w:p>
      <w:pPr>
        <w:tabs>
          <w:tab w:val="left" w:pos="1276"/>
        </w:tabs>
        <w:spacing w:line="360" w:lineRule="auto"/>
        <w:ind w:left="283" w:hanging="283" w:hangingChars="135"/>
        <w:rPr>
          <w:rFonts w:ascii="宋体" w:hAnsi="宋体" w:cs="宋体"/>
          <w:color w:val="auto"/>
          <w:szCs w:val="21"/>
          <w:highlight w:val="none"/>
          <w:lang w:val="zh-CN"/>
        </w:rPr>
      </w:pPr>
      <w:r>
        <w:rPr>
          <w:rFonts w:hint="eastAsia" w:ascii="宋体" w:hAnsi="宋体" w:cs="Times New Roman"/>
          <w:color w:val="auto"/>
          <w:szCs w:val="21"/>
          <w:highlight w:val="none"/>
        </w:rPr>
        <w:t>8</w:t>
      </w:r>
      <w:r>
        <w:rPr>
          <w:rFonts w:hint="eastAsia" w:ascii="宋体" w:hAnsi="宋体" w:cs="宋体"/>
          <w:color w:val="auto"/>
          <w:szCs w:val="21"/>
          <w:highlight w:val="none"/>
        </w:rPr>
        <w:t>）</w:t>
      </w:r>
      <w:r>
        <w:rPr>
          <w:rFonts w:hint="eastAsia" w:ascii="宋体" w:hAnsi="宋体" w:cs="宋体"/>
          <w:color w:val="auto"/>
          <w:szCs w:val="21"/>
          <w:highlight w:val="none"/>
          <w:lang w:val="zh-CN"/>
        </w:rPr>
        <w:t>最近3年投标人牵涉的其他（失信和违法）</w:t>
      </w:r>
      <w:r>
        <w:rPr>
          <w:rFonts w:hint="eastAsia" w:ascii="宋体" w:hAnsi="宋体" w:cs="宋体"/>
          <w:color w:val="auto"/>
          <w:kern w:val="0"/>
          <w:szCs w:val="21"/>
          <w:highlight w:val="none"/>
        </w:rPr>
        <w:t>处罚说明</w:t>
      </w:r>
      <w:r>
        <w:rPr>
          <w:rFonts w:hint="eastAsia" w:ascii="宋体" w:hAnsi="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default" w:ascii="宋体" w:hAnsi="宋体" w:cs="宋体"/>
          <w:color w:val="auto"/>
          <w:szCs w:val="21"/>
          <w:highlight w:val="none"/>
          <w:lang w:val="en-US"/>
        </w:rPr>
        <w:t>6</w:t>
      </w:r>
      <w:r>
        <w:rPr>
          <w:rFonts w:hint="eastAsia" w:ascii="宋体" w:hAnsi="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default" w:ascii="宋体" w:hAnsi="宋体" w:cs="宋体"/>
          <w:color w:val="auto"/>
          <w:szCs w:val="21"/>
          <w:highlight w:val="none"/>
          <w:lang w:val="en-US"/>
        </w:rPr>
        <w:t>7</w:t>
      </w:r>
      <w:r>
        <w:rPr>
          <w:rFonts w:hint="eastAsia" w:ascii="宋体" w:hAnsi="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default" w:ascii="宋体" w:hAnsi="宋体" w:cs="宋体"/>
          <w:color w:val="auto"/>
          <w:szCs w:val="21"/>
          <w:highlight w:val="none"/>
          <w:lang w:val="en-US"/>
        </w:rPr>
        <w:t>8</w:t>
      </w:r>
      <w:r>
        <w:rPr>
          <w:rFonts w:hint="eastAsia" w:ascii="宋体" w:hAnsi="宋体" w:cs="宋体"/>
          <w:color w:val="auto"/>
          <w:szCs w:val="21"/>
          <w:highlight w:val="none"/>
          <w:lang w:val="zh-CN"/>
        </w:rPr>
        <w:t>）标准化体系认证；</w:t>
      </w:r>
    </w:p>
    <w:p>
      <w:pPr>
        <w:tabs>
          <w:tab w:val="left" w:pos="567"/>
        </w:tabs>
        <w:autoSpaceDE w:val="0"/>
        <w:autoSpaceDN w:val="0"/>
        <w:adjustRightInd w:val="0"/>
        <w:spacing w:line="360" w:lineRule="auto"/>
        <w:ind w:left="105" w:leftChars="-100" w:hanging="315" w:hangingChars="150"/>
        <w:rPr>
          <w:rFonts w:ascii="宋体" w:hAnsi="宋体" w:cs="宋体"/>
          <w:color w:val="auto"/>
          <w:kern w:val="0"/>
          <w:szCs w:val="21"/>
          <w:highlight w:val="none"/>
        </w:rPr>
      </w:pPr>
      <w:r>
        <w:rPr>
          <w:rFonts w:ascii="宋体" w:hAnsi="宋体" w:cs="宋体"/>
          <w:color w:val="auto"/>
          <w:kern w:val="0"/>
          <w:szCs w:val="21"/>
          <w:highlight w:val="none"/>
        </w:rPr>
        <w:t>（</w:t>
      </w:r>
      <w:r>
        <w:rPr>
          <w:rFonts w:hint="default" w:ascii="宋体" w:hAnsi="宋体" w:cs="宋体"/>
          <w:color w:val="auto"/>
          <w:kern w:val="0"/>
          <w:szCs w:val="21"/>
          <w:highlight w:val="none"/>
          <w:lang w:val="en-US"/>
        </w:rPr>
        <w:t>9</w:t>
      </w:r>
      <w:r>
        <w:rPr>
          <w:rFonts w:ascii="宋体" w:hAnsi="宋体" w:cs="宋体"/>
          <w:color w:val="auto"/>
          <w:kern w:val="0"/>
          <w:szCs w:val="21"/>
          <w:highlight w:val="none"/>
        </w:rPr>
        <w:t>）</w:t>
      </w:r>
      <w:r>
        <w:rPr>
          <w:rFonts w:hint="eastAsia" w:ascii="宋体" w:hAnsi="宋体" w:cs="宋体"/>
          <w:color w:val="auto"/>
          <w:kern w:val="0"/>
          <w:szCs w:val="21"/>
          <w:highlight w:val="none"/>
        </w:rPr>
        <w:t>合同条款响应程度；</w:t>
      </w:r>
    </w:p>
    <w:p>
      <w:pPr>
        <w:tabs>
          <w:tab w:val="left" w:pos="567"/>
        </w:tabs>
        <w:autoSpaceDE w:val="0"/>
        <w:autoSpaceDN w:val="0"/>
        <w:adjustRightInd w:val="0"/>
        <w:spacing w:line="360" w:lineRule="auto"/>
        <w:ind w:left="105" w:leftChars="-100" w:hanging="315" w:hangingChars="150"/>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1</w:t>
      </w:r>
      <w:r>
        <w:rPr>
          <w:rFonts w:hint="default" w:ascii="宋体" w:hAnsi="宋体" w:cs="宋体"/>
          <w:color w:val="auto"/>
          <w:kern w:val="0"/>
          <w:szCs w:val="21"/>
          <w:highlight w:val="none"/>
          <w:lang w:val="en-US"/>
        </w:rPr>
        <w:t>0</w:t>
      </w:r>
      <w:r>
        <w:rPr>
          <w:rFonts w:ascii="宋体" w:hAnsi="宋体" w:cs="宋体"/>
          <w:color w:val="auto"/>
          <w:kern w:val="0"/>
          <w:szCs w:val="21"/>
          <w:highlight w:val="none"/>
        </w:rPr>
        <w:t>）</w:t>
      </w:r>
      <w:r>
        <w:rPr>
          <w:rFonts w:hint="eastAsia" w:ascii="宋体" w:hAnsi="宋体" w:cs="宋体"/>
          <w:color w:val="auto"/>
          <w:kern w:val="0"/>
          <w:szCs w:val="21"/>
          <w:highlight w:val="none"/>
        </w:rPr>
        <w:t>业绩表；</w:t>
      </w:r>
    </w:p>
    <w:p>
      <w:pPr>
        <w:tabs>
          <w:tab w:val="left" w:pos="567"/>
        </w:tabs>
        <w:autoSpaceDE w:val="0"/>
        <w:autoSpaceDN w:val="0"/>
        <w:adjustRightInd w:val="0"/>
        <w:spacing w:line="360" w:lineRule="auto"/>
        <w:ind w:left="105" w:leftChars="-100" w:hanging="315" w:hangingChars="1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default" w:ascii="宋体" w:hAnsi="宋体" w:cs="宋体"/>
          <w:color w:val="auto"/>
          <w:szCs w:val="21"/>
          <w:highlight w:val="none"/>
          <w:lang w:val="en-US"/>
        </w:rPr>
        <w:t>1</w:t>
      </w:r>
      <w:r>
        <w:rPr>
          <w:rFonts w:hint="eastAsia" w:ascii="宋体" w:hAnsi="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ascii="宋体" w:hAnsi="宋体" w:cs="宋体"/>
          <w:color w:val="auto"/>
          <w:szCs w:val="21"/>
          <w:highlight w:val="none"/>
        </w:rPr>
        <w:t>1</w:t>
      </w:r>
      <w:r>
        <w:rPr>
          <w:rFonts w:hint="default" w:ascii="宋体" w:hAnsi="宋体" w:cs="宋体"/>
          <w:color w:val="auto"/>
          <w:szCs w:val="21"/>
          <w:highlight w:val="none"/>
          <w:lang w:val="en-US"/>
        </w:rPr>
        <w:t>2</w:t>
      </w:r>
      <w:r>
        <w:rPr>
          <w:rFonts w:hint="eastAsia" w:ascii="宋体" w:hAnsi="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cs="宋体"/>
          <w:color w:val="auto"/>
          <w:szCs w:val="21"/>
          <w:highlight w:val="none"/>
        </w:rPr>
        <w:t>及有关</w:t>
      </w:r>
      <w:r>
        <w:rPr>
          <w:rFonts w:hint="eastAsia" w:ascii="宋体" w:hAnsi="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cs="宋体"/>
          <w:b/>
          <w:color w:val="auto"/>
          <w:kern w:val="0"/>
          <w:szCs w:val="24"/>
          <w:highlight w:val="none"/>
        </w:rPr>
      </w:pPr>
      <w:r>
        <w:rPr>
          <w:rFonts w:hint="eastAsia" w:ascii="宋体" w:hAnsi="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 xml:space="preserve"> </w:t>
      </w:r>
      <w:r>
        <w:rPr>
          <w:rFonts w:ascii="宋体" w:hAnsi="宋体" w:cs="Times New Roman"/>
          <w:b/>
          <w:bCs/>
          <w:color w:val="auto"/>
          <w:kern w:val="0"/>
          <w:szCs w:val="21"/>
          <w:highlight w:val="none"/>
          <w:lang w:val="zh-CN"/>
        </w:rPr>
        <w:t xml:space="preserve">   </w:t>
      </w:r>
      <w:r>
        <w:rPr>
          <w:rFonts w:hint="eastAsia" w:ascii="宋体" w:hAnsi="宋体" w:cs="Times New Roman"/>
          <w:b/>
          <w:bCs/>
          <w:color w:val="auto"/>
          <w:kern w:val="0"/>
          <w:szCs w:val="21"/>
          <w:highlight w:val="none"/>
          <w:lang w:val="zh-CN"/>
        </w:rPr>
        <w:t>目录：</w:t>
      </w:r>
    </w:p>
    <w:p>
      <w:pPr>
        <w:spacing w:line="360" w:lineRule="auto"/>
        <w:ind w:left="105" w:leftChars="-100" w:hanging="315" w:hangingChars="150"/>
        <w:rPr>
          <w:rFonts w:ascii="宋体" w:hAnsi="宋体" w:cs="宋体"/>
          <w:color w:val="auto"/>
          <w:kern w:val="0"/>
          <w:szCs w:val="21"/>
          <w:highlight w:val="none"/>
        </w:rPr>
      </w:pPr>
      <w:r>
        <w:rPr>
          <w:rFonts w:hint="eastAsia" w:ascii="宋体" w:hAnsi="宋体" w:cs="宋体"/>
          <w:color w:val="auto"/>
          <w:kern w:val="0"/>
          <w:szCs w:val="21"/>
          <w:highlight w:val="none"/>
        </w:rPr>
        <w:t>（1）用户需求响应程度（用户需求偏离表格式）；</w:t>
      </w:r>
    </w:p>
    <w:p>
      <w:pPr>
        <w:spacing w:line="360" w:lineRule="auto"/>
        <w:ind w:left="315" w:leftChars="-100" w:hanging="525" w:hangingChars="250"/>
        <w:rPr>
          <w:rFonts w:ascii="宋体" w:hAnsi="宋体" w:cs="Times New Roman"/>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Times New Roman"/>
          <w:color w:val="auto"/>
          <w:kern w:val="0"/>
          <w:szCs w:val="21"/>
          <w:highlight w:val="none"/>
          <w:lang w:val="zh-CN"/>
        </w:rPr>
        <w:t>投标产品技术指标承诺书；</w:t>
      </w:r>
    </w:p>
    <w:p>
      <w:pPr>
        <w:spacing w:line="360" w:lineRule="auto"/>
        <w:ind w:left="315" w:leftChars="-100" w:hanging="525" w:hangingChars="250"/>
        <w:rPr>
          <w:rFonts w:ascii="宋体" w:hAnsi="宋体" w:cs="Times New Roman"/>
          <w:color w:val="auto"/>
          <w:kern w:val="0"/>
          <w:szCs w:val="21"/>
          <w:highlight w:val="none"/>
          <w:lang w:val="zh-CN"/>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Times New Roman"/>
          <w:color w:val="auto"/>
          <w:kern w:val="0"/>
          <w:szCs w:val="21"/>
          <w:highlight w:val="none"/>
          <w:lang w:val="zh-CN"/>
        </w:rPr>
        <w:t>第三方检测机构出具的检验报告复印件（须为202</w:t>
      </w:r>
      <w:r>
        <w:rPr>
          <w:rFonts w:hint="eastAsia" w:ascii="宋体" w:hAnsi="宋体" w:cs="Times New Roman"/>
          <w:color w:val="auto"/>
          <w:kern w:val="0"/>
          <w:szCs w:val="21"/>
          <w:highlight w:val="none"/>
        </w:rPr>
        <w:t>4</w:t>
      </w:r>
      <w:r>
        <w:rPr>
          <w:rFonts w:hint="eastAsia" w:ascii="宋体" w:hAnsi="宋体" w:cs="Times New Roman"/>
          <w:color w:val="auto"/>
          <w:kern w:val="0"/>
          <w:szCs w:val="21"/>
          <w:highlight w:val="none"/>
          <w:lang w:val="zh-CN"/>
        </w:rPr>
        <w:t>年</w:t>
      </w:r>
      <w:r>
        <w:rPr>
          <w:rFonts w:ascii="宋体" w:hAnsi="宋体" w:cs="Times New Roman"/>
          <w:color w:val="auto"/>
          <w:kern w:val="0"/>
          <w:szCs w:val="21"/>
          <w:highlight w:val="none"/>
        </w:rPr>
        <w:t>1</w:t>
      </w:r>
      <w:r>
        <w:rPr>
          <w:rFonts w:hint="eastAsia" w:ascii="宋体" w:hAnsi="宋体" w:cs="Times New Roman"/>
          <w:color w:val="auto"/>
          <w:kern w:val="0"/>
          <w:szCs w:val="21"/>
          <w:highlight w:val="none"/>
          <w:lang w:val="zh-CN"/>
        </w:rPr>
        <w:t>月1日以后出具的投标产品检验报告）；</w:t>
      </w:r>
    </w:p>
    <w:p>
      <w:pPr>
        <w:spacing w:line="360" w:lineRule="auto"/>
        <w:ind w:left="315" w:leftChars="-100" w:hanging="525" w:hangingChars="250"/>
        <w:rPr>
          <w:rFonts w:ascii="宋体" w:hAnsi="宋体" w:cs="Times New Roman"/>
          <w:color w:val="auto"/>
          <w:kern w:val="0"/>
          <w:szCs w:val="21"/>
          <w:highlight w:val="none"/>
          <w:lang w:val="zh-CN"/>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eastAsia="宋体" w:cs="宋体"/>
          <w:color w:val="auto"/>
          <w:szCs w:val="21"/>
          <w:highlight w:val="none"/>
          <w:lang w:val="zh-CN"/>
        </w:rPr>
        <w:t>生产</w:t>
      </w:r>
      <w:r>
        <w:rPr>
          <w:rFonts w:hint="eastAsia" w:ascii="宋体" w:hAnsi="宋体" w:eastAsia="宋体" w:cs="宋体"/>
          <w:color w:val="auto"/>
          <w:szCs w:val="21"/>
          <w:highlight w:val="none"/>
        </w:rPr>
        <w:t>规模</w:t>
      </w:r>
      <w:r>
        <w:rPr>
          <w:rFonts w:hint="eastAsia" w:ascii="宋体" w:hAnsi="宋体" w:cs="Times New Roman"/>
          <w:color w:val="auto"/>
          <w:kern w:val="0"/>
          <w:szCs w:val="21"/>
          <w:highlight w:val="none"/>
          <w:lang w:val="zh-CN"/>
        </w:rPr>
        <w:t>；</w:t>
      </w:r>
    </w:p>
    <w:p>
      <w:pPr>
        <w:spacing w:line="360" w:lineRule="auto"/>
        <w:ind w:left="315" w:leftChars="-100" w:hanging="525" w:hangingChars="250"/>
        <w:rPr>
          <w:rFonts w:ascii="宋体" w:hAnsi="宋体" w:cs="Times New Roman"/>
          <w:color w:val="auto"/>
          <w:kern w:val="0"/>
          <w:szCs w:val="21"/>
          <w:highlight w:val="none"/>
          <w:lang w:val="zh-CN"/>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w:t>
      </w:r>
      <w:r>
        <w:rPr>
          <w:rFonts w:hint="eastAsia" w:ascii="宋体" w:hAnsi="宋体" w:eastAsia="宋体" w:cs="宋体"/>
          <w:color w:val="auto"/>
          <w:szCs w:val="21"/>
          <w:highlight w:val="none"/>
          <w:lang w:val="zh-CN"/>
        </w:rPr>
        <w:t>供货</w:t>
      </w:r>
      <w:r>
        <w:rPr>
          <w:rFonts w:hint="eastAsia" w:ascii="宋体" w:hAnsi="宋体" w:eastAsia="宋体" w:cs="宋体"/>
          <w:color w:val="auto"/>
          <w:szCs w:val="21"/>
          <w:highlight w:val="none"/>
        </w:rPr>
        <w:t>运输</w:t>
      </w:r>
      <w:r>
        <w:rPr>
          <w:rFonts w:hint="eastAsia" w:ascii="宋体" w:hAnsi="宋体" w:eastAsia="宋体" w:cs="宋体"/>
          <w:color w:val="auto"/>
          <w:szCs w:val="21"/>
          <w:highlight w:val="none"/>
          <w:lang w:val="zh-CN"/>
        </w:rPr>
        <w:t>保障</w:t>
      </w:r>
      <w:r>
        <w:rPr>
          <w:rFonts w:hint="eastAsia" w:ascii="宋体" w:hAnsi="宋体" w:cs="Times New Roman"/>
          <w:color w:val="auto"/>
          <w:kern w:val="0"/>
          <w:szCs w:val="21"/>
          <w:highlight w:val="none"/>
          <w:lang w:val="zh-CN"/>
        </w:rPr>
        <w:t>；</w:t>
      </w:r>
    </w:p>
    <w:p>
      <w:pPr>
        <w:spacing w:line="360" w:lineRule="auto"/>
        <w:ind w:left="315" w:leftChars="-100" w:hanging="525" w:hangingChars="25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）供货时间响应承诺表；</w:t>
      </w:r>
    </w:p>
    <w:p>
      <w:pPr>
        <w:spacing w:line="360" w:lineRule="auto"/>
        <w:ind w:left="105" w:leftChars="-100" w:hanging="315" w:hangingChars="15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ascii="宋体" w:hAnsi="宋体" w:cs="宋体"/>
          <w:color w:val="auto"/>
          <w:kern w:val="0"/>
          <w:szCs w:val="21"/>
          <w:highlight w:val="none"/>
          <w:lang w:val="zh-CN"/>
        </w:rPr>
      </w:pPr>
      <w:r>
        <w:rPr>
          <w:rFonts w:hint="eastAsia" w:ascii="宋体" w:hAnsi="宋体" w:cs="宋体"/>
          <w:b/>
          <w:color w:val="auto"/>
          <w:kern w:val="0"/>
          <w:szCs w:val="21"/>
          <w:highlight w:val="none"/>
        </w:rPr>
        <w:t xml:space="preserve">9.1.3 </w:t>
      </w:r>
      <w:r>
        <w:rPr>
          <w:rFonts w:hint="eastAsia" w:ascii="宋体" w:hAnsi="宋体" w:cs="宋体"/>
          <w:b/>
          <w:bCs/>
          <w:color w:val="auto"/>
          <w:kern w:val="0"/>
          <w:szCs w:val="21"/>
          <w:highlight w:val="none"/>
          <w:lang w:val="zh-CN"/>
        </w:rPr>
        <w:t>投标文件电子文件</w:t>
      </w:r>
      <w:r>
        <w:rPr>
          <w:rFonts w:hint="eastAsia" w:ascii="宋体" w:hAnsi="宋体" w:cs="宋体"/>
          <w:color w:val="auto"/>
          <w:kern w:val="0"/>
          <w:szCs w:val="21"/>
          <w:highlight w:val="none"/>
          <w:lang w:val="zh-CN"/>
        </w:rPr>
        <w:t>（详细要求见本篇第17.</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cs="宋体"/>
          <w:color w:val="auto"/>
          <w:kern w:val="0"/>
          <w:szCs w:val="21"/>
          <w:highlight w:val="none"/>
        </w:rPr>
      </w:pPr>
      <w:r>
        <w:rPr>
          <w:rFonts w:hint="eastAsia" w:ascii="宋体" w:hAnsi="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cs="宋体"/>
          <w:b/>
          <w:bCs/>
          <w:color w:val="auto"/>
          <w:szCs w:val="21"/>
          <w:highlight w:val="none"/>
          <w:lang w:val="zh-CN"/>
        </w:rPr>
      </w:pPr>
      <w:r>
        <w:rPr>
          <w:rFonts w:hint="eastAsia" w:ascii="宋体" w:hAnsi="宋体" w:cs="宋体"/>
          <w:b/>
          <w:bCs/>
          <w:color w:val="auto"/>
          <w:szCs w:val="21"/>
          <w:highlight w:val="none"/>
          <w:lang w:val="zh-CN"/>
        </w:rPr>
        <w:t>9.1.4 唱标信封（单独密封）</w:t>
      </w:r>
    </w:p>
    <w:p>
      <w:pPr>
        <w:spacing w:line="360" w:lineRule="auto"/>
        <w:ind w:left="105" w:leftChars="-100" w:hanging="315" w:hangingChars="15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（1）投标报价表；</w:t>
      </w:r>
    </w:p>
    <w:p>
      <w:pPr>
        <w:spacing w:line="360" w:lineRule="auto"/>
        <w:ind w:left="105" w:leftChars="-100" w:hanging="315" w:hangingChars="15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 xml:space="preserve">9.3  </w:t>
      </w:r>
      <w:r>
        <w:rPr>
          <w:rFonts w:hint="eastAsia" w:ascii="宋体" w:hAnsi="宋体" w:cs="宋体"/>
          <w:b/>
          <w:color w:val="auto"/>
          <w:szCs w:val="21"/>
          <w:highlight w:val="none"/>
          <w:u w:val="single"/>
          <w:lang w:val="zh-CN"/>
        </w:rPr>
        <w:t>投标文件中相关证件、证书、合同、</w:t>
      </w:r>
      <w:r>
        <w:rPr>
          <w:rFonts w:hint="eastAsia" w:ascii="宋体" w:hAnsi="宋体" w:cs="Times New Roman"/>
          <w:b/>
          <w:color w:val="auto"/>
          <w:szCs w:val="21"/>
          <w:highlight w:val="none"/>
          <w:u w:val="single"/>
          <w:lang w:val="zh-CN"/>
        </w:rPr>
        <w:t>发票、照片</w:t>
      </w:r>
      <w:r>
        <w:rPr>
          <w:rFonts w:hint="eastAsia" w:ascii="宋体" w:hAnsi="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15" w:name="_Toc486167674"/>
      <w:bookmarkStart w:id="116" w:name="_Toc450662860"/>
      <w:bookmarkStart w:id="117" w:name="_Toc18697"/>
      <w:bookmarkStart w:id="118" w:name="_Toc173684888"/>
      <w:bookmarkStart w:id="119" w:name="_Toc21648"/>
      <w:bookmarkStart w:id="120" w:name="_Toc142508324"/>
      <w:bookmarkStart w:id="121" w:name="_Toc8675_WPSOffice_Level3"/>
      <w:r>
        <w:rPr>
          <w:rFonts w:hint="eastAsia" w:ascii="宋体" w:hAnsi="宋体" w:cs="宋体"/>
          <w:color w:val="auto"/>
          <w:szCs w:val="21"/>
          <w:highlight w:val="none"/>
          <w:lang w:val="zh-CN"/>
        </w:rPr>
        <w:t>10</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投标函</w:t>
      </w:r>
      <w:bookmarkEnd w:id="115"/>
      <w:bookmarkEnd w:id="116"/>
      <w:bookmarkEnd w:id="117"/>
      <w:bookmarkEnd w:id="118"/>
      <w:bookmarkEnd w:id="119"/>
      <w:bookmarkEnd w:id="120"/>
      <w:bookmarkEnd w:id="121"/>
    </w:p>
    <w:p>
      <w:pPr>
        <w:autoSpaceDE w:val="0"/>
        <w:autoSpaceDN w:val="0"/>
        <w:adjustRightInd w:val="0"/>
        <w:spacing w:line="360" w:lineRule="auto"/>
        <w:ind w:left="265" w:leftChars="119" w:hanging="15"/>
        <w:rPr>
          <w:rFonts w:ascii="宋体" w:hAnsi="宋体" w:cs="宋体"/>
          <w:color w:val="auto"/>
          <w:szCs w:val="21"/>
          <w:highlight w:val="none"/>
          <w:lang w:val="zh-CN"/>
        </w:rPr>
      </w:pPr>
      <w:r>
        <w:rPr>
          <w:rFonts w:hint="eastAsia" w:ascii="宋体" w:hAnsi="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22" w:name="_Toc5988"/>
      <w:bookmarkStart w:id="123" w:name="_Toc173684889"/>
      <w:bookmarkStart w:id="124" w:name="_Toc450662861"/>
      <w:bookmarkStart w:id="125" w:name="_Toc4385_WPSOffice_Level3"/>
      <w:bookmarkStart w:id="126" w:name="_Toc486167675"/>
      <w:bookmarkStart w:id="127" w:name="_Toc142508325"/>
      <w:bookmarkStart w:id="128" w:name="_Toc28822"/>
      <w:r>
        <w:rPr>
          <w:rFonts w:hint="eastAsia" w:ascii="宋体" w:hAnsi="宋体" w:cs="宋体"/>
          <w:color w:val="auto"/>
          <w:szCs w:val="21"/>
          <w:highlight w:val="none"/>
          <w:lang w:val="zh-CN"/>
        </w:rPr>
        <w:t>11</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投标报价</w:t>
      </w:r>
      <w:bookmarkEnd w:id="122"/>
      <w:bookmarkEnd w:id="123"/>
      <w:bookmarkEnd w:id="124"/>
      <w:bookmarkEnd w:id="125"/>
      <w:bookmarkEnd w:id="126"/>
      <w:bookmarkEnd w:id="127"/>
      <w:bookmarkEnd w:id="128"/>
    </w:p>
    <w:p>
      <w:pPr>
        <w:tabs>
          <w:tab w:val="left" w:pos="567"/>
        </w:tabs>
        <w:autoSpaceDE w:val="0"/>
        <w:autoSpaceDN w:val="0"/>
        <w:adjustRightInd w:val="0"/>
        <w:spacing w:line="360" w:lineRule="auto"/>
        <w:ind w:left="357" w:leftChars="-100" w:hanging="567"/>
        <w:rPr>
          <w:rFonts w:ascii="宋体" w:hAnsi="宋体" w:cs="宋体"/>
          <w:b/>
          <w:color w:val="auto"/>
          <w:szCs w:val="21"/>
          <w:highlight w:val="none"/>
          <w:lang w:val="zh-CN"/>
        </w:rPr>
      </w:pPr>
      <w:r>
        <w:rPr>
          <w:rFonts w:hint="eastAsia" w:ascii="宋体" w:hAnsi="宋体" w:cs="宋体"/>
          <w:b/>
          <w:color w:val="auto"/>
          <w:szCs w:val="21"/>
          <w:highlight w:val="none"/>
          <w:lang w:val="zh-CN"/>
        </w:rPr>
        <w:t xml:space="preserve">11.1 </w:t>
      </w:r>
      <w:r>
        <w:rPr>
          <w:rFonts w:hint="eastAsia" w:ascii="宋体" w:hAnsi="宋体" w:cs="宋体"/>
          <w:b/>
          <w:color w:val="auto"/>
          <w:szCs w:val="21"/>
          <w:highlight w:val="none"/>
          <w:u w:val="single"/>
          <w:lang w:val="zh-CN"/>
        </w:rPr>
        <w:t>本项目</w:t>
      </w:r>
      <w:r>
        <w:rPr>
          <w:rFonts w:hint="eastAsia" w:ascii="宋体" w:hAnsi="宋体" w:cs="Times New Roman"/>
          <w:b/>
          <w:color w:val="auto"/>
          <w:szCs w:val="21"/>
          <w:highlight w:val="none"/>
          <w:u w:val="single"/>
          <w:lang w:val="zh-CN"/>
        </w:rPr>
        <w:t>只允许有一个报价价格，任何有选择的或</w:t>
      </w:r>
      <w:r>
        <w:rPr>
          <w:rFonts w:hint="eastAsia" w:ascii="宋体" w:hAnsi="宋体" w:cs="Times New Roman"/>
          <w:b/>
          <w:color w:val="auto"/>
          <w:kern w:val="0"/>
          <w:szCs w:val="21"/>
          <w:highlight w:val="none"/>
          <w:u w:val="single"/>
          <w:lang w:val="zh-CN"/>
        </w:rPr>
        <w:t>不是固定价的</w:t>
      </w:r>
      <w:r>
        <w:rPr>
          <w:rFonts w:hint="eastAsia" w:ascii="宋体" w:hAnsi="宋体" w:cs="Times New Roman"/>
          <w:b/>
          <w:color w:val="auto"/>
          <w:szCs w:val="21"/>
          <w:highlight w:val="none"/>
          <w:u w:val="single"/>
          <w:lang w:val="zh-CN"/>
        </w:rPr>
        <w:t>投标报价将不予接受，</w:t>
      </w:r>
      <w:r>
        <w:rPr>
          <w:rFonts w:hint="eastAsia" w:ascii="宋体" w:hAnsi="宋体" w:cs="Times New Roman"/>
          <w:b/>
          <w:color w:val="auto"/>
          <w:kern w:val="0"/>
          <w:szCs w:val="21"/>
          <w:highlight w:val="none"/>
          <w:u w:val="single"/>
          <w:lang w:val="zh-CN"/>
        </w:rPr>
        <w:t>作为非实质性响应投标而予以拒绝。</w:t>
      </w:r>
      <w:r>
        <w:rPr>
          <w:rFonts w:hint="eastAsia" w:ascii="宋体" w:hAnsi="宋体" w:cs="Times New Roman"/>
          <w:b/>
          <w:color w:val="auto"/>
          <w:kern w:val="0"/>
          <w:szCs w:val="21"/>
          <w:highlight w:val="none"/>
          <w:u w:val="single"/>
        </w:rPr>
        <w:t>投标人不得以低于企业自身成本的价格竞投</w:t>
      </w:r>
      <w:r>
        <w:rPr>
          <w:rFonts w:hint="eastAsia" w:ascii="宋体" w:hAnsi="宋体" w:cs="宋体"/>
          <w:b/>
          <w:color w:val="auto"/>
          <w:szCs w:val="21"/>
          <w:highlight w:val="none"/>
          <w:lang w:val="zh-CN"/>
        </w:rPr>
        <w:t>。</w:t>
      </w:r>
    </w:p>
    <w:p>
      <w:pPr>
        <w:tabs>
          <w:tab w:val="left" w:pos="567"/>
        </w:tabs>
        <w:autoSpaceDE w:val="0"/>
        <w:autoSpaceDN w:val="0"/>
        <w:adjustRightInd w:val="0"/>
        <w:spacing w:line="360" w:lineRule="auto"/>
        <w:ind w:firstLine="567"/>
        <w:rPr>
          <w:rFonts w:ascii="宋体" w:hAnsi="宋体" w:cs="宋体"/>
          <w:b/>
          <w:color w:val="auto"/>
          <w:szCs w:val="21"/>
          <w:highlight w:val="none"/>
          <w:lang w:val="zh-CN"/>
        </w:rPr>
      </w:pPr>
      <w:r>
        <w:rPr>
          <w:rFonts w:hint="eastAsia" w:ascii="宋体" w:hAnsi="宋体" w:cs="宋体"/>
          <w:b/>
          <w:color w:val="auto"/>
          <w:szCs w:val="21"/>
          <w:highlight w:val="none"/>
          <w:u w:val="single"/>
          <w:lang w:val="zh-CN"/>
        </w:rPr>
        <w:t>若投标人出现超低报价，有可能影响</w:t>
      </w:r>
      <w:r>
        <w:rPr>
          <w:rFonts w:hint="eastAsia" w:ascii="宋体" w:hAnsi="宋体" w:cs="宋体"/>
          <w:b/>
          <w:color w:val="auto"/>
          <w:szCs w:val="21"/>
          <w:highlight w:val="none"/>
          <w:u w:val="single"/>
        </w:rPr>
        <w:t>货物</w:t>
      </w:r>
      <w:r>
        <w:rPr>
          <w:rFonts w:hint="eastAsia" w:ascii="宋体" w:hAnsi="宋体" w:cs="宋体"/>
          <w:b/>
          <w:color w:val="auto"/>
          <w:szCs w:val="21"/>
          <w:highlight w:val="none"/>
          <w:u w:val="single"/>
          <w:lang w:val="zh-CN"/>
        </w:rPr>
        <w:t>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cs="宋体"/>
          <w:b/>
          <w:color w:val="auto"/>
          <w:szCs w:val="21"/>
          <w:highlight w:val="none"/>
          <w:lang w:val="zh-CN"/>
        </w:rPr>
        <w:t>。</w:t>
      </w:r>
    </w:p>
    <w:p>
      <w:pPr>
        <w:tabs>
          <w:tab w:val="left" w:pos="567"/>
        </w:tabs>
        <w:autoSpaceDE w:val="0"/>
        <w:autoSpaceDN w:val="0"/>
        <w:adjustRightInd w:val="0"/>
        <w:spacing w:line="360" w:lineRule="auto"/>
        <w:ind w:firstLine="567"/>
        <w:rPr>
          <w:rFonts w:ascii="宋体" w:hAnsi="宋体" w:cs="宋体"/>
          <w:b/>
          <w:color w:val="auto"/>
          <w:szCs w:val="21"/>
          <w:highlight w:val="none"/>
          <w:lang w:val="zh-CN"/>
        </w:rPr>
      </w:pPr>
      <w:r>
        <w:rPr>
          <w:rFonts w:hint="eastAsia" w:ascii="宋体" w:hAnsi="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cs="宋体"/>
          <w:b/>
          <w:color w:val="auto"/>
          <w:szCs w:val="21"/>
          <w:highlight w:val="none"/>
          <w:u w:val="single"/>
        </w:rPr>
        <w:t>根据少数服从多数的原则，获多数表决通过</w:t>
      </w:r>
      <w:r>
        <w:rPr>
          <w:rFonts w:hint="eastAsia" w:ascii="宋体" w:hAnsi="宋体" w:cs="宋体"/>
          <w:b/>
          <w:color w:val="auto"/>
          <w:szCs w:val="21"/>
          <w:highlight w:val="none"/>
          <w:u w:val="single"/>
          <w:lang w:val="zh-CN"/>
        </w:rPr>
        <w:t>的投标人才有资格进入下一阶段的评审，否则将按无效投标处理</w:t>
      </w:r>
      <w:r>
        <w:rPr>
          <w:rFonts w:hint="eastAsia" w:ascii="宋体" w:hAnsi="宋体" w:cs="宋体"/>
          <w:b/>
          <w:color w:val="auto"/>
          <w:szCs w:val="21"/>
          <w:highlight w:val="none"/>
          <w:lang w:val="zh-CN"/>
        </w:rPr>
        <w:t>。</w:t>
      </w:r>
    </w:p>
    <w:p>
      <w:pPr>
        <w:autoSpaceDE w:val="0"/>
        <w:autoSpaceDN w:val="0"/>
        <w:adjustRightInd w:val="0"/>
        <w:spacing w:line="360" w:lineRule="auto"/>
        <w:ind w:left="357" w:leftChars="-100" w:hanging="567"/>
        <w:rPr>
          <w:rFonts w:ascii="宋体" w:hAnsi="宋体" w:cs="宋体"/>
          <w:color w:val="auto"/>
          <w:kern w:val="0"/>
          <w:szCs w:val="21"/>
          <w:highlight w:val="none"/>
        </w:rPr>
      </w:pPr>
      <w:r>
        <w:rPr>
          <w:rFonts w:hint="eastAsia" w:ascii="宋体" w:hAnsi="宋体" w:cs="宋体"/>
          <w:color w:val="auto"/>
          <w:szCs w:val="21"/>
          <w:highlight w:val="none"/>
          <w:lang w:val="zh-CN"/>
        </w:rPr>
        <w:t>11.2</w:t>
      </w:r>
      <w:r>
        <w:rPr>
          <w:rFonts w:hint="eastAsia" w:ascii="宋体" w:hAnsi="宋体" w:cs="宋体"/>
          <w:color w:val="auto"/>
          <w:szCs w:val="21"/>
          <w:highlight w:val="none"/>
          <w:lang w:val="zh-CN"/>
        </w:rPr>
        <w:tab/>
      </w:r>
      <w:r>
        <w:rPr>
          <w:rFonts w:hint="eastAsia" w:ascii="宋体" w:hAnsi="宋体" w:cs="宋体"/>
          <w:b/>
          <w:color w:val="auto"/>
          <w:szCs w:val="21"/>
          <w:highlight w:val="none"/>
          <w:u w:val="single"/>
          <w:lang w:val="zh-CN"/>
        </w:rPr>
        <w:t>投标人的投标报价为</w:t>
      </w:r>
      <w:r>
        <w:rPr>
          <w:rFonts w:hint="eastAsia" w:ascii="宋体" w:hAnsi="宋体" w:cs="宋体"/>
          <w:b/>
          <w:color w:val="auto"/>
          <w:szCs w:val="21"/>
          <w:highlight w:val="none"/>
          <w:u w:val="single"/>
          <w:lang w:val="en-US" w:eastAsia="zh-CN"/>
        </w:rPr>
        <w:t>不含税</w:t>
      </w:r>
      <w:r>
        <w:rPr>
          <w:rFonts w:hint="eastAsia" w:ascii="宋体" w:hAnsi="宋体" w:cs="宋体"/>
          <w:b/>
          <w:color w:val="auto"/>
          <w:szCs w:val="21"/>
          <w:highlight w:val="none"/>
          <w:u w:val="single"/>
          <w:lang w:val="zh-CN"/>
        </w:rPr>
        <w:t>综合单价（</w:t>
      </w:r>
      <w:r>
        <w:rPr>
          <w:rFonts w:ascii="宋体" w:hAnsi="宋体" w:cs="宋体"/>
          <w:b/>
          <w:color w:val="auto"/>
          <w:szCs w:val="21"/>
          <w:highlight w:val="none"/>
          <w:u w:val="single"/>
          <w:lang w:val="zh-CN"/>
        </w:rPr>
        <w:t>元/吨</w:t>
      </w:r>
      <w:r>
        <w:rPr>
          <w:rFonts w:hint="eastAsia" w:ascii="宋体" w:hAnsi="宋体" w:cs="宋体"/>
          <w:b/>
          <w:color w:val="auto"/>
          <w:szCs w:val="21"/>
          <w:highlight w:val="none"/>
          <w:u w:val="single"/>
          <w:lang w:val="zh-CN"/>
        </w:rPr>
        <w:t>）</w:t>
      </w:r>
      <w:r>
        <w:rPr>
          <w:rFonts w:ascii="宋体" w:hAnsi="宋体" w:cs="宋体"/>
          <w:b/>
          <w:color w:val="auto"/>
          <w:szCs w:val="21"/>
          <w:highlight w:val="none"/>
          <w:u w:val="single"/>
          <w:lang w:val="zh-CN"/>
        </w:rPr>
        <w:t>乘以采购货物暂定数量的总价。合同履约过程中，在供</w:t>
      </w:r>
      <w:r>
        <w:rPr>
          <w:rFonts w:hint="eastAsia" w:ascii="宋体" w:hAnsi="宋体" w:cs="宋体"/>
          <w:b/>
          <w:color w:val="auto"/>
          <w:szCs w:val="21"/>
          <w:highlight w:val="none"/>
          <w:u w:val="single"/>
          <w:lang w:val="zh-CN"/>
        </w:rPr>
        <w:t>货期内按中标时的</w:t>
      </w:r>
      <w:r>
        <w:rPr>
          <w:rFonts w:hint="eastAsia" w:ascii="宋体" w:hAnsi="宋体" w:cs="宋体"/>
          <w:b/>
          <w:color w:val="auto"/>
          <w:szCs w:val="21"/>
          <w:highlight w:val="none"/>
          <w:u w:val="single"/>
          <w:lang w:val="en-US" w:eastAsia="zh-CN"/>
        </w:rPr>
        <w:t>不含税</w:t>
      </w:r>
      <w:r>
        <w:rPr>
          <w:rFonts w:hint="eastAsia" w:ascii="宋体" w:hAnsi="宋体" w:cs="宋体"/>
          <w:b/>
          <w:color w:val="auto"/>
          <w:szCs w:val="21"/>
          <w:highlight w:val="none"/>
          <w:u w:val="single"/>
          <w:lang w:val="zh-CN"/>
        </w:rPr>
        <w:t>综合单价（</w:t>
      </w:r>
      <w:r>
        <w:rPr>
          <w:rFonts w:ascii="宋体" w:hAnsi="宋体" w:cs="宋体"/>
          <w:b/>
          <w:color w:val="auto"/>
          <w:szCs w:val="21"/>
          <w:highlight w:val="none"/>
          <w:u w:val="single"/>
          <w:lang w:val="zh-CN"/>
        </w:rPr>
        <w:t>元/吨</w:t>
      </w:r>
      <w:r>
        <w:rPr>
          <w:rFonts w:hint="eastAsia" w:ascii="宋体" w:hAnsi="宋体" w:cs="宋体"/>
          <w:b/>
          <w:color w:val="auto"/>
          <w:szCs w:val="21"/>
          <w:highlight w:val="none"/>
          <w:u w:val="single"/>
          <w:lang w:val="zh-CN"/>
        </w:rPr>
        <w:t>）</w:t>
      </w:r>
      <w:r>
        <w:rPr>
          <w:rFonts w:ascii="宋体" w:hAnsi="宋体" w:cs="宋体"/>
          <w:b/>
          <w:color w:val="auto"/>
          <w:szCs w:val="21"/>
          <w:highlight w:val="none"/>
          <w:u w:val="single"/>
          <w:lang w:val="zh-CN"/>
        </w:rPr>
        <w:t>乘以实际供货数量进行结算。</w:t>
      </w:r>
      <w:r>
        <w:rPr>
          <w:rFonts w:hint="eastAsia" w:ascii="宋体" w:hAnsi="宋体" w:cs="Times New Roman"/>
          <w:b/>
          <w:color w:val="auto"/>
          <w:szCs w:val="21"/>
          <w:highlight w:val="none"/>
          <w:u w:val="single"/>
          <w:lang w:val="zh-CN"/>
        </w:rPr>
        <w:t>本项目投标报价为不含税价，即为《中华人民共和国增值税暂行条例》（国务院令第6</w:t>
      </w:r>
      <w:r>
        <w:rPr>
          <w:rFonts w:ascii="宋体" w:hAnsi="宋体" w:cs="Times New Roman"/>
          <w:b/>
          <w:color w:val="auto"/>
          <w:szCs w:val="21"/>
          <w:highlight w:val="none"/>
          <w:u w:val="single"/>
          <w:lang w:val="zh-CN"/>
        </w:rPr>
        <w:t>91</w:t>
      </w:r>
      <w:r>
        <w:rPr>
          <w:rFonts w:hint="eastAsia" w:ascii="宋体" w:hAnsi="宋体" w:cs="Times New Roman"/>
          <w:b/>
          <w:color w:val="auto"/>
          <w:szCs w:val="21"/>
          <w:highlight w:val="none"/>
          <w:u w:val="single"/>
          <w:lang w:val="zh-CN"/>
        </w:rPr>
        <w:t>号修订版）规定的销售额</w:t>
      </w:r>
      <w:r>
        <w:rPr>
          <w:rFonts w:hint="eastAsia" w:ascii="宋体" w:hAnsi="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cs="宋体"/>
          <w:color w:val="auto"/>
          <w:kern w:val="0"/>
          <w:szCs w:val="21"/>
          <w:highlight w:val="none"/>
        </w:rPr>
        <w:t>本采购项目投标报价已含投标人履行本招标内容全部义务的一切费用，包括但不限于：</w:t>
      </w:r>
    </w:p>
    <w:p>
      <w:pPr>
        <w:spacing w:line="360" w:lineRule="auto"/>
        <w:ind w:left="315" w:leftChars="-100" w:hanging="525" w:hangingChars="2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招标范围内所有货物的研究、采购、制造、检验、配合试验</w:t>
      </w:r>
      <w:r>
        <w:rPr>
          <w:rFonts w:hint="eastAsia" w:ascii="宋体" w:hAnsi="宋体"/>
          <w:color w:val="auto"/>
          <w:szCs w:val="21"/>
          <w:highlight w:val="none"/>
        </w:rPr>
        <w:t>（</w:t>
      </w:r>
      <w:r>
        <w:rPr>
          <w:rFonts w:ascii="宋体" w:hAnsi="宋体" w:cs="宋体"/>
          <w:color w:val="auto"/>
          <w:kern w:val="0"/>
          <w:szCs w:val="21"/>
          <w:highlight w:val="none"/>
        </w:rPr>
        <w:t>含小试、中试</w:t>
      </w:r>
      <w:r>
        <w:rPr>
          <w:rFonts w:hint="eastAsia" w:ascii="宋体" w:hAnsi="宋体" w:cs="宋体"/>
          <w:color w:val="auto"/>
          <w:kern w:val="0"/>
          <w:szCs w:val="21"/>
          <w:highlight w:val="none"/>
        </w:rPr>
        <w:t>）</w:t>
      </w:r>
      <w:r>
        <w:rPr>
          <w:rFonts w:ascii="宋体" w:hAnsi="宋体" w:cs="宋体"/>
          <w:color w:val="auto"/>
          <w:kern w:val="0"/>
          <w:szCs w:val="21"/>
          <w:highlight w:val="none"/>
        </w:rPr>
        <w:t>、包装、储存、运输</w:t>
      </w:r>
      <w:r>
        <w:rPr>
          <w:rFonts w:hint="eastAsia" w:ascii="宋体" w:hAnsi="宋体"/>
          <w:color w:val="auto"/>
          <w:szCs w:val="21"/>
          <w:highlight w:val="none"/>
        </w:rPr>
        <w:t>（</w:t>
      </w:r>
      <w:r>
        <w:rPr>
          <w:rFonts w:ascii="宋体" w:hAnsi="宋体" w:cs="宋体"/>
          <w:color w:val="auto"/>
          <w:kern w:val="0"/>
          <w:szCs w:val="21"/>
          <w:highlight w:val="none"/>
        </w:rPr>
        <w:t>退换货运输）、称重、装卸、安全、保险、培训、验收的费用</w:t>
      </w:r>
      <w:r>
        <w:rPr>
          <w:rFonts w:hint="eastAsia" w:ascii="宋体" w:hAnsi="宋体" w:cs="宋体"/>
          <w:color w:val="auto"/>
          <w:kern w:val="0"/>
          <w:szCs w:val="21"/>
          <w:highlight w:val="none"/>
        </w:rPr>
        <w:t>；</w:t>
      </w:r>
    </w:p>
    <w:p>
      <w:pPr>
        <w:spacing w:line="360" w:lineRule="auto"/>
        <w:ind w:left="315" w:leftChars="-100" w:hanging="525" w:hangingChars="250"/>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2</w:t>
      </w:r>
      <w:r>
        <w:rPr>
          <w:rFonts w:ascii="宋体" w:hAnsi="宋体" w:cs="宋体"/>
          <w:color w:val="auto"/>
          <w:kern w:val="0"/>
          <w:szCs w:val="21"/>
          <w:highlight w:val="none"/>
        </w:rPr>
        <w:t>）应急供货费用、为满足项目调试需求导致的小批量、多频次分散供货的成本以及货物运输、货物验收合格前发生的安全事故所产生的一切费用；</w:t>
      </w:r>
    </w:p>
    <w:p>
      <w:pPr>
        <w:spacing w:line="360" w:lineRule="auto"/>
        <w:ind w:left="315" w:leftChars="-100" w:hanging="525" w:hangingChars="25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投标货物及其工艺所有制造方、使用方应支付的对专有技术、商标权、专利权和版权、设计或其他知识产权而需要向其他方支付的版税</w:t>
      </w:r>
      <w:r>
        <w:rPr>
          <w:rFonts w:hint="eastAsia" w:ascii="宋体" w:hAnsi="宋体" w:cs="宋体"/>
          <w:color w:val="auto"/>
          <w:kern w:val="0"/>
          <w:szCs w:val="21"/>
          <w:highlight w:val="none"/>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日常技术指导，免费的质保服务，包括但不限于免费现场质量问题处理或更换无效产品，按招</w:t>
      </w:r>
      <w:r>
        <w:rPr>
          <w:rFonts w:ascii="宋体" w:hAnsi="宋体" w:cs="宋体"/>
          <w:color w:val="auto"/>
          <w:kern w:val="0"/>
          <w:szCs w:val="21"/>
          <w:highlight w:val="none"/>
        </w:rPr>
        <w:t>(4)标人要求小试、中试，并以招标人确认的最优化的产品成分配比供货</w:t>
      </w:r>
      <w:r>
        <w:rPr>
          <w:rFonts w:hint="eastAsia" w:ascii="宋体" w:hAnsi="宋体" w:cs="宋体"/>
          <w:color w:val="auto"/>
          <w:kern w:val="0"/>
          <w:szCs w:val="21"/>
          <w:highlight w:val="none"/>
          <w:lang w:eastAsia="zh-CN"/>
        </w:rPr>
        <w:t>；</w:t>
      </w:r>
    </w:p>
    <w:p>
      <w:pPr>
        <w:spacing w:line="360" w:lineRule="auto"/>
        <w:ind w:left="315" w:leftChars="-100" w:hanging="525" w:hangingChars="250"/>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5</w:t>
      </w:r>
      <w:r>
        <w:rPr>
          <w:rFonts w:ascii="宋体" w:hAnsi="宋体" w:cs="宋体"/>
          <w:color w:val="auto"/>
          <w:kern w:val="0"/>
          <w:szCs w:val="21"/>
          <w:highlight w:val="none"/>
        </w:rPr>
        <w:t>）合理利润、投标人销项税额以外的税费等</w:t>
      </w:r>
      <w:r>
        <w:rPr>
          <w:rFonts w:hint="eastAsia" w:ascii="宋体" w:hAnsi="宋体" w:cs="宋体"/>
          <w:color w:val="auto"/>
          <w:kern w:val="0"/>
          <w:szCs w:val="21"/>
          <w:highlight w:val="none"/>
        </w:rPr>
        <w:t>；</w:t>
      </w:r>
    </w:p>
    <w:p>
      <w:pPr>
        <w:spacing w:line="360" w:lineRule="auto"/>
        <w:ind w:left="315" w:leftChars="-100" w:hanging="525" w:hangingChars="250"/>
        <w:rPr>
          <w:rFonts w:ascii="宋体" w:hAnsi="宋体" w:cs="宋体"/>
          <w:color w:val="auto"/>
          <w:kern w:val="0"/>
          <w:szCs w:val="21"/>
          <w:highlight w:val="none"/>
        </w:rPr>
      </w:pPr>
      <w:r>
        <w:rPr>
          <w:rFonts w:hint="eastAsia" w:ascii="宋体" w:hAnsi="宋体" w:cs="宋体"/>
          <w:color w:val="auto"/>
          <w:kern w:val="0"/>
          <w:szCs w:val="21"/>
          <w:highlight w:val="none"/>
        </w:rPr>
        <w:t>（6）法律法规、商业公认、招标文件规定由投标人承担的其他直接及间接费用。</w:t>
      </w:r>
    </w:p>
    <w:p>
      <w:pPr>
        <w:autoSpaceDE w:val="0"/>
        <w:autoSpaceDN w:val="0"/>
        <w:adjustRightInd w:val="0"/>
        <w:spacing w:line="360" w:lineRule="auto"/>
        <w:ind w:left="357" w:leftChars="-100" w:hanging="567"/>
        <w:rPr>
          <w:rFonts w:ascii="宋体" w:hAnsi="宋体" w:cs="宋体"/>
          <w:color w:val="auto"/>
          <w:kern w:val="0"/>
          <w:szCs w:val="21"/>
          <w:highlight w:val="none"/>
        </w:rPr>
      </w:pPr>
      <w:r>
        <w:rPr>
          <w:rFonts w:hint="eastAsia" w:ascii="宋体" w:hAnsi="宋体" w:cs="宋体"/>
          <w:color w:val="auto"/>
          <w:kern w:val="0"/>
          <w:szCs w:val="21"/>
          <w:highlight w:val="none"/>
        </w:rPr>
        <w:t>11.3</w:t>
      </w:r>
      <w:r>
        <w:rPr>
          <w:rFonts w:ascii="宋体" w:hAnsi="宋体" w:cs="宋体"/>
          <w:color w:val="auto"/>
          <w:kern w:val="0"/>
          <w:szCs w:val="21"/>
          <w:highlight w:val="none"/>
        </w:rPr>
        <w:t xml:space="preserve"> </w:t>
      </w:r>
      <w:r>
        <w:rPr>
          <w:rFonts w:hint="eastAsia" w:ascii="宋体" w:hAnsi="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cs="Times New Roman"/>
          <w:color w:val="auto"/>
          <w:szCs w:val="21"/>
          <w:highlight w:val="none"/>
          <w:lang w:val="zh-CN"/>
        </w:rPr>
        <w:t>第</w:t>
      </w:r>
      <w:r>
        <w:rPr>
          <w:rFonts w:ascii="宋体" w:hAnsi="宋体" w:cs="Times New Roman"/>
          <w:color w:val="auto"/>
          <w:szCs w:val="21"/>
          <w:highlight w:val="none"/>
          <w:lang w:val="zh-CN"/>
        </w:rPr>
        <w:t>11.</w:t>
      </w:r>
      <w:r>
        <w:rPr>
          <w:rFonts w:hint="eastAsia" w:ascii="宋体" w:hAnsi="宋体" w:cs="Times New Roman"/>
          <w:color w:val="auto"/>
          <w:szCs w:val="21"/>
          <w:highlight w:val="none"/>
        </w:rPr>
        <w:t>2</w:t>
      </w:r>
      <w:r>
        <w:rPr>
          <w:rFonts w:hint="eastAsia" w:ascii="宋体" w:hAnsi="宋体" w:cs="Times New Roman"/>
          <w:color w:val="auto"/>
          <w:szCs w:val="21"/>
          <w:highlight w:val="none"/>
          <w:lang w:val="zh-CN"/>
        </w:rPr>
        <w:t>款</w:t>
      </w:r>
      <w:r>
        <w:rPr>
          <w:rFonts w:hint="eastAsia" w:ascii="宋体" w:hAnsi="宋体" w:cs="Times New Roman"/>
          <w:color w:val="auto"/>
          <w:szCs w:val="21"/>
          <w:highlight w:val="none"/>
          <w:lang w:val="zh-CN"/>
        </w:rPr>
        <w:fldChar w:fldCharType="end"/>
      </w:r>
      <w:r>
        <w:rPr>
          <w:rFonts w:hint="eastAsia" w:ascii="宋体" w:hAnsi="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cs="宋体"/>
          <w:color w:val="auto"/>
          <w:kern w:val="0"/>
          <w:szCs w:val="21"/>
          <w:highlight w:val="none"/>
        </w:rPr>
      </w:pPr>
      <w:r>
        <w:rPr>
          <w:rFonts w:hint="eastAsia" w:ascii="宋体" w:hAnsi="宋体" w:cs="宋体"/>
          <w:color w:val="auto"/>
          <w:kern w:val="0"/>
          <w:szCs w:val="21"/>
          <w:highlight w:val="none"/>
        </w:rPr>
        <w:t>11.4 在合同期间，投标报价不随国家政策或法规、标准、市场因素及采购数量的变化而进行调整</w:t>
      </w:r>
      <w:r>
        <w:rPr>
          <w:rFonts w:hint="eastAsia" w:ascii="宋体" w:hAnsi="宋体" w:cs="Times New Roman"/>
          <w:color w:val="auto"/>
          <w:kern w:val="0"/>
          <w:szCs w:val="21"/>
          <w:highlight w:val="none"/>
          <w:lang w:val="zh-CN"/>
        </w:rPr>
        <w:t>。</w:t>
      </w:r>
      <w:r>
        <w:rPr>
          <w:rFonts w:hint="eastAsia" w:ascii="宋体" w:hAnsi="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cs="Times New Roman"/>
          <w:b/>
          <w:bCs/>
          <w:color w:val="auto"/>
          <w:szCs w:val="21"/>
          <w:highlight w:val="none"/>
          <w:lang w:val="zh-CN"/>
        </w:rPr>
      </w:pPr>
      <w:r>
        <w:rPr>
          <w:rFonts w:hint="eastAsia" w:ascii="宋体" w:hAnsi="宋体" w:cs="宋体"/>
          <w:color w:val="auto"/>
          <w:szCs w:val="21"/>
          <w:highlight w:val="none"/>
          <w:lang w:val="zh-CN"/>
        </w:rPr>
        <w:t xml:space="preserve">11.5 </w:t>
      </w:r>
      <w:r>
        <w:rPr>
          <w:rFonts w:hint="eastAsia" w:ascii="宋体" w:hAnsi="宋体" w:cs="Times New Roman"/>
          <w:b/>
          <w:bCs/>
          <w:color w:val="auto"/>
          <w:szCs w:val="21"/>
          <w:highlight w:val="none"/>
          <w:lang w:val="zh-CN"/>
        </w:rPr>
        <w:t>合同项下，招标人需要的货物及</w:t>
      </w:r>
      <w:r>
        <w:rPr>
          <w:rFonts w:hint="eastAsia" w:ascii="宋体" w:hAnsi="宋体" w:cs="Times New Roman"/>
          <w:b/>
          <w:bCs/>
          <w:color w:val="auto"/>
          <w:szCs w:val="21"/>
          <w:highlight w:val="none"/>
        </w:rPr>
        <w:t>有关</w:t>
      </w:r>
      <w:r>
        <w:rPr>
          <w:rFonts w:hint="eastAsia" w:ascii="宋体" w:hAnsi="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ascii="宋体" w:hAnsi="宋体" w:cs="宋体"/>
          <w:b/>
          <w:color w:val="auto"/>
          <w:szCs w:val="21"/>
          <w:highlight w:val="none"/>
          <w:lang w:val="zh-CN"/>
        </w:rPr>
      </w:pPr>
      <w:r>
        <w:rPr>
          <w:rFonts w:hint="eastAsia" w:ascii="宋体" w:hAnsi="宋体" w:cs="宋体"/>
          <w:color w:val="auto"/>
          <w:szCs w:val="21"/>
          <w:highlight w:val="none"/>
          <w:lang w:val="zh-CN"/>
        </w:rPr>
        <w:t>11.6</w:t>
      </w:r>
      <w:r>
        <w:rPr>
          <w:rFonts w:hint="eastAsia" w:ascii="宋体" w:hAnsi="宋体" w:cs="Times New Roman"/>
          <w:b/>
          <w:bCs/>
          <w:color w:val="auto"/>
          <w:szCs w:val="21"/>
          <w:highlight w:val="none"/>
          <w:u w:val="single"/>
        </w:rPr>
        <w:t xml:space="preserve"> </w:t>
      </w:r>
      <w:r>
        <w:rPr>
          <w:rFonts w:hint="eastAsia" w:ascii="宋体" w:hAnsi="宋体" w:cs="宋体"/>
          <w:b/>
          <w:color w:val="auto"/>
          <w:szCs w:val="21"/>
          <w:highlight w:val="none"/>
          <w:u w:val="single"/>
          <w:lang w:val="zh-CN"/>
        </w:rPr>
        <w:t>投标人</w:t>
      </w:r>
      <w:r>
        <w:rPr>
          <w:rFonts w:hint="eastAsia" w:ascii="宋体" w:hAnsi="宋体" w:cs="Times New Roman"/>
          <w:b/>
          <w:bCs/>
          <w:color w:val="auto"/>
          <w:kern w:val="0"/>
          <w:szCs w:val="24"/>
          <w:highlight w:val="none"/>
          <w:u w:val="single"/>
        </w:rPr>
        <w:t>的投标报价高于最高投标限价的，该投标人的投标文件将被视为无效投标</w:t>
      </w:r>
      <w:r>
        <w:rPr>
          <w:rFonts w:hint="eastAsia" w:ascii="宋体" w:hAnsi="宋体" w:cs="宋体"/>
          <w:b/>
          <w:color w:val="auto"/>
          <w:szCs w:val="21"/>
          <w:highlight w:val="none"/>
          <w:u w:val="single"/>
          <w:lang w:val="zh-CN"/>
        </w:rPr>
        <w:t>。其中，阳离子聚丙烯酰胺最高投标限价（不含税综合单价）为</w:t>
      </w:r>
      <w:r>
        <w:rPr>
          <w:rFonts w:hint="eastAsia" w:ascii="宋体" w:hAnsi="宋体" w:cs="宋体"/>
          <w:b/>
          <w:color w:val="auto"/>
          <w:szCs w:val="21"/>
          <w:highlight w:val="none"/>
          <w:u w:val="single"/>
          <w:lang w:val="en-US" w:eastAsia="zh-CN"/>
        </w:rPr>
        <w:t>13,888.14</w:t>
      </w:r>
      <w:r>
        <w:rPr>
          <w:rFonts w:ascii="宋体" w:hAnsi="宋体" w:cs="宋体"/>
          <w:b/>
          <w:color w:val="auto"/>
          <w:szCs w:val="21"/>
          <w:highlight w:val="none"/>
          <w:u w:val="single"/>
          <w:lang w:val="zh-CN"/>
        </w:rPr>
        <w:t>元</w:t>
      </w:r>
      <w:r>
        <w:rPr>
          <w:rFonts w:hint="eastAsia" w:ascii="宋体" w:hAnsi="宋体" w:cs="宋体"/>
          <w:b/>
          <w:color w:val="auto"/>
          <w:szCs w:val="21"/>
          <w:highlight w:val="none"/>
          <w:u w:val="single"/>
          <w:lang w:val="zh-CN"/>
        </w:rPr>
        <w:t>/吨</w:t>
      </w:r>
      <w:r>
        <w:rPr>
          <w:rFonts w:hint="eastAsia" w:ascii="宋体" w:hAnsi="宋体" w:cs="Times New Roman"/>
          <w:b/>
          <w:bCs/>
          <w:color w:val="auto"/>
          <w:szCs w:val="21"/>
          <w:highlight w:val="none"/>
          <w:u w:val="single"/>
          <w:lang w:val="zh-CN"/>
        </w:rPr>
        <w:t>（大写</w:t>
      </w:r>
      <w:r>
        <w:rPr>
          <w:rFonts w:hint="eastAsia" w:ascii="宋体" w:hAnsi="宋体" w:cs="宋体"/>
          <w:b/>
          <w:color w:val="auto"/>
          <w:szCs w:val="21"/>
          <w:highlight w:val="none"/>
          <w:u w:val="single"/>
          <w:lang w:val="zh-CN"/>
        </w:rPr>
        <w:t>：</w:t>
      </w:r>
      <w:r>
        <w:rPr>
          <w:rFonts w:hint="eastAsia" w:ascii="宋体" w:hAnsi="宋体" w:cs="宋体"/>
          <w:b/>
          <w:color w:val="auto"/>
          <w:szCs w:val="21"/>
          <w:highlight w:val="none"/>
          <w:u w:val="single"/>
        </w:rPr>
        <w:t>每吨</w:t>
      </w:r>
      <w:r>
        <w:rPr>
          <w:rFonts w:hint="eastAsia" w:ascii="宋体" w:hAnsi="宋体" w:cs="宋体"/>
          <w:b/>
          <w:color w:val="auto"/>
          <w:szCs w:val="21"/>
          <w:highlight w:val="none"/>
          <w:u w:val="single"/>
          <w:lang w:val="zh-CN"/>
        </w:rPr>
        <w:t>人民币</w:t>
      </w:r>
      <w:r>
        <w:rPr>
          <w:rFonts w:hint="eastAsia" w:ascii="宋体" w:hAnsi="宋体" w:cs="宋体"/>
          <w:b/>
          <w:color w:val="auto"/>
          <w:szCs w:val="21"/>
          <w:highlight w:val="none"/>
          <w:u w:val="single"/>
          <w:lang w:val="en-US" w:eastAsia="zh-CN"/>
        </w:rPr>
        <w:t>壹万叁仟捌佰捌拾捌元壹角肆分</w:t>
      </w:r>
      <w:r>
        <w:rPr>
          <w:rFonts w:hint="eastAsia" w:ascii="宋体" w:hAnsi="宋体" w:cs="宋体"/>
          <w:b/>
          <w:color w:val="auto"/>
          <w:szCs w:val="21"/>
          <w:highlight w:val="none"/>
          <w:u w:val="single"/>
          <w:lang w:val="zh-CN"/>
        </w:rPr>
        <w:t>），暂定采购数量对应的不含税总价最高投标限价</w:t>
      </w:r>
      <w:r>
        <w:rPr>
          <w:rFonts w:hint="eastAsia" w:ascii="宋体" w:hAnsi="宋体" w:cs="Times New Roman"/>
          <w:b/>
          <w:bCs/>
          <w:color w:val="auto"/>
          <w:szCs w:val="21"/>
          <w:highlight w:val="none"/>
          <w:u w:val="single"/>
          <w:lang w:val="zh-CN"/>
        </w:rPr>
        <w:t>为</w:t>
      </w:r>
      <w:r>
        <w:rPr>
          <w:rFonts w:hint="eastAsia" w:ascii="宋体" w:hAnsi="宋体" w:cs="Times New Roman"/>
          <w:b/>
          <w:bCs/>
          <w:color w:val="auto"/>
          <w:szCs w:val="21"/>
          <w:highlight w:val="none"/>
          <w:u w:val="single"/>
          <w:lang w:val="en-US" w:eastAsia="zh-CN"/>
        </w:rPr>
        <w:t>1,527,695.40</w:t>
      </w:r>
      <w:r>
        <w:rPr>
          <w:rFonts w:hint="eastAsia" w:ascii="宋体" w:hAnsi="宋体" w:cs="Times New Roman"/>
          <w:b/>
          <w:bCs/>
          <w:color w:val="auto"/>
          <w:szCs w:val="21"/>
          <w:highlight w:val="none"/>
          <w:u w:val="single"/>
          <w:lang w:val="zh-CN"/>
        </w:rPr>
        <w:t>元（大写</w:t>
      </w:r>
      <w:r>
        <w:rPr>
          <w:rFonts w:hint="eastAsia" w:ascii="宋体" w:hAnsi="宋体" w:cs="宋体"/>
          <w:b/>
          <w:color w:val="auto"/>
          <w:szCs w:val="21"/>
          <w:highlight w:val="none"/>
          <w:u w:val="single"/>
          <w:lang w:val="zh-CN"/>
        </w:rPr>
        <w:t>：人民币</w:t>
      </w:r>
      <w:r>
        <w:rPr>
          <w:rFonts w:hint="eastAsia" w:ascii="宋体" w:hAnsi="宋体" w:cs="宋体"/>
          <w:b/>
          <w:color w:val="auto"/>
          <w:szCs w:val="21"/>
          <w:highlight w:val="none"/>
          <w:u w:val="single"/>
          <w:lang w:val="en-US" w:eastAsia="zh-CN"/>
        </w:rPr>
        <w:t>壹佰伍拾贰万柒仟陆佰玖拾伍元肆角整</w:t>
      </w:r>
      <w:r>
        <w:rPr>
          <w:rFonts w:hint="eastAsia" w:ascii="宋体" w:hAnsi="宋体" w:cs="宋体"/>
          <w:b/>
          <w:color w:val="auto"/>
          <w:szCs w:val="21"/>
          <w:highlight w:val="none"/>
          <w:u w:val="single"/>
          <w:lang w:val="zh-CN"/>
        </w:rPr>
        <w:t>）。</w:t>
      </w:r>
    </w:p>
    <w:p>
      <w:pPr>
        <w:autoSpaceDE w:val="0"/>
        <w:autoSpaceDN w:val="0"/>
        <w:adjustRightInd w:val="0"/>
        <w:spacing w:line="360" w:lineRule="auto"/>
        <w:ind w:left="357" w:leftChars="-100" w:hanging="567"/>
        <w:rPr>
          <w:rFonts w:ascii="宋体" w:hAnsi="宋体" w:cs="宋体"/>
          <w:color w:val="auto"/>
          <w:szCs w:val="21"/>
          <w:highlight w:val="none"/>
        </w:rPr>
      </w:pPr>
      <w:r>
        <w:rPr>
          <w:rFonts w:ascii="宋体" w:hAnsi="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cs="宋体"/>
          <w:b/>
          <w:color w:val="auto"/>
          <w:szCs w:val="21"/>
          <w:highlight w:val="none"/>
          <w:lang w:val="zh-CN"/>
        </w:rPr>
      </w:pPr>
      <w:bookmarkStart w:id="129" w:name="_Toc142508326"/>
      <w:bookmarkStart w:id="130" w:name="_Toc173684890"/>
      <w:bookmarkStart w:id="131" w:name="_Toc14068"/>
      <w:bookmarkStart w:id="132" w:name="_Toc486167676"/>
      <w:bookmarkStart w:id="133" w:name="_Toc11566"/>
      <w:bookmarkStart w:id="134" w:name="_Toc30042_WPSOffice_Level3"/>
      <w:bookmarkStart w:id="135" w:name="_Toc450662862"/>
      <w:r>
        <w:rPr>
          <w:rFonts w:hint="eastAsia" w:ascii="宋体" w:hAnsi="宋体" w:cs="宋体"/>
          <w:b/>
          <w:color w:val="auto"/>
          <w:szCs w:val="21"/>
          <w:highlight w:val="none"/>
          <w:lang w:val="zh-CN"/>
        </w:rPr>
        <w:t>12</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投标报价货币</w:t>
      </w:r>
      <w:bookmarkEnd w:id="129"/>
      <w:bookmarkEnd w:id="130"/>
      <w:bookmarkEnd w:id="131"/>
      <w:bookmarkEnd w:id="132"/>
      <w:bookmarkEnd w:id="133"/>
      <w:bookmarkEnd w:id="134"/>
      <w:bookmarkEnd w:id="135"/>
    </w:p>
    <w:p>
      <w:pPr>
        <w:autoSpaceDE w:val="0"/>
        <w:autoSpaceDN w:val="0"/>
        <w:adjustRightInd w:val="0"/>
        <w:spacing w:line="360" w:lineRule="auto"/>
        <w:ind w:left="265" w:leftChars="119" w:hanging="15"/>
        <w:rPr>
          <w:rFonts w:ascii="宋体" w:hAnsi="宋体" w:cs="宋体"/>
          <w:b/>
          <w:color w:val="auto"/>
          <w:szCs w:val="21"/>
          <w:highlight w:val="none"/>
          <w:lang w:val="zh-CN"/>
        </w:rPr>
      </w:pPr>
      <w:r>
        <w:rPr>
          <w:rFonts w:hint="eastAsia" w:ascii="宋体" w:hAnsi="宋体" w:cs="宋体"/>
          <w:b/>
          <w:color w:val="auto"/>
          <w:szCs w:val="21"/>
          <w:highlight w:val="none"/>
          <w:u w:val="single"/>
          <w:lang w:val="zh-CN"/>
        </w:rPr>
        <w:t>投标</w:t>
      </w:r>
      <w:r>
        <w:rPr>
          <w:rFonts w:hint="eastAsia" w:ascii="宋体" w:hAnsi="宋体" w:cs="Times New Roman"/>
          <w:b/>
          <w:color w:val="auto"/>
          <w:szCs w:val="21"/>
          <w:highlight w:val="none"/>
          <w:u w:val="single"/>
          <w:lang w:val="zh-CN"/>
        </w:rPr>
        <w:t>报价表上的价格须以人民币报价，以其</w:t>
      </w:r>
      <w:r>
        <w:rPr>
          <w:rFonts w:hint="eastAsia" w:ascii="宋体" w:hAnsi="宋体" w:cs="Times New Roman"/>
          <w:b/>
          <w:color w:val="auto"/>
          <w:szCs w:val="21"/>
          <w:highlight w:val="none"/>
          <w:u w:val="single"/>
        </w:rPr>
        <w:t>他</w:t>
      </w:r>
      <w:r>
        <w:rPr>
          <w:rFonts w:hint="eastAsia" w:ascii="宋体" w:hAnsi="宋体" w:cs="Times New Roman"/>
          <w:b/>
          <w:color w:val="auto"/>
          <w:szCs w:val="21"/>
          <w:highlight w:val="none"/>
          <w:u w:val="single"/>
          <w:lang w:val="zh-CN"/>
        </w:rPr>
        <w:t>货币标价的投标将予以拒绝</w:t>
      </w:r>
      <w:r>
        <w:rPr>
          <w:rFonts w:hint="eastAsia" w:ascii="宋体" w:hAnsi="宋体" w:cs="宋体"/>
          <w:b/>
          <w:color w:val="auto"/>
          <w:szCs w:val="21"/>
          <w:highlight w:val="none"/>
          <w:lang w:val="zh-CN"/>
        </w:rPr>
        <w:t>。</w:t>
      </w:r>
    </w:p>
    <w:p>
      <w:pPr>
        <w:autoSpaceDE w:val="0"/>
        <w:autoSpaceDN w:val="0"/>
        <w:adjustRightInd w:val="0"/>
        <w:spacing w:line="360" w:lineRule="auto"/>
        <w:ind w:left="265" w:leftChars="119" w:hanging="15"/>
        <w:rPr>
          <w:rFonts w:ascii="宋体" w:hAnsi="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36" w:name="_Toc142508327"/>
      <w:bookmarkStart w:id="137" w:name="_Toc25596"/>
      <w:bookmarkStart w:id="138" w:name="_Toc486167677"/>
      <w:bookmarkStart w:id="139" w:name="_Toc173684891"/>
      <w:bookmarkStart w:id="140" w:name="_Toc9411_WPSOffice_Level3"/>
      <w:bookmarkStart w:id="141" w:name="_Toc11501"/>
      <w:bookmarkStart w:id="142" w:name="_Toc450662863"/>
      <w:r>
        <w:rPr>
          <w:rFonts w:hint="eastAsia" w:ascii="宋体" w:hAnsi="宋体" w:cs="宋体"/>
          <w:color w:val="auto"/>
          <w:szCs w:val="21"/>
          <w:highlight w:val="none"/>
          <w:lang w:val="zh-CN"/>
        </w:rPr>
        <w:t>13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13.1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cs="宋体"/>
          <w:color w:val="auto"/>
          <w:szCs w:val="21"/>
          <w:highlight w:val="none"/>
          <w:vertAlign w:val="superscript"/>
          <w:lang w:val="zh-CN"/>
        </w:rPr>
      </w:pPr>
      <w:r>
        <w:rPr>
          <w:rFonts w:hint="eastAsia" w:ascii="宋体" w:hAnsi="宋体" w:cs="宋体"/>
          <w:color w:val="auto"/>
          <w:szCs w:val="21"/>
          <w:highlight w:val="none"/>
          <w:lang w:val="zh-CN"/>
        </w:rPr>
        <w:t>13.2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（3）投标人证明其相应资格</w:t>
      </w:r>
      <w:r>
        <w:rPr>
          <w:rFonts w:hint="eastAsia" w:ascii="宋体" w:hAnsi="宋体" w:cs="Times New Roman"/>
          <w:color w:val="auto"/>
          <w:szCs w:val="21"/>
          <w:highlight w:val="none"/>
          <w:lang w:val="zh-CN"/>
        </w:rPr>
        <w:t>符合或</w:t>
      </w:r>
      <w:r>
        <w:rPr>
          <w:rFonts w:hint="eastAsia" w:ascii="宋体" w:hAnsi="宋体" w:cs="宋体"/>
          <w:color w:val="auto"/>
          <w:szCs w:val="21"/>
          <w:highlight w:val="none"/>
          <w:lang w:val="zh-CN"/>
        </w:rPr>
        <w:t>优于招标文件要求的其它文件。</w:t>
      </w:r>
    </w:p>
    <w:p>
      <w:pPr>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13.3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投标人</w:t>
      </w:r>
      <w:r>
        <w:rPr>
          <w:rFonts w:hint="eastAsia" w:ascii="宋体" w:hAnsi="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43" w:name="_Toc450662864"/>
      <w:bookmarkStart w:id="144" w:name="_Toc142508328"/>
      <w:bookmarkStart w:id="145" w:name="_Toc27771_WPSOffice_Level3"/>
      <w:bookmarkStart w:id="146" w:name="_Toc486167678"/>
      <w:bookmarkStart w:id="147" w:name="_Toc173684892"/>
      <w:bookmarkStart w:id="148" w:name="_Toc30441"/>
      <w:bookmarkStart w:id="149" w:name="_Toc5769"/>
      <w:r>
        <w:rPr>
          <w:rFonts w:hint="eastAsia" w:ascii="宋体" w:hAnsi="宋体" w:cs="宋体"/>
          <w:color w:val="auto"/>
          <w:szCs w:val="21"/>
          <w:highlight w:val="none"/>
          <w:lang w:val="zh-CN"/>
        </w:rPr>
        <w:t>14</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pPr>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14.1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根据</w:t>
      </w:r>
      <w:r>
        <w:rPr>
          <w:rFonts w:hint="eastAsia" w:ascii="宋体" w:hAnsi="宋体" w:cs="宋体"/>
          <w:color w:val="auto"/>
          <w:kern w:val="0"/>
          <w:szCs w:val="21"/>
          <w:highlight w:val="none"/>
        </w:rPr>
        <w:t>第9</w:t>
      </w:r>
      <w:r>
        <w:rPr>
          <w:rFonts w:hint="eastAsia" w:ascii="宋体" w:hAnsi="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14.2  证明</w:t>
      </w:r>
      <w:r>
        <w:rPr>
          <w:rFonts w:hint="eastAsia" w:ascii="宋体" w:hAnsi="宋体" w:cs="宋体"/>
          <w:color w:val="auto"/>
          <w:kern w:val="0"/>
          <w:szCs w:val="21"/>
          <w:highlight w:val="none"/>
        </w:rPr>
        <w:t>货物及有关服务</w:t>
      </w:r>
      <w:r>
        <w:rPr>
          <w:rFonts w:hint="eastAsia" w:ascii="宋体" w:hAnsi="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cs="宋体"/>
          <w:b/>
          <w:color w:val="auto"/>
          <w:szCs w:val="21"/>
          <w:highlight w:val="none"/>
          <w:lang w:val="zh-CN"/>
        </w:rPr>
      </w:pPr>
      <w:r>
        <w:rPr>
          <w:rFonts w:hint="eastAsia" w:ascii="宋体" w:hAnsi="宋体" w:cs="宋体"/>
          <w:color w:val="auto"/>
          <w:szCs w:val="21"/>
          <w:highlight w:val="none"/>
          <w:lang w:val="zh-CN"/>
        </w:rPr>
        <w:t xml:space="preserve">14.3 </w:t>
      </w:r>
      <w:r>
        <w:rPr>
          <w:rFonts w:hint="eastAsia" w:ascii="宋体" w:hAnsi="宋体" w:cs="宋体"/>
          <w:b/>
          <w:color w:val="auto"/>
          <w:szCs w:val="21"/>
          <w:highlight w:val="none"/>
          <w:u w:val="single"/>
          <w:lang w:val="zh-CN"/>
        </w:rPr>
        <w:t>为说明第14.2款的规定，</w:t>
      </w:r>
      <w:r>
        <w:rPr>
          <w:rFonts w:hint="eastAsia" w:ascii="宋体" w:hAnsi="宋体" w:cs="Times New Roman"/>
          <w:b/>
          <w:color w:val="auto"/>
          <w:szCs w:val="21"/>
          <w:highlight w:val="none"/>
          <w:u w:val="singl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cs="Times New Roman"/>
          <w:b/>
          <w:color w:val="auto"/>
          <w:szCs w:val="21"/>
          <w:highlight w:val="none"/>
          <w:u w:val="single"/>
          <w:lang w:val="zh-CN"/>
        </w:rPr>
        <w:t>凡标有“</w:t>
      </w:r>
      <w:r>
        <w:rPr>
          <w:rFonts w:hint="eastAsia" w:ascii="宋体" w:hAnsi="宋体" w:cs="Times New Roman"/>
          <w:b/>
          <w:color w:val="auto"/>
          <w:szCs w:val="21"/>
          <w:highlight w:val="none"/>
          <w:u w:val="single"/>
          <w:lang w:val="zh-CN"/>
        </w:rPr>
        <w:t>★</w:t>
      </w:r>
      <w:r>
        <w:rPr>
          <w:rFonts w:ascii="宋体" w:hAnsi="宋体" w:cs="Times New Roman"/>
          <w:b/>
          <w:color w:val="auto"/>
          <w:szCs w:val="21"/>
          <w:highlight w:val="none"/>
          <w:u w:val="single"/>
          <w:lang w:val="zh-CN"/>
        </w:rPr>
        <w:t>”的地方均被视为重要的技术指标要求或性能要求。投标</w:t>
      </w:r>
      <w:r>
        <w:rPr>
          <w:rFonts w:hint="eastAsia" w:ascii="宋体" w:hAnsi="宋体" w:cs="Times New Roman"/>
          <w:b/>
          <w:color w:val="auto"/>
          <w:szCs w:val="21"/>
          <w:highlight w:val="none"/>
          <w:u w:val="single"/>
          <w:lang w:val="zh-CN"/>
        </w:rPr>
        <w:t>人</w:t>
      </w:r>
      <w:r>
        <w:rPr>
          <w:rFonts w:ascii="宋体" w:hAnsi="宋体" w:cs="Times New Roman"/>
          <w:b/>
          <w:color w:val="auto"/>
          <w:szCs w:val="21"/>
          <w:highlight w:val="none"/>
          <w:u w:val="single"/>
          <w:lang w:val="zh-CN"/>
        </w:rPr>
        <w:t>要特别加以注意，必须对此回答并完全满足这些要求</w:t>
      </w:r>
      <w:r>
        <w:rPr>
          <w:rFonts w:hint="eastAsia" w:ascii="宋体" w:hAnsi="宋体" w:cs="Times New Roman"/>
          <w:b/>
          <w:color w:val="auto"/>
          <w:szCs w:val="21"/>
          <w:highlight w:val="none"/>
          <w:u w:val="single"/>
          <w:lang w:val="zh-CN"/>
        </w:rPr>
        <w:t>，</w:t>
      </w:r>
      <w:r>
        <w:rPr>
          <w:rFonts w:ascii="宋体" w:hAnsi="宋体" w:cs="Times New Roman"/>
          <w:b/>
          <w:color w:val="auto"/>
          <w:szCs w:val="21"/>
          <w:highlight w:val="none"/>
          <w:u w:val="single"/>
          <w:lang w:val="zh-CN"/>
        </w:rPr>
        <w:t>否则若有一项带“</w:t>
      </w:r>
      <w:r>
        <w:rPr>
          <w:rFonts w:hint="eastAsia" w:ascii="宋体" w:hAnsi="宋体" w:cs="Times New Roman"/>
          <w:b/>
          <w:color w:val="auto"/>
          <w:szCs w:val="21"/>
          <w:highlight w:val="none"/>
          <w:u w:val="single"/>
          <w:lang w:val="zh-CN"/>
        </w:rPr>
        <w:t>★</w:t>
      </w:r>
      <w:r>
        <w:rPr>
          <w:rFonts w:ascii="宋体" w:hAnsi="宋体" w:cs="Times New Roman"/>
          <w:b/>
          <w:color w:val="auto"/>
          <w:szCs w:val="21"/>
          <w:highlight w:val="none"/>
          <w:u w:val="single"/>
          <w:lang w:val="zh-CN"/>
        </w:rPr>
        <w:t>”的指标未响应或不满足，将按</w:t>
      </w:r>
      <w:r>
        <w:rPr>
          <w:rFonts w:hint="eastAsia" w:ascii="宋体" w:hAnsi="宋体" w:cs="Times New Roman"/>
          <w:b/>
          <w:color w:val="auto"/>
          <w:szCs w:val="21"/>
          <w:highlight w:val="none"/>
          <w:u w:val="single"/>
          <w:lang w:val="zh-CN"/>
        </w:rPr>
        <w:t>无效投标</w:t>
      </w:r>
      <w:r>
        <w:rPr>
          <w:rFonts w:ascii="宋体" w:hAnsi="宋体" w:cs="Times New Roman"/>
          <w:b/>
          <w:color w:val="auto"/>
          <w:szCs w:val="21"/>
          <w:highlight w:val="none"/>
          <w:u w:val="single"/>
          <w:lang w:val="zh-CN"/>
        </w:rPr>
        <w:t>处理</w:t>
      </w:r>
      <w:r>
        <w:rPr>
          <w:rFonts w:hint="eastAsia" w:ascii="宋体" w:hAnsi="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50" w:name="_Toc142508329"/>
      <w:bookmarkStart w:id="151" w:name="_Toc23197"/>
      <w:bookmarkStart w:id="152" w:name="_Toc486167679"/>
      <w:bookmarkStart w:id="153" w:name="_Toc24774"/>
      <w:bookmarkStart w:id="154" w:name="_Toc173684893"/>
      <w:bookmarkStart w:id="155" w:name="_Toc5356_WPSOffice_Level3"/>
      <w:r>
        <w:rPr>
          <w:rFonts w:hint="eastAsia" w:ascii="宋体" w:hAnsi="宋体" w:cs="宋体"/>
          <w:color w:val="auto"/>
          <w:szCs w:val="21"/>
          <w:highlight w:val="none"/>
          <w:lang w:val="zh-CN"/>
        </w:rPr>
        <w:t>15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投标保证金</w:t>
      </w:r>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rPr>
          <w:rFonts w:ascii="宋体" w:hAnsi="宋体" w:cs="宋体"/>
          <w:color w:val="auto"/>
          <w:kern w:val="0"/>
          <w:szCs w:val="21"/>
          <w:highlight w:val="none"/>
        </w:rPr>
      </w:pPr>
      <w:r>
        <w:rPr>
          <w:rFonts w:hint="eastAsia" w:ascii="宋体" w:hAnsi="宋体" w:cs="宋体"/>
          <w:bCs/>
          <w:color w:val="auto"/>
          <w:kern w:val="0"/>
          <w:szCs w:val="21"/>
          <w:highlight w:val="none"/>
          <w:lang w:val="zh-CN"/>
        </w:rPr>
        <w:t>15.1</w:t>
      </w:r>
      <w:r>
        <w:rPr>
          <w:rFonts w:ascii="宋体" w:hAnsi="宋体" w:cs="宋体"/>
          <w:b/>
          <w:bCs/>
          <w:color w:val="auto"/>
          <w:kern w:val="0"/>
          <w:szCs w:val="21"/>
          <w:highlight w:val="none"/>
          <w:lang w:val="zh-CN"/>
        </w:rPr>
        <w:t xml:space="preserve"> </w:t>
      </w:r>
      <w:r>
        <w:rPr>
          <w:rFonts w:hint="eastAsia" w:ascii="宋体" w:hAnsi="宋体" w:cs="宋体"/>
          <w:b/>
          <w:bCs/>
          <w:color w:val="auto"/>
          <w:kern w:val="0"/>
          <w:szCs w:val="21"/>
          <w:highlight w:val="none"/>
          <w:u w:val="single"/>
          <w:lang w:val="zh-CN"/>
        </w:rPr>
        <w:t>投标人投标时须附有投标保证金</w:t>
      </w:r>
      <w:r>
        <w:rPr>
          <w:rFonts w:hint="eastAsia" w:ascii="宋体" w:hAnsi="宋体" w:cs="宋体"/>
          <w:b/>
          <w:bCs/>
          <w:color w:val="auto"/>
          <w:kern w:val="0"/>
          <w:szCs w:val="21"/>
          <w:highlight w:val="none"/>
          <w:u w:val="single"/>
          <w:lang w:val="en-US" w:eastAsia="zh-CN"/>
        </w:rPr>
        <w:t>25</w:t>
      </w:r>
      <w:r>
        <w:rPr>
          <w:rFonts w:ascii="宋体" w:hAnsi="宋体" w:cs="宋体"/>
          <w:b/>
          <w:bCs/>
          <w:color w:val="auto"/>
          <w:kern w:val="0"/>
          <w:szCs w:val="21"/>
          <w:highlight w:val="none"/>
          <w:u w:val="single"/>
          <w:lang w:val="zh-CN"/>
        </w:rPr>
        <w:t>,000.00</w:t>
      </w:r>
      <w:r>
        <w:rPr>
          <w:rFonts w:hint="eastAsia" w:ascii="宋体" w:hAnsi="宋体" w:cs="宋体"/>
          <w:b/>
          <w:color w:val="auto"/>
          <w:kern w:val="0"/>
          <w:szCs w:val="21"/>
          <w:highlight w:val="none"/>
          <w:u w:val="single"/>
        </w:rPr>
        <w:t>元（大写：人民币</w:t>
      </w:r>
      <w:r>
        <w:rPr>
          <w:rFonts w:hint="eastAsia" w:ascii="宋体" w:hAnsi="宋体" w:cs="宋体"/>
          <w:b/>
          <w:color w:val="auto"/>
          <w:kern w:val="0"/>
          <w:szCs w:val="21"/>
          <w:highlight w:val="none"/>
          <w:u w:val="single"/>
          <w:lang w:val="en-US" w:eastAsia="zh-CN"/>
        </w:rPr>
        <w:t>贰万伍仟</w:t>
      </w:r>
      <w:r>
        <w:rPr>
          <w:rFonts w:hint="eastAsia" w:ascii="宋体" w:hAnsi="宋体" w:cs="宋体"/>
          <w:b/>
          <w:color w:val="auto"/>
          <w:kern w:val="0"/>
          <w:szCs w:val="21"/>
          <w:highlight w:val="none"/>
          <w:u w:val="single"/>
        </w:rPr>
        <w:t>元整）</w:t>
      </w:r>
      <w:r>
        <w:rPr>
          <w:rFonts w:hint="eastAsia" w:ascii="宋体" w:hAnsi="宋体" w:cs="宋体"/>
          <w:b/>
          <w:color w:val="auto"/>
          <w:kern w:val="0"/>
          <w:szCs w:val="21"/>
          <w:highlight w:val="none"/>
        </w:rPr>
        <w:t>。</w:t>
      </w:r>
    </w:p>
    <w:p>
      <w:pPr>
        <w:spacing w:line="360" w:lineRule="auto"/>
        <w:ind w:left="315" w:leftChars="-100" w:hanging="525" w:hangingChars="250"/>
        <w:rPr>
          <w:rFonts w:ascii="宋体" w:hAnsi="宋体" w:cs="宋体"/>
          <w:b/>
          <w:color w:val="auto"/>
          <w:kern w:val="0"/>
          <w:szCs w:val="21"/>
          <w:highlight w:val="none"/>
        </w:rPr>
      </w:pPr>
      <w:r>
        <w:rPr>
          <w:rFonts w:hint="eastAsia" w:ascii="宋体" w:hAnsi="宋体" w:cs="宋体"/>
          <w:bCs/>
          <w:color w:val="auto"/>
          <w:kern w:val="0"/>
          <w:szCs w:val="21"/>
          <w:highlight w:val="none"/>
          <w:lang w:val="zh-CN"/>
        </w:rPr>
        <w:t xml:space="preserve">15.2 </w:t>
      </w:r>
      <w:r>
        <w:rPr>
          <w:rFonts w:hint="eastAsia" w:ascii="宋体" w:hAnsi="宋体" w:cs="宋体"/>
          <w:color w:val="auto"/>
          <w:szCs w:val="21"/>
          <w:highlight w:val="none"/>
          <w:lang w:val="zh-CN"/>
        </w:rPr>
        <w:t>投标人</w:t>
      </w:r>
      <w:r>
        <w:rPr>
          <w:rFonts w:hint="eastAsia" w:ascii="宋体" w:hAnsi="宋体" w:cs="宋体"/>
          <w:color w:val="auto"/>
          <w:kern w:val="0"/>
          <w:szCs w:val="21"/>
          <w:highlight w:val="none"/>
        </w:rPr>
        <w:t>应按要求提交投标保证金，</w:t>
      </w:r>
      <w:r>
        <w:rPr>
          <w:rFonts w:hint="eastAsia" w:ascii="宋体" w:hAnsi="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15.3 提交保证金时应符合下列规定：</w:t>
      </w:r>
    </w:p>
    <w:p>
      <w:pPr>
        <w:spacing w:line="360" w:lineRule="auto"/>
        <w:ind w:firstLine="777" w:firstLineChars="370"/>
        <w:rPr>
          <w:rFonts w:ascii="宋体" w:hAnsi="宋体" w:cs="宋体"/>
          <w:color w:val="auto"/>
          <w:kern w:val="0"/>
          <w:szCs w:val="21"/>
          <w:highlight w:val="none"/>
        </w:rPr>
      </w:pPr>
      <w:r>
        <w:rPr>
          <w:rFonts w:hint="eastAsia" w:ascii="宋体" w:hAnsi="宋体" w:cs="宋体"/>
          <w:color w:val="auto"/>
          <w:kern w:val="0"/>
          <w:szCs w:val="21"/>
          <w:highlight w:val="none"/>
        </w:rPr>
        <w:t>必须通过本单位基本账户采用银行转账、电汇方式提交，且在递交投标文件截止时间前</w:t>
      </w:r>
      <w:r>
        <w:rPr>
          <w:rFonts w:hint="eastAsia" w:ascii="宋体" w:hAnsi="宋体" w:cs="Times New Roman"/>
          <w:color w:val="auto"/>
          <w:kern w:val="0"/>
          <w:szCs w:val="21"/>
          <w:highlight w:val="none"/>
        </w:rPr>
        <w:t>到达</w:t>
      </w:r>
      <w:r>
        <w:rPr>
          <w:rFonts w:hint="eastAsia" w:ascii="宋体" w:hAnsi="宋体" w:cs="宋体"/>
          <w:color w:val="auto"/>
          <w:kern w:val="0"/>
          <w:szCs w:val="21"/>
          <w:highlight w:val="none"/>
        </w:rPr>
        <w:t>以下账户上。</w:t>
      </w:r>
    </w:p>
    <w:p>
      <w:pPr>
        <w:autoSpaceDE w:val="0"/>
        <w:autoSpaceDN w:val="0"/>
        <w:adjustRightInd w:val="0"/>
        <w:spacing w:line="360" w:lineRule="auto"/>
        <w:ind w:left="225" w:leftChars="107" w:firstLine="489" w:firstLineChars="233"/>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开户名称：东莞市众源环境投资有限公司</w:t>
      </w:r>
    </w:p>
    <w:p>
      <w:pPr>
        <w:autoSpaceDE w:val="0"/>
        <w:autoSpaceDN w:val="0"/>
        <w:adjustRightInd w:val="0"/>
        <w:spacing w:line="360" w:lineRule="auto"/>
        <w:ind w:left="225" w:leftChars="107" w:firstLine="489" w:firstLineChars="233"/>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lang w:val="zh-CN"/>
        </w:rPr>
        <w:t>开户银行：招商银行股份有限公司东莞分行</w:t>
      </w:r>
    </w:p>
    <w:p>
      <w:pPr>
        <w:autoSpaceDE w:val="0"/>
        <w:autoSpaceDN w:val="0"/>
        <w:adjustRightInd w:val="0"/>
        <w:spacing w:line="360" w:lineRule="auto"/>
        <w:ind w:left="225" w:leftChars="107" w:firstLine="489" w:firstLineChars="233"/>
        <w:jc w:val="left"/>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银行账号：769908269610828</w:t>
      </w:r>
    </w:p>
    <w:p>
      <w:pPr>
        <w:spacing w:line="360" w:lineRule="auto"/>
        <w:ind w:left="210" w:leftChars="100" w:firstLine="211" w:firstLineChars="100"/>
        <w:rPr>
          <w:rFonts w:ascii="宋体" w:hAnsi="宋体" w:cs="宋体"/>
          <w:b/>
          <w:color w:val="auto"/>
          <w:kern w:val="0"/>
          <w:szCs w:val="21"/>
          <w:highlight w:val="none"/>
        </w:rPr>
      </w:pPr>
      <w:r>
        <w:rPr>
          <w:rFonts w:hint="eastAsia" w:ascii="宋体" w:hAnsi="宋体" w:cs="宋体"/>
          <w:b/>
          <w:color w:val="auto"/>
          <w:kern w:val="0"/>
          <w:szCs w:val="21"/>
          <w:highlight w:val="none"/>
          <w:u w:val="single"/>
        </w:rPr>
        <w:t>投标保证金未按规定时间到达指定账户或提交金额不足的，将被视为无效投标保证金</w:t>
      </w:r>
      <w:r>
        <w:rPr>
          <w:rFonts w:hint="eastAsia" w:ascii="宋体" w:hAnsi="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cs="宋体"/>
          <w:b/>
          <w:color w:val="auto"/>
          <w:kern w:val="0"/>
          <w:szCs w:val="24"/>
          <w:highlight w:val="none"/>
        </w:rPr>
      </w:pPr>
      <w:r>
        <w:rPr>
          <w:rFonts w:hint="eastAsia" w:ascii="宋体" w:hAnsi="宋体" w:cs="宋体"/>
          <w:bCs/>
          <w:color w:val="auto"/>
          <w:szCs w:val="21"/>
          <w:highlight w:val="none"/>
          <w:lang w:val="zh-CN"/>
        </w:rPr>
        <w:t xml:space="preserve">15.4 </w:t>
      </w:r>
      <w:r>
        <w:rPr>
          <w:rFonts w:hint="eastAsia" w:ascii="宋体" w:hAnsi="宋体" w:cs="宋体"/>
          <w:b/>
          <w:color w:val="auto"/>
          <w:kern w:val="0"/>
          <w:szCs w:val="24"/>
          <w:highlight w:val="none"/>
          <w:u w:val="single"/>
        </w:rPr>
        <w:t>任何未按第15.1款、第15.2款、第15.3款规定提交投标保证金的投标，将被视为无效投标</w:t>
      </w:r>
      <w:r>
        <w:rPr>
          <w:rFonts w:hint="eastAsia" w:ascii="宋体" w:hAnsi="宋体" w:cs="宋体"/>
          <w:b/>
          <w:color w:val="auto"/>
          <w:kern w:val="0"/>
          <w:szCs w:val="24"/>
          <w:highlight w:val="none"/>
        </w:rPr>
        <w:t>。</w:t>
      </w:r>
    </w:p>
    <w:p>
      <w:pPr>
        <w:autoSpaceDE w:val="0"/>
        <w:autoSpaceDN w:val="0"/>
        <w:adjustRightInd w:val="0"/>
        <w:spacing w:line="360" w:lineRule="auto"/>
        <w:ind w:left="315" w:leftChars="150"/>
        <w:jc w:val="left"/>
        <w:rPr>
          <w:rFonts w:ascii="宋体" w:hAnsi="宋体" w:cs="宋体"/>
          <w:b/>
          <w:bCs/>
          <w:color w:val="auto"/>
          <w:kern w:val="0"/>
          <w:szCs w:val="24"/>
          <w:highlight w:val="none"/>
        </w:rPr>
      </w:pPr>
      <w:r>
        <w:rPr>
          <w:rFonts w:hint="eastAsia" w:ascii="宋体" w:hAnsi="宋体" w:cs="宋体"/>
          <w:b/>
          <w:color w:val="auto"/>
          <w:kern w:val="0"/>
          <w:szCs w:val="24"/>
          <w:highlight w:val="none"/>
          <w:u w:val="single"/>
          <w:lang w:val="zh-CN"/>
        </w:rPr>
        <w:t>为更快捷将投标保证金关联到本项目，投标人应在转账时注明招标编号，否则</w:t>
      </w:r>
      <w:r>
        <w:rPr>
          <w:rFonts w:hint="eastAsia" w:ascii="宋体" w:hAnsi="宋体" w:cs="宋体"/>
          <w:b/>
          <w:color w:val="auto"/>
          <w:kern w:val="0"/>
          <w:szCs w:val="24"/>
          <w:highlight w:val="none"/>
          <w:u w:val="single"/>
        </w:rPr>
        <w:t>因此</w:t>
      </w:r>
      <w:r>
        <w:rPr>
          <w:rFonts w:hint="eastAsia" w:ascii="宋体" w:hAnsi="宋体" w:cs="宋体"/>
          <w:b/>
          <w:color w:val="auto"/>
          <w:kern w:val="0"/>
          <w:szCs w:val="24"/>
          <w:highlight w:val="none"/>
          <w:u w:val="single"/>
          <w:lang w:val="zh-CN"/>
        </w:rPr>
        <w:t>导致</w:t>
      </w:r>
      <w:r>
        <w:rPr>
          <w:rFonts w:hint="eastAsia" w:ascii="宋体" w:hAnsi="宋体" w:cs="宋体"/>
          <w:b/>
          <w:color w:val="auto"/>
          <w:kern w:val="0"/>
          <w:szCs w:val="24"/>
          <w:highlight w:val="none"/>
          <w:u w:val="single"/>
        </w:rPr>
        <w:t>的无法识别投标保证金对应项目等</w:t>
      </w:r>
      <w:r>
        <w:rPr>
          <w:rFonts w:hint="eastAsia" w:ascii="宋体" w:hAnsi="宋体" w:cs="宋体"/>
          <w:b/>
          <w:color w:val="auto"/>
          <w:kern w:val="0"/>
          <w:szCs w:val="24"/>
          <w:highlight w:val="none"/>
          <w:u w:val="single"/>
          <w:lang w:val="zh-CN"/>
        </w:rPr>
        <w:t>不利后果将由投标人承担</w:t>
      </w:r>
      <w:r>
        <w:rPr>
          <w:rFonts w:hint="eastAsia" w:ascii="宋体" w:hAnsi="宋体" w:cs="宋体"/>
          <w:b/>
          <w:color w:val="auto"/>
          <w:kern w:val="0"/>
          <w:szCs w:val="24"/>
          <w:highlight w:val="none"/>
          <w:lang w:val="zh-CN"/>
        </w:rPr>
        <w:t>。</w:t>
      </w:r>
    </w:p>
    <w:p>
      <w:pPr>
        <w:spacing w:line="360" w:lineRule="auto"/>
        <w:ind w:left="315" w:leftChars="-100" w:hanging="525" w:hangingChars="250"/>
        <w:rPr>
          <w:rFonts w:ascii="宋体" w:hAnsi="宋体" w:cs="宋体"/>
          <w:color w:val="auto"/>
          <w:kern w:val="0"/>
          <w:szCs w:val="21"/>
          <w:highlight w:val="none"/>
        </w:rPr>
      </w:pPr>
      <w:r>
        <w:rPr>
          <w:rFonts w:hint="eastAsia" w:ascii="宋体" w:hAnsi="宋体" w:cs="宋体"/>
          <w:bCs/>
          <w:color w:val="auto"/>
          <w:szCs w:val="21"/>
          <w:highlight w:val="none"/>
          <w:lang w:val="zh-CN"/>
        </w:rPr>
        <w:t xml:space="preserve">15.5 </w:t>
      </w:r>
      <w:r>
        <w:rPr>
          <w:rFonts w:hint="eastAsia" w:ascii="宋体" w:hAnsi="宋体" w:cs="宋体"/>
          <w:color w:val="auto"/>
          <w:kern w:val="0"/>
          <w:szCs w:val="21"/>
          <w:highlight w:val="none"/>
        </w:rPr>
        <w:t>未</w:t>
      </w:r>
      <w:r>
        <w:rPr>
          <w:rFonts w:hint="eastAsia" w:ascii="宋体" w:hAnsi="宋体" w:cs="宋体"/>
          <w:color w:val="auto"/>
          <w:szCs w:val="21"/>
          <w:highlight w:val="none"/>
          <w:lang w:val="zh-CN"/>
        </w:rPr>
        <w:t>中标</w:t>
      </w:r>
      <w:r>
        <w:rPr>
          <w:rFonts w:hint="eastAsia" w:ascii="宋体" w:hAnsi="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cs="Times New Roman"/>
          <w:color w:val="auto"/>
          <w:kern w:val="0"/>
          <w:szCs w:val="21"/>
          <w:highlight w:val="none"/>
        </w:rPr>
        <w:t>投标保证金</w:t>
      </w:r>
      <w:r>
        <w:rPr>
          <w:rFonts w:hint="eastAsia" w:ascii="宋体" w:hAnsi="宋体" w:cs="宋体"/>
          <w:color w:val="auto"/>
          <w:kern w:val="0"/>
          <w:szCs w:val="21"/>
          <w:highlight w:val="none"/>
        </w:rPr>
        <w:t>有效期已延长。</w:t>
      </w:r>
    </w:p>
    <w:p>
      <w:pPr>
        <w:spacing w:line="360" w:lineRule="auto"/>
        <w:ind w:left="357" w:leftChars="-100" w:hanging="567" w:hangingChars="270"/>
        <w:rPr>
          <w:rFonts w:ascii="宋体" w:hAnsi="宋体" w:cs="宋体"/>
          <w:color w:val="auto"/>
          <w:kern w:val="0"/>
          <w:szCs w:val="21"/>
          <w:highlight w:val="none"/>
        </w:rPr>
      </w:pPr>
      <w:r>
        <w:rPr>
          <w:rFonts w:hint="eastAsia" w:ascii="宋体" w:hAnsi="宋体" w:cs="宋体"/>
          <w:bCs/>
          <w:color w:val="auto"/>
          <w:szCs w:val="21"/>
          <w:highlight w:val="none"/>
          <w:lang w:val="zh-CN"/>
        </w:rPr>
        <w:t xml:space="preserve">15.6 </w:t>
      </w:r>
      <w:r>
        <w:rPr>
          <w:rFonts w:hint="eastAsia" w:ascii="宋体" w:hAnsi="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rPr>
        <w:t>最迟应在</w:t>
      </w:r>
      <w:r>
        <w:rPr>
          <w:rFonts w:hint="eastAsia" w:ascii="宋体" w:hAnsi="宋体" w:eastAsia="宋体" w:cs="宋体"/>
          <w:color w:val="auto"/>
          <w:kern w:val="0"/>
          <w:szCs w:val="21"/>
          <w:highlight w:val="none"/>
          <w:lang w:eastAsia="zh-CN"/>
        </w:rPr>
        <w:t>本项目的书面</w:t>
      </w:r>
      <w:r>
        <w:rPr>
          <w:rFonts w:hint="eastAsia" w:ascii="宋体" w:hAnsi="宋体" w:eastAsia="宋体" w:cs="宋体"/>
          <w:color w:val="auto"/>
          <w:kern w:val="0"/>
          <w:szCs w:val="21"/>
          <w:highlight w:val="none"/>
        </w:rPr>
        <w:t>合同签订后5日内退还</w:t>
      </w:r>
      <w:r>
        <w:rPr>
          <w:rFonts w:hint="eastAsia" w:ascii="宋体" w:hAnsi="宋体" w:cs="宋体"/>
          <w:color w:val="auto"/>
          <w:kern w:val="0"/>
          <w:szCs w:val="21"/>
          <w:highlight w:val="none"/>
        </w:rPr>
        <w:t>。</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kern w:val="0"/>
          <w:szCs w:val="21"/>
          <w:highlight w:val="none"/>
        </w:rPr>
        <w:t>（1）中标</w:t>
      </w:r>
      <w:r>
        <w:rPr>
          <w:rFonts w:hint="eastAsia" w:ascii="宋体" w:hAnsi="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cs="宋体"/>
          <w:color w:val="auto"/>
          <w:kern w:val="0"/>
          <w:szCs w:val="21"/>
          <w:highlight w:val="none"/>
        </w:rPr>
      </w:pPr>
      <w:r>
        <w:rPr>
          <w:rFonts w:hint="eastAsia" w:ascii="宋体" w:hAnsi="宋体" w:cs="宋体"/>
          <w:color w:val="auto"/>
          <w:szCs w:val="21"/>
          <w:highlight w:val="none"/>
          <w:lang w:val="zh-CN"/>
        </w:rPr>
        <w:t>（2）在投标过程中</w:t>
      </w:r>
      <w:r>
        <w:rPr>
          <w:rFonts w:hint="eastAsia" w:ascii="宋体" w:hAnsi="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cs="宋体"/>
          <w:b/>
          <w:bCs/>
          <w:color w:val="auto"/>
          <w:kern w:val="0"/>
          <w:szCs w:val="20"/>
          <w:highlight w:val="none"/>
        </w:rPr>
      </w:pPr>
      <w:r>
        <w:rPr>
          <w:rFonts w:hint="eastAsia" w:ascii="宋体" w:hAnsi="宋体" w:cs="宋体"/>
          <w:bCs/>
          <w:color w:val="auto"/>
          <w:szCs w:val="21"/>
          <w:highlight w:val="none"/>
          <w:lang w:val="zh-CN"/>
        </w:rPr>
        <w:t xml:space="preserve">15.7 </w:t>
      </w:r>
      <w:r>
        <w:rPr>
          <w:rFonts w:hint="eastAsia" w:ascii="宋体" w:hAnsi="宋体" w:cs="宋体"/>
          <w:color w:val="auto"/>
          <w:kern w:val="0"/>
          <w:szCs w:val="20"/>
          <w:highlight w:val="none"/>
        </w:rPr>
        <w:t>若</w:t>
      </w:r>
      <w:r>
        <w:rPr>
          <w:rFonts w:hint="eastAsia" w:ascii="宋体" w:hAnsi="宋体" w:cs="宋体"/>
          <w:color w:val="auto"/>
          <w:szCs w:val="21"/>
          <w:highlight w:val="none"/>
          <w:lang w:val="zh-CN"/>
        </w:rPr>
        <w:t>发生</w:t>
      </w:r>
      <w:r>
        <w:rPr>
          <w:rFonts w:hint="eastAsia" w:ascii="宋体" w:hAnsi="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cs="宋体"/>
          <w:color w:val="auto"/>
          <w:kern w:val="0"/>
          <w:szCs w:val="24"/>
          <w:highlight w:val="none"/>
        </w:rPr>
      </w:pPr>
      <w:r>
        <w:rPr>
          <w:rFonts w:hint="eastAsia" w:ascii="宋体" w:hAnsi="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kern w:val="0"/>
          <w:szCs w:val="21"/>
          <w:highlight w:val="none"/>
        </w:rPr>
        <w:t>（1）投标</w:t>
      </w:r>
      <w:r>
        <w:rPr>
          <w:rFonts w:hint="eastAsia" w:ascii="宋体" w:hAnsi="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ascii="宋体" w:hAnsi="宋体" w:cs="宋体"/>
          <w:color w:val="auto"/>
          <w:szCs w:val="21"/>
          <w:highlight w:val="none"/>
          <w:lang w:val="zh-CN"/>
        </w:rPr>
        <w:t>4</w:t>
      </w:r>
      <w:r>
        <w:rPr>
          <w:rFonts w:hint="eastAsia" w:ascii="宋体" w:hAnsi="宋体" w:cs="宋体"/>
          <w:color w:val="auto"/>
          <w:szCs w:val="21"/>
          <w:highlight w:val="none"/>
          <w:lang w:val="zh-CN"/>
        </w:rPr>
        <w:t>）将中标项目转让给他人，或者在投标文件中未说明，且未经招标人同意，将中标项目的合同</w:t>
      </w:r>
      <w:r>
        <w:rPr>
          <w:rFonts w:ascii="宋体" w:hAnsi="宋体" w:cs="宋体"/>
          <w:color w:val="auto"/>
          <w:szCs w:val="21"/>
          <w:highlight w:val="none"/>
          <w:lang w:val="zh-CN"/>
        </w:rPr>
        <w:t>的权利义务转让</w:t>
      </w:r>
      <w:r>
        <w:rPr>
          <w:rFonts w:hint="eastAsia" w:ascii="宋体" w:hAnsi="宋体" w:cs="宋体"/>
          <w:color w:val="auto"/>
          <w:szCs w:val="21"/>
          <w:highlight w:val="none"/>
          <w:lang w:val="zh-CN"/>
        </w:rPr>
        <w:t>给第三</w:t>
      </w:r>
      <w:r>
        <w:rPr>
          <w:rFonts w:ascii="宋体" w:hAnsi="宋体" w:cs="宋体"/>
          <w:color w:val="auto"/>
          <w:szCs w:val="21"/>
          <w:highlight w:val="none"/>
          <w:lang w:val="zh-CN"/>
        </w:rPr>
        <w:t>方</w:t>
      </w:r>
      <w:r>
        <w:rPr>
          <w:rFonts w:hint="eastAsia" w:ascii="宋体" w:hAnsi="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cs="宋体"/>
          <w:color w:val="auto"/>
          <w:kern w:val="0"/>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lang w:val="zh-CN"/>
        </w:rPr>
        <w:t>5</w:t>
      </w:r>
      <w:r>
        <w:rPr>
          <w:rFonts w:hint="eastAsia" w:ascii="宋体" w:hAnsi="宋体" w:cs="宋体"/>
          <w:color w:val="auto"/>
          <w:szCs w:val="21"/>
          <w:highlight w:val="none"/>
          <w:lang w:val="zh-CN"/>
        </w:rPr>
        <w:t>）提供虚假投标文</w:t>
      </w:r>
      <w:r>
        <w:rPr>
          <w:rFonts w:hint="eastAsia" w:ascii="宋体" w:hAnsi="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56" w:name="_Toc10550"/>
      <w:bookmarkStart w:id="157" w:name="_Toc6490"/>
      <w:bookmarkStart w:id="158" w:name="_Toc173684894"/>
      <w:bookmarkStart w:id="159" w:name="_Toc22649_WPSOffice_Level3"/>
      <w:bookmarkStart w:id="160" w:name="_Toc450662865"/>
      <w:bookmarkStart w:id="161" w:name="_Toc486167680"/>
      <w:bookmarkStart w:id="162" w:name="_Toc142508330"/>
      <w:r>
        <w:rPr>
          <w:rFonts w:hint="eastAsia" w:ascii="宋体" w:hAnsi="宋体" w:cs="宋体"/>
          <w:color w:val="auto"/>
          <w:szCs w:val="21"/>
          <w:highlight w:val="none"/>
          <w:lang w:val="zh-CN"/>
        </w:rPr>
        <w:t>16</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投标有效期</w:t>
      </w:r>
      <w:bookmarkEnd w:id="156"/>
      <w:bookmarkEnd w:id="157"/>
      <w:bookmarkEnd w:id="158"/>
      <w:bookmarkEnd w:id="159"/>
      <w:bookmarkEnd w:id="160"/>
      <w:bookmarkEnd w:id="161"/>
      <w:bookmarkEnd w:id="162"/>
    </w:p>
    <w:p>
      <w:pPr>
        <w:tabs>
          <w:tab w:val="left" w:pos="567"/>
        </w:tabs>
        <w:autoSpaceDE w:val="0"/>
        <w:autoSpaceDN w:val="0"/>
        <w:adjustRightInd w:val="0"/>
        <w:spacing w:line="360" w:lineRule="auto"/>
        <w:ind w:left="357" w:leftChars="-100" w:hanging="567"/>
        <w:rPr>
          <w:rFonts w:ascii="宋体" w:hAnsi="宋体" w:cs="宋体"/>
          <w:b/>
          <w:bCs/>
          <w:color w:val="auto"/>
          <w:szCs w:val="21"/>
          <w:highlight w:val="none"/>
          <w:lang w:val="zh-CN"/>
        </w:rPr>
      </w:pPr>
      <w:r>
        <w:rPr>
          <w:rFonts w:hint="eastAsia" w:ascii="宋体" w:hAnsi="宋体" w:cs="宋体"/>
          <w:color w:val="auto"/>
          <w:szCs w:val="21"/>
          <w:highlight w:val="none"/>
          <w:lang w:val="zh-CN"/>
        </w:rPr>
        <w:t>16.1</w:t>
      </w:r>
      <w:r>
        <w:rPr>
          <w:rFonts w:hint="eastAsia" w:ascii="宋体" w:hAnsi="宋体" w:cs="宋体"/>
          <w:color w:val="auto"/>
          <w:szCs w:val="21"/>
          <w:highlight w:val="none"/>
          <w:lang w:val="zh-CN"/>
        </w:rPr>
        <w:tab/>
      </w:r>
      <w:r>
        <w:rPr>
          <w:rFonts w:hint="eastAsia" w:ascii="宋体" w:hAnsi="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16.2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16.3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cs="Times New Roman"/>
          <w:color w:val="auto"/>
          <w:szCs w:val="21"/>
          <w:highlight w:val="none"/>
          <w:lang w:val="zh-CN"/>
        </w:rPr>
        <w:t>，招标</w:t>
      </w:r>
      <w:r>
        <w:rPr>
          <w:rFonts w:hint="eastAsia" w:ascii="宋体" w:hAnsi="宋体" w:cs="Times New Roman"/>
          <w:color w:val="auto"/>
          <w:szCs w:val="21"/>
          <w:highlight w:val="none"/>
        </w:rPr>
        <w:t>人</w:t>
      </w:r>
      <w:r>
        <w:rPr>
          <w:rFonts w:hint="eastAsia" w:ascii="宋体" w:hAnsi="宋体" w:cs="Times New Roman"/>
          <w:color w:val="auto"/>
          <w:szCs w:val="21"/>
          <w:highlight w:val="none"/>
          <w:lang w:val="zh-CN"/>
        </w:rPr>
        <w:t>将退还</w:t>
      </w:r>
      <w:r>
        <w:rPr>
          <w:rFonts w:hint="eastAsia" w:ascii="宋体" w:hAnsi="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63" w:name="_Toc142508331"/>
      <w:bookmarkStart w:id="164" w:name="_Toc450662866"/>
      <w:bookmarkStart w:id="165" w:name="_Toc486167681"/>
      <w:bookmarkStart w:id="166" w:name="_Toc173684895"/>
      <w:bookmarkStart w:id="167" w:name="_Toc21288"/>
      <w:bookmarkStart w:id="168" w:name="_Toc25637_WPSOffice_Level3"/>
      <w:bookmarkStart w:id="169" w:name="_Toc13311"/>
      <w:r>
        <w:rPr>
          <w:rFonts w:hint="eastAsia" w:ascii="宋体" w:hAnsi="宋体" w:cs="宋体"/>
          <w:color w:val="auto"/>
          <w:szCs w:val="21"/>
          <w:highlight w:val="none"/>
          <w:lang w:val="zh-CN"/>
        </w:rPr>
        <w:t>17</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投标文件的式样和签署</w:t>
      </w:r>
      <w:bookmarkEnd w:id="163"/>
      <w:bookmarkEnd w:id="164"/>
      <w:bookmarkEnd w:id="165"/>
      <w:bookmarkEnd w:id="166"/>
      <w:bookmarkEnd w:id="167"/>
      <w:bookmarkEnd w:id="168"/>
      <w:bookmarkEnd w:id="169"/>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17.1</w:t>
      </w:r>
      <w:r>
        <w:rPr>
          <w:rFonts w:hint="eastAsia" w:ascii="宋体" w:hAnsi="宋体" w:cs="宋体"/>
          <w:color w:val="auto"/>
          <w:szCs w:val="21"/>
          <w:highlight w:val="none"/>
          <w:lang w:val="zh-CN"/>
        </w:rPr>
        <w:tab/>
      </w:r>
      <w:r>
        <w:rPr>
          <w:rFonts w:hint="eastAsia" w:ascii="宋体" w:hAnsi="宋体" w:cs="宋体"/>
          <w:b/>
          <w:color w:val="auto"/>
          <w:szCs w:val="21"/>
          <w:highlight w:val="none"/>
          <w:u w:val="single"/>
          <w:lang w:val="zh-CN"/>
        </w:rPr>
        <w:t>投标人应准备一份“唱标信封”、</w:t>
      </w:r>
      <w:r>
        <w:rPr>
          <w:rFonts w:hint="eastAsia" w:ascii="宋体" w:hAnsi="宋体" w:cs="Times New Roman"/>
          <w:b/>
          <w:color w:val="auto"/>
          <w:szCs w:val="21"/>
          <w:highlight w:val="none"/>
          <w:u w:val="single"/>
          <w:lang w:val="zh-CN"/>
        </w:rPr>
        <w:t>一份投标文件电子文件、</w:t>
      </w:r>
      <w:r>
        <w:rPr>
          <w:rFonts w:hint="eastAsia" w:ascii="宋体" w:hAnsi="宋体" w:cs="宋体"/>
          <w:b/>
          <w:color w:val="auto"/>
          <w:szCs w:val="21"/>
          <w:highlight w:val="none"/>
          <w:u w:val="single"/>
          <w:lang w:val="zh-CN"/>
        </w:rPr>
        <w:t>一份正本和五份副本“投标文件”</w:t>
      </w:r>
      <w:r>
        <w:rPr>
          <w:rFonts w:hint="eastAsia" w:ascii="宋体" w:hAnsi="宋体" w:cs="宋体"/>
          <w:color w:val="auto"/>
          <w:szCs w:val="21"/>
          <w:highlight w:val="none"/>
          <w:lang w:val="zh-CN"/>
        </w:rPr>
        <w:t>，</w:t>
      </w:r>
      <w:r>
        <w:rPr>
          <w:rFonts w:hint="eastAsia" w:ascii="宋体" w:hAnsi="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17.2</w:t>
      </w:r>
      <w:r>
        <w:rPr>
          <w:rFonts w:hint="eastAsia" w:ascii="宋体" w:hAnsi="宋体" w:cs="宋体"/>
          <w:color w:val="auto"/>
          <w:szCs w:val="21"/>
          <w:highlight w:val="none"/>
          <w:lang w:val="zh-CN"/>
        </w:rPr>
        <w:tab/>
      </w:r>
      <w:r>
        <w:rPr>
          <w:rFonts w:hint="eastAsia" w:ascii="宋体" w:hAnsi="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cs="Times New Roman"/>
          <w:bCs/>
          <w:color w:val="auto"/>
          <w:szCs w:val="21"/>
          <w:highlight w:val="none"/>
          <w:lang w:val="zh-CN"/>
        </w:rPr>
        <w:t>“</w:t>
      </w:r>
      <w:r>
        <w:rPr>
          <w:rFonts w:hint="eastAsia" w:ascii="宋体" w:hAnsi="宋体" w:cs="Times New Roman"/>
          <w:bCs/>
          <w:color w:val="auto"/>
          <w:szCs w:val="21"/>
          <w:highlight w:val="none"/>
          <w:lang w:val="zh-CN"/>
        </w:rPr>
        <w:t>法定代表人授权书</w:t>
      </w:r>
      <w:r>
        <w:rPr>
          <w:rFonts w:ascii="宋体" w:hAnsi="宋体" w:cs="Times New Roman"/>
          <w:bCs/>
          <w:color w:val="auto"/>
          <w:szCs w:val="21"/>
          <w:highlight w:val="none"/>
          <w:lang w:val="zh-CN"/>
        </w:rPr>
        <w:t>”</w:t>
      </w:r>
      <w:r>
        <w:rPr>
          <w:rFonts w:hint="eastAsia" w:ascii="宋体" w:hAnsi="宋体" w:cs="Times New Roman"/>
          <w:bCs/>
          <w:color w:val="auto"/>
          <w:szCs w:val="21"/>
          <w:highlight w:val="none"/>
          <w:lang w:val="zh-CN"/>
        </w:rPr>
        <w:t>以书面形式附在投标文件中。</w:t>
      </w:r>
      <w:r>
        <w:rPr>
          <w:rFonts w:hint="eastAsia" w:ascii="宋体" w:hAnsi="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cs="宋体"/>
          <w:bCs/>
          <w:color w:val="auto"/>
          <w:szCs w:val="21"/>
          <w:highlight w:val="none"/>
          <w:lang w:val="zh-CN"/>
        </w:rPr>
      </w:pPr>
      <w:r>
        <w:rPr>
          <w:rFonts w:hint="eastAsia" w:ascii="宋体" w:hAnsi="宋体" w:cs="宋体"/>
          <w:color w:val="auto"/>
          <w:szCs w:val="21"/>
          <w:highlight w:val="none"/>
          <w:lang w:val="zh-CN"/>
        </w:rPr>
        <w:t>17.</w:t>
      </w:r>
      <w:r>
        <w:rPr>
          <w:rFonts w:ascii="宋体" w:hAnsi="宋体" w:cs="宋体"/>
          <w:color w:val="auto"/>
          <w:szCs w:val="21"/>
          <w:highlight w:val="none"/>
          <w:lang w:val="zh-CN"/>
        </w:rPr>
        <w:t>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除投标人对错处作必要修改外，投标文件中不许有加行、涂抹或改写。</w:t>
      </w:r>
      <w:r>
        <w:rPr>
          <w:rFonts w:hint="eastAsia" w:ascii="宋体" w:hAnsi="宋体" w:cs="宋体"/>
          <w:bCs/>
          <w:color w:val="auto"/>
          <w:szCs w:val="21"/>
          <w:highlight w:val="none"/>
          <w:lang w:val="zh-CN"/>
        </w:rPr>
        <w:t>若有修改须由签署投标文件的人进行签字（或盖私章），并加盖投标人</w:t>
      </w:r>
      <w:r>
        <w:rPr>
          <w:rFonts w:hint="eastAsia" w:ascii="宋体" w:hAnsi="宋体" w:cs="Times New Roman"/>
          <w:bCs/>
          <w:color w:val="auto"/>
          <w:szCs w:val="21"/>
          <w:highlight w:val="none"/>
          <w:lang w:val="zh-CN"/>
        </w:rPr>
        <w:t>法人</w:t>
      </w:r>
      <w:r>
        <w:rPr>
          <w:rFonts w:hint="eastAsia" w:ascii="宋体" w:hAnsi="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cs="宋体"/>
          <w:b/>
          <w:bCs/>
          <w:color w:val="auto"/>
          <w:szCs w:val="21"/>
          <w:highlight w:val="none"/>
          <w:u w:val="single"/>
          <w:lang w:val="zh-CN"/>
        </w:rPr>
      </w:pPr>
      <w:r>
        <w:rPr>
          <w:rFonts w:hint="eastAsia" w:ascii="宋体" w:hAnsi="宋体" w:cs="宋体"/>
          <w:color w:val="auto"/>
          <w:szCs w:val="21"/>
          <w:highlight w:val="none"/>
          <w:lang w:val="zh-CN"/>
        </w:rPr>
        <w:t>17.</w:t>
      </w:r>
      <w:r>
        <w:rPr>
          <w:rFonts w:ascii="宋体" w:hAnsi="宋体" w:cs="宋体"/>
          <w:color w:val="auto"/>
          <w:szCs w:val="21"/>
          <w:highlight w:val="none"/>
          <w:lang w:val="zh-CN"/>
        </w:rPr>
        <w:t>4</w:t>
      </w:r>
      <w:r>
        <w:rPr>
          <w:rFonts w:hint="eastAsia" w:ascii="宋体" w:hAnsi="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cs="宋体"/>
          <w:b/>
          <w:bCs/>
          <w:color w:val="auto"/>
          <w:szCs w:val="21"/>
          <w:highlight w:val="none"/>
          <w:lang w:val="zh-CN"/>
        </w:rPr>
      </w:pPr>
      <w:r>
        <w:rPr>
          <w:rFonts w:hint="eastAsia" w:ascii="宋体" w:hAnsi="宋体" w:cs="宋体"/>
          <w:color w:val="auto"/>
          <w:szCs w:val="21"/>
          <w:highlight w:val="none"/>
          <w:lang w:val="zh-CN"/>
        </w:rPr>
        <w:t>17.</w:t>
      </w:r>
      <w:r>
        <w:rPr>
          <w:rFonts w:ascii="宋体" w:hAnsi="宋体" w:cs="宋体"/>
          <w:color w:val="auto"/>
          <w:szCs w:val="21"/>
          <w:highlight w:val="none"/>
          <w:lang w:val="zh-CN"/>
        </w:rPr>
        <w:t>5</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电子文件内容包括：电子文件不可设置密码，用DVD或CD-R光盘或U盘储存，</w:t>
      </w:r>
      <w:r>
        <w:rPr>
          <w:rFonts w:hint="eastAsia" w:ascii="宋体" w:hAnsi="宋体" w:cs="Times New Roman"/>
          <w:color w:val="auto"/>
          <w:szCs w:val="21"/>
          <w:highlight w:val="none"/>
          <w:lang w:val="zh-CN"/>
        </w:rPr>
        <w:t>可密封于</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唱标信封</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cs="宋体"/>
          <w:color w:val="auto"/>
          <w:szCs w:val="21"/>
          <w:highlight w:val="none"/>
          <w:lang w:val="zh-CN"/>
        </w:rPr>
        <w:t>。</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17.</w:t>
      </w:r>
      <w:r>
        <w:rPr>
          <w:rFonts w:ascii="宋体" w:hAnsi="宋体" w:cs="宋体"/>
          <w:color w:val="auto"/>
          <w:szCs w:val="21"/>
          <w:highlight w:val="none"/>
          <w:lang w:val="zh-CN"/>
        </w:rPr>
        <w:t>6</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电报、电传、传真的投标概不接受。</w:t>
      </w:r>
    </w:p>
    <w:p>
      <w:pPr>
        <w:autoSpaceDE w:val="0"/>
        <w:autoSpaceDN w:val="0"/>
        <w:adjustRightInd w:val="0"/>
        <w:jc w:val="left"/>
        <w:rPr>
          <w:rFonts w:ascii="宋体" w:hAnsi="宋体" w:cs="宋体"/>
          <w:color w:val="auto"/>
          <w:kern w:val="0"/>
          <w:sz w:val="24"/>
          <w:szCs w:val="24"/>
          <w:highlight w:val="none"/>
        </w:rPr>
      </w:pPr>
      <w:bookmarkStart w:id="170" w:name="_Toc450662867"/>
    </w:p>
    <w:p>
      <w:pPr>
        <w:keepNext/>
        <w:keepLines/>
        <w:tabs>
          <w:tab w:val="left" w:pos="509"/>
        </w:tabs>
        <w:autoSpaceDE w:val="0"/>
        <w:autoSpaceDN w:val="0"/>
        <w:adjustRightInd w:val="0"/>
        <w:spacing w:line="360" w:lineRule="auto"/>
        <w:jc w:val="left"/>
        <w:outlineLvl w:val="0"/>
        <w:rPr>
          <w:rFonts w:ascii="宋体" w:hAnsi="宋体" w:cs="宋体"/>
          <w:color w:val="auto"/>
          <w:kern w:val="0"/>
          <w:sz w:val="24"/>
          <w:szCs w:val="24"/>
          <w:highlight w:val="none"/>
        </w:rPr>
      </w:pPr>
      <w:bookmarkStart w:id="171" w:name="_Toc16093"/>
      <w:bookmarkStart w:id="172" w:name="_Toc173684896"/>
      <w:bookmarkStart w:id="173" w:name="_Toc486167682"/>
      <w:bookmarkStart w:id="174" w:name="_Toc142508332"/>
      <w:bookmarkStart w:id="175" w:name="_Toc17608"/>
      <w:bookmarkStart w:id="176" w:name="_Toc22356_WPSOffice_Level2"/>
      <w:bookmarkStart w:id="177" w:name="_Toc140596891"/>
      <w:r>
        <w:rPr>
          <w:rFonts w:hint="eastAsia" w:ascii="宋体" w:hAnsi="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78" w:name="_Toc32461"/>
      <w:bookmarkStart w:id="179" w:name="_Toc142508333"/>
      <w:bookmarkStart w:id="180" w:name="_Toc9900"/>
      <w:bookmarkStart w:id="181" w:name="_Toc450662868"/>
      <w:bookmarkStart w:id="182" w:name="_Toc486167683"/>
      <w:bookmarkStart w:id="183" w:name="_Toc12192_WPSOffice_Level3"/>
      <w:bookmarkStart w:id="184" w:name="_Toc173684897"/>
      <w:r>
        <w:rPr>
          <w:rFonts w:hint="eastAsia" w:ascii="宋体" w:hAnsi="宋体" w:cs="宋体"/>
          <w:color w:val="auto"/>
          <w:szCs w:val="21"/>
          <w:highlight w:val="none"/>
          <w:lang w:val="zh-CN"/>
        </w:rPr>
        <w:t>18</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投标文件的密封和标记</w:t>
      </w:r>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18.1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投标人应将正本和副本投标文件（本处不含唱标信封</w:t>
      </w:r>
      <w:r>
        <w:rPr>
          <w:rFonts w:hint="eastAsia" w:ascii="宋体" w:hAnsi="宋体" w:cs="Times New Roman"/>
          <w:color w:val="auto"/>
          <w:szCs w:val="21"/>
          <w:highlight w:val="none"/>
          <w:lang w:val="zh-CN"/>
        </w:rPr>
        <w:t>、投标文件电子文件</w:t>
      </w:r>
      <w:r>
        <w:rPr>
          <w:rFonts w:hint="eastAsia" w:ascii="宋体" w:hAnsi="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cs="宋体"/>
          <w:b/>
          <w:bCs/>
          <w:color w:val="auto"/>
          <w:szCs w:val="21"/>
          <w:highlight w:val="none"/>
          <w:u w:val="single"/>
          <w:lang w:val="zh-CN"/>
        </w:rPr>
      </w:pPr>
      <w:r>
        <w:rPr>
          <w:rFonts w:hint="eastAsia" w:ascii="宋体" w:hAnsi="宋体" w:cs="宋体"/>
          <w:color w:val="auto"/>
          <w:szCs w:val="21"/>
          <w:highlight w:val="none"/>
          <w:lang w:val="zh-CN"/>
        </w:rPr>
        <w:t>18.2</w:t>
      </w:r>
      <w:r>
        <w:rPr>
          <w:rFonts w:hint="eastAsia" w:ascii="宋体" w:hAnsi="宋体" w:cs="宋体"/>
          <w:color w:val="auto"/>
          <w:szCs w:val="21"/>
          <w:highlight w:val="none"/>
          <w:lang w:val="zh-CN"/>
        </w:rPr>
        <w:tab/>
      </w:r>
      <w:r>
        <w:rPr>
          <w:rFonts w:hint="eastAsia" w:ascii="宋体" w:hAnsi="宋体" w:cs="宋体"/>
          <w:b/>
          <w:bCs/>
          <w:color w:val="auto"/>
          <w:szCs w:val="21"/>
          <w:highlight w:val="none"/>
          <w:lang w:val="zh-CN"/>
        </w:rPr>
        <w:t>唱标信封应单独密封</w:t>
      </w:r>
      <w:r>
        <w:rPr>
          <w:rFonts w:hint="eastAsia" w:ascii="宋体" w:hAnsi="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18.3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cs="Times New Roman"/>
          <w:color w:val="auto"/>
          <w:szCs w:val="21"/>
          <w:highlight w:val="none"/>
          <w:lang w:val="zh-CN"/>
        </w:rPr>
      </w:pPr>
      <w:r>
        <w:rPr>
          <w:rFonts w:hint="eastAsia" w:ascii="宋体" w:hAnsi="宋体" w:cs="Times New Roman"/>
          <w:color w:val="auto"/>
          <w:szCs w:val="21"/>
          <w:highlight w:val="none"/>
          <w:lang w:val="zh-CN"/>
        </w:rPr>
        <w:t>（</w:t>
      </w:r>
      <w:r>
        <w:rPr>
          <w:rFonts w:ascii="宋体" w:hAnsi="宋体" w:cs="Times New Roman"/>
          <w:color w:val="auto"/>
          <w:szCs w:val="21"/>
          <w:highlight w:val="none"/>
        </w:rPr>
        <w:t>1</w:t>
      </w:r>
      <w:r>
        <w:rPr>
          <w:rFonts w:hint="eastAsia" w:ascii="宋体" w:hAnsi="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cs="Times New Roman"/>
          <w:color w:val="auto"/>
          <w:szCs w:val="21"/>
          <w:highlight w:val="none"/>
          <w:lang w:val="zh-CN"/>
        </w:rPr>
      </w:pPr>
      <w:r>
        <w:rPr>
          <w:rFonts w:hint="eastAsia" w:ascii="宋体" w:hAnsi="宋体" w:cs="Times New Roman"/>
          <w:color w:val="auto"/>
          <w:szCs w:val="21"/>
          <w:highlight w:val="none"/>
          <w:lang w:val="zh-CN"/>
        </w:rPr>
        <w:t>（</w:t>
      </w:r>
      <w:r>
        <w:rPr>
          <w:rFonts w:ascii="宋体" w:hAnsi="宋体" w:cs="Times New Roman"/>
          <w:color w:val="auto"/>
          <w:szCs w:val="21"/>
          <w:highlight w:val="none"/>
        </w:rPr>
        <w:t>2</w:t>
      </w:r>
      <w:r>
        <w:rPr>
          <w:rFonts w:hint="eastAsia" w:ascii="宋体" w:hAnsi="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cs="Times New Roman"/>
          <w:color w:val="auto"/>
          <w:szCs w:val="21"/>
          <w:highlight w:val="none"/>
          <w:lang w:val="zh-CN"/>
        </w:rPr>
      </w:pPr>
      <w:r>
        <w:rPr>
          <w:rFonts w:hint="eastAsia" w:ascii="宋体" w:hAnsi="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cs="宋体"/>
          <w:b/>
          <w:color w:val="auto"/>
          <w:szCs w:val="21"/>
          <w:highlight w:val="none"/>
          <w:lang w:val="zh-CN"/>
        </w:rPr>
      </w:pPr>
      <w:r>
        <w:rPr>
          <w:rFonts w:hint="eastAsia" w:ascii="宋体" w:hAnsi="宋体" w:cs="宋体"/>
          <w:b/>
          <w:color w:val="auto"/>
          <w:szCs w:val="21"/>
          <w:highlight w:val="none"/>
          <w:lang w:val="zh-CN"/>
        </w:rPr>
        <w:t>18.4</w:t>
      </w:r>
      <w:r>
        <w:rPr>
          <w:rFonts w:hint="eastAsia" w:ascii="宋体" w:hAnsi="宋体" w:cs="宋体"/>
          <w:b/>
          <w:color w:val="auto"/>
          <w:szCs w:val="21"/>
          <w:highlight w:val="none"/>
          <w:lang w:val="zh-CN"/>
        </w:rPr>
        <w:tab/>
      </w:r>
      <w:r>
        <w:rPr>
          <w:rFonts w:hint="eastAsia" w:ascii="宋体" w:hAnsi="宋体" w:cs="宋体"/>
          <w:b/>
          <w:color w:val="auto"/>
          <w:szCs w:val="21"/>
          <w:highlight w:val="none"/>
          <w:u w:val="single"/>
          <w:lang w:val="zh-CN"/>
        </w:rPr>
        <w:t>如果</w:t>
      </w:r>
      <w:r>
        <w:rPr>
          <w:rFonts w:hint="eastAsia" w:ascii="宋体" w:hAnsi="宋体" w:cs="Times New Roman"/>
          <w:b/>
          <w:color w:val="auto"/>
          <w:szCs w:val="21"/>
          <w:highlight w:val="none"/>
          <w:u w:val="singl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cs="宋体"/>
          <w:color w:val="auto"/>
          <w:szCs w:val="21"/>
          <w:highlight w:val="none"/>
          <w:lang w:val="zh-CN"/>
        </w:rPr>
      </w:pPr>
      <w:r>
        <w:rPr>
          <w:rFonts w:hint="eastAsia" w:ascii="宋体" w:hAnsi="宋体" w:cs="宋体"/>
          <w:color w:val="auto"/>
          <w:szCs w:val="21"/>
          <w:highlight w:val="none"/>
          <w:lang w:val="zh-CN"/>
        </w:rPr>
        <w:t>18.5 开标前，</w:t>
      </w:r>
      <w:r>
        <w:rPr>
          <w:rFonts w:hint="eastAsia" w:ascii="宋体" w:hAnsi="宋体" w:cs="Times New Roman"/>
          <w:color w:val="auto"/>
          <w:szCs w:val="21"/>
          <w:highlight w:val="none"/>
          <w:lang w:val="zh-CN"/>
        </w:rPr>
        <w:t>由投标人代表</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第一位递交投标文件的投标人代表及主动自愿参与检查的投标人代表</w:t>
      </w:r>
      <w:r>
        <w:rPr>
          <w:rFonts w:ascii="宋体" w:hAnsi="宋体" w:cs="Times New Roman"/>
          <w:color w:val="auto"/>
          <w:szCs w:val="21"/>
          <w:highlight w:val="none"/>
          <w:lang w:val="zh-CN"/>
        </w:rPr>
        <w:t>）和招标人代表</w:t>
      </w:r>
      <w:r>
        <w:rPr>
          <w:rFonts w:hint="eastAsia" w:ascii="宋体" w:hAnsi="宋体" w:cs="Times New Roman"/>
          <w:color w:val="auto"/>
          <w:kern w:val="0"/>
          <w:szCs w:val="21"/>
          <w:highlight w:val="none"/>
          <w:lang w:val="zh-CN"/>
        </w:rPr>
        <w:t>将对所有的投标文件的密封性进行检查</w:t>
      </w:r>
      <w:r>
        <w:rPr>
          <w:rFonts w:ascii="宋体" w:hAnsi="宋体" w:cs="Times New Roman"/>
          <w:color w:val="auto"/>
          <w:szCs w:val="21"/>
          <w:highlight w:val="none"/>
          <w:lang w:val="zh-CN"/>
        </w:rPr>
        <w:t>，并签署进行确认</w:t>
      </w:r>
      <w:r>
        <w:rPr>
          <w:rFonts w:hint="eastAsia" w:ascii="宋体" w:hAnsi="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85" w:name="_Toc142508334"/>
      <w:bookmarkStart w:id="186" w:name="_Toc450662869"/>
      <w:bookmarkStart w:id="187" w:name="_Toc29665_WPSOffice_Level3"/>
      <w:bookmarkStart w:id="188" w:name="_Toc2694"/>
      <w:bookmarkStart w:id="189" w:name="_Toc3384"/>
      <w:bookmarkStart w:id="190" w:name="_Toc173684898"/>
      <w:bookmarkStart w:id="191" w:name="_Toc486167684"/>
      <w:r>
        <w:rPr>
          <w:rFonts w:hint="eastAsia" w:ascii="宋体" w:hAnsi="宋体" w:cs="宋体"/>
          <w:color w:val="auto"/>
          <w:szCs w:val="21"/>
          <w:highlight w:val="none"/>
          <w:lang w:val="zh-CN"/>
        </w:rPr>
        <w:t>19</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递交投标文件的截止日期</w:t>
      </w:r>
      <w:bookmarkEnd w:id="185"/>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19.1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招标代理机构</w:t>
      </w:r>
      <w:r>
        <w:rPr>
          <w:rFonts w:hint="eastAsia" w:ascii="宋体" w:hAnsi="宋体" w:cs="Times New Roman"/>
          <w:color w:val="auto"/>
          <w:szCs w:val="21"/>
          <w:highlight w:val="none"/>
          <w:lang w:val="zh-CN"/>
        </w:rPr>
        <w:t>收到投标文件的时间不得迟于第一篇</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招标公告</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中规定的截止时间</w:t>
      </w:r>
      <w:r>
        <w:rPr>
          <w:rFonts w:hint="eastAsia" w:ascii="宋体" w:hAnsi="宋体" w:cs="宋体"/>
          <w:color w:val="auto"/>
          <w:szCs w:val="21"/>
          <w:highlight w:val="none"/>
          <w:lang w:val="zh-CN"/>
        </w:rPr>
        <w:t>。</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19.2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招标代理机构</w:t>
      </w:r>
      <w:r>
        <w:rPr>
          <w:rFonts w:hint="eastAsia" w:ascii="宋体" w:hAnsi="宋体" w:cs="Times New Roman"/>
          <w:color w:val="auto"/>
          <w:szCs w:val="21"/>
          <w:highlight w:val="none"/>
          <w:lang w:val="zh-CN"/>
        </w:rPr>
        <w:t>可按照第</w:t>
      </w:r>
      <w:r>
        <w:rPr>
          <w:rFonts w:ascii="宋体" w:hAnsi="宋体" w:cs="Times New Roman"/>
          <w:color w:val="auto"/>
          <w:szCs w:val="21"/>
          <w:highlight w:val="none"/>
          <w:lang w:val="zh-CN"/>
        </w:rPr>
        <w:t>7</w:t>
      </w:r>
      <w:r>
        <w:rPr>
          <w:rFonts w:hint="eastAsia" w:ascii="宋体" w:hAnsi="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cs="宋体"/>
          <w:color w:val="auto"/>
          <w:szCs w:val="21"/>
          <w:highlight w:val="none"/>
          <w:lang w:val="zh-CN"/>
        </w:rPr>
        <w:t>。</w:t>
      </w:r>
    </w:p>
    <w:p>
      <w:pPr>
        <w:autoSpaceDE w:val="0"/>
        <w:autoSpaceDN w:val="0"/>
        <w:adjustRightInd w:val="0"/>
        <w:spacing w:line="360" w:lineRule="auto"/>
        <w:ind w:left="357" w:leftChars="-100" w:hanging="567"/>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kern w:val="0"/>
          <w:sz w:val="24"/>
          <w:szCs w:val="24"/>
          <w:highlight w:val="none"/>
        </w:rPr>
      </w:pPr>
      <w:bookmarkStart w:id="192" w:name="_Toc6684"/>
      <w:bookmarkStart w:id="193" w:name="_Toc142508335"/>
      <w:bookmarkStart w:id="194" w:name="_Toc22431_WPSOffice_Level3"/>
      <w:bookmarkStart w:id="195" w:name="_Toc173684899"/>
      <w:bookmarkStart w:id="196" w:name="_Toc450662870"/>
      <w:bookmarkStart w:id="197" w:name="_Toc18098"/>
      <w:bookmarkStart w:id="198" w:name="_Toc486167685"/>
      <w:r>
        <w:rPr>
          <w:rFonts w:hint="eastAsia" w:ascii="宋体" w:hAnsi="宋体" w:cs="宋体"/>
          <w:color w:val="auto"/>
          <w:szCs w:val="21"/>
          <w:highlight w:val="none"/>
          <w:lang w:val="zh-CN"/>
        </w:rPr>
        <w:t>20 迟交的投标文件</w:t>
      </w:r>
      <w:bookmarkEnd w:id="192"/>
      <w:bookmarkEnd w:id="193"/>
      <w:bookmarkEnd w:id="194"/>
      <w:bookmarkEnd w:id="195"/>
      <w:bookmarkEnd w:id="196"/>
      <w:bookmarkEnd w:id="197"/>
      <w:bookmarkEnd w:id="198"/>
    </w:p>
    <w:p>
      <w:pPr>
        <w:autoSpaceDE w:val="0"/>
        <w:autoSpaceDN w:val="0"/>
        <w:adjustRightInd w:val="0"/>
        <w:spacing w:line="360" w:lineRule="auto"/>
        <w:ind w:firstLine="315" w:firstLineChars="150"/>
        <w:jc w:val="left"/>
        <w:rPr>
          <w:rFonts w:ascii="宋体" w:hAnsi="宋体" w:cs="宋体"/>
          <w:color w:val="auto"/>
          <w:szCs w:val="21"/>
          <w:highlight w:val="none"/>
          <w:lang w:val="zh-CN"/>
        </w:rPr>
      </w:pPr>
      <w:r>
        <w:rPr>
          <w:rFonts w:hint="eastAsia" w:ascii="宋体" w:hAnsi="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199" w:name="_Toc486167686"/>
      <w:bookmarkStart w:id="200" w:name="_Toc142508336"/>
      <w:bookmarkStart w:id="201" w:name="_Toc28243"/>
      <w:bookmarkStart w:id="202" w:name="_Toc16964"/>
      <w:bookmarkStart w:id="203" w:name="_Toc450662871"/>
      <w:bookmarkStart w:id="204" w:name="_Toc4883_WPSOffice_Level3"/>
      <w:bookmarkStart w:id="205" w:name="_Toc173684900"/>
      <w:r>
        <w:rPr>
          <w:rFonts w:hint="eastAsia" w:ascii="宋体" w:hAnsi="宋体" w:cs="宋体"/>
          <w:color w:val="auto"/>
          <w:szCs w:val="21"/>
          <w:highlight w:val="none"/>
          <w:lang w:val="zh-CN"/>
        </w:rPr>
        <w:t>21</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投标文件的修改和撤回</w:t>
      </w:r>
      <w:bookmarkEnd w:id="199"/>
      <w:bookmarkEnd w:id="200"/>
      <w:bookmarkEnd w:id="201"/>
      <w:bookmarkEnd w:id="202"/>
      <w:bookmarkEnd w:id="203"/>
      <w:bookmarkEnd w:id="204"/>
      <w:bookmarkEnd w:id="205"/>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21.1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21.2</w:t>
      </w:r>
      <w:r>
        <w:rPr>
          <w:rFonts w:hint="eastAsia" w:ascii="宋体" w:hAnsi="宋体" w:cs="宋体"/>
          <w:color w:val="auto"/>
          <w:szCs w:val="21"/>
          <w:highlight w:val="none"/>
          <w:lang w:val="zh-CN"/>
        </w:rPr>
        <w:tab/>
      </w:r>
      <w:r>
        <w:rPr>
          <w:rFonts w:hint="eastAsia" w:ascii="宋体" w:hAnsi="宋体" w:cs="Times New Roman"/>
          <w:color w:val="auto"/>
          <w:szCs w:val="21"/>
          <w:highlight w:val="none"/>
          <w:lang w:val="zh-CN"/>
        </w:rPr>
        <w:t>投标人对投标文件的修改或撤回的通知应按第</w:t>
      </w:r>
      <w:r>
        <w:rPr>
          <w:rFonts w:ascii="宋体" w:hAnsi="宋体" w:cs="Times New Roman"/>
          <w:color w:val="auto"/>
          <w:szCs w:val="21"/>
          <w:highlight w:val="none"/>
          <w:lang w:val="zh-CN"/>
        </w:rPr>
        <w:t>17</w:t>
      </w:r>
      <w:r>
        <w:rPr>
          <w:rFonts w:hint="eastAsia" w:ascii="宋体" w:hAnsi="宋体" w:cs="Times New Roman"/>
          <w:color w:val="auto"/>
          <w:szCs w:val="21"/>
          <w:highlight w:val="none"/>
          <w:lang w:val="zh-CN"/>
        </w:rPr>
        <w:t>条和第18条规定进行准备、密封、标注和递送</w:t>
      </w:r>
      <w:r>
        <w:rPr>
          <w:rFonts w:hint="eastAsia" w:ascii="宋体" w:hAnsi="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21.3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21.4</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cs="宋体"/>
          <w:color w:val="auto"/>
          <w:szCs w:val="21"/>
          <w:highlight w:val="none"/>
        </w:rPr>
        <w:t>人</w:t>
      </w:r>
      <w:r>
        <w:rPr>
          <w:rFonts w:hint="eastAsia" w:ascii="宋体" w:hAnsi="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cs="宋体"/>
          <w:b/>
          <w:bCs/>
          <w:color w:val="auto"/>
          <w:kern w:val="44"/>
          <w:szCs w:val="21"/>
          <w:highlight w:val="none"/>
          <w:lang w:val="zh-CN"/>
        </w:rPr>
      </w:pPr>
      <w:bookmarkStart w:id="206" w:name="_Toc142508337"/>
      <w:bookmarkStart w:id="207" w:name="_Toc486167687"/>
      <w:bookmarkStart w:id="208" w:name="_Toc13423"/>
      <w:bookmarkStart w:id="209" w:name="_Toc27648"/>
      <w:bookmarkStart w:id="210" w:name="_Toc450662872"/>
      <w:bookmarkStart w:id="211" w:name="_Toc1049_WPSOffice_Level2"/>
      <w:bookmarkStart w:id="212" w:name="_Toc173684901"/>
      <w:bookmarkStart w:id="213" w:name="_Toc140596896"/>
      <w:r>
        <w:rPr>
          <w:rFonts w:hint="eastAsia" w:ascii="宋体" w:hAnsi="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14" w:name="_Toc7200"/>
      <w:bookmarkStart w:id="215" w:name="_Toc173684902"/>
      <w:bookmarkStart w:id="216" w:name="_Toc450662873"/>
      <w:bookmarkStart w:id="217" w:name="_Toc30413"/>
      <w:bookmarkStart w:id="218" w:name="_Toc142508338"/>
      <w:bookmarkStart w:id="219" w:name="_Toc144_WPSOffice_Level3"/>
      <w:bookmarkStart w:id="220" w:name="_Toc486167688"/>
      <w:r>
        <w:rPr>
          <w:rFonts w:hint="eastAsia" w:ascii="宋体" w:hAnsi="宋体" w:cs="宋体"/>
          <w:color w:val="auto"/>
          <w:szCs w:val="21"/>
          <w:highlight w:val="none"/>
          <w:lang w:val="zh-CN"/>
        </w:rPr>
        <w:t>22</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开标</w:t>
      </w:r>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cs="宋体"/>
          <w:color w:val="auto"/>
          <w:szCs w:val="21"/>
          <w:highlight w:val="none"/>
        </w:rPr>
        <w:t>当</w:t>
      </w:r>
      <w:r>
        <w:rPr>
          <w:rFonts w:hint="eastAsia" w:ascii="宋体" w:hAnsi="宋体" w:cs="宋体"/>
          <w:color w:val="auto"/>
          <w:szCs w:val="21"/>
          <w:highlight w:val="none"/>
          <w:lang w:val="zh-CN"/>
        </w:rPr>
        <w:t>场核查确认之后，可重新宣读其投标文件</w:t>
      </w:r>
      <w:r>
        <w:rPr>
          <w:rFonts w:hint="eastAsia" w:ascii="宋体" w:hAnsi="宋体" w:cs="宋体"/>
          <w:color w:val="auto"/>
          <w:szCs w:val="21"/>
          <w:highlight w:val="none"/>
        </w:rPr>
        <w:t>相关内容</w:t>
      </w:r>
      <w:r>
        <w:rPr>
          <w:rFonts w:hint="eastAsia" w:ascii="宋体" w:hAnsi="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22.4</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投标文件的投标报价大写金额和小写金额不一致的，以大写金额为准。</w:t>
      </w:r>
      <w:r>
        <w:rPr>
          <w:rFonts w:hint="eastAsia" w:ascii="宋体" w:hAnsi="宋体" w:eastAsia="宋体" w:cs="宋体"/>
          <w:color w:val="auto"/>
          <w:szCs w:val="21"/>
          <w:highlight w:val="none"/>
          <w:lang w:val="zh-CN"/>
        </w:rPr>
        <w:t>投标报价表内投标报价金额与按综合单价计算的总金额不一致的，以综合单价计算结果为准，综合单价金额小数点有明显错位的，应以总价为准，并修正综合单价金额。</w:t>
      </w:r>
      <w:r>
        <w:rPr>
          <w:rFonts w:hint="eastAsia" w:ascii="宋体" w:hAnsi="宋体" w:cs="宋体"/>
          <w:color w:val="auto"/>
          <w:szCs w:val="21"/>
          <w:highlight w:val="none"/>
          <w:lang w:val="zh-CN"/>
        </w:rPr>
        <w:t>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21" w:name="_Toc12165_WPSOffice_Level3"/>
      <w:bookmarkStart w:id="222" w:name="_Toc450662874"/>
      <w:bookmarkStart w:id="223" w:name="_Toc173684903"/>
      <w:bookmarkStart w:id="224" w:name="_Toc20108"/>
      <w:bookmarkStart w:id="225" w:name="_Toc486167689"/>
      <w:bookmarkStart w:id="226" w:name="_Toc142508339"/>
      <w:bookmarkStart w:id="227" w:name="_Toc2038"/>
      <w:r>
        <w:rPr>
          <w:rFonts w:hint="eastAsia" w:ascii="宋体" w:hAnsi="宋体" w:cs="宋体"/>
          <w:color w:val="auto"/>
          <w:szCs w:val="21"/>
          <w:highlight w:val="none"/>
          <w:lang w:val="zh-CN"/>
        </w:rPr>
        <w:t>23</w:t>
      </w:r>
      <w:r>
        <w:rPr>
          <w:rFonts w:ascii="宋体" w:hAnsi="宋体" w:cs="宋体"/>
          <w:color w:val="auto"/>
          <w:szCs w:val="21"/>
          <w:highlight w:val="none"/>
          <w:lang w:val="zh-CN"/>
        </w:rPr>
        <w:t xml:space="preserve"> </w:t>
      </w:r>
      <w:r>
        <w:rPr>
          <w:rFonts w:hint="eastAsia" w:ascii="宋体" w:hAnsi="宋体" w:cs="宋体"/>
          <w:color w:val="auto"/>
          <w:kern w:val="0"/>
          <w:szCs w:val="24"/>
          <w:highlight w:val="none"/>
        </w:rPr>
        <w:t>评标过程的保密性</w:t>
      </w:r>
      <w:bookmarkEnd w:id="221"/>
      <w:bookmarkEnd w:id="222"/>
      <w:bookmarkEnd w:id="223"/>
      <w:bookmarkEnd w:id="224"/>
      <w:bookmarkEnd w:id="225"/>
      <w:bookmarkEnd w:id="226"/>
      <w:bookmarkEnd w:id="227"/>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23.1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递交投标文件后，</w:t>
      </w:r>
      <w:r>
        <w:rPr>
          <w:rFonts w:hint="eastAsia" w:ascii="宋体" w:hAnsi="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r>
        <w:rPr>
          <w:rFonts w:hint="eastAsia" w:ascii="宋体" w:hAnsi="宋体" w:cs="宋体"/>
          <w:color w:val="auto"/>
          <w:szCs w:val="21"/>
          <w:highlight w:val="none"/>
          <w:lang w:val="zh-CN"/>
        </w:rPr>
        <w:t>23.2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28" w:name="_Toc5110"/>
      <w:bookmarkStart w:id="229" w:name="_Toc833"/>
      <w:bookmarkStart w:id="230" w:name="_Toc142508340"/>
      <w:bookmarkStart w:id="231" w:name="_Toc173684904"/>
      <w:bookmarkStart w:id="232" w:name="_Toc486167690"/>
      <w:bookmarkStart w:id="233" w:name="_Toc15565_WPSOffice_Level3"/>
      <w:bookmarkStart w:id="234" w:name="_Toc450662875"/>
      <w:r>
        <w:rPr>
          <w:rFonts w:hint="eastAsia" w:ascii="宋体" w:hAnsi="宋体" w:cs="宋体"/>
          <w:color w:val="auto"/>
          <w:szCs w:val="21"/>
          <w:highlight w:val="none"/>
          <w:lang w:val="zh-CN"/>
        </w:rPr>
        <w:t>24</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评标委员会</w:t>
      </w:r>
      <w:bookmarkEnd w:id="228"/>
      <w:bookmarkEnd w:id="229"/>
      <w:bookmarkEnd w:id="230"/>
      <w:bookmarkEnd w:id="231"/>
      <w:bookmarkEnd w:id="232"/>
      <w:bookmarkEnd w:id="233"/>
      <w:bookmarkEnd w:id="234"/>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24.1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24.2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b/>
          <w:color w:val="auto"/>
          <w:szCs w:val="21"/>
          <w:highlight w:val="none"/>
          <w:lang w:val="zh-CN"/>
        </w:rPr>
      </w:pPr>
      <w:bookmarkStart w:id="235" w:name="_Toc28910_WPSOffice_Level3"/>
      <w:bookmarkStart w:id="236" w:name="_Toc450662876"/>
      <w:bookmarkStart w:id="237" w:name="_Toc8758"/>
      <w:bookmarkStart w:id="238" w:name="_Toc31399"/>
      <w:bookmarkStart w:id="239" w:name="_Toc486167691"/>
      <w:bookmarkStart w:id="240" w:name="_Toc173684905"/>
      <w:bookmarkStart w:id="241" w:name="_Toc142508341"/>
      <w:r>
        <w:rPr>
          <w:rFonts w:hint="eastAsia" w:ascii="宋体" w:hAnsi="宋体" w:cs="宋体"/>
          <w:b/>
          <w:color w:val="auto"/>
          <w:szCs w:val="21"/>
          <w:highlight w:val="none"/>
          <w:lang w:val="zh-CN"/>
        </w:rPr>
        <w:t>25</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投标文件的初审</w:t>
      </w:r>
      <w:bookmarkEnd w:id="235"/>
      <w:bookmarkEnd w:id="236"/>
      <w:bookmarkEnd w:id="237"/>
      <w:bookmarkEnd w:id="238"/>
      <w:bookmarkEnd w:id="239"/>
      <w:bookmarkEnd w:id="240"/>
      <w:bookmarkEnd w:id="241"/>
    </w:p>
    <w:p>
      <w:pPr>
        <w:autoSpaceDE w:val="0"/>
        <w:autoSpaceDN w:val="0"/>
        <w:adjustRightInd w:val="0"/>
        <w:spacing w:line="360" w:lineRule="auto"/>
        <w:ind w:left="357" w:leftChars="-100" w:hanging="567"/>
        <w:rPr>
          <w:rFonts w:ascii="宋体" w:hAnsi="宋体" w:cs="宋体"/>
          <w:b/>
          <w:color w:val="auto"/>
          <w:szCs w:val="21"/>
          <w:highlight w:val="none"/>
        </w:rPr>
      </w:pPr>
      <w:r>
        <w:rPr>
          <w:rFonts w:hint="eastAsia" w:ascii="宋体" w:hAnsi="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cs="宋体"/>
          <w:b/>
          <w:color w:val="auto"/>
          <w:szCs w:val="21"/>
          <w:highlight w:val="none"/>
          <w:lang w:val="zh-CN"/>
        </w:rPr>
      </w:pPr>
      <w:r>
        <w:rPr>
          <w:rFonts w:hint="eastAsia" w:ascii="宋体" w:hAnsi="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42" w:name="_Toc20144"/>
      <w:bookmarkStart w:id="243" w:name="_Toc486167692"/>
      <w:bookmarkStart w:id="244" w:name="_Toc10130"/>
      <w:bookmarkStart w:id="245" w:name="_Toc450662877"/>
      <w:bookmarkStart w:id="246" w:name="_Toc142508342"/>
      <w:bookmarkStart w:id="247" w:name="_Toc173684906"/>
      <w:bookmarkStart w:id="248" w:name="_Toc338_WPSOffice_Level3"/>
      <w:r>
        <w:rPr>
          <w:rFonts w:hint="eastAsia" w:ascii="宋体" w:hAnsi="宋体" w:cs="宋体"/>
          <w:color w:val="auto"/>
          <w:szCs w:val="21"/>
          <w:highlight w:val="none"/>
          <w:lang w:val="zh-CN"/>
        </w:rPr>
        <w:t>26</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投标文件的澄清</w:t>
      </w:r>
      <w:bookmarkEnd w:id="242"/>
      <w:bookmarkEnd w:id="243"/>
      <w:bookmarkEnd w:id="244"/>
      <w:bookmarkEnd w:id="245"/>
      <w:bookmarkEnd w:id="246"/>
      <w:bookmarkEnd w:id="247"/>
      <w:bookmarkEnd w:id="248"/>
    </w:p>
    <w:p>
      <w:pPr>
        <w:autoSpaceDE w:val="0"/>
        <w:autoSpaceDN w:val="0"/>
        <w:adjustRightInd w:val="0"/>
        <w:spacing w:line="360" w:lineRule="auto"/>
        <w:ind w:left="315" w:leftChars="-100" w:hanging="525" w:hangingChars="250"/>
        <w:rPr>
          <w:rFonts w:ascii="宋体" w:hAnsi="宋体" w:cs="宋体"/>
          <w:color w:val="auto"/>
          <w:szCs w:val="21"/>
          <w:highlight w:val="none"/>
          <w:lang w:val="zh-CN"/>
        </w:rPr>
      </w:pPr>
      <w:r>
        <w:rPr>
          <w:rFonts w:hint="eastAsia" w:ascii="宋体" w:hAnsi="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bookmarkStart w:id="249" w:name="_Toc450662879"/>
      <w:r>
        <w:rPr>
          <w:rFonts w:hint="eastAsia" w:ascii="宋体" w:hAnsi="宋体" w:cs="宋体"/>
          <w:color w:val="auto"/>
          <w:szCs w:val="21"/>
          <w:highlight w:val="none"/>
          <w:lang w:val="zh-CN"/>
        </w:rPr>
        <w:t xml:space="preserve">26.2 </w:t>
      </w:r>
      <w:r>
        <w:rPr>
          <w:rFonts w:hint="eastAsia" w:ascii="宋体" w:hAnsi="宋体" w:cs="宋体"/>
          <w:color w:val="auto"/>
          <w:szCs w:val="21"/>
          <w:highlight w:val="none"/>
        </w:rPr>
        <w:t>开标当天</w:t>
      </w:r>
      <w:r>
        <w:rPr>
          <w:rFonts w:hint="eastAsia" w:ascii="宋体" w:hAnsi="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pPr>
        <w:tabs>
          <w:tab w:val="left" w:pos="525"/>
        </w:tabs>
        <w:autoSpaceDE w:val="0"/>
        <w:autoSpaceDN w:val="0"/>
        <w:adjustRightInd w:val="0"/>
        <w:spacing w:line="360" w:lineRule="auto"/>
        <w:ind w:left="357" w:leftChars="-100" w:hanging="567"/>
        <w:jc w:val="left"/>
        <w:rPr>
          <w:rFonts w:ascii="宋体" w:hAnsi="宋体" w:cs="宋体"/>
          <w:color w:val="auto"/>
          <w:szCs w:val="21"/>
          <w:highlight w:val="none"/>
          <w:lang w:val="zh-CN"/>
        </w:rPr>
      </w:pPr>
      <w:bookmarkStart w:id="250" w:name="_Toc522047355"/>
      <w:bookmarkStart w:id="251" w:name="_Toc18368_WPSOffice_Level3"/>
      <w:bookmarkStart w:id="252" w:name="_Toc142508343"/>
      <w:bookmarkStart w:id="253" w:name="_Toc521918096"/>
    </w:p>
    <w:p>
      <w:pPr>
        <w:tabs>
          <w:tab w:val="left" w:pos="525"/>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54" w:name="_Toc11141"/>
      <w:bookmarkStart w:id="255" w:name="_Toc15022"/>
      <w:bookmarkStart w:id="256" w:name="_Toc173684907"/>
      <w:r>
        <w:rPr>
          <w:rFonts w:hint="eastAsia" w:ascii="宋体" w:hAnsi="宋体" w:cs="宋体"/>
          <w:color w:val="auto"/>
          <w:szCs w:val="21"/>
          <w:highlight w:val="none"/>
          <w:lang w:val="zh-CN"/>
        </w:rPr>
        <w:t>27</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对投标文件的比较和评价</w:t>
      </w:r>
      <w:bookmarkEnd w:id="250"/>
      <w:bookmarkEnd w:id="251"/>
      <w:bookmarkEnd w:id="252"/>
      <w:bookmarkEnd w:id="253"/>
      <w:bookmarkEnd w:id="254"/>
      <w:bookmarkEnd w:id="255"/>
      <w:bookmarkEnd w:id="256"/>
    </w:p>
    <w:p>
      <w:pPr>
        <w:tabs>
          <w:tab w:val="left" w:pos="540"/>
        </w:tabs>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27.3</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27.4</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27.5</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lang w:val="zh-CN"/>
        </w:rPr>
        <w:t>27.6</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cs="宋体"/>
          <w:color w:val="auto"/>
          <w:szCs w:val="21"/>
          <w:highlight w:val="none"/>
          <w:lang w:val="zh-CN"/>
        </w:rPr>
      </w:pPr>
      <w:bookmarkStart w:id="257" w:name="_Toc521918097"/>
      <w:bookmarkStart w:id="258" w:name="_Toc522047356"/>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59" w:name="_Toc30312"/>
      <w:bookmarkStart w:id="260" w:name="_Toc31279"/>
      <w:bookmarkStart w:id="261" w:name="_Toc21460_WPSOffice_Level3"/>
      <w:bookmarkStart w:id="262" w:name="_Toc142508344"/>
      <w:bookmarkStart w:id="263" w:name="_Toc173684908"/>
      <w:r>
        <w:rPr>
          <w:rFonts w:hint="eastAsia" w:ascii="宋体" w:hAnsi="宋体" w:cs="宋体"/>
          <w:color w:val="auto"/>
          <w:szCs w:val="21"/>
          <w:highlight w:val="none"/>
          <w:lang w:val="zh-CN"/>
        </w:rPr>
        <w:t>28</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评标原则及方法</w:t>
      </w:r>
      <w:bookmarkEnd w:id="257"/>
      <w:bookmarkEnd w:id="258"/>
      <w:bookmarkEnd w:id="259"/>
      <w:bookmarkEnd w:id="260"/>
      <w:bookmarkEnd w:id="261"/>
      <w:bookmarkEnd w:id="262"/>
      <w:bookmarkEnd w:id="263"/>
    </w:p>
    <w:p>
      <w:pPr>
        <w:tabs>
          <w:tab w:val="left" w:pos="567"/>
        </w:tabs>
        <w:autoSpaceDE w:val="0"/>
        <w:autoSpaceDN w:val="0"/>
        <w:adjustRightInd w:val="0"/>
        <w:spacing w:line="360" w:lineRule="auto"/>
        <w:ind w:left="357" w:leftChars="-100" w:hanging="567"/>
        <w:rPr>
          <w:rFonts w:ascii="宋体" w:hAnsi="宋体" w:cs="宋体"/>
          <w:color w:val="auto"/>
          <w:szCs w:val="21"/>
          <w:highlight w:val="none"/>
          <w:lang w:val="zh-CN"/>
        </w:rPr>
      </w:pPr>
      <w:r>
        <w:rPr>
          <w:rFonts w:hint="eastAsia" w:ascii="宋体" w:hAnsi="宋体" w:cs="宋体"/>
          <w:color w:val="auto"/>
          <w:szCs w:val="21"/>
          <w:highlight w:val="none"/>
          <w:lang w:val="zh-CN"/>
        </w:rPr>
        <w:t>28.1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r>
        <w:rPr>
          <w:rFonts w:hint="eastAsia" w:ascii="宋体" w:hAnsi="宋体" w:cs="宋体"/>
          <w:color w:val="auto"/>
          <w:szCs w:val="21"/>
          <w:highlight w:val="none"/>
          <w:lang w:val="zh-CN"/>
        </w:rPr>
        <w:t>28.2 评标严格按照招标文件的要求和条件进行。</w:t>
      </w:r>
    </w:p>
    <w:p>
      <w:pPr>
        <w:autoSpaceDE w:val="0"/>
        <w:autoSpaceDN w:val="0"/>
        <w:adjustRightInd w:val="0"/>
        <w:spacing w:line="360" w:lineRule="auto"/>
        <w:ind w:left="330" w:leftChars="-100" w:right="44" w:rightChars="21" w:hanging="540"/>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在评标时将根据第27</w:t>
      </w:r>
      <w:r>
        <w:rPr>
          <w:rFonts w:hint="eastAsia" w:ascii="宋体" w:hAnsi="宋体" w:cs="Times New Roman"/>
          <w:color w:val="auto"/>
          <w:szCs w:val="21"/>
          <w:highlight w:val="none"/>
          <w:lang w:val="zh-CN"/>
        </w:rPr>
        <w:t>条</w:t>
      </w:r>
      <w:r>
        <w:rPr>
          <w:rFonts w:hint="eastAsia" w:ascii="宋体" w:hAnsi="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r>
        <w:rPr>
          <w:rFonts w:hint="eastAsia" w:ascii="宋体" w:hAnsi="宋体" w:cs="宋体"/>
          <w:color w:val="auto"/>
          <w:szCs w:val="21"/>
          <w:highlight w:val="none"/>
          <w:lang w:val="zh-CN"/>
        </w:rPr>
        <w:t xml:space="preserve">28.3 </w:t>
      </w:r>
      <w:r>
        <w:rPr>
          <w:rFonts w:hint="eastAsia" w:ascii="宋体" w:hAnsi="宋体" w:cs="宋体"/>
          <w:b/>
          <w:bCs/>
          <w:color w:val="auto"/>
          <w:szCs w:val="21"/>
          <w:highlight w:val="none"/>
          <w:u w:val="single"/>
          <w:lang w:val="zh-CN"/>
        </w:rPr>
        <w:t>若</w:t>
      </w:r>
      <w:r>
        <w:rPr>
          <w:rFonts w:hint="eastAsia" w:ascii="宋体" w:hAnsi="宋体" w:cs="宋体"/>
          <w:b/>
          <w:bCs/>
          <w:color w:val="auto"/>
          <w:szCs w:val="21"/>
          <w:highlight w:val="none"/>
          <w:u w:val="single"/>
        </w:rPr>
        <w:t>本次招标过程中有效投标人不足三个时，公开招标失败</w:t>
      </w:r>
      <w:r>
        <w:rPr>
          <w:rFonts w:hint="eastAsia" w:ascii="宋体" w:hAnsi="宋体" w:cs="宋体"/>
          <w:b/>
          <w:bCs/>
          <w:color w:val="auto"/>
          <w:szCs w:val="21"/>
          <w:highlight w:val="none"/>
        </w:rPr>
        <w:t>。</w:t>
      </w:r>
    </w:p>
    <w:p>
      <w:pPr>
        <w:tabs>
          <w:tab w:val="left" w:pos="360"/>
        </w:tabs>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64" w:name="_Toc6406"/>
      <w:bookmarkStart w:id="265" w:name="_Toc32498_WPSOffice_Level3"/>
      <w:bookmarkStart w:id="266" w:name="_Toc465358969"/>
      <w:bookmarkStart w:id="267" w:name="_Toc15841"/>
      <w:bookmarkStart w:id="268" w:name="_Toc466882017"/>
      <w:bookmarkStart w:id="269" w:name="_Toc486167694"/>
      <w:bookmarkStart w:id="270" w:name="_Toc173684909"/>
      <w:bookmarkStart w:id="271" w:name="_Toc142508345"/>
      <w:r>
        <w:rPr>
          <w:rFonts w:hint="eastAsia" w:ascii="宋体" w:hAnsi="宋体" w:cs="宋体"/>
          <w:color w:val="auto"/>
          <w:szCs w:val="21"/>
          <w:highlight w:val="none"/>
          <w:lang w:val="zh-CN"/>
        </w:rPr>
        <w:t>2</w:t>
      </w:r>
      <w:r>
        <w:rPr>
          <w:rFonts w:hint="eastAsia" w:ascii="宋体" w:hAnsi="宋体" w:cs="宋体"/>
          <w:color w:val="auto"/>
          <w:szCs w:val="21"/>
          <w:highlight w:val="none"/>
        </w:rPr>
        <w:t xml:space="preserve">9 </w:t>
      </w:r>
      <w:r>
        <w:rPr>
          <w:rFonts w:hint="eastAsia" w:ascii="宋体" w:hAnsi="宋体" w:cs="宋体"/>
          <w:color w:val="auto"/>
          <w:szCs w:val="21"/>
          <w:highlight w:val="none"/>
          <w:lang w:val="zh-CN"/>
        </w:rPr>
        <w:t>评标结果公</w:t>
      </w:r>
      <w:r>
        <w:rPr>
          <w:rFonts w:hint="eastAsia" w:ascii="宋体" w:hAnsi="宋体" w:cs="Times New Roman"/>
          <w:color w:val="auto"/>
          <w:szCs w:val="21"/>
          <w:highlight w:val="none"/>
          <w:lang w:val="zh-CN"/>
        </w:rPr>
        <w:t>示</w:t>
      </w:r>
      <w:r>
        <w:rPr>
          <w:rFonts w:hint="eastAsia" w:ascii="宋体" w:hAnsi="宋体" w:cs="宋体"/>
          <w:color w:val="auto"/>
          <w:szCs w:val="21"/>
          <w:highlight w:val="none"/>
          <w:lang w:val="zh-CN"/>
        </w:rPr>
        <w:t>及异议、投诉</w:t>
      </w:r>
      <w:bookmarkEnd w:id="264"/>
      <w:bookmarkEnd w:id="265"/>
      <w:bookmarkEnd w:id="266"/>
      <w:bookmarkEnd w:id="267"/>
      <w:bookmarkEnd w:id="268"/>
      <w:bookmarkEnd w:id="269"/>
      <w:bookmarkEnd w:id="270"/>
      <w:bookmarkEnd w:id="271"/>
    </w:p>
    <w:p>
      <w:pPr>
        <w:tabs>
          <w:tab w:val="left" w:pos="360"/>
        </w:tabs>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9</w:t>
      </w:r>
      <w:r>
        <w:rPr>
          <w:rFonts w:hint="eastAsia" w:ascii="宋体" w:hAnsi="宋体" w:cs="宋体"/>
          <w:color w:val="auto"/>
          <w:szCs w:val="21"/>
          <w:highlight w:val="none"/>
          <w:lang w:val="zh-CN"/>
        </w:rPr>
        <w:t>.1</w:t>
      </w:r>
      <w:r>
        <w:rPr>
          <w:rFonts w:ascii="宋体" w:hAnsi="宋体" w:cs="宋体"/>
          <w:color w:val="auto"/>
          <w:szCs w:val="21"/>
          <w:highlight w:val="none"/>
          <w:lang w:val="zh-CN"/>
        </w:rPr>
        <w:t xml:space="preserve"> </w:t>
      </w:r>
      <w:r>
        <w:rPr>
          <w:rFonts w:hint="eastAsia" w:ascii="宋体" w:hAnsi="宋体" w:cs="Times New Roman"/>
          <w:color w:val="auto"/>
          <w:szCs w:val="21"/>
          <w:highlight w:val="none"/>
          <w:lang w:val="zh-CN"/>
        </w:rPr>
        <w:t>招标代理机构在招标公告发布媒介公示中标候选人，</w:t>
      </w:r>
      <w:r>
        <w:rPr>
          <w:rFonts w:hint="eastAsia" w:ascii="宋体" w:hAnsi="宋体" w:eastAsia="宋体" w:cs="Times New Roman"/>
          <w:color w:val="auto"/>
          <w:szCs w:val="21"/>
          <w:highlight w:val="none"/>
          <w:lang w:val="zh-CN"/>
        </w:rPr>
        <w:t>公示期不得少于3日（最后一日是节假日或公休日的，顺延到节假日或公休日后第一个工作日）</w:t>
      </w:r>
      <w:r>
        <w:rPr>
          <w:rFonts w:hint="eastAsia" w:ascii="宋体" w:hAnsi="宋体" w:cs="Times New Roman"/>
          <w:color w:val="auto"/>
          <w:szCs w:val="21"/>
          <w:highlight w:val="none"/>
          <w:lang w:val="zh-CN"/>
        </w:rPr>
        <w:t>。投标人或者其他利害关系人对评标结果有异议的，应当在</w:t>
      </w:r>
      <w:r>
        <w:rPr>
          <w:rFonts w:hint="eastAsia" w:ascii="宋体" w:hAnsi="宋体" w:cs="Times New Roman"/>
          <w:color w:val="auto"/>
          <w:szCs w:val="21"/>
          <w:highlight w:val="none"/>
        </w:rPr>
        <w:t>评标结果</w:t>
      </w:r>
      <w:r>
        <w:rPr>
          <w:rFonts w:hint="eastAsia" w:ascii="宋体" w:hAnsi="宋体" w:cs="Times New Roman"/>
          <w:color w:val="auto"/>
          <w:szCs w:val="21"/>
          <w:highlight w:val="none"/>
          <w:lang w:val="zh-CN"/>
        </w:rPr>
        <w:t>公示期间向招标代理机构以书面的形式提出，</w:t>
      </w:r>
      <w:r>
        <w:rPr>
          <w:rFonts w:ascii="宋体" w:hAnsi="宋体" w:cs="Times New Roman"/>
          <w:color w:val="auto"/>
          <w:szCs w:val="21"/>
          <w:highlight w:val="none"/>
          <w:lang w:val="zh-CN"/>
        </w:rPr>
        <w:t>并</w:t>
      </w:r>
      <w:r>
        <w:rPr>
          <w:rFonts w:hint="eastAsia" w:ascii="宋体" w:hAnsi="宋体" w:cs="Times New Roman"/>
          <w:color w:val="auto"/>
          <w:szCs w:val="21"/>
          <w:highlight w:val="none"/>
          <w:lang w:val="zh-CN"/>
        </w:rPr>
        <w:t>将完整的异议书面材料原件</w:t>
      </w:r>
      <w:r>
        <w:rPr>
          <w:rFonts w:ascii="宋体" w:hAnsi="宋体" w:cs="Times New Roman"/>
          <w:color w:val="auto"/>
          <w:szCs w:val="21"/>
          <w:highlight w:val="none"/>
          <w:lang w:val="zh-CN"/>
        </w:rPr>
        <w:t>送</w:t>
      </w:r>
      <w:r>
        <w:rPr>
          <w:rFonts w:hint="eastAsia" w:ascii="宋体" w:hAnsi="宋体" w:cs="Times New Roman"/>
          <w:color w:val="auto"/>
          <w:szCs w:val="21"/>
          <w:highlight w:val="none"/>
          <w:lang w:val="zh-CN"/>
        </w:rPr>
        <w:t>达招标代理机构，</w:t>
      </w:r>
      <w:r>
        <w:rPr>
          <w:rFonts w:ascii="宋体" w:hAnsi="宋体" w:cs="Times New Roman"/>
          <w:color w:val="auto"/>
          <w:szCs w:val="21"/>
          <w:highlight w:val="none"/>
          <w:lang w:val="zh-CN"/>
        </w:rPr>
        <w:t>逾期则视为</w:t>
      </w:r>
      <w:r>
        <w:rPr>
          <w:rFonts w:hint="eastAsia" w:ascii="宋体" w:hAnsi="宋体" w:cs="Times New Roman"/>
          <w:color w:val="auto"/>
          <w:szCs w:val="21"/>
          <w:highlight w:val="none"/>
          <w:lang w:val="zh-CN"/>
        </w:rPr>
        <w:t>对评标结果无异议。超出提交异议截止时间而提出的任何疑问，招标代理机构可不予答复</w:t>
      </w:r>
      <w:r>
        <w:rPr>
          <w:rFonts w:hint="eastAsia" w:ascii="宋体" w:hAnsi="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cs="宋体"/>
          <w:color w:val="auto"/>
          <w:kern w:val="0"/>
          <w:szCs w:val="21"/>
          <w:highlight w:val="none"/>
          <w:lang w:val="zh-CN"/>
        </w:rPr>
      </w:pPr>
      <w:r>
        <w:rPr>
          <w:rFonts w:hint="eastAsia" w:ascii="宋体" w:hAnsi="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cs="Times New Roman"/>
          <w:color w:val="auto"/>
          <w:szCs w:val="21"/>
          <w:highlight w:val="none"/>
          <w:lang w:val="zh-CN"/>
        </w:rPr>
        <w:t>公章</w:t>
      </w:r>
      <w:r>
        <w:rPr>
          <w:rFonts w:hint="eastAsia" w:ascii="宋体" w:hAnsi="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cs="Times New Roman"/>
          <w:color w:val="auto"/>
          <w:szCs w:val="21"/>
          <w:highlight w:val="none"/>
          <w:lang w:val="zh-CN"/>
        </w:rPr>
        <w:t>公章</w:t>
      </w:r>
      <w:r>
        <w:rPr>
          <w:rFonts w:hint="eastAsia" w:ascii="宋体" w:hAnsi="宋体" w:cs="Times New Roman"/>
          <w:color w:val="auto"/>
          <w:szCs w:val="21"/>
          <w:highlight w:val="none"/>
          <w:lang w:val="zh-CN"/>
        </w:rPr>
        <w:t>）、以及合法来源的证据证明材料</w:t>
      </w:r>
      <w:r>
        <w:rPr>
          <w:rFonts w:hint="eastAsia" w:ascii="宋体" w:hAnsi="宋体" w:cs="宋体"/>
          <w:color w:val="auto"/>
          <w:kern w:val="0"/>
          <w:szCs w:val="21"/>
          <w:highlight w:val="none"/>
          <w:lang w:val="zh-CN"/>
        </w:rPr>
        <w:t>。</w:t>
      </w:r>
    </w:p>
    <w:p>
      <w:pPr>
        <w:autoSpaceDE w:val="0"/>
        <w:autoSpaceDN w:val="0"/>
        <w:adjustRightInd w:val="0"/>
        <w:spacing w:line="360" w:lineRule="auto"/>
        <w:ind w:left="284" w:hanging="568"/>
        <w:jc w:val="left"/>
        <w:rPr>
          <w:rFonts w:ascii="宋体" w:hAnsi="宋体" w:cs="Times New Roman"/>
          <w:b/>
          <w:color w:val="auto"/>
          <w:szCs w:val="21"/>
          <w:highlight w:val="none"/>
          <w:u w:val="single"/>
          <w:lang w:val="zh-CN"/>
        </w:rPr>
      </w:pPr>
      <w:r>
        <w:rPr>
          <w:rFonts w:hint="eastAsia" w:ascii="宋体" w:hAnsi="宋体" w:cs="Times New Roman"/>
          <w:b/>
          <w:color w:val="auto"/>
          <w:szCs w:val="21"/>
          <w:highlight w:val="none"/>
        </w:rPr>
        <w:t xml:space="preserve">29.2 </w:t>
      </w:r>
      <w:r>
        <w:rPr>
          <w:rFonts w:hint="eastAsia" w:ascii="宋体" w:hAnsi="宋体" w:cs="Times New Roman"/>
          <w:b/>
          <w:color w:val="auto"/>
          <w:szCs w:val="21"/>
          <w:highlight w:val="none"/>
          <w:u w:val="single"/>
          <w:lang w:val="zh-CN"/>
        </w:rPr>
        <w:t>结果公示后，招标人有权要求中标候选人在结果公示之日起</w:t>
      </w:r>
      <w:r>
        <w:rPr>
          <w:rFonts w:hint="eastAsia" w:ascii="宋体" w:hAnsi="宋体" w:eastAsia="宋体" w:cs="Times New Roman"/>
          <w:b/>
          <w:color w:val="auto"/>
          <w:szCs w:val="21"/>
          <w:highlight w:val="none"/>
          <w:u w:val="single"/>
          <w:lang w:val="zh-CN"/>
        </w:rPr>
        <w:t>3日（最后一日是节假日或公休日的，顺延到节假日或公休日后第一个工作日）</w:t>
      </w:r>
      <w:r>
        <w:rPr>
          <w:rFonts w:hint="eastAsia" w:ascii="宋体" w:hAnsi="宋体" w:cs="Times New Roman"/>
          <w:b/>
          <w:color w:val="auto"/>
          <w:szCs w:val="21"/>
          <w:highlight w:val="none"/>
          <w:u w:val="single"/>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cs="Times New Roman"/>
          <w:b/>
          <w:color w:val="auto"/>
          <w:szCs w:val="21"/>
          <w:highlight w:val="none"/>
          <w:u w:val="single"/>
          <w:lang w:val="zh-CN"/>
        </w:rPr>
        <w:t>移交司法机关处理</w:t>
      </w:r>
      <w:r>
        <w:rPr>
          <w:rFonts w:hint="eastAsia" w:ascii="宋体" w:hAnsi="宋体" w:cs="Times New Roman"/>
          <w:b/>
          <w:color w:val="auto"/>
          <w:szCs w:val="21"/>
          <w:highlight w:val="none"/>
          <w:lang w:val="zh-CN"/>
        </w:rPr>
        <w:t>。</w:t>
      </w:r>
    </w:p>
    <w:p>
      <w:pPr>
        <w:autoSpaceDE w:val="0"/>
        <w:autoSpaceDN w:val="0"/>
        <w:adjustRightInd w:val="0"/>
        <w:spacing w:line="360" w:lineRule="auto"/>
        <w:ind w:left="330" w:leftChars="157" w:firstLine="481" w:firstLineChars="228"/>
        <w:jc w:val="left"/>
        <w:rPr>
          <w:rFonts w:ascii="宋体" w:hAnsi="宋体" w:cs="Times New Roman"/>
          <w:b/>
          <w:color w:val="auto"/>
          <w:szCs w:val="21"/>
          <w:highlight w:val="none"/>
          <w:lang w:val="zh-CN"/>
        </w:rPr>
      </w:pPr>
      <w:r>
        <w:rPr>
          <w:rFonts w:hint="eastAsia" w:ascii="宋体" w:hAnsi="宋体" w:cs="Times New Roman"/>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cs="Times New Roman"/>
          <w:b/>
          <w:color w:val="auto"/>
          <w:kern w:val="0"/>
          <w:szCs w:val="21"/>
          <w:highlight w:val="none"/>
          <w:u w:val="single"/>
        </w:rPr>
        <w:t>第一中标候选人未能在招标人（或其委托的招标代理机构</w:t>
      </w:r>
      <w:r>
        <w:rPr>
          <w:rFonts w:ascii="宋体" w:hAnsi="宋体" w:cs="Times New Roman"/>
          <w:b/>
          <w:color w:val="auto"/>
          <w:kern w:val="0"/>
          <w:szCs w:val="21"/>
          <w:highlight w:val="none"/>
          <w:u w:val="single"/>
        </w:rPr>
        <w:t>) 书面要求的时间(一般不少于三个工作日) 内提供完整的材料原件进行核查的</w:t>
      </w:r>
      <w:r>
        <w:rPr>
          <w:rFonts w:hint="eastAsia" w:ascii="宋体" w:hAnsi="宋体" w:cs="Times New Roman"/>
          <w:b/>
          <w:color w:val="auto"/>
          <w:szCs w:val="21"/>
          <w:highlight w:val="none"/>
          <w:u w:val="single"/>
          <w:lang w:val="zh-CN"/>
        </w:rPr>
        <w:t>，视为其无法提供真实的资料，招标人有权取消其中标候选人资格</w:t>
      </w:r>
      <w:r>
        <w:rPr>
          <w:rFonts w:hint="eastAsia" w:ascii="宋体" w:hAnsi="宋体" w:cs="Times New Roman"/>
          <w:b/>
          <w:color w:val="auto"/>
          <w:szCs w:val="21"/>
          <w:highlight w:val="none"/>
          <w:lang w:val="zh-CN"/>
        </w:rPr>
        <w:t>。</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9</w:t>
      </w:r>
      <w:r>
        <w:rPr>
          <w:rFonts w:hint="eastAsia" w:ascii="宋体" w:hAnsi="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    </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    </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cs="宋体"/>
          <w:b/>
          <w:color w:val="auto"/>
          <w:szCs w:val="21"/>
          <w:highlight w:val="none"/>
          <w:lang w:val="zh-CN"/>
        </w:rPr>
      </w:pPr>
      <w:bookmarkStart w:id="272" w:name="_Toc1848_WPSOffice_Level3"/>
      <w:bookmarkStart w:id="273" w:name="_Toc26138"/>
      <w:bookmarkStart w:id="274" w:name="_Toc465358970"/>
      <w:bookmarkStart w:id="275" w:name="_Toc486167695"/>
      <w:bookmarkStart w:id="276" w:name="_Toc28936"/>
      <w:bookmarkStart w:id="277" w:name="_Toc466882018"/>
      <w:bookmarkStart w:id="278" w:name="_Toc142508346"/>
      <w:bookmarkStart w:id="279" w:name="_Toc173684910"/>
      <w:r>
        <w:rPr>
          <w:rFonts w:hint="eastAsia" w:ascii="宋体" w:hAnsi="宋体" w:cs="宋体"/>
          <w:b/>
          <w:color w:val="auto"/>
          <w:szCs w:val="21"/>
          <w:highlight w:val="none"/>
        </w:rPr>
        <w:t>30</w:t>
      </w:r>
      <w:r>
        <w:rPr>
          <w:rFonts w:hint="eastAsia" w:ascii="宋体" w:hAnsi="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left="321" w:leftChars="-100" w:hanging="531" w:hangingChars="252"/>
        <w:jc w:val="left"/>
        <w:rPr>
          <w:rFonts w:ascii="宋体" w:hAnsi="宋体" w:cs="宋体"/>
          <w:b/>
          <w:color w:val="auto"/>
          <w:szCs w:val="21"/>
          <w:highlight w:val="none"/>
        </w:rPr>
      </w:pPr>
      <w:r>
        <w:rPr>
          <w:rFonts w:hint="eastAsia" w:ascii="宋体" w:hAnsi="宋体" w:cs="宋体"/>
          <w:b/>
          <w:color w:val="auto"/>
          <w:szCs w:val="21"/>
          <w:highlight w:val="none"/>
        </w:rPr>
        <w:t xml:space="preserve">30.1 </w:t>
      </w:r>
      <w:r>
        <w:rPr>
          <w:rFonts w:hint="eastAsia" w:ascii="宋体" w:hAnsi="宋体" w:cs="宋体"/>
          <w:b/>
          <w:color w:val="auto"/>
          <w:szCs w:val="21"/>
          <w:highlight w:val="none"/>
          <w:u w:val="single"/>
        </w:rPr>
        <w:t>在</w:t>
      </w:r>
      <w:r>
        <w:rPr>
          <w:rFonts w:hint="eastAsia" w:ascii="宋体" w:hAnsi="宋体" w:cs="Times New Roman"/>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cs="Times New Roman"/>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cs="Times New Roman"/>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cs="宋体"/>
          <w:b/>
          <w:color w:val="auto"/>
          <w:szCs w:val="21"/>
          <w:highlight w:val="none"/>
        </w:rPr>
      </w:pPr>
      <w:r>
        <w:rPr>
          <w:rFonts w:hint="eastAsia" w:ascii="宋体" w:hAnsi="宋体" w:cs="宋体"/>
          <w:b/>
          <w:color w:val="auto"/>
          <w:szCs w:val="21"/>
          <w:highlight w:val="none"/>
        </w:rPr>
        <w:t xml:space="preserve">30.2 </w:t>
      </w:r>
      <w:r>
        <w:rPr>
          <w:rFonts w:hint="eastAsia" w:ascii="宋体" w:hAnsi="宋体" w:cs="宋体"/>
          <w:b/>
          <w:color w:val="auto"/>
          <w:szCs w:val="21"/>
          <w:highlight w:val="none"/>
          <w:u w:val="single"/>
        </w:rPr>
        <w:t>投标人</w:t>
      </w:r>
      <w:r>
        <w:rPr>
          <w:rFonts w:hint="eastAsia" w:ascii="宋体" w:hAnsi="宋体" w:cs="Times New Roman"/>
          <w:b/>
          <w:color w:val="auto"/>
          <w:kern w:val="0"/>
          <w:szCs w:val="21"/>
          <w:highlight w:val="none"/>
          <w:u w:val="single"/>
        </w:rPr>
        <w:t>在招标人（或其委托的招标代理机构）、或评标委员会通知其提供</w:t>
      </w:r>
      <w:r>
        <w:rPr>
          <w:rFonts w:hint="eastAsia" w:ascii="宋体" w:hAnsi="宋体" w:cs="Times New Roman"/>
          <w:b/>
          <w:color w:val="auto"/>
          <w:szCs w:val="21"/>
          <w:highlight w:val="none"/>
          <w:u w:val="single"/>
          <w:lang w:val="zh-CN"/>
        </w:rPr>
        <w:t>上述投标文件或投标文件外其他相关（包括但不限于业绩合同对应的发票等）的证明资料原件</w:t>
      </w:r>
      <w:r>
        <w:rPr>
          <w:rFonts w:hint="eastAsia" w:ascii="宋体" w:hAnsi="宋体" w:cs="Times New Roman"/>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cs="宋体"/>
          <w:b/>
          <w:color w:val="auto"/>
          <w:szCs w:val="21"/>
          <w:highlight w:val="none"/>
        </w:rPr>
      </w:pPr>
      <w:r>
        <w:rPr>
          <w:rFonts w:hint="eastAsia" w:ascii="宋体" w:hAnsi="宋体" w:cs="宋体"/>
          <w:b/>
          <w:color w:val="auto"/>
          <w:szCs w:val="21"/>
          <w:highlight w:val="none"/>
        </w:rPr>
        <w:t xml:space="preserve">30.3 </w:t>
      </w:r>
      <w:r>
        <w:rPr>
          <w:rFonts w:hint="eastAsia" w:ascii="宋体" w:hAnsi="宋体" w:cs="宋体"/>
          <w:b/>
          <w:color w:val="auto"/>
          <w:szCs w:val="21"/>
          <w:highlight w:val="none"/>
          <w:u w:val="single"/>
        </w:rPr>
        <w:t>若投标人在投标或履约过程中存在提供虚假材料、</w:t>
      </w:r>
      <w:r>
        <w:rPr>
          <w:rFonts w:ascii="宋体" w:hAnsi="宋体" w:cs="宋体"/>
          <w:b/>
          <w:color w:val="auto"/>
          <w:szCs w:val="21"/>
          <w:highlight w:val="none"/>
          <w:u w:val="single"/>
        </w:rPr>
        <w:t>虚假响应</w:t>
      </w:r>
      <w:r>
        <w:rPr>
          <w:rFonts w:hint="eastAsia" w:ascii="宋体" w:hAnsi="宋体" w:cs="宋体"/>
          <w:b/>
          <w:color w:val="auto"/>
          <w:szCs w:val="21"/>
          <w:highlight w:val="none"/>
          <w:u w:val="single"/>
        </w:rPr>
        <w:t>招标</w:t>
      </w:r>
      <w:r>
        <w:rPr>
          <w:rFonts w:ascii="宋体" w:hAnsi="宋体" w:cs="宋体"/>
          <w:b/>
          <w:color w:val="auto"/>
          <w:szCs w:val="21"/>
          <w:highlight w:val="none"/>
          <w:u w:val="single"/>
        </w:rPr>
        <w:t>文件</w:t>
      </w:r>
      <w:r>
        <w:rPr>
          <w:rFonts w:hint="eastAsia" w:ascii="宋体" w:hAnsi="宋体" w:cs="宋体"/>
          <w:b/>
          <w:color w:val="auto"/>
          <w:szCs w:val="21"/>
          <w:highlight w:val="none"/>
          <w:u w:val="single"/>
        </w:rPr>
        <w:t>要求等弄虚作假行为，或未能根据本须知2</w:t>
      </w:r>
      <w:r>
        <w:rPr>
          <w:rFonts w:ascii="宋体" w:hAnsi="宋体" w:cs="宋体"/>
          <w:b/>
          <w:color w:val="auto"/>
          <w:szCs w:val="21"/>
          <w:highlight w:val="none"/>
          <w:u w:val="single"/>
        </w:rPr>
        <w:t>9.2</w:t>
      </w:r>
      <w:r>
        <w:rPr>
          <w:rFonts w:hint="eastAsia" w:ascii="宋体" w:hAnsi="宋体" w:cs="宋体"/>
          <w:b/>
          <w:color w:val="auto"/>
          <w:szCs w:val="21"/>
          <w:highlight w:val="none"/>
          <w:u w:val="single"/>
        </w:rPr>
        <w:t>款约定按时提供原件进行核查的，</w:t>
      </w:r>
      <w:r>
        <w:rPr>
          <w:rFonts w:ascii="宋体" w:hAnsi="宋体" w:cs="宋体"/>
          <w:b/>
          <w:color w:val="auto"/>
          <w:szCs w:val="21"/>
          <w:highlight w:val="none"/>
          <w:u w:val="single"/>
        </w:rPr>
        <w:t>或不按照投标文件承诺履约</w:t>
      </w:r>
      <w:r>
        <w:rPr>
          <w:rFonts w:hint="eastAsia" w:ascii="宋体" w:hAnsi="宋体" w:cs="宋体"/>
          <w:b/>
          <w:color w:val="auto"/>
          <w:szCs w:val="21"/>
          <w:highlight w:val="none"/>
          <w:u w:val="single"/>
        </w:rPr>
        <w:t>或撤回投标或放弃中标资格或</w:t>
      </w:r>
      <w:r>
        <w:rPr>
          <w:rFonts w:ascii="宋体" w:hAnsi="宋体" w:cs="宋体"/>
          <w:b/>
          <w:color w:val="auto"/>
          <w:szCs w:val="21"/>
          <w:highlight w:val="none"/>
          <w:u w:val="single"/>
        </w:rPr>
        <w:t>不按要求与招标人签订合同等影响中标结果的行为</w:t>
      </w:r>
      <w:r>
        <w:rPr>
          <w:rFonts w:hint="eastAsia" w:ascii="宋体" w:hAnsi="宋体" w:cs="宋体"/>
          <w:b/>
          <w:color w:val="auto"/>
          <w:szCs w:val="21"/>
          <w:highlight w:val="none"/>
          <w:u w:val="single"/>
        </w:rPr>
        <w:t>，因此导致投标人无法参与东莞市水务集团有限公司相关招标采购等活动的，由投标人自行承担全部后果</w:t>
      </w:r>
      <w:r>
        <w:rPr>
          <w:rFonts w:hint="eastAsia" w:ascii="宋体" w:hAnsi="宋体" w:cs="宋体"/>
          <w:b/>
          <w:color w:val="auto"/>
          <w:szCs w:val="21"/>
          <w:highlight w:val="none"/>
        </w:rPr>
        <w:t>。</w:t>
      </w:r>
    </w:p>
    <w:p>
      <w:pPr>
        <w:autoSpaceDE w:val="0"/>
        <w:autoSpaceDN w:val="0"/>
        <w:adjustRightInd w:val="0"/>
        <w:snapToGrid w:val="0"/>
        <w:spacing w:line="360" w:lineRule="auto"/>
        <w:jc w:val="left"/>
        <w:rPr>
          <w:rFonts w:ascii="宋体" w:hAnsi="宋体" w:cs="宋体"/>
          <w:color w:val="auto"/>
          <w:szCs w:val="21"/>
          <w:highlight w:val="none"/>
        </w:rPr>
      </w:pPr>
      <w:bookmarkStart w:id="280" w:name="_Toc465358971"/>
      <w:bookmarkStart w:id="281" w:name="_Toc466882019"/>
    </w:p>
    <w:p>
      <w:pPr>
        <w:tabs>
          <w:tab w:val="left" w:pos="567"/>
        </w:tabs>
        <w:autoSpaceDE w:val="0"/>
        <w:autoSpaceDN w:val="0"/>
        <w:adjustRightInd w:val="0"/>
        <w:spacing w:line="360" w:lineRule="auto"/>
        <w:ind w:left="16" w:leftChars="-59" w:hanging="140" w:hangingChars="67"/>
        <w:outlineLvl w:val="2"/>
        <w:rPr>
          <w:rFonts w:ascii="宋体" w:hAnsi="宋体" w:cs="宋体"/>
          <w:color w:val="auto"/>
          <w:szCs w:val="21"/>
          <w:highlight w:val="none"/>
          <w:lang w:val="zh-CN"/>
        </w:rPr>
      </w:pPr>
      <w:bookmarkStart w:id="282" w:name="_Toc10867_WPSOffice_Level3"/>
      <w:bookmarkStart w:id="283" w:name="_Toc173684911"/>
      <w:bookmarkStart w:id="284" w:name="_Toc142508347"/>
      <w:bookmarkStart w:id="285" w:name="_Toc3166"/>
      <w:bookmarkStart w:id="286" w:name="_Toc486167696"/>
      <w:bookmarkStart w:id="287" w:name="_Toc26035"/>
      <w:r>
        <w:rPr>
          <w:rFonts w:hint="eastAsia" w:ascii="宋体" w:hAnsi="宋体" w:cs="宋体"/>
          <w:color w:val="auto"/>
          <w:szCs w:val="21"/>
          <w:highlight w:val="none"/>
        </w:rPr>
        <w:t>31</w:t>
      </w:r>
      <w:r>
        <w:rPr>
          <w:rFonts w:hint="eastAsia" w:ascii="宋体" w:hAnsi="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pPr>
        <w:autoSpaceDE w:val="0"/>
        <w:autoSpaceDN w:val="0"/>
        <w:adjustRightInd w:val="0"/>
        <w:spacing w:line="360" w:lineRule="auto"/>
        <w:ind w:left="248" w:leftChars="118"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cs="宋体"/>
          <w:color w:val="auto"/>
          <w:kern w:val="44"/>
          <w:sz w:val="24"/>
          <w:szCs w:val="24"/>
          <w:highlight w:val="none"/>
          <w:lang w:val="zh-CN"/>
        </w:rPr>
      </w:pPr>
      <w:bookmarkStart w:id="288" w:name="_Toc450662880"/>
    </w:p>
    <w:p>
      <w:pPr>
        <w:keepNext/>
        <w:keepLines/>
        <w:autoSpaceDE w:val="0"/>
        <w:autoSpaceDN w:val="0"/>
        <w:adjustRightInd w:val="0"/>
        <w:spacing w:line="360" w:lineRule="auto"/>
        <w:jc w:val="left"/>
        <w:outlineLvl w:val="0"/>
        <w:rPr>
          <w:rFonts w:ascii="宋体" w:hAnsi="宋体" w:cs="宋体"/>
          <w:b/>
          <w:bCs/>
          <w:color w:val="auto"/>
          <w:kern w:val="44"/>
          <w:szCs w:val="21"/>
          <w:highlight w:val="none"/>
          <w:lang w:val="zh-CN"/>
        </w:rPr>
      </w:pPr>
      <w:bookmarkStart w:id="289" w:name="_Toc173684912"/>
      <w:bookmarkStart w:id="290" w:name="_Toc18316"/>
      <w:bookmarkStart w:id="291" w:name="_Toc142508348"/>
      <w:bookmarkStart w:id="292" w:name="_Toc16848_WPSOffice_Level2"/>
      <w:bookmarkStart w:id="293" w:name="_Toc140596907"/>
      <w:bookmarkStart w:id="294" w:name="_Toc486167697"/>
      <w:bookmarkStart w:id="295" w:name="_Toc26489"/>
      <w:r>
        <w:rPr>
          <w:rFonts w:hint="eastAsia" w:ascii="宋体" w:hAnsi="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296" w:name="_Toc25540"/>
      <w:bookmarkStart w:id="297" w:name="_Toc18755"/>
      <w:bookmarkStart w:id="298" w:name="_Toc6401_WPSOffice_Level3"/>
      <w:bookmarkStart w:id="299" w:name="_Toc486167698"/>
      <w:bookmarkStart w:id="300" w:name="_Toc142508349"/>
      <w:bookmarkStart w:id="301" w:name="_Toc450662881"/>
      <w:bookmarkStart w:id="302" w:name="_Toc173684913"/>
      <w:r>
        <w:rPr>
          <w:rFonts w:hint="eastAsia" w:ascii="宋体" w:hAnsi="宋体" w:cs="宋体"/>
          <w:color w:val="auto"/>
          <w:szCs w:val="21"/>
          <w:highlight w:val="none"/>
        </w:rPr>
        <w:t>32</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授予合同的准则</w:t>
      </w:r>
      <w:bookmarkEnd w:id="296"/>
      <w:bookmarkEnd w:id="297"/>
      <w:bookmarkEnd w:id="298"/>
      <w:bookmarkEnd w:id="299"/>
      <w:bookmarkEnd w:id="300"/>
      <w:bookmarkEnd w:id="301"/>
      <w:bookmarkEnd w:id="302"/>
    </w:p>
    <w:p>
      <w:pPr>
        <w:tabs>
          <w:tab w:val="left" w:pos="645"/>
        </w:tabs>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r>
        <w:rPr>
          <w:rFonts w:hint="eastAsia" w:ascii="宋体" w:hAnsi="宋体" w:cs="宋体"/>
          <w:color w:val="auto"/>
          <w:szCs w:val="21"/>
          <w:highlight w:val="none"/>
        </w:rPr>
        <w:t>32</w:t>
      </w:r>
      <w:r>
        <w:rPr>
          <w:rFonts w:hint="eastAsia" w:ascii="宋体" w:hAnsi="宋体" w:cs="宋体"/>
          <w:color w:val="auto"/>
          <w:szCs w:val="21"/>
          <w:highlight w:val="none"/>
          <w:lang w:val="zh-CN"/>
        </w:rPr>
        <w:t>.1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除第29条、30条</w:t>
      </w:r>
      <w:r>
        <w:rPr>
          <w:rFonts w:hint="eastAsia" w:ascii="宋体" w:hAnsi="宋体" w:cs="宋体"/>
          <w:color w:val="auto"/>
          <w:kern w:val="0"/>
          <w:sz w:val="24"/>
          <w:szCs w:val="24"/>
          <w:highlight w:val="none"/>
        </w:rPr>
        <w:t>、</w:t>
      </w:r>
      <w:r>
        <w:rPr>
          <w:rFonts w:hint="eastAsia" w:ascii="宋体" w:hAnsi="宋体" w:cs="宋体"/>
          <w:color w:val="auto"/>
          <w:kern w:val="0"/>
          <w:szCs w:val="24"/>
          <w:highlight w:val="none"/>
        </w:rPr>
        <w:t>31</w:t>
      </w:r>
      <w:r>
        <w:rPr>
          <w:rFonts w:hint="eastAsia" w:ascii="宋体" w:hAnsi="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cs="宋体"/>
          <w:color w:val="auto"/>
          <w:szCs w:val="21"/>
          <w:highlight w:val="none"/>
          <w:lang w:val="zh-CN"/>
        </w:rPr>
      </w:pPr>
      <w:r>
        <w:rPr>
          <w:rFonts w:hint="eastAsia" w:ascii="宋体" w:hAnsi="宋体" w:cs="宋体"/>
          <w:color w:val="auto"/>
          <w:szCs w:val="21"/>
          <w:highlight w:val="none"/>
          <w:lang w:val="zh-CN"/>
        </w:rPr>
        <w:t>32.2 招标人依法</w:t>
      </w:r>
      <w:r>
        <w:rPr>
          <w:rFonts w:hint="eastAsia" w:ascii="宋体" w:hAnsi="宋体" w:cs="宋体"/>
          <w:color w:val="auto"/>
          <w:kern w:val="0"/>
          <w:szCs w:val="21"/>
          <w:highlight w:val="none"/>
        </w:rPr>
        <w:t>按照评标报告中推荐的中标候选人顺序</w:t>
      </w:r>
      <w:r>
        <w:rPr>
          <w:rFonts w:hint="eastAsia" w:ascii="宋体" w:hAnsi="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cs="宋体"/>
          <w:b/>
          <w:color w:val="auto"/>
          <w:kern w:val="0"/>
          <w:szCs w:val="21"/>
          <w:highlight w:val="none"/>
        </w:rPr>
      </w:pPr>
      <w:r>
        <w:rPr>
          <w:rFonts w:hint="eastAsia" w:ascii="宋体" w:hAnsi="宋体" w:cs="宋体"/>
          <w:color w:val="auto"/>
          <w:szCs w:val="21"/>
          <w:highlight w:val="none"/>
          <w:lang w:val="zh-CN"/>
        </w:rPr>
        <w:t>32</w:t>
      </w:r>
      <w:r>
        <w:rPr>
          <w:rFonts w:hint="eastAsia" w:ascii="宋体" w:hAnsi="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bookmarkStart w:id="303" w:name="_Toc450662885"/>
    </w:p>
    <w:p>
      <w:pPr>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04" w:name="_Toc6726_WPSOffice_Level3"/>
      <w:bookmarkStart w:id="305" w:name="_Toc173684914"/>
      <w:bookmarkStart w:id="306" w:name="_Toc486167699"/>
      <w:bookmarkStart w:id="307" w:name="_Toc24266"/>
      <w:bookmarkStart w:id="308" w:name="_Toc142508350"/>
      <w:bookmarkStart w:id="309" w:name="_Toc6975"/>
      <w:r>
        <w:rPr>
          <w:rFonts w:hint="eastAsia" w:ascii="宋体" w:hAnsi="宋体" w:cs="宋体"/>
          <w:color w:val="auto"/>
          <w:szCs w:val="21"/>
          <w:highlight w:val="none"/>
          <w:lang w:val="zh-CN"/>
        </w:rPr>
        <w:t>33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中标通知</w:t>
      </w:r>
      <w:bookmarkEnd w:id="303"/>
      <w:bookmarkEnd w:id="304"/>
      <w:bookmarkEnd w:id="305"/>
      <w:bookmarkEnd w:id="306"/>
      <w:bookmarkEnd w:id="307"/>
      <w:bookmarkEnd w:id="308"/>
      <w:bookmarkEnd w:id="309"/>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bookmarkStart w:id="310" w:name="_Toc450662886"/>
      <w:r>
        <w:rPr>
          <w:rFonts w:hint="eastAsia" w:ascii="宋体" w:hAnsi="宋体" w:cs="宋体"/>
          <w:color w:val="auto"/>
          <w:szCs w:val="21"/>
          <w:highlight w:val="none"/>
          <w:lang w:val="zh-CN"/>
        </w:rPr>
        <w:t>33.1</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r>
        <w:rPr>
          <w:rFonts w:hint="eastAsia" w:ascii="宋体" w:hAnsi="宋体" w:cs="宋体"/>
          <w:color w:val="auto"/>
          <w:szCs w:val="21"/>
          <w:highlight w:val="none"/>
          <w:lang w:val="zh-CN"/>
        </w:rPr>
        <w:t>33.2</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11" w:name="_Toc173684915"/>
      <w:bookmarkStart w:id="312" w:name="_Toc486167700"/>
      <w:bookmarkStart w:id="313" w:name="_Toc9694_WPSOffice_Level3"/>
      <w:bookmarkStart w:id="314" w:name="_Toc32732"/>
      <w:bookmarkStart w:id="315" w:name="_Toc142508351"/>
      <w:bookmarkStart w:id="316" w:name="_Toc3371"/>
      <w:r>
        <w:rPr>
          <w:rFonts w:hint="eastAsia" w:ascii="宋体" w:hAnsi="宋体" w:cs="宋体"/>
          <w:color w:val="auto"/>
          <w:szCs w:val="21"/>
          <w:highlight w:val="none"/>
        </w:rPr>
        <w:t>34</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签署合同</w:t>
      </w:r>
      <w:bookmarkEnd w:id="310"/>
      <w:bookmarkEnd w:id="311"/>
      <w:bookmarkEnd w:id="312"/>
      <w:bookmarkEnd w:id="313"/>
      <w:bookmarkEnd w:id="314"/>
      <w:bookmarkEnd w:id="315"/>
      <w:bookmarkEnd w:id="316"/>
    </w:p>
    <w:p>
      <w:pPr>
        <w:tabs>
          <w:tab w:val="left" w:pos="540"/>
        </w:tabs>
        <w:autoSpaceDE w:val="0"/>
        <w:autoSpaceDN w:val="0"/>
        <w:adjustRightInd w:val="0"/>
        <w:spacing w:line="360" w:lineRule="auto"/>
        <w:ind w:left="330" w:leftChars="-100" w:right="15" w:rightChars="7" w:hanging="540"/>
        <w:rPr>
          <w:rFonts w:ascii="宋体" w:hAnsi="宋体" w:cs="宋体"/>
          <w:color w:val="auto"/>
          <w:szCs w:val="21"/>
          <w:highlight w:val="none"/>
          <w:lang w:val="zh-CN"/>
        </w:rPr>
      </w:pPr>
      <w:r>
        <w:rPr>
          <w:rFonts w:hint="eastAsia" w:ascii="宋体" w:hAnsi="宋体" w:cs="宋体"/>
          <w:color w:val="auto"/>
          <w:szCs w:val="21"/>
          <w:highlight w:val="none"/>
        </w:rPr>
        <w:t>34</w:t>
      </w:r>
      <w:r>
        <w:rPr>
          <w:rFonts w:hint="eastAsia" w:ascii="宋体" w:hAnsi="宋体" w:cs="宋体"/>
          <w:color w:val="auto"/>
          <w:szCs w:val="21"/>
          <w:highlight w:val="none"/>
          <w:lang w:val="zh-CN"/>
        </w:rPr>
        <w:t>.1</w:t>
      </w:r>
      <w:r>
        <w:rPr>
          <w:rFonts w:hint="eastAsia" w:ascii="宋体" w:hAnsi="宋体" w:cs="宋体"/>
          <w:color w:val="auto"/>
          <w:szCs w:val="21"/>
          <w:highlight w:val="none"/>
          <w:lang w:val="zh-CN"/>
        </w:rPr>
        <w:tab/>
      </w:r>
      <w:r>
        <w:rPr>
          <w:rFonts w:hint="eastAsia" w:ascii="宋体" w:hAnsi="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ascii="宋体" w:hAnsi="宋体" w:cs="Times New Roman"/>
          <w:color w:val="auto"/>
          <w:szCs w:val="21"/>
          <w:highlight w:val="none"/>
          <w:lang w:val="zh-CN"/>
        </w:rPr>
      </w:pPr>
      <w:r>
        <w:rPr>
          <w:rFonts w:hint="eastAsia" w:ascii="宋体" w:hAnsi="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pPr>
        <w:tabs>
          <w:tab w:val="left" w:pos="360"/>
        </w:tabs>
        <w:autoSpaceDE w:val="0"/>
        <w:autoSpaceDN w:val="0"/>
        <w:adjustRightInd w:val="0"/>
        <w:spacing w:line="360" w:lineRule="auto"/>
        <w:ind w:left="357" w:leftChars="-100" w:hanging="567"/>
        <w:jc w:val="left"/>
        <w:rPr>
          <w:rFonts w:ascii="宋体" w:hAnsi="宋体" w:cs="宋体"/>
          <w:color w:val="auto"/>
          <w:szCs w:val="21"/>
          <w:highlight w:val="none"/>
        </w:rPr>
      </w:pPr>
      <w:bookmarkStart w:id="317" w:name="_Toc486167701"/>
      <w:bookmarkStart w:id="318" w:name="_Toc450662887"/>
      <w:bookmarkStart w:id="319" w:name="_Toc142508352"/>
      <w:bookmarkStart w:id="320" w:name="_Toc10513_WPSOffice_Level3"/>
    </w:p>
    <w:p>
      <w:pPr>
        <w:tabs>
          <w:tab w:val="left" w:pos="360"/>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21" w:name="_Toc22008"/>
      <w:bookmarkStart w:id="322" w:name="_Toc173684916"/>
      <w:bookmarkStart w:id="323" w:name="_Toc8873"/>
      <w:r>
        <w:rPr>
          <w:rFonts w:hint="eastAsia" w:ascii="宋体" w:hAnsi="宋体" w:cs="宋体"/>
          <w:color w:val="auto"/>
          <w:szCs w:val="21"/>
          <w:highlight w:val="none"/>
        </w:rPr>
        <w:t>35</w:t>
      </w:r>
      <w:r>
        <w:rPr>
          <w:rFonts w:ascii="宋体" w:hAnsi="宋体" w:cs="宋体"/>
          <w:color w:val="auto"/>
          <w:szCs w:val="21"/>
          <w:highlight w:val="none"/>
        </w:rPr>
        <w:t xml:space="preserve"> </w:t>
      </w:r>
      <w:r>
        <w:rPr>
          <w:rFonts w:hint="eastAsia" w:ascii="宋体" w:hAnsi="宋体" w:cs="宋体"/>
          <w:color w:val="auto"/>
          <w:szCs w:val="21"/>
          <w:highlight w:val="none"/>
          <w:lang w:val="zh-CN"/>
        </w:rPr>
        <w:t>履约担保</w:t>
      </w:r>
      <w:bookmarkEnd w:id="317"/>
      <w:bookmarkEnd w:id="318"/>
      <w:bookmarkEnd w:id="319"/>
      <w:bookmarkEnd w:id="320"/>
      <w:bookmarkEnd w:id="321"/>
      <w:bookmarkEnd w:id="322"/>
      <w:bookmarkEnd w:id="323"/>
    </w:p>
    <w:p>
      <w:pPr>
        <w:numPr>
          <w:ilvl w:val="1"/>
          <w:numId w:val="0"/>
        </w:numPr>
        <w:autoSpaceDE w:val="0"/>
        <w:autoSpaceDN w:val="0"/>
        <w:adjustRightInd w:val="0"/>
        <w:spacing w:line="360" w:lineRule="auto"/>
        <w:ind w:left="354" w:leftChars="-100" w:right="15" w:rightChars="7" w:hanging="564" w:hangingChars="269"/>
        <w:rPr>
          <w:rFonts w:ascii="宋体" w:hAnsi="宋体" w:cs="宋体"/>
          <w:b/>
          <w:bCs/>
          <w:color w:val="auto"/>
          <w:szCs w:val="21"/>
          <w:highlight w:val="none"/>
          <w:lang w:val="zh-CN"/>
        </w:rPr>
      </w:pPr>
      <w:bookmarkStart w:id="324" w:name="_Toc465358977"/>
      <w:bookmarkStart w:id="325" w:name="_Toc466882025"/>
      <w:r>
        <w:rPr>
          <w:rFonts w:hint="eastAsia" w:ascii="宋体" w:hAnsi="宋体" w:cs="宋体"/>
          <w:bCs/>
          <w:color w:val="auto"/>
          <w:szCs w:val="21"/>
          <w:highlight w:val="none"/>
        </w:rPr>
        <w:t>35</w:t>
      </w:r>
      <w:r>
        <w:rPr>
          <w:rFonts w:hint="eastAsia" w:ascii="宋体" w:hAnsi="宋体" w:cs="宋体"/>
          <w:bCs/>
          <w:color w:val="auto"/>
          <w:szCs w:val="21"/>
          <w:highlight w:val="none"/>
          <w:lang w:val="zh-CN"/>
        </w:rPr>
        <w:t>.1</w:t>
      </w:r>
      <w:r>
        <w:rPr>
          <w:rFonts w:hint="eastAsia" w:ascii="宋体" w:hAnsi="宋体" w:cs="宋体"/>
          <w:b/>
          <w:bCs/>
          <w:color w:val="auto"/>
          <w:szCs w:val="21"/>
          <w:highlight w:val="none"/>
          <w:lang w:val="zh-CN"/>
        </w:rPr>
        <w:t xml:space="preserve"> </w:t>
      </w:r>
      <w:r>
        <w:rPr>
          <w:rFonts w:hint="eastAsia" w:ascii="宋体" w:hAnsi="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cs="Times New Roman"/>
          <w:b/>
          <w:bCs/>
          <w:color w:val="auto"/>
          <w:szCs w:val="21"/>
          <w:highlight w:val="none"/>
          <w:u w:val="single"/>
        </w:rPr>
        <w:t>或履约保证保险</w:t>
      </w:r>
      <w:r>
        <w:rPr>
          <w:rFonts w:hint="eastAsia" w:ascii="宋体" w:hAnsi="宋体" w:cs="Times New Roman"/>
          <w:b/>
          <w:bCs/>
          <w:color w:val="auto"/>
          <w:szCs w:val="21"/>
          <w:highlight w:val="none"/>
          <w:u w:val="single"/>
          <w:lang w:val="zh-CN"/>
        </w:rPr>
        <w:t>或担保公司履约担保书），作为履约担保（所需费用由中标人自行承担），</w:t>
      </w:r>
      <w:r>
        <w:rPr>
          <w:rFonts w:ascii="宋体" w:hAnsi="宋体" w:cs="Arial"/>
          <w:b/>
          <w:bCs/>
          <w:color w:val="auto"/>
          <w:kern w:val="0"/>
          <w:szCs w:val="24"/>
          <w:highlight w:val="none"/>
          <w:u w:val="single"/>
        </w:rPr>
        <w:t>否则招标人可取消中标人的中标资格，</w:t>
      </w:r>
      <w:r>
        <w:rPr>
          <w:rFonts w:hint="eastAsia" w:ascii="宋体" w:hAnsi="宋体" w:cs="Arial"/>
          <w:b/>
          <w:bCs/>
          <w:color w:val="auto"/>
          <w:kern w:val="0"/>
          <w:szCs w:val="24"/>
          <w:highlight w:val="none"/>
          <w:u w:val="single"/>
        </w:rPr>
        <w:t>不予退还其投标保证金。</w:t>
      </w:r>
      <w:r>
        <w:rPr>
          <w:rFonts w:hint="eastAsia" w:ascii="宋体" w:hAnsi="宋体" w:cs="Times New Roman"/>
          <w:b/>
          <w:bCs/>
          <w:color w:val="auto"/>
          <w:szCs w:val="21"/>
          <w:highlight w:val="none"/>
          <w:u w:val="single"/>
          <w:lang w:val="zh-CN"/>
        </w:rPr>
        <w:t>其中，采用履约保证金（银行转账形式）的金额为暂定总合同价</w:t>
      </w:r>
      <w:r>
        <w:rPr>
          <w:rFonts w:hint="eastAsia" w:ascii="宋体" w:hAnsi="宋体" w:cs="Times New Roman"/>
          <w:b/>
          <w:bCs/>
          <w:color w:val="auto"/>
          <w:szCs w:val="21"/>
          <w:highlight w:val="none"/>
          <w:u w:val="single"/>
        </w:rPr>
        <w:t>税合计金额</w:t>
      </w:r>
      <w:r>
        <w:rPr>
          <w:rFonts w:hint="eastAsia" w:ascii="宋体" w:hAnsi="宋体" w:cs="Times New Roman"/>
          <w:b/>
          <w:bCs/>
          <w:color w:val="auto"/>
          <w:szCs w:val="21"/>
          <w:highlight w:val="none"/>
          <w:u w:val="single"/>
          <w:lang w:val="zh-CN"/>
        </w:rPr>
        <w:t>的5%，采用不可撤销银行履约保函形式的金额为暂定总合同价</w:t>
      </w:r>
      <w:r>
        <w:rPr>
          <w:rFonts w:hint="eastAsia" w:ascii="宋体" w:hAnsi="宋体" w:cs="Times New Roman"/>
          <w:b/>
          <w:bCs/>
          <w:color w:val="auto"/>
          <w:szCs w:val="21"/>
          <w:highlight w:val="none"/>
          <w:u w:val="single"/>
        </w:rPr>
        <w:t>税合计金额</w:t>
      </w:r>
      <w:r>
        <w:rPr>
          <w:rFonts w:hint="eastAsia" w:ascii="宋体" w:hAnsi="宋体" w:cs="Times New Roman"/>
          <w:b/>
          <w:bCs/>
          <w:color w:val="auto"/>
          <w:szCs w:val="21"/>
          <w:highlight w:val="none"/>
          <w:u w:val="single"/>
          <w:lang w:val="zh-CN"/>
        </w:rPr>
        <w:t>的8%，采用</w:t>
      </w:r>
      <w:r>
        <w:rPr>
          <w:rFonts w:hint="eastAsia" w:ascii="宋体" w:hAnsi="宋体" w:cs="Times New Roman"/>
          <w:b/>
          <w:bCs/>
          <w:color w:val="auto"/>
          <w:szCs w:val="21"/>
          <w:highlight w:val="none"/>
          <w:u w:val="single"/>
        </w:rPr>
        <w:t>履约保证保险</w:t>
      </w:r>
      <w:r>
        <w:rPr>
          <w:rFonts w:hint="eastAsia" w:ascii="宋体" w:hAnsi="宋体" w:cs="Times New Roman"/>
          <w:b/>
          <w:bCs/>
          <w:color w:val="auto"/>
          <w:szCs w:val="21"/>
          <w:highlight w:val="none"/>
          <w:u w:val="single"/>
          <w:lang w:val="zh-CN"/>
        </w:rPr>
        <w:t>形式的金额为暂定总合同价</w:t>
      </w:r>
      <w:r>
        <w:rPr>
          <w:rFonts w:hint="eastAsia" w:ascii="宋体" w:hAnsi="宋体" w:cs="Times New Roman"/>
          <w:b/>
          <w:bCs/>
          <w:color w:val="auto"/>
          <w:szCs w:val="21"/>
          <w:highlight w:val="none"/>
          <w:u w:val="single"/>
        </w:rPr>
        <w:t>税合计金额</w:t>
      </w:r>
      <w:r>
        <w:rPr>
          <w:rFonts w:hint="eastAsia" w:ascii="宋体" w:hAnsi="宋体" w:cs="Times New Roman"/>
          <w:b/>
          <w:bCs/>
          <w:color w:val="auto"/>
          <w:szCs w:val="21"/>
          <w:highlight w:val="none"/>
          <w:u w:val="single"/>
          <w:lang w:val="zh-CN"/>
        </w:rPr>
        <w:t>的8%，采用担保公司履约担保书形式的金额为暂定总合同价</w:t>
      </w:r>
      <w:r>
        <w:rPr>
          <w:rFonts w:hint="eastAsia" w:ascii="宋体" w:hAnsi="宋体" w:cs="Times New Roman"/>
          <w:b/>
          <w:bCs/>
          <w:color w:val="auto"/>
          <w:szCs w:val="21"/>
          <w:highlight w:val="none"/>
          <w:u w:val="single"/>
        </w:rPr>
        <w:t>税合计金额</w:t>
      </w:r>
      <w:r>
        <w:rPr>
          <w:rFonts w:hint="eastAsia" w:ascii="宋体" w:hAnsi="宋体" w:cs="Times New Roman"/>
          <w:b/>
          <w:bCs/>
          <w:color w:val="auto"/>
          <w:szCs w:val="21"/>
          <w:highlight w:val="none"/>
          <w:u w:val="single"/>
          <w:lang w:val="zh-CN"/>
        </w:rPr>
        <w:t>的</w:t>
      </w:r>
      <w:r>
        <w:rPr>
          <w:rFonts w:ascii="宋体" w:hAnsi="宋体" w:cs="Times New Roman"/>
          <w:b/>
          <w:bCs/>
          <w:color w:val="auto"/>
          <w:szCs w:val="21"/>
          <w:highlight w:val="none"/>
          <w:u w:val="single"/>
          <w:lang w:val="zh-CN"/>
        </w:rPr>
        <w:t>10</w:t>
      </w:r>
      <w:r>
        <w:rPr>
          <w:rFonts w:hint="eastAsia" w:ascii="宋体" w:hAnsi="宋体" w:cs="Times New Roman"/>
          <w:b/>
          <w:bCs/>
          <w:color w:val="auto"/>
          <w:szCs w:val="21"/>
          <w:highlight w:val="none"/>
          <w:u w:val="single"/>
          <w:lang w:val="zh-CN"/>
        </w:rPr>
        <w:t>%。</w:t>
      </w:r>
      <w:r>
        <w:rPr>
          <w:rFonts w:hint="eastAsia" w:ascii="宋体" w:hAnsi="宋体" w:cs="Arial"/>
          <w:bCs/>
          <w:color w:val="auto"/>
          <w:kern w:val="0"/>
          <w:szCs w:val="24"/>
          <w:highlight w:val="none"/>
        </w:rPr>
        <w:t>合同履行过程中，中标人</w:t>
      </w:r>
      <w:r>
        <w:rPr>
          <w:rFonts w:hint="eastAsia" w:ascii="宋体" w:hAnsi="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35.2 </w:t>
      </w:r>
      <w:r>
        <w:rPr>
          <w:rFonts w:hint="eastAsia" w:ascii="宋体" w:hAnsi="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w:t>
      </w:r>
      <w:r>
        <w:rPr>
          <w:rFonts w:hint="eastAsia" w:ascii="宋体" w:hAnsi="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2）在合同履行期间，中标人</w:t>
      </w:r>
      <w:r>
        <w:rPr>
          <w:rFonts w:hint="eastAsia" w:ascii="宋体" w:hAnsi="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3）在合同履行期间，因中标人</w:t>
      </w:r>
      <w:r>
        <w:rPr>
          <w:rFonts w:hint="eastAsia" w:ascii="宋体" w:hAnsi="宋体" w:cs="Times New Roman"/>
          <w:color w:val="auto"/>
          <w:kern w:val="0"/>
          <w:szCs w:val="21"/>
          <w:highlight w:val="none"/>
        </w:rPr>
        <w:t>货物、</w:t>
      </w:r>
      <w:r>
        <w:rPr>
          <w:rFonts w:ascii="宋体" w:hAnsi="宋体" w:cs="Times New Roman"/>
          <w:color w:val="auto"/>
          <w:kern w:val="0"/>
          <w:szCs w:val="21"/>
          <w:highlight w:val="none"/>
        </w:rPr>
        <w:t>服务质量问题造成损害、侵权损失（包括但不限于招标人经济损失、第三人人身财产损失等）、</w:t>
      </w:r>
      <w:r>
        <w:rPr>
          <w:rFonts w:hint="eastAsia" w:ascii="宋体" w:hAnsi="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5）合同期内，中标人不能及时完成合同某项义务的，招标人有权提取履约</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6）其他根据本合同约定或法律规定，招标人可启用履约</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cs="宋体"/>
          <w:color w:val="auto"/>
          <w:kern w:val="0"/>
          <w:szCs w:val="21"/>
          <w:highlight w:val="none"/>
        </w:rPr>
      </w:pPr>
      <w:r>
        <w:rPr>
          <w:rFonts w:hint="eastAsia" w:ascii="宋体" w:hAnsi="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ascii="宋体" w:hAnsi="宋体" w:cs="Times New Roman"/>
          <w:color w:val="auto"/>
          <w:kern w:val="0"/>
          <w:szCs w:val="21"/>
          <w:highlight w:val="none"/>
        </w:rPr>
        <w:t>出具履约保函的银行必须是</w:t>
      </w:r>
      <w:r>
        <w:rPr>
          <w:rFonts w:hint="eastAsia" w:ascii="宋体" w:hAnsi="宋体" w:cs="Times New Roman"/>
          <w:color w:val="auto"/>
          <w:kern w:val="0"/>
          <w:szCs w:val="21"/>
          <w:highlight w:val="none"/>
        </w:rPr>
        <w:t>境内</w:t>
      </w:r>
      <w:r>
        <w:rPr>
          <w:rFonts w:ascii="宋体" w:hAnsi="宋体" w:cs="Times New Roman"/>
          <w:color w:val="auto"/>
          <w:kern w:val="0"/>
          <w:szCs w:val="21"/>
          <w:highlight w:val="none"/>
        </w:rPr>
        <w:t>支行一级以上机构，并经招标人同意，执行本款时所发生的费用由中标人</w:t>
      </w:r>
      <w:r>
        <w:rPr>
          <w:rFonts w:hint="eastAsia" w:ascii="宋体" w:hAnsi="宋体" w:cs="Times New Roman"/>
          <w:color w:val="auto"/>
          <w:kern w:val="0"/>
          <w:szCs w:val="21"/>
          <w:highlight w:val="none"/>
        </w:rPr>
        <w:t>承担</w:t>
      </w:r>
      <w:r>
        <w:rPr>
          <w:rFonts w:ascii="宋体" w:hAnsi="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ascii="宋体" w:hAnsi="宋体" w:cs="Times New Roman"/>
          <w:color w:val="auto"/>
          <w:kern w:val="0"/>
          <w:szCs w:val="21"/>
          <w:highlight w:val="none"/>
        </w:rPr>
        <w:t>履约担保格式应采用招标文件中提供的（格式参见第</w:t>
      </w:r>
      <w:r>
        <w:rPr>
          <w:rFonts w:hint="eastAsia" w:ascii="宋体" w:hAnsi="宋体" w:cs="Times New Roman"/>
          <w:color w:val="auto"/>
          <w:kern w:val="0"/>
          <w:szCs w:val="21"/>
          <w:highlight w:val="none"/>
        </w:rPr>
        <w:t>五篇</w:t>
      </w:r>
      <w:r>
        <w:rPr>
          <w:rFonts w:ascii="宋体" w:hAnsi="宋体" w:cs="Times New Roman"/>
          <w:color w:val="auto"/>
          <w:kern w:val="0"/>
          <w:szCs w:val="21"/>
          <w:highlight w:val="none"/>
        </w:rPr>
        <w:t>），</w:t>
      </w:r>
      <w:r>
        <w:rPr>
          <w:rFonts w:hint="eastAsia" w:ascii="宋体" w:hAnsi="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cs="Times New Roman"/>
          <w:color w:val="auto"/>
          <w:kern w:val="0"/>
          <w:szCs w:val="21"/>
          <w:highlight w:val="none"/>
        </w:rPr>
        <w:t>如使用其他格式的履约保函</w:t>
      </w:r>
      <w:r>
        <w:rPr>
          <w:rFonts w:hint="eastAsia" w:ascii="宋体" w:hAnsi="宋体" w:cs="Times New Roman"/>
          <w:color w:val="auto"/>
          <w:kern w:val="0"/>
          <w:szCs w:val="21"/>
          <w:highlight w:val="none"/>
        </w:rPr>
        <w:t>（或履约保证保险或担保公司履约担保书）</w:t>
      </w:r>
      <w:r>
        <w:rPr>
          <w:rFonts w:ascii="宋体" w:hAnsi="宋体" w:cs="Times New Roman"/>
          <w:color w:val="auto"/>
          <w:kern w:val="0"/>
          <w:szCs w:val="21"/>
          <w:highlight w:val="none"/>
        </w:rPr>
        <w:t>，须事先经招标人的书面</w:t>
      </w:r>
      <w:r>
        <w:rPr>
          <w:rFonts w:hint="eastAsia" w:ascii="宋体" w:hAnsi="宋体" w:cs="Times New Roman"/>
          <w:color w:val="auto"/>
          <w:kern w:val="0"/>
          <w:szCs w:val="21"/>
          <w:highlight w:val="none"/>
        </w:rPr>
        <w:t>同意</w:t>
      </w:r>
      <w:r>
        <w:rPr>
          <w:rFonts w:ascii="宋体" w:hAnsi="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（4）</w:t>
      </w:r>
      <w:r>
        <w:rPr>
          <w:rFonts w:ascii="宋体" w:hAnsi="宋体" w:cs="Times New Roman"/>
          <w:color w:val="auto"/>
          <w:kern w:val="0"/>
          <w:szCs w:val="21"/>
          <w:highlight w:val="none"/>
        </w:rPr>
        <w:t>如果</w:t>
      </w:r>
      <w:r>
        <w:rPr>
          <w:rFonts w:hint="eastAsia" w:ascii="宋体" w:hAnsi="宋体" w:cs="Times New Roman"/>
          <w:color w:val="auto"/>
          <w:kern w:val="0"/>
          <w:szCs w:val="21"/>
          <w:highlight w:val="none"/>
        </w:rPr>
        <w:t>中标</w:t>
      </w:r>
      <w:r>
        <w:rPr>
          <w:rFonts w:ascii="宋体" w:hAnsi="宋体" w:cs="Times New Roman"/>
          <w:color w:val="auto"/>
          <w:kern w:val="0"/>
          <w:szCs w:val="21"/>
          <w:highlight w:val="none"/>
        </w:rPr>
        <w:t>人提交的履约担保的有效期届满时间先于招标文件、合同文件要求的，</w:t>
      </w:r>
      <w:r>
        <w:rPr>
          <w:rFonts w:hint="eastAsia" w:ascii="宋体" w:hAnsi="宋体" w:cs="Times New Roman"/>
          <w:color w:val="auto"/>
          <w:kern w:val="0"/>
          <w:szCs w:val="21"/>
          <w:highlight w:val="none"/>
        </w:rPr>
        <w:t>中标</w:t>
      </w:r>
      <w:r>
        <w:rPr>
          <w:rFonts w:ascii="宋体" w:hAnsi="宋体" w:cs="Times New Roman"/>
          <w:color w:val="auto"/>
          <w:kern w:val="0"/>
          <w:szCs w:val="21"/>
          <w:highlight w:val="none"/>
        </w:rPr>
        <w:t>人应在原提交的履约担保有效期届满前15</w:t>
      </w:r>
      <w:r>
        <w:rPr>
          <w:rFonts w:hint="eastAsia" w:ascii="宋体" w:hAnsi="宋体" w:cs="Times New Roman"/>
          <w:color w:val="auto"/>
          <w:kern w:val="0"/>
          <w:szCs w:val="21"/>
          <w:highlight w:val="none"/>
        </w:rPr>
        <w:t>日</w:t>
      </w:r>
      <w:r>
        <w:rPr>
          <w:rFonts w:ascii="宋体" w:hAnsi="宋体" w:cs="Times New Roman"/>
          <w:color w:val="auto"/>
          <w:kern w:val="0"/>
          <w:szCs w:val="21"/>
          <w:highlight w:val="none"/>
        </w:rPr>
        <w:t>内，无条件办理</w:t>
      </w:r>
      <w:r>
        <w:rPr>
          <w:rFonts w:hint="eastAsia" w:ascii="宋体" w:hAnsi="宋体" w:cs="Times New Roman"/>
          <w:color w:val="auto"/>
          <w:kern w:val="0"/>
          <w:szCs w:val="21"/>
          <w:highlight w:val="none"/>
        </w:rPr>
        <w:t>符合招标人要求的</w:t>
      </w:r>
      <w:r>
        <w:rPr>
          <w:rFonts w:ascii="宋体" w:hAnsi="宋体" w:cs="Times New Roman"/>
          <w:color w:val="auto"/>
          <w:kern w:val="0"/>
          <w:szCs w:val="21"/>
          <w:highlight w:val="none"/>
        </w:rPr>
        <w:t>履约担保延期手续，否则视为</w:t>
      </w:r>
      <w:r>
        <w:rPr>
          <w:rFonts w:hint="eastAsia" w:ascii="宋体" w:hAnsi="宋体" w:cs="Times New Roman"/>
          <w:color w:val="auto"/>
          <w:kern w:val="0"/>
          <w:szCs w:val="21"/>
          <w:highlight w:val="none"/>
        </w:rPr>
        <w:t>中标</w:t>
      </w:r>
      <w:r>
        <w:rPr>
          <w:rFonts w:ascii="宋体" w:hAnsi="宋体" w:cs="Times New Roman"/>
          <w:color w:val="auto"/>
          <w:kern w:val="0"/>
          <w:szCs w:val="21"/>
          <w:highlight w:val="none"/>
        </w:rPr>
        <w:t>人违约，</w:t>
      </w:r>
      <w:r>
        <w:rPr>
          <w:rFonts w:hint="eastAsia" w:ascii="宋体" w:hAnsi="宋体" w:cs="Times New Roman"/>
          <w:color w:val="auto"/>
          <w:kern w:val="0"/>
          <w:szCs w:val="21"/>
          <w:highlight w:val="none"/>
        </w:rPr>
        <w:t>招标</w:t>
      </w:r>
      <w:r>
        <w:rPr>
          <w:rFonts w:ascii="宋体" w:hAnsi="宋体" w:cs="Times New Roman"/>
          <w:color w:val="auto"/>
          <w:kern w:val="0"/>
          <w:szCs w:val="21"/>
          <w:highlight w:val="none"/>
        </w:rPr>
        <w:t>人有权</w:t>
      </w:r>
      <w:r>
        <w:rPr>
          <w:rFonts w:hint="eastAsia" w:ascii="宋体" w:hAnsi="宋体" w:cs="Times New Roman"/>
          <w:color w:val="auto"/>
          <w:kern w:val="0"/>
          <w:szCs w:val="21"/>
          <w:highlight w:val="none"/>
        </w:rPr>
        <w:t>在不可撤销银行履约保函或履约保证保险或担保公司履约担保书到期前</w:t>
      </w:r>
      <w:r>
        <w:rPr>
          <w:rFonts w:ascii="宋体" w:hAnsi="宋体" w:cs="Times New Roman"/>
          <w:color w:val="auto"/>
          <w:kern w:val="0"/>
          <w:szCs w:val="21"/>
          <w:highlight w:val="none"/>
        </w:rPr>
        <w:t>向出具履约</w:t>
      </w:r>
      <w:r>
        <w:rPr>
          <w:rFonts w:hint="eastAsia" w:ascii="宋体" w:hAnsi="宋体" w:cs="Times New Roman"/>
          <w:color w:val="auto"/>
          <w:kern w:val="0"/>
          <w:szCs w:val="21"/>
          <w:highlight w:val="none"/>
        </w:rPr>
        <w:t>担保的机构</w:t>
      </w:r>
      <w:r>
        <w:rPr>
          <w:rFonts w:ascii="宋体" w:hAnsi="宋体" w:cs="Times New Roman"/>
          <w:color w:val="auto"/>
          <w:kern w:val="0"/>
          <w:szCs w:val="21"/>
          <w:highlight w:val="none"/>
        </w:rPr>
        <w:t>提取履约</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金。</w:t>
      </w:r>
      <w:r>
        <w:rPr>
          <w:rFonts w:hint="eastAsia" w:ascii="宋体" w:hAnsi="宋体" w:cs="Times New Roman"/>
          <w:color w:val="auto"/>
          <w:kern w:val="0"/>
          <w:szCs w:val="21"/>
          <w:highlight w:val="none"/>
        </w:rPr>
        <w:t>在不可撤销银行履约保函（或履约保证保险或担保公司履约担保书）到期后中标</w:t>
      </w:r>
      <w:r>
        <w:rPr>
          <w:rFonts w:ascii="宋体" w:hAnsi="宋体" w:cs="Times New Roman"/>
          <w:color w:val="auto"/>
          <w:kern w:val="0"/>
          <w:szCs w:val="21"/>
          <w:highlight w:val="none"/>
        </w:rPr>
        <w:t>人</w:t>
      </w:r>
      <w:r>
        <w:rPr>
          <w:rFonts w:hint="eastAsia" w:ascii="宋体" w:hAnsi="宋体" w:cs="Times New Roman"/>
          <w:color w:val="auto"/>
          <w:kern w:val="0"/>
          <w:szCs w:val="21"/>
          <w:highlight w:val="none"/>
        </w:rPr>
        <w:t>未按招标人要求重新提供的，招标人有权要求中标</w:t>
      </w:r>
      <w:r>
        <w:rPr>
          <w:rFonts w:ascii="宋体" w:hAnsi="宋体" w:cs="Times New Roman"/>
          <w:color w:val="auto"/>
          <w:kern w:val="0"/>
          <w:szCs w:val="21"/>
          <w:highlight w:val="none"/>
        </w:rPr>
        <w:t>人</w:t>
      </w:r>
      <w:r>
        <w:rPr>
          <w:rFonts w:hint="eastAsia" w:ascii="宋体" w:hAnsi="宋体" w:cs="Times New Roman"/>
          <w:color w:val="auto"/>
          <w:kern w:val="0"/>
          <w:szCs w:val="21"/>
          <w:highlight w:val="none"/>
        </w:rPr>
        <w:t>以履约担保金额为限承担违约金，违约金可直接从未付采购合同费用中扣除</w:t>
      </w:r>
      <w:r>
        <w:rPr>
          <w:rFonts w:ascii="宋体" w:hAnsi="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5</w:t>
      </w:r>
      <w:r>
        <w:rPr>
          <w:rFonts w:hint="eastAsia" w:ascii="宋体" w:hAnsi="宋体" w:cs="Times New Roman"/>
          <w:color w:val="auto"/>
          <w:kern w:val="0"/>
          <w:szCs w:val="21"/>
          <w:highlight w:val="none"/>
        </w:rPr>
        <w:t>）在合同履行过程中，不论何种原因导致履约担保金数额不符合招标文件要求的，中标人应当在</w:t>
      </w:r>
      <w:r>
        <w:rPr>
          <w:rFonts w:ascii="宋体" w:hAnsi="宋体" w:cs="Times New Roman"/>
          <w:color w:val="auto"/>
          <w:kern w:val="0"/>
          <w:szCs w:val="21"/>
          <w:highlight w:val="none"/>
        </w:rPr>
        <w:t>5日内予以补足。逾期不予补足的，</w:t>
      </w:r>
      <w:r>
        <w:rPr>
          <w:rFonts w:hint="eastAsia" w:ascii="宋体" w:hAnsi="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cs="宋体"/>
          <w:color w:val="auto"/>
          <w:kern w:val="0"/>
          <w:szCs w:val="21"/>
          <w:highlight w:val="none"/>
        </w:rPr>
      </w:pPr>
      <w:r>
        <w:rPr>
          <w:rFonts w:hint="eastAsia" w:ascii="宋体" w:hAnsi="宋体" w:cs="宋体"/>
          <w:color w:val="auto"/>
          <w:kern w:val="0"/>
          <w:szCs w:val="21"/>
          <w:highlight w:val="none"/>
        </w:rPr>
        <w:t>（6）不</w:t>
      </w:r>
      <w:r>
        <w:rPr>
          <w:rFonts w:hint="eastAsia" w:ascii="宋体" w:hAnsi="宋体" w:cs="Times New Roman"/>
          <w:color w:val="auto"/>
          <w:kern w:val="0"/>
          <w:szCs w:val="21"/>
          <w:highlight w:val="none"/>
        </w:rPr>
        <w:t>可撤销银行履约保函（或履约保证保险或担保公司履约担保书）应自合同签订之日起至完成全部供货（含最终验收合格）且结算完毕之后二十八（</w:t>
      </w:r>
      <w:r>
        <w:rPr>
          <w:rFonts w:ascii="宋体" w:hAnsi="宋体" w:cs="Times New Roman"/>
          <w:color w:val="auto"/>
          <w:kern w:val="0"/>
          <w:szCs w:val="21"/>
          <w:highlight w:val="none"/>
        </w:rPr>
        <w:t>28）日内保持有效</w:t>
      </w:r>
      <w:r>
        <w:rPr>
          <w:rFonts w:hint="eastAsia" w:ascii="宋体" w:hAnsi="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cs="宋体"/>
          <w:color w:val="auto"/>
          <w:kern w:val="0"/>
          <w:szCs w:val="21"/>
          <w:highlight w:val="none"/>
        </w:rPr>
      </w:pPr>
      <w:r>
        <w:rPr>
          <w:rFonts w:hint="eastAsia" w:ascii="宋体" w:hAnsi="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cs="宋体"/>
          <w:color w:val="auto"/>
          <w:kern w:val="0"/>
          <w:szCs w:val="21"/>
          <w:highlight w:val="none"/>
        </w:rPr>
      </w:pPr>
      <w:r>
        <w:rPr>
          <w:rFonts w:hint="eastAsia" w:ascii="宋体" w:hAnsi="宋体" w:cs="宋体"/>
          <w:color w:val="auto"/>
          <w:kern w:val="0"/>
          <w:szCs w:val="21"/>
          <w:highlight w:val="none"/>
        </w:rPr>
        <w:t>35.5  中标人</w:t>
      </w:r>
      <w:r>
        <w:rPr>
          <w:rFonts w:ascii="宋体" w:hAnsi="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cs="Times New Roman"/>
          <w:color w:val="auto"/>
          <w:kern w:val="0"/>
          <w:szCs w:val="21"/>
          <w:highlight w:val="none"/>
        </w:rPr>
        <w:t>中标</w:t>
      </w:r>
      <w:r>
        <w:rPr>
          <w:rFonts w:ascii="宋体" w:hAnsi="宋体" w:cs="Times New Roman"/>
          <w:color w:val="auto"/>
          <w:kern w:val="0"/>
          <w:szCs w:val="21"/>
          <w:highlight w:val="none"/>
        </w:rPr>
        <w:t>人的法人书面授权，不接受由私人账户和其它单位转入的保证金</w:t>
      </w:r>
      <w:r>
        <w:rPr>
          <w:rFonts w:hint="eastAsia" w:ascii="宋体" w:hAnsi="宋体" w:cs="Times New Roman"/>
          <w:color w:val="auto"/>
          <w:kern w:val="0"/>
          <w:szCs w:val="21"/>
          <w:highlight w:val="none"/>
        </w:rPr>
        <w:t>，也不接受现金形式提交</w:t>
      </w:r>
      <w:r>
        <w:rPr>
          <w:rFonts w:ascii="宋体" w:hAnsi="宋体" w:cs="Times New Roman"/>
          <w:color w:val="auto"/>
          <w:kern w:val="0"/>
          <w:szCs w:val="21"/>
          <w:highlight w:val="none"/>
        </w:rPr>
        <w:t>。履约保证金应以存入招标人指定的</w:t>
      </w:r>
      <w:r>
        <w:rPr>
          <w:rFonts w:hint="eastAsia" w:ascii="宋体" w:hAnsi="宋体" w:cs="Times New Roman"/>
          <w:color w:val="auto"/>
          <w:kern w:val="0"/>
          <w:szCs w:val="21"/>
          <w:highlight w:val="none"/>
        </w:rPr>
        <w:t>以下</w:t>
      </w:r>
      <w:r>
        <w:rPr>
          <w:rFonts w:ascii="宋体" w:hAnsi="宋体" w:cs="Times New Roman"/>
          <w:color w:val="auto"/>
          <w:kern w:val="0"/>
          <w:szCs w:val="21"/>
          <w:highlight w:val="none"/>
        </w:rPr>
        <w:t>银行账户为准</w:t>
      </w:r>
      <w:r>
        <w:rPr>
          <w:rFonts w:hint="eastAsia" w:ascii="宋体" w:hAnsi="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cs="宋体"/>
          <w:b/>
          <w:color w:val="auto"/>
          <w:kern w:val="0"/>
          <w:szCs w:val="21"/>
          <w:highlight w:val="none"/>
        </w:rPr>
      </w:pPr>
      <w:r>
        <w:rPr>
          <w:rFonts w:hint="eastAsia" w:ascii="宋体" w:hAnsi="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rPr>
          <w:rFonts w:ascii="宋体" w:hAnsi="宋体" w:cs="宋体"/>
          <w:b/>
          <w:color w:val="auto"/>
          <w:kern w:val="0"/>
          <w:szCs w:val="21"/>
          <w:highlight w:val="none"/>
        </w:rPr>
      </w:pPr>
      <w:r>
        <w:rPr>
          <w:rFonts w:hint="eastAsia" w:ascii="宋体" w:hAnsi="宋体" w:cs="宋体"/>
          <w:b/>
          <w:color w:val="auto"/>
          <w:kern w:val="0"/>
          <w:szCs w:val="21"/>
          <w:highlight w:val="none"/>
        </w:rPr>
        <w:t>开户名称：东莞市众源环境投资有限公司</w:t>
      </w:r>
    </w:p>
    <w:p>
      <w:pPr>
        <w:autoSpaceDE w:val="0"/>
        <w:autoSpaceDN w:val="0"/>
        <w:adjustRightInd w:val="0"/>
        <w:snapToGrid w:val="0"/>
        <w:spacing w:line="360" w:lineRule="auto"/>
        <w:ind w:firstLine="632" w:firstLineChars="300"/>
        <w:jc w:val="left"/>
        <w:rPr>
          <w:rFonts w:ascii="宋体" w:hAnsi="宋体" w:cs="宋体"/>
          <w:b/>
          <w:color w:val="auto"/>
          <w:kern w:val="0"/>
          <w:szCs w:val="21"/>
          <w:highlight w:val="none"/>
        </w:rPr>
      </w:pPr>
      <w:r>
        <w:rPr>
          <w:rFonts w:hint="eastAsia" w:ascii="宋体" w:hAnsi="宋体" w:cs="宋体"/>
          <w:b/>
          <w:color w:val="auto"/>
          <w:kern w:val="0"/>
          <w:szCs w:val="21"/>
          <w:highlight w:val="none"/>
        </w:rPr>
        <w:t>银行账号：769908269610828</w:t>
      </w:r>
    </w:p>
    <w:p>
      <w:pPr>
        <w:autoSpaceDE w:val="0"/>
        <w:autoSpaceDN w:val="0"/>
        <w:adjustRightInd w:val="0"/>
        <w:snapToGrid w:val="0"/>
        <w:spacing w:line="360" w:lineRule="auto"/>
        <w:ind w:firstLine="632" w:firstLineChars="300"/>
        <w:jc w:val="left"/>
        <w:rPr>
          <w:rFonts w:ascii="宋体" w:hAnsi="宋体" w:cs="宋体"/>
          <w:b/>
          <w:color w:val="auto"/>
          <w:kern w:val="0"/>
          <w:szCs w:val="21"/>
          <w:highlight w:val="none"/>
        </w:rPr>
      </w:pPr>
      <w:r>
        <w:rPr>
          <w:rFonts w:hint="eastAsia" w:ascii="宋体" w:hAnsi="宋体" w:cs="宋体"/>
          <w:b/>
          <w:color w:val="auto"/>
          <w:kern w:val="0"/>
          <w:szCs w:val="21"/>
          <w:highlight w:val="none"/>
        </w:rPr>
        <w:t>开户银行：招商银行股份有限公司东莞分行</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cs="宋体"/>
          <w:color w:val="auto"/>
          <w:kern w:val="0"/>
          <w:szCs w:val="21"/>
          <w:highlight w:val="none"/>
        </w:rPr>
        <w:t>中标人以履约保证金（银行转账形式）提供履约担保的在依法完成本项目的所有合同义务，且</w:t>
      </w:r>
      <w:r>
        <w:rPr>
          <w:rFonts w:hint="eastAsia" w:ascii="宋体" w:hAnsi="宋体" w:cs="Times New Roman"/>
          <w:color w:val="auto"/>
          <w:kern w:val="0"/>
          <w:szCs w:val="21"/>
          <w:highlight w:val="none"/>
        </w:rPr>
        <w:t>结算完毕之</w:t>
      </w:r>
      <w:r>
        <w:rPr>
          <w:rFonts w:ascii="宋体" w:hAnsi="宋体" w:cs="宋体"/>
          <w:color w:val="auto"/>
          <w:kern w:val="0"/>
          <w:szCs w:val="21"/>
          <w:highlight w:val="none"/>
        </w:rPr>
        <w:t>后</w:t>
      </w:r>
      <w:r>
        <w:rPr>
          <w:rFonts w:hint="eastAsia" w:ascii="宋体" w:hAnsi="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，经招标人确认，中标人可向招标人提交退回履约担保的申请。招标人审核无异议后，办理履约担保退还手续，退回时一律以银行转账的形式无息退回到中标人的帐户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26" w:name="_Toc486167702"/>
      <w:bookmarkStart w:id="327" w:name="_Toc13033"/>
      <w:bookmarkStart w:id="328" w:name="_Toc173684917"/>
      <w:bookmarkStart w:id="329" w:name="_Toc142508353"/>
      <w:bookmarkStart w:id="330" w:name="_Toc23887"/>
      <w:r>
        <w:rPr>
          <w:rFonts w:hint="eastAsia" w:ascii="宋体" w:hAnsi="宋体" w:cs="宋体"/>
          <w:color w:val="auto"/>
          <w:szCs w:val="21"/>
          <w:highlight w:val="none"/>
        </w:rPr>
        <w:t>36</w:t>
      </w:r>
      <w:r>
        <w:rPr>
          <w:rFonts w:hint="eastAsia" w:ascii="宋体" w:hAnsi="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pPr>
        <w:autoSpaceDE w:val="0"/>
        <w:autoSpaceDN w:val="0"/>
        <w:adjustRightInd w:val="0"/>
        <w:spacing w:line="360" w:lineRule="auto"/>
        <w:ind w:left="328" w:leftChars="-114" w:hanging="567" w:hangingChars="270"/>
        <w:jc w:val="left"/>
        <w:rPr>
          <w:rFonts w:ascii="宋体" w:hAnsi="宋体" w:cs="宋体"/>
          <w:color w:val="auto"/>
          <w:kern w:val="0"/>
          <w:szCs w:val="21"/>
          <w:highlight w:val="none"/>
        </w:rPr>
      </w:pPr>
      <w:r>
        <w:rPr>
          <w:rFonts w:hint="eastAsia" w:ascii="宋体" w:hAnsi="宋体" w:cs="宋体"/>
          <w:color w:val="auto"/>
          <w:kern w:val="0"/>
          <w:szCs w:val="21"/>
          <w:highlight w:val="none"/>
        </w:rPr>
        <w:t>36.1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合同履行中</w:t>
      </w:r>
      <w:r>
        <w:rPr>
          <w:rFonts w:ascii="宋体" w:hAnsi="宋体" w:cs="宋体"/>
          <w:color w:val="auto"/>
          <w:kern w:val="0"/>
          <w:szCs w:val="21"/>
          <w:highlight w:val="none"/>
        </w:rPr>
        <w:t>，</w:t>
      </w:r>
      <w:r>
        <w:rPr>
          <w:rFonts w:hint="eastAsia" w:ascii="宋体" w:hAnsi="宋体" w:cs="宋体"/>
          <w:color w:val="auto"/>
          <w:kern w:val="0"/>
          <w:szCs w:val="21"/>
          <w:highlight w:val="none"/>
        </w:rPr>
        <w:t>招标</w:t>
      </w:r>
      <w:r>
        <w:rPr>
          <w:rFonts w:ascii="宋体" w:hAnsi="宋体" w:cs="宋体"/>
          <w:color w:val="auto"/>
          <w:kern w:val="0"/>
          <w:szCs w:val="21"/>
          <w:highlight w:val="none"/>
        </w:rPr>
        <w:t>人</w:t>
      </w:r>
      <w:r>
        <w:rPr>
          <w:rFonts w:hint="eastAsia" w:ascii="宋体" w:hAnsi="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bookmarkStart w:id="331" w:name="_Toc450662888"/>
    </w:p>
    <w:p>
      <w:pPr>
        <w:tabs>
          <w:tab w:val="left" w:pos="465"/>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32" w:name="_Toc10688"/>
      <w:bookmarkStart w:id="333" w:name="_Toc14372"/>
      <w:bookmarkStart w:id="334" w:name="_Toc173684918"/>
      <w:bookmarkStart w:id="335" w:name="_Toc142508354"/>
      <w:bookmarkStart w:id="336" w:name="_Toc486167703"/>
      <w:bookmarkStart w:id="337" w:name="_Toc28921_WPSOffice_Level3"/>
      <w:r>
        <w:rPr>
          <w:rFonts w:hint="eastAsia" w:ascii="宋体" w:hAnsi="宋体" w:cs="宋体"/>
          <w:color w:val="auto"/>
          <w:szCs w:val="21"/>
          <w:highlight w:val="none"/>
        </w:rPr>
        <w:t>37</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中标服务费</w:t>
      </w:r>
      <w:bookmarkEnd w:id="331"/>
      <w:bookmarkEnd w:id="332"/>
      <w:bookmarkEnd w:id="333"/>
      <w:bookmarkEnd w:id="334"/>
      <w:bookmarkEnd w:id="335"/>
      <w:bookmarkEnd w:id="336"/>
      <w:bookmarkEnd w:id="337"/>
    </w:p>
    <w:p>
      <w:pPr>
        <w:autoSpaceDE w:val="0"/>
        <w:autoSpaceDN w:val="0"/>
        <w:adjustRightInd w:val="0"/>
        <w:spacing w:line="360" w:lineRule="auto"/>
        <w:ind w:left="357" w:leftChars="-100" w:hanging="567" w:hangingChars="270"/>
        <w:jc w:val="left"/>
        <w:rPr>
          <w:rFonts w:ascii="宋体" w:hAnsi="宋体" w:cs="宋体"/>
          <w:color w:val="auto"/>
          <w:kern w:val="0"/>
          <w:szCs w:val="21"/>
          <w:highlight w:val="none"/>
        </w:rPr>
      </w:pPr>
      <w:r>
        <w:rPr>
          <w:rFonts w:hint="eastAsia" w:ascii="宋体" w:hAnsi="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cs="宋体"/>
          <w:color w:val="auto"/>
          <w:szCs w:val="21"/>
          <w:highlight w:val="none"/>
          <w:lang w:val="zh-CN"/>
        </w:rPr>
      </w:pPr>
      <w:bookmarkStart w:id="338" w:name="_Toc450662889"/>
    </w:p>
    <w:p>
      <w:pPr>
        <w:tabs>
          <w:tab w:val="left" w:pos="360"/>
        </w:tabs>
        <w:autoSpaceDE w:val="0"/>
        <w:autoSpaceDN w:val="0"/>
        <w:adjustRightInd w:val="0"/>
        <w:spacing w:line="360" w:lineRule="auto"/>
        <w:ind w:left="357" w:leftChars="-100" w:hanging="567"/>
        <w:jc w:val="left"/>
        <w:outlineLvl w:val="2"/>
        <w:rPr>
          <w:rFonts w:ascii="宋体" w:hAnsi="宋体" w:cs="宋体"/>
          <w:color w:val="auto"/>
          <w:szCs w:val="21"/>
          <w:highlight w:val="none"/>
          <w:lang w:val="zh-CN"/>
        </w:rPr>
      </w:pPr>
      <w:bookmarkStart w:id="339" w:name="_Toc142508355"/>
      <w:bookmarkStart w:id="340" w:name="_Toc486167704"/>
      <w:bookmarkStart w:id="341" w:name="_Toc6764_WPSOffice_Level3"/>
      <w:bookmarkStart w:id="342" w:name="_Toc173684919"/>
      <w:bookmarkStart w:id="343" w:name="_Toc26292"/>
      <w:bookmarkStart w:id="344" w:name="_Toc17916"/>
      <w:r>
        <w:rPr>
          <w:rFonts w:hint="eastAsia" w:ascii="宋体" w:hAnsi="宋体" w:cs="宋体"/>
          <w:color w:val="auto"/>
          <w:szCs w:val="21"/>
          <w:highlight w:val="none"/>
        </w:rPr>
        <w:t>38</w:t>
      </w:r>
      <w:r>
        <w:rPr>
          <w:rFonts w:hint="eastAsia" w:ascii="宋体" w:hAnsi="宋体" w:cs="宋体"/>
          <w:color w:val="auto"/>
          <w:szCs w:val="21"/>
          <w:highlight w:val="none"/>
          <w:lang w:val="zh-CN"/>
        </w:rPr>
        <w:t xml:space="preserve"> 发票</w:t>
      </w:r>
      <w:bookmarkEnd w:id="338"/>
      <w:bookmarkEnd w:id="339"/>
      <w:bookmarkEnd w:id="340"/>
      <w:bookmarkEnd w:id="341"/>
      <w:bookmarkEnd w:id="342"/>
      <w:bookmarkEnd w:id="343"/>
      <w:bookmarkEnd w:id="344"/>
    </w:p>
    <w:p>
      <w:pPr>
        <w:autoSpaceDE w:val="0"/>
        <w:autoSpaceDN w:val="0"/>
        <w:adjustRightInd w:val="0"/>
        <w:snapToGrid w:val="0"/>
        <w:spacing w:line="360" w:lineRule="auto"/>
        <w:ind w:left="315" w:leftChars="-100" w:hanging="525" w:hangingChars="250"/>
        <w:jc w:val="left"/>
        <w:rPr>
          <w:rFonts w:ascii="宋体" w:hAnsi="宋体" w:cs="Times New Roman"/>
          <w:color w:val="auto"/>
          <w:szCs w:val="21"/>
          <w:highlight w:val="none"/>
          <w:lang w:val="zh-CN"/>
        </w:rPr>
      </w:pPr>
      <w:r>
        <w:rPr>
          <w:rFonts w:hint="eastAsia" w:ascii="宋体" w:hAnsi="宋体" w:cs="宋体"/>
          <w:color w:val="auto"/>
          <w:szCs w:val="21"/>
          <w:highlight w:val="none"/>
        </w:rPr>
        <w:t>38</w:t>
      </w:r>
      <w:r>
        <w:rPr>
          <w:rFonts w:hint="eastAsia" w:ascii="宋体" w:hAnsi="宋体" w:cs="宋体"/>
          <w:color w:val="auto"/>
          <w:szCs w:val="21"/>
          <w:highlight w:val="none"/>
          <w:lang w:val="zh-CN"/>
        </w:rPr>
        <w:t>.1</w:t>
      </w:r>
      <w:r>
        <w:rPr>
          <w:rFonts w:hint="eastAsia" w:ascii="宋体" w:hAnsi="宋体" w:cs="Times New Roman"/>
          <w:color w:val="auto"/>
          <w:szCs w:val="21"/>
          <w:highlight w:val="none"/>
          <w:lang w:val="zh-CN"/>
        </w:rPr>
        <w:t>该项目获得中标的中标人在执行合同过程中，向招标人（或招标人的权属</w:t>
      </w:r>
      <w:r>
        <w:rPr>
          <w:rFonts w:hint="eastAsia" w:ascii="宋体" w:hAnsi="宋体" w:cs="Times New Roman"/>
          <w:color w:val="auto"/>
          <w:szCs w:val="21"/>
          <w:highlight w:val="none"/>
        </w:rPr>
        <w:t>子</w:t>
      </w:r>
      <w:r>
        <w:rPr>
          <w:rFonts w:hint="eastAsia" w:ascii="宋体" w:hAnsi="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cs="Times New Roman"/>
          <w:color w:val="auto"/>
          <w:szCs w:val="21"/>
          <w:highlight w:val="none"/>
        </w:rPr>
        <w:t>子</w:t>
      </w:r>
      <w:r>
        <w:rPr>
          <w:rFonts w:hint="eastAsia" w:ascii="宋体" w:hAnsi="宋体" w:cs="Times New Roman"/>
          <w:color w:val="auto"/>
          <w:szCs w:val="21"/>
          <w:highlight w:val="none"/>
          <w:lang w:val="zh-CN"/>
        </w:rPr>
        <w:t>公司）出具的发票类型为增值税专用发票。</w:t>
      </w:r>
      <w:bookmarkStart w:id="345" w:name="_Toc31106_WPSOffice_Level3"/>
      <w:bookmarkStart w:id="346" w:name="_Toc486167705"/>
    </w:p>
    <w:p>
      <w:pPr>
        <w:autoSpaceDE w:val="0"/>
        <w:autoSpaceDN w:val="0"/>
        <w:adjustRightInd w:val="0"/>
        <w:snapToGrid w:val="0"/>
        <w:spacing w:line="360" w:lineRule="auto"/>
        <w:ind w:left="315" w:leftChars="-100" w:hanging="525" w:hangingChars="250"/>
        <w:jc w:val="left"/>
        <w:rPr>
          <w:rFonts w:ascii="宋体" w:hAnsi="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cs="宋体"/>
          <w:b/>
          <w:color w:val="auto"/>
          <w:szCs w:val="21"/>
          <w:highlight w:val="none"/>
        </w:rPr>
      </w:pPr>
      <w:bookmarkStart w:id="347" w:name="_Toc173684920"/>
      <w:bookmarkStart w:id="348" w:name="_Toc142508356"/>
      <w:bookmarkStart w:id="349" w:name="_Toc12746"/>
      <w:bookmarkStart w:id="350" w:name="_Toc16304"/>
      <w:r>
        <w:rPr>
          <w:rFonts w:ascii="宋体" w:hAnsi="宋体" w:cs="宋体"/>
          <w:b/>
          <w:color w:val="auto"/>
          <w:szCs w:val="21"/>
          <w:highlight w:val="none"/>
        </w:rPr>
        <w:t>39 招标相关补充约定</w:t>
      </w:r>
      <w:bookmarkEnd w:id="347"/>
      <w:bookmarkEnd w:id="348"/>
      <w:bookmarkEnd w:id="349"/>
      <w:bookmarkEnd w:id="350"/>
    </w:p>
    <w:p>
      <w:pPr>
        <w:autoSpaceDE w:val="0"/>
        <w:autoSpaceDN w:val="0"/>
        <w:adjustRightInd w:val="0"/>
        <w:snapToGrid w:val="0"/>
        <w:spacing w:line="360" w:lineRule="auto"/>
        <w:ind w:left="317" w:leftChars="-100" w:hanging="527" w:hangingChars="250"/>
        <w:jc w:val="left"/>
        <w:rPr>
          <w:rFonts w:ascii="宋体" w:hAnsi="宋体" w:cs="Times New Roman"/>
          <w:b/>
          <w:color w:val="auto"/>
          <w:szCs w:val="21"/>
          <w:highlight w:val="none"/>
        </w:rPr>
      </w:pPr>
      <w:r>
        <w:rPr>
          <w:rFonts w:ascii="宋体" w:hAnsi="宋体" w:cs="Times New Roman"/>
          <w:b/>
          <w:color w:val="auto"/>
          <w:szCs w:val="21"/>
          <w:highlight w:val="none"/>
        </w:rPr>
        <w:t>39.1</w:t>
      </w:r>
      <w:r>
        <w:rPr>
          <w:rFonts w:ascii="宋体" w:hAnsi="宋体" w:cs="Times New Roman"/>
          <w:b/>
          <w:color w:val="auto"/>
          <w:szCs w:val="21"/>
          <w:highlight w:val="none"/>
        </w:rPr>
        <w:tab/>
      </w:r>
      <w:r>
        <w:rPr>
          <w:rFonts w:ascii="宋体" w:hAnsi="宋体" w:cs="Times New Roman"/>
          <w:b/>
          <w:color w:val="auto"/>
          <w:szCs w:val="21"/>
          <w:highlight w:val="none"/>
          <w:u w:val="single"/>
        </w:rPr>
        <w:t>本项目投标人须知第2条所述行政处罚信息，以开标</w:t>
      </w:r>
      <w:r>
        <w:rPr>
          <w:rFonts w:hint="eastAsia" w:ascii="宋体" w:hAnsi="宋体" w:cs="Times New Roman"/>
          <w:b/>
          <w:color w:val="auto"/>
          <w:szCs w:val="21"/>
          <w:highlight w:val="none"/>
          <w:u w:val="single"/>
        </w:rPr>
        <w:t>当天</w:t>
      </w:r>
      <w:r>
        <w:rPr>
          <w:rFonts w:ascii="宋体" w:hAnsi="宋体" w:cs="Times New Roman"/>
          <w:b/>
          <w:color w:val="auto"/>
          <w:szCs w:val="21"/>
          <w:highlight w:val="none"/>
          <w:u w:val="single"/>
        </w:rPr>
        <w:t>在“信用中国”网站（www.creditchina.gov.cn）查询结果为准</w:t>
      </w:r>
      <w:r>
        <w:rPr>
          <w:rFonts w:hint="eastAsia" w:ascii="宋体" w:hAnsi="宋体" w:cs="Times New Roman"/>
          <w:b/>
          <w:color w:val="auto"/>
          <w:szCs w:val="21"/>
          <w:highlight w:val="none"/>
          <w:u w:val="single"/>
        </w:rPr>
        <w:t>，或以司法、仲裁机构等出具的生效文件予以认定,时间以认定文件的落款时间为准</w:t>
      </w:r>
      <w:r>
        <w:rPr>
          <w:rFonts w:ascii="宋体" w:hAnsi="宋体" w:cs="Times New Roman"/>
          <w:b/>
          <w:color w:val="auto"/>
          <w:szCs w:val="21"/>
          <w:highlight w:val="none"/>
          <w:u w:val="single"/>
        </w:rPr>
        <w:t>。开标结束后，有关投标单位的行政处罚信息，以</w:t>
      </w:r>
      <w:r>
        <w:rPr>
          <w:rFonts w:hint="eastAsia" w:ascii="宋体" w:hAnsi="宋体" w:cs="Times New Roman"/>
          <w:b/>
          <w:color w:val="auto"/>
          <w:szCs w:val="21"/>
          <w:highlight w:val="none"/>
          <w:u w:val="single"/>
        </w:rPr>
        <w:t>开标当天查询</w:t>
      </w:r>
      <w:r>
        <w:rPr>
          <w:rFonts w:ascii="宋体" w:hAnsi="宋体" w:cs="Times New Roman"/>
          <w:b/>
          <w:color w:val="auto"/>
          <w:szCs w:val="21"/>
          <w:highlight w:val="none"/>
          <w:u w:val="single"/>
        </w:rPr>
        <w:t>结果为准；结果公示期间，如投标人对有关投标单位的行政处罚信息存在异议，但不涉及第一中标候选人的，视为对中标结果没有造成实质影响</w:t>
      </w:r>
      <w:r>
        <w:rPr>
          <w:rFonts w:ascii="宋体" w:hAnsi="宋体" w:cs="Times New Roman"/>
          <w:b/>
          <w:color w:val="auto"/>
          <w:szCs w:val="21"/>
          <w:highlight w:val="none"/>
        </w:rPr>
        <w:t>。</w:t>
      </w:r>
    </w:p>
    <w:p>
      <w:pPr>
        <w:autoSpaceDE w:val="0"/>
        <w:autoSpaceDN w:val="0"/>
        <w:adjustRightInd w:val="0"/>
        <w:snapToGrid w:val="0"/>
        <w:spacing w:line="360" w:lineRule="auto"/>
        <w:ind w:left="315" w:leftChars="-100" w:hanging="525" w:hangingChars="250"/>
        <w:jc w:val="left"/>
        <w:rPr>
          <w:rFonts w:ascii="宋体" w:hAnsi="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cs="宋体"/>
          <w:color w:val="auto"/>
          <w:szCs w:val="21"/>
          <w:highlight w:val="none"/>
        </w:rPr>
      </w:pPr>
      <w:bookmarkStart w:id="351" w:name="_Toc173684921"/>
      <w:bookmarkStart w:id="352" w:name="_Toc7502"/>
      <w:bookmarkStart w:id="353" w:name="_Toc26725"/>
      <w:bookmarkStart w:id="354" w:name="_Toc142508357"/>
      <w:r>
        <w:rPr>
          <w:rFonts w:ascii="宋体" w:hAnsi="宋体" w:cs="宋体"/>
          <w:color w:val="auto"/>
          <w:szCs w:val="21"/>
          <w:highlight w:val="none"/>
        </w:rPr>
        <w:t>40</w:t>
      </w:r>
      <w:r>
        <w:rPr>
          <w:rFonts w:hint="eastAsia" w:ascii="宋体" w:hAnsi="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pPr>
        <w:pageBreakBefore/>
        <w:tabs>
          <w:tab w:val="left" w:pos="1080"/>
        </w:tabs>
        <w:adjustRightInd w:val="0"/>
        <w:spacing w:line="360" w:lineRule="auto"/>
        <w:ind w:left="357" w:leftChars="-100" w:hanging="567"/>
        <w:jc w:val="center"/>
        <w:outlineLvl w:val="0"/>
        <w:rPr>
          <w:rFonts w:ascii="宋体" w:hAnsi="宋体" w:cs="宋体"/>
          <w:b/>
          <w:bCs/>
          <w:color w:val="auto"/>
          <w:kern w:val="44"/>
          <w:sz w:val="32"/>
          <w:szCs w:val="32"/>
          <w:highlight w:val="none"/>
          <w:lang w:val="zh-CN"/>
        </w:rPr>
      </w:pPr>
      <w:bookmarkStart w:id="355" w:name="_Toc486167706"/>
      <w:bookmarkStart w:id="356" w:name="_Toc173684922"/>
      <w:bookmarkStart w:id="357" w:name="_Toc450662891"/>
      <w:bookmarkStart w:id="358" w:name="_Toc28218"/>
      <w:bookmarkStart w:id="359" w:name="_Toc15532"/>
      <w:bookmarkStart w:id="360" w:name="_Toc142508358"/>
      <w:bookmarkStart w:id="361" w:name="_Toc27939_WPSOffice_Level1"/>
      <w:r>
        <w:rPr>
          <w:rFonts w:hint="eastAsia" w:ascii="宋体" w:hAnsi="宋体" w:cs="宋体"/>
          <w:b/>
          <w:bCs/>
          <w:color w:val="auto"/>
          <w:kern w:val="44"/>
          <w:sz w:val="32"/>
          <w:szCs w:val="32"/>
          <w:highlight w:val="none"/>
          <w:lang w:val="zh-CN"/>
        </w:rPr>
        <w:t>第三篇</w:t>
      </w:r>
      <w:r>
        <w:rPr>
          <w:rFonts w:ascii="宋体" w:hAnsi="宋体" w:cs="宋体"/>
          <w:b/>
          <w:bCs/>
          <w:color w:val="auto"/>
          <w:kern w:val="44"/>
          <w:sz w:val="32"/>
          <w:szCs w:val="32"/>
          <w:highlight w:val="none"/>
          <w:lang w:val="zh-CN"/>
        </w:rPr>
        <w:t xml:space="preserve"> </w:t>
      </w:r>
      <w:r>
        <w:rPr>
          <w:rFonts w:hint="eastAsia" w:ascii="宋体" w:hAnsi="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pPr>
        <w:spacing w:line="360" w:lineRule="auto"/>
        <w:rPr>
          <w:rFonts w:ascii="宋体" w:hAnsi="宋体" w:cs="Times New Roman"/>
          <w:b/>
          <w:color w:val="auto"/>
          <w:szCs w:val="21"/>
          <w:highlight w:val="none"/>
          <w:lang w:val="zh-CN"/>
        </w:rPr>
      </w:pP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基本招标要求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东莞市众源环境投资有限公司主要负责东莞市内市政污水厂的污泥脱水减量及处置工作。在污泥脱水减量过程中，需通过调制机将固态的聚丙烯酰胺调制成溶液，并定时定量投加到浓缩池或者浓缩设备中，来满足污泥浓缩要求。</w:t>
      </w:r>
      <w:r>
        <w:rPr>
          <w:rFonts w:hint="eastAsia" w:ascii="宋体" w:hAnsi="宋体" w:cs="宋体"/>
          <w:color w:val="auto"/>
          <w:sz w:val="21"/>
          <w:szCs w:val="21"/>
          <w:highlight w:val="none"/>
          <w:lang w:val="en-US" w:eastAsia="zh-CN"/>
        </w:rPr>
        <w:t>计划每批次</w:t>
      </w:r>
      <w:r>
        <w:rPr>
          <w:rFonts w:hint="eastAsia" w:ascii="宋体" w:hAnsi="宋体" w:cs="宋体"/>
          <w:color w:val="auto"/>
          <w:szCs w:val="21"/>
          <w:highlight w:val="none"/>
        </w:rPr>
        <w:t>起送量</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1吨</w:t>
      </w:r>
      <w:r>
        <w:rPr>
          <w:rFonts w:hint="eastAsia" w:ascii="宋体" w:hAnsi="宋体" w:eastAsia="宋体" w:cs="宋体"/>
          <w:color w:val="auto"/>
          <w:sz w:val="21"/>
          <w:szCs w:val="21"/>
          <w:highlight w:val="none"/>
        </w:rPr>
        <w:t>，实际送货量以厂区的用药速度及存储环境决定，以实际配送要求为准。</w:t>
      </w:r>
      <w:r>
        <w:rPr>
          <w:rFonts w:hint="eastAsia" w:ascii="宋体" w:hAnsi="宋体" w:eastAsia="宋体" w:cs="宋体"/>
          <w:color w:val="auto"/>
          <w:sz w:val="21"/>
          <w:szCs w:val="21"/>
          <w:highlight w:val="none"/>
          <w:lang w:val="en-US" w:eastAsia="zh-CN"/>
        </w:rPr>
        <w:t>供货</w:t>
      </w:r>
      <w:r>
        <w:rPr>
          <w:rFonts w:hint="eastAsia" w:ascii="宋体" w:hAnsi="宋体" w:eastAsia="宋体" w:cs="宋体"/>
          <w:color w:val="auto"/>
          <w:sz w:val="21"/>
          <w:szCs w:val="21"/>
          <w:highlight w:val="none"/>
        </w:rPr>
        <w:t>期为一年</w:t>
      </w:r>
      <w:r>
        <w:rPr>
          <w:rFonts w:hint="eastAsia" w:ascii="宋体" w:hAnsi="宋体" w:eastAsia="宋体" w:cs="宋体"/>
          <w:color w:val="auto"/>
          <w:sz w:val="21"/>
          <w:szCs w:val="21"/>
          <w:highlight w:val="none"/>
          <w:lang w:eastAsia="zh-CN"/>
        </w:rPr>
        <w:t>。</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二、标的物</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2.1产品名称：阳离子聚丙烯酰胺</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2.2暂定采购数量：110 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本次采购数量为暂定数量仅为便于计算合同暂定总价使用，不作为</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最终采购数量的保证。</w:t>
      </w:r>
      <w:r>
        <w:rPr>
          <w:rFonts w:hint="eastAsia" w:ascii="宋体" w:hAnsi="宋体" w:cs="宋体"/>
          <w:color w:val="auto"/>
          <w:kern w:val="2"/>
          <w:sz w:val="21"/>
          <w:szCs w:val="21"/>
          <w:highlight w:val="none"/>
          <w:lang w:val="en-US" w:eastAsia="zh-CN" w:bidi="ar-SA"/>
        </w:rPr>
        <w:t>产品的选型根据</w:t>
      </w:r>
      <w:r>
        <w:rPr>
          <w:rFonts w:hint="eastAsia" w:ascii="宋体" w:hAnsi="宋体" w:cs="宋体"/>
          <w:color w:val="auto"/>
          <w:szCs w:val="21"/>
          <w:highlight w:val="none"/>
        </w:rPr>
        <w:t>技术指标</w:t>
      </w:r>
      <w:r>
        <w:rPr>
          <w:rFonts w:hint="eastAsia" w:ascii="宋体" w:hAnsi="宋体" w:cs="宋体"/>
          <w:color w:val="auto"/>
          <w:szCs w:val="21"/>
          <w:highlight w:val="none"/>
          <w:lang w:val="en-US" w:eastAsia="zh-CN"/>
        </w:rPr>
        <w:t>要求及</w:t>
      </w:r>
      <w:r>
        <w:rPr>
          <w:rFonts w:hint="eastAsia" w:ascii="宋体" w:hAnsi="宋体" w:cs="宋体"/>
          <w:color w:val="auto"/>
          <w:kern w:val="2"/>
          <w:sz w:val="21"/>
          <w:szCs w:val="21"/>
          <w:highlight w:val="none"/>
          <w:lang w:val="en-US" w:eastAsia="zh-CN" w:bidi="ar-SA"/>
        </w:rPr>
        <w:t>招标人运营项目的工艺及性质，结合小试、中式及运营项目实际使用后的情况确定，招标人</w:t>
      </w:r>
      <w:r>
        <w:rPr>
          <w:rFonts w:hint="eastAsia" w:ascii="宋体" w:hAnsi="宋体" w:eastAsia="宋体" w:cs="宋体"/>
          <w:color w:val="auto"/>
          <w:kern w:val="2"/>
          <w:sz w:val="21"/>
          <w:szCs w:val="21"/>
          <w:highlight w:val="none"/>
          <w:lang w:val="en-US" w:eastAsia="zh-CN" w:bidi="ar-SA"/>
        </w:rPr>
        <w:t>的实际需求数量以各运营项目每批次的供货通知为准，在供货期内投标人不得因</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实际采购数量的减少或增加而要求提供任何形式的补偿或赔偿，或要求</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按暂定数量采购相应货物。</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2.3主要技术指标。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2.3.1</w:t>
      </w:r>
      <w:r>
        <w:rPr>
          <w:rFonts w:hint="eastAsia" w:ascii="宋体" w:hAnsi="宋体" w:eastAsia="宋体" w:cs="宋体"/>
          <w:color w:val="auto"/>
          <w:sz w:val="21"/>
          <w:szCs w:val="21"/>
          <w:highlight w:val="none"/>
        </w:rPr>
        <w:t>阳离子聚丙烯酰胺固体产品外观为白色或微黄色颗粒或粉末。</w:t>
      </w:r>
    </w:p>
    <w:p>
      <w:pPr>
        <w:keepNext w:val="0"/>
        <w:keepLines w:val="0"/>
        <w:pageBreakBefore w:val="0"/>
        <w:kinsoku/>
        <w:wordWrap/>
        <w:overflowPunct/>
        <w:topLinePunct w:val="0"/>
        <w:autoSpaceDE/>
        <w:autoSpaceDN/>
        <w:bidi w:val="0"/>
        <w:adjustRightInd/>
        <w:snapToGrid/>
        <w:spacing w:line="360" w:lineRule="auto"/>
        <w:ind w:firstLine="36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18"/>
          <w:szCs w:val="18"/>
          <w:highlight w:val="none"/>
        </w:rPr>
        <w:t>★</w:t>
      </w:r>
      <w:r>
        <w:rPr>
          <w:rFonts w:hint="eastAsia" w:ascii="宋体" w:hAnsi="宋体" w:eastAsia="宋体" w:cs="宋体"/>
          <w:color w:val="auto"/>
          <w:sz w:val="21"/>
          <w:szCs w:val="21"/>
          <w:highlight w:val="none"/>
          <w:lang w:val="en-US" w:eastAsia="zh-CN"/>
        </w:rPr>
        <w:t>2.3.2</w:t>
      </w:r>
      <w:r>
        <w:rPr>
          <w:rFonts w:hint="eastAsia" w:ascii="宋体" w:hAnsi="宋体" w:eastAsia="宋体" w:cs="宋体"/>
          <w:color w:val="auto"/>
          <w:sz w:val="21"/>
          <w:szCs w:val="21"/>
          <w:highlight w:val="none"/>
        </w:rPr>
        <w:t>阳离子聚丙烯酰胺固体产品</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符合《水处理剂 阳离子型聚丙烯酰胺的技术条件和试验方法》（GB/T 31246-2014）质量及检测标准</w:t>
      </w:r>
      <w:r>
        <w:rPr>
          <w:rFonts w:hint="eastAsia" w:ascii="宋体" w:hAnsi="宋体" w:cs="宋体"/>
          <w:color w:val="auto"/>
          <w:sz w:val="21"/>
          <w:szCs w:val="21"/>
          <w:highlight w:val="none"/>
          <w:lang w:val="en-US" w:eastAsia="zh-CN"/>
        </w:rPr>
        <w:t>并且达到以下标准要求：</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表1  阳离子聚丙烯酰胺主要技术指标</w:t>
      </w:r>
    </w:p>
    <w:tbl>
      <w:tblPr>
        <w:tblStyle w:val="39"/>
        <w:tblW w:w="8660" w:type="dxa"/>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647"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指标项目</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647"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阳离子度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w:t>
            </w:r>
          </w:p>
        </w:tc>
        <w:tc>
          <w:tcPr>
            <w:tcW w:w="401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固含量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1</w:t>
            </w:r>
            <w:r>
              <w:rPr>
                <w:rFonts w:hint="eastAsia" w:ascii="宋体" w:hAnsi="宋体" w:eastAsia="宋体" w:cs="宋体"/>
                <w:color w:val="auto"/>
                <w:sz w:val="21"/>
                <w:szCs w:val="21"/>
                <w:highlight w:val="none"/>
                <w:lang w:val="en-US" w:eastAsia="zh-CN"/>
              </w:rPr>
              <w:t>/%</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1</w:t>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相对分子质量，M</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M≥100×10</w:t>
            </w:r>
            <w:r>
              <w:rPr>
                <w:rFonts w:hint="eastAsia" w:ascii="宋体" w:hAnsi="宋体" w:eastAsia="宋体" w:cs="宋体"/>
                <w:color w:val="auto"/>
                <w:sz w:val="21"/>
                <w:szCs w:val="21"/>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丙烯酰胺单体含量（干基），w</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lang w:val="en-US" w:eastAsia="zh-CN"/>
              </w:rPr>
              <w:t>/%</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溶解时间（1g/L），t/min</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水不溶物，w</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筛余物（1.4mm筛网），w</w:t>
            </w:r>
            <w:r>
              <w:rPr>
                <w:rFonts w:hint="eastAsia" w:ascii="宋体" w:hAnsi="宋体" w:eastAsia="宋体" w:cs="宋体"/>
                <w:color w:val="auto"/>
                <w:sz w:val="21"/>
                <w:szCs w:val="21"/>
                <w:highlight w:val="none"/>
                <w:vertAlign w:val="subscript"/>
                <w:lang w:val="en-US" w:eastAsia="zh-CN"/>
              </w:rPr>
              <w:t>4</w:t>
            </w:r>
            <w:r>
              <w:rPr>
                <w:rFonts w:hint="eastAsia" w:ascii="宋体" w:hAnsi="宋体" w:eastAsia="宋体" w:cs="宋体"/>
                <w:color w:val="auto"/>
                <w:sz w:val="21"/>
                <w:szCs w:val="21"/>
                <w:highlight w:val="none"/>
                <w:lang w:val="en-US" w:eastAsia="zh-CN"/>
              </w:rPr>
              <w:t>/%</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4</w:t>
            </w: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筛余物（180μm筛网），w</w:t>
            </w:r>
            <w:r>
              <w:rPr>
                <w:rFonts w:hint="eastAsia" w:ascii="宋体" w:hAnsi="宋体" w:eastAsia="宋体" w:cs="宋体"/>
                <w:color w:val="auto"/>
                <w:sz w:val="21"/>
                <w:szCs w:val="21"/>
                <w:highlight w:val="none"/>
                <w:vertAlign w:val="subscript"/>
                <w:lang w:val="en-US" w:eastAsia="zh-CN"/>
              </w:rPr>
              <w:t>5</w:t>
            </w:r>
            <w:r>
              <w:rPr>
                <w:rFonts w:hint="eastAsia" w:ascii="宋体" w:hAnsi="宋体" w:eastAsia="宋体" w:cs="宋体"/>
                <w:color w:val="auto"/>
                <w:sz w:val="21"/>
                <w:szCs w:val="21"/>
                <w:highlight w:val="none"/>
                <w:lang w:val="en-US" w:eastAsia="zh-CN"/>
              </w:rPr>
              <w:t>/%</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5</w:t>
            </w:r>
            <w:r>
              <w:rPr>
                <w:rFonts w:hint="eastAsia" w:ascii="宋体" w:hAnsi="宋体" w:eastAsia="宋体" w:cs="宋体"/>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硫酸盐（SO4）含量，w</w:t>
            </w:r>
            <w:r>
              <w:rPr>
                <w:rFonts w:hint="eastAsia" w:ascii="宋体" w:hAnsi="宋体" w:eastAsia="宋体" w:cs="宋体"/>
                <w:color w:val="auto"/>
                <w:sz w:val="21"/>
                <w:szCs w:val="21"/>
                <w:highlight w:val="none"/>
                <w:vertAlign w:val="subscript"/>
                <w:lang w:val="en-US" w:eastAsia="zh-CN"/>
              </w:rPr>
              <w:t>6</w:t>
            </w:r>
            <w:r>
              <w:rPr>
                <w:rFonts w:hint="eastAsia" w:ascii="宋体" w:hAnsi="宋体" w:eastAsia="宋体" w:cs="宋体"/>
                <w:color w:val="auto"/>
                <w:sz w:val="21"/>
                <w:szCs w:val="21"/>
                <w:highlight w:val="none"/>
                <w:lang w:val="en-US" w:eastAsia="zh-CN"/>
              </w:rPr>
              <w:t>/（g/g)</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6</w:t>
            </w:r>
            <w:r>
              <w:rPr>
                <w:rFonts w:hint="eastAsia" w:ascii="宋体" w:hAnsi="宋体" w:eastAsia="宋体" w:cs="宋体"/>
                <w:color w:val="auto"/>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keepNext w:val="0"/>
              <w:keepLines w:val="0"/>
              <w:pageBreakBefore w:val="0"/>
              <w:kinsoku/>
              <w:wordWrap/>
              <w:overflowPunct/>
              <w:topLinePunct w:val="0"/>
              <w:autoSpaceDE/>
              <w:autoSpaceDN/>
              <w:bidi w:val="0"/>
              <w:adjustRightInd/>
              <w:snapToGrid/>
              <w:spacing w:line="360" w:lineRule="auto"/>
              <w:ind w:right="420"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氯化物（Cl）含量，w</w:t>
            </w:r>
            <w:r>
              <w:rPr>
                <w:rFonts w:hint="eastAsia" w:ascii="宋体" w:hAnsi="宋体" w:eastAsia="宋体" w:cs="宋体"/>
                <w:color w:val="auto"/>
                <w:sz w:val="21"/>
                <w:szCs w:val="21"/>
                <w:highlight w:val="none"/>
                <w:vertAlign w:val="subscript"/>
                <w:lang w:val="en-US" w:eastAsia="zh-CN"/>
              </w:rPr>
              <w:t>7</w:t>
            </w:r>
            <w:r>
              <w:rPr>
                <w:rFonts w:hint="eastAsia" w:ascii="宋体" w:hAnsi="宋体" w:eastAsia="宋体" w:cs="宋体"/>
                <w:color w:val="auto"/>
                <w:sz w:val="21"/>
                <w:szCs w:val="21"/>
                <w:highlight w:val="none"/>
                <w:lang w:val="en-US" w:eastAsia="zh-CN"/>
              </w:rPr>
              <w:t>/（g/g）</w:t>
            </w:r>
          </w:p>
        </w:tc>
        <w:tc>
          <w:tcPr>
            <w:tcW w:w="4013" w:type="dxa"/>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vertAlign w:val="subscript"/>
                <w:lang w:val="en-US" w:eastAsia="zh-CN"/>
              </w:rPr>
              <w:t>7</w:t>
            </w:r>
            <w:r>
              <w:rPr>
                <w:rFonts w:hint="eastAsia" w:ascii="宋体" w:hAnsi="宋体" w:eastAsia="宋体" w:cs="宋体"/>
                <w:color w:val="auto"/>
                <w:sz w:val="21"/>
                <w:szCs w:val="21"/>
                <w:highlight w:val="none"/>
                <w:lang w:val="en-US" w:eastAsia="zh-CN"/>
              </w:rPr>
              <w:t>≤0.05</w:t>
            </w:r>
          </w:p>
        </w:tc>
      </w:tr>
    </w:tbl>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三、质量要求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投标人须提供供货每批次出厂检验报告，该检验报告应随供货单据一并提交。投标人提供的检验报告只作为</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参考，如</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提出检测需求，当货到现场时可由双方共同取样，并在自取样之时起7个工作日内出具检验结果。若发现检验不合格，或因不合格影响生产效果，投标人应按</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要求对该批次供货量进行无条件退换，并承担该批货退换的一切费用，且保证不影响</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正常生产的前提下及时按</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的供货需求以加急供货的方式补充供货，同时按照合同暂定总价1%向</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承担违约金。该违约金由</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在该月货款中扣除，造成生产损失的，投标人必须承担一切损失。若投标人对</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的检测结果有异议，在保证</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正常生产的前提下，</w:t>
      </w:r>
      <w:r>
        <w:rPr>
          <w:rFonts w:hint="eastAsia" w:ascii="宋体" w:hAnsi="宋体" w:eastAsia="宋体" w:cs="宋体"/>
          <w:color w:val="auto"/>
          <w:sz w:val="21"/>
          <w:szCs w:val="21"/>
          <w:highlight w:val="none"/>
          <w:lang w:val="en-US" w:eastAsia="zh-CN"/>
        </w:rPr>
        <w:t>在检测结果出具2个工作日</w:t>
      </w:r>
      <w:r>
        <w:rPr>
          <w:rFonts w:hint="eastAsia" w:ascii="宋体" w:hAnsi="宋体" w:eastAsia="宋体" w:cs="宋体"/>
          <w:color w:val="auto"/>
          <w:sz w:val="21"/>
          <w:szCs w:val="21"/>
          <w:highlight w:val="none"/>
        </w:rPr>
        <w:t>内，可通过双方确认的</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所在地第三方有检测产品CMA认证资质的单位对货物进行检测，经确认此批次货物质量不符合合同约定的，全部检测费用由投标人支付；若检测结果认定为不存在质量问题的，费用由</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负责。以上不合格情况出现3次以上，</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将有权单方面中止或解除合同，并追究因为使用投标人所提供的未达到所承诺质量标准产品而产生的所有损失和责任。</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四、验收要求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4.1验收分为货到交货地点的初步验收和货物检验合格后的最终验收。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4.1.1初步验收：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货物运抵交货地点，招标人运营项目、中标人共同验货。招标人运营项目按照本项目合同及招标文件，对货物的数量、品种、随车产品出厂质量检验报告、供货单据等进行核对。</w:t>
      </w:r>
    </w:p>
    <w:p>
      <w:pPr>
        <w:pStyle w:val="4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初步验收合格后，招标人运营项目、中标人双方进行相关签收手续。</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4.1.2最终验收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4.1.2.1招标人运营项目对每次供货货物检验，</w:t>
      </w:r>
      <w:r>
        <w:rPr>
          <w:rFonts w:hint="eastAsia" w:ascii="宋体" w:hAnsi="宋体" w:eastAsia="宋体" w:cs="宋体"/>
          <w:color w:val="auto"/>
          <w:sz w:val="21"/>
          <w:szCs w:val="21"/>
          <w:highlight w:val="none"/>
          <w:lang w:val="en-US" w:eastAsia="zh-CN"/>
        </w:rPr>
        <w:t>批检检验指标包含阳离子度和固含量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其余指标为招标人根据需要抽检的按需检验指标，货物批检检验指标和按需检验指标由招标人关于药剂的管理制度及要求适时调整。每次货到现场时可由双方共同取样，供货货物合格判定以</w:t>
      </w:r>
      <w:bookmarkStart w:id="362" w:name="OLE_LINK34"/>
      <w:r>
        <w:rPr>
          <w:rFonts w:hint="eastAsia" w:ascii="宋体" w:hAnsi="宋体" w:eastAsia="宋体" w:cs="宋体"/>
          <w:color w:val="auto"/>
          <w:sz w:val="21"/>
          <w:szCs w:val="21"/>
          <w:highlight w:val="none"/>
        </w:rPr>
        <w:t>招标人</w:t>
      </w:r>
      <w:bookmarkEnd w:id="362"/>
      <w:r>
        <w:rPr>
          <w:rFonts w:hint="eastAsia" w:ascii="宋体" w:hAnsi="宋体" w:eastAsia="宋体" w:cs="宋体"/>
          <w:color w:val="auto"/>
          <w:sz w:val="21"/>
          <w:szCs w:val="21"/>
          <w:highlight w:val="none"/>
        </w:rPr>
        <w:t>委托的实验室检验结果为准。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4.1.2.2货物检验方法，按《</w:t>
      </w:r>
      <w:r>
        <w:rPr>
          <w:rFonts w:hint="eastAsia" w:ascii="宋体" w:hAnsi="宋体" w:eastAsia="宋体" w:cs="宋体"/>
          <w:color w:val="auto"/>
          <w:sz w:val="21"/>
          <w:szCs w:val="21"/>
          <w:highlight w:val="none"/>
          <w:lang w:val="en-US" w:eastAsia="zh-CN"/>
        </w:rPr>
        <w:t>水处理剂 阳离子型聚丙烯酰胺的技术条件和试验方法</w:t>
      </w:r>
      <w:r>
        <w:rPr>
          <w:rFonts w:hint="eastAsia" w:ascii="宋体" w:hAnsi="宋体" w:eastAsia="宋体" w:cs="宋体"/>
          <w:color w:val="auto"/>
          <w:sz w:val="21"/>
          <w:szCs w:val="21"/>
          <w:highlight w:val="none"/>
        </w:rPr>
        <w:t xml:space="preserve">》（GB </w:t>
      </w:r>
      <w:r>
        <w:rPr>
          <w:rFonts w:hint="eastAsia" w:ascii="宋体" w:hAnsi="宋体" w:eastAsia="宋体" w:cs="宋体"/>
          <w:color w:val="auto"/>
          <w:sz w:val="21"/>
          <w:szCs w:val="21"/>
          <w:highlight w:val="none"/>
          <w:lang w:val="en-US" w:eastAsia="zh-CN"/>
        </w:rPr>
        <w:t>/T 31246-2014</w:t>
      </w:r>
      <w:r>
        <w:rPr>
          <w:rFonts w:hint="eastAsia" w:ascii="宋体" w:hAnsi="宋体" w:eastAsia="宋体" w:cs="宋体"/>
          <w:color w:val="auto"/>
          <w:sz w:val="21"/>
          <w:szCs w:val="21"/>
          <w:highlight w:val="none"/>
        </w:rPr>
        <w:t>）中的检测方法进行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供货期间，如有发布最新的行业标准或国家标准，货物检验方法按发布的最新行业标准或国家标准执行。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4.2货物按上述程序验收后，招标人</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rPr>
        <w:t>中标人出具书面的验收报告，中标人需对验收报告盖章确认。验收报告作为对货物供货数量及主要技术指标验收的证明，不代表对货物使用效果的认可。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4.3招标人运营项目根据本条规定对货物所做出的验收，仅作为起算付款及质保期之用，不视为双方对于货物质量的最终认可，中标人仍应在质保期内对产品质量承担保证责任。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黑体" w:cs="Times New Roman"/>
          <w:color w:val="auto"/>
          <w:sz w:val="21"/>
          <w:szCs w:val="21"/>
          <w:highlight w:val="none"/>
        </w:rPr>
      </w:pPr>
      <w:r>
        <w:rPr>
          <w:rFonts w:hint="eastAsia" w:ascii="宋体" w:hAnsi="宋体" w:eastAsia="宋体" w:cs="宋体"/>
          <w:color w:val="auto"/>
          <w:sz w:val="21"/>
          <w:szCs w:val="21"/>
          <w:highlight w:val="none"/>
        </w:rPr>
        <w:t>4.4货物在经最终验收合格前，其损耗、毁损、灭失等风险及责任由中标人承担，如因发生前述情形，导致中标人所提供的货物不能通过招标人运营项目验收的，中标人应按招标人运营项目要求无条件予以退换货，给招标人造成损失的，中标人须承担全部的赔偿责任。</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五、包装及运输要求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阳离子聚丙烯酰胺固体产品采用双层包装袋包装,包装上应涂刷牢固的标志，内容包括：生产厂名、产品名称、商标、批号或生产日期、净质量、厂址及GB/T 191规定的“怕热”和“怕湿”标志。运输过程严防雨淋、曝晒。其余包装及运输要求需符合《水处理剂 阳离子型聚丙烯酰胺的技术条件和试验方法》（GB/T 31246-2014）中所列标准。</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六、交货要求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交货地点</w:t>
      </w:r>
      <w:r>
        <w:rPr>
          <w:rFonts w:hint="eastAsia" w:ascii="宋体" w:hAnsi="宋体" w:eastAsia="宋体" w:cs="宋体"/>
          <w:color w:val="auto"/>
          <w:sz w:val="21"/>
          <w:szCs w:val="21"/>
          <w:highlight w:val="none"/>
          <w:lang w:val="en-US" w:eastAsia="zh-CN"/>
        </w:rPr>
        <w:t>及起送量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所属的在东莞市范围内的</w:t>
      </w:r>
      <w:r>
        <w:rPr>
          <w:rFonts w:hint="eastAsia" w:ascii="宋体" w:hAnsi="宋体" w:cs="宋体"/>
          <w:color w:val="auto"/>
          <w:sz w:val="21"/>
          <w:szCs w:val="21"/>
          <w:highlight w:val="none"/>
          <w:lang w:val="en-US" w:eastAsia="zh-CN"/>
        </w:rPr>
        <w:t>各个</w:t>
      </w:r>
      <w:r>
        <w:rPr>
          <w:rFonts w:hint="eastAsia" w:ascii="宋体" w:hAnsi="宋体" w:eastAsia="宋体" w:cs="宋体"/>
          <w:color w:val="auto"/>
          <w:sz w:val="21"/>
          <w:szCs w:val="21"/>
          <w:highlight w:val="none"/>
        </w:rPr>
        <w:t>污泥减量化运营项目</w:t>
      </w:r>
      <w:r>
        <w:rPr>
          <w:rFonts w:hint="eastAsia"/>
          <w:color w:val="auto"/>
          <w:highlight w:val="none"/>
          <w:lang w:val="en-US" w:eastAsia="zh-CN"/>
        </w:rPr>
        <w:t>现场</w:t>
      </w:r>
      <w:r>
        <w:rPr>
          <w:rFonts w:hint="eastAsia"/>
          <w:color w:val="auto"/>
          <w:highlight w:val="none"/>
          <w:lang w:eastAsia="zh-CN"/>
        </w:rPr>
        <w:t>（</w:t>
      </w:r>
      <w:r>
        <w:rPr>
          <w:rFonts w:hint="eastAsia"/>
          <w:color w:val="auto"/>
          <w:highlight w:val="none"/>
          <w:lang w:val="en-US" w:eastAsia="zh-CN"/>
        </w:rPr>
        <w:t>详见附件《</w:t>
      </w:r>
      <w:r>
        <w:rPr>
          <w:rFonts w:hint="eastAsia" w:ascii="宋体" w:hAnsi="宋体" w:eastAsia="宋体" w:cs="宋体"/>
          <w:color w:val="auto"/>
          <w:highlight w:val="none"/>
        </w:rPr>
        <w:t>PAM</w:t>
      </w:r>
      <w:r>
        <w:rPr>
          <w:rFonts w:hint="eastAsia"/>
          <w:color w:val="auto"/>
          <w:highlight w:val="none"/>
        </w:rPr>
        <w:t>用量统计表</w:t>
      </w:r>
      <w:r>
        <w:rPr>
          <w:rFonts w:hint="eastAsia"/>
          <w:color w:val="auto"/>
          <w:highlight w:val="none"/>
          <w:lang w:val="en-US" w:eastAsia="zh-CN"/>
        </w:rPr>
        <w:t>》</w:t>
      </w:r>
      <w:r>
        <w:rPr>
          <w:rFonts w:hint="eastAsia"/>
          <w:color w:val="auto"/>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投标人按</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发出的供货通知进行供货。投标人接到</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的供货通知后必须在</w:t>
      </w:r>
      <w:r>
        <w:rPr>
          <w:rFonts w:hint="eastAsia" w:ascii="宋体" w:hAnsi="宋体" w:eastAsia="宋体" w:cs="宋体"/>
          <w:color w:val="auto"/>
          <w:sz w:val="21"/>
          <w:szCs w:val="21"/>
          <w:highlight w:val="none"/>
          <w:lang w:val="en-US" w:eastAsia="zh-CN"/>
        </w:rPr>
        <w:t>2个日历天</w:t>
      </w:r>
      <w:r>
        <w:rPr>
          <w:rFonts w:hint="eastAsia" w:ascii="宋体" w:hAnsi="宋体" w:eastAsia="宋体" w:cs="宋体"/>
          <w:color w:val="auto"/>
          <w:sz w:val="21"/>
          <w:szCs w:val="21"/>
          <w:highlight w:val="none"/>
        </w:rPr>
        <w:t>内将阳离子聚丙烯酰胺送达交货地点。如</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要求加急供货，投标人应在</w:t>
      </w:r>
      <w:r>
        <w:rPr>
          <w:rFonts w:hint="eastAsia" w:ascii="宋体" w:hAnsi="宋体" w:eastAsia="宋体" w:cs="宋体"/>
          <w:color w:val="auto"/>
          <w:sz w:val="21"/>
          <w:szCs w:val="21"/>
          <w:highlight w:val="none"/>
          <w:lang w:val="en-US" w:eastAsia="zh-CN"/>
        </w:rPr>
        <w:t>1个日历天</w:t>
      </w:r>
      <w:r>
        <w:rPr>
          <w:rFonts w:hint="eastAsia" w:ascii="宋体" w:hAnsi="宋体" w:eastAsia="宋体" w:cs="宋体"/>
          <w:color w:val="auto"/>
          <w:sz w:val="21"/>
          <w:szCs w:val="21"/>
          <w:highlight w:val="none"/>
        </w:rPr>
        <w:t>内将阳离子聚丙烯酰胺送达。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投标人自行负责将阳离子聚丙烯酰胺运送至各运营项目指定位置，并承担相应的运输、装卸等费用，运输人员应配备足够防护器具。如在运输及装卸过程中，产品发生泄漏，应由投标人负责清理收集，避免造成人员伤害或环境污染。</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每送货批次，投标人需提供交货地点附近的电子地磅的称重单（含载货时的称重数量和卸货后的称重数量），相关费用由投标人承担。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供货期间，未收到</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正式通知前，投标人无需为合同履行做准备工作。否则当</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根据项目实际情况及有关法律法规、政策的规定对采购范围进行变更调整、或改变供货频率、或改变供货数量等，造成投标人已产生的产品过剩、过质保期无效等，</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无需承担任何责任和费用。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rPr>
        <w:t>投标人提供的产品如不能通过</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验收的，投标人应该按照</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要求无条件予以退换货，并承担相应责任和费用。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rPr>
        <w:t>对产品的贮存装置、贮存条件等要求，投标人应详细告知</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七、付款方式</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w:t>
      </w:r>
      <w:r>
        <w:rPr>
          <w:rFonts w:hint="eastAsia" w:ascii="宋体" w:hAnsi="宋体" w:eastAsia="宋体" w:cs="宋体"/>
          <w:color w:val="auto"/>
          <w:sz w:val="21"/>
          <w:szCs w:val="21"/>
          <w:highlight w:val="none"/>
        </w:rPr>
        <w:t>阳离子聚丙烯酰胺</w:t>
      </w:r>
      <w:r>
        <w:rPr>
          <w:rFonts w:hint="eastAsia" w:ascii="宋体" w:hAnsi="宋体" w:eastAsia="宋体" w:cs="宋体"/>
          <w:color w:val="auto"/>
          <w:kern w:val="2"/>
          <w:sz w:val="21"/>
          <w:szCs w:val="21"/>
          <w:highlight w:val="none"/>
          <w:lang w:val="en-US" w:eastAsia="zh-CN" w:bidi="ar-SA"/>
        </w:rPr>
        <w:t>的款项按月支付，每月中旬办理支付上月实际供货量的100%货款。</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每次付款前，投标人需提交请款报告和增值税专用发票，</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在收到请款报告和增值税专用发票后30个工作日内支付货款。</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八、售后要求</w:t>
      </w:r>
    </w:p>
    <w:p>
      <w:pPr>
        <w:pStyle w:val="129"/>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8.1保质期：以货到现场之日始1年。</w:t>
      </w:r>
    </w:p>
    <w:p>
      <w:pPr>
        <w:pStyle w:val="129"/>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8.2投标人应具有相应的技术人员，具备供货及售前售后的服务能力。</w:t>
      </w:r>
    </w:p>
    <w:p>
      <w:pPr>
        <w:pStyle w:val="1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8.3在接到质量问题通知后24小时内到达现场对问题进行处理。</w:t>
      </w:r>
    </w:p>
    <w:p>
      <w:pPr>
        <w:pStyle w:val="1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8.4在交货或合同履行过程中，若因货物检测不合格、或货物使用过程中出现质量问题，该批次供货退还投标人，并由投标人承担因此造成的一切损失的赔偿。若自</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通知货物不合格之时起24个小时之内未将不合格货物运离</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储存点的，</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可自行或委托第三方对不合格货物进行处置，除该批货物无需支付任何货款外，投标人还必须承担</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处置该批不合格货物所需的全部费用，以及给</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造成的一切损失。</w:t>
      </w:r>
    </w:p>
    <w:p>
      <w:pPr>
        <w:pStyle w:val="1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8.5自</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通知货物不合格之时起，投标人必须按照加急供货的规定，将等量的合格货物送交</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，否则按加急供货的违约规定进行处理。</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九、其它要求</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9.1投标人投标时还需提供反映报价产品性能参数的具有资质的第三方检测机构出具的检验报告，检验报告上的标徽应包括但不限于CMA认证标徽，报告日期为2024年1月1日以后。</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9.2加急供货时，投标人未在约定的时间内完成交货的，每逾期12个小时，应按合同暂定总价的1%向</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支付违约金，投标人逾期次数超过3次，</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可单方解除本合同，</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除前述逾期违约金外，还应额外按合同暂定总价的3%向</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支付违约金。</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9.3日常供货（非加急供货）投标人未在约定的时间内完成交货的，每逾期12个小时，应按合同暂定总价的5‰向</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支付违约金。投标人逾期次数超过3次的，</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可单方解除本合同，投标人除前述逾期违约金外，还应额外按合同暂定总价的 3 %向</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支付违约金。</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9.4授予合同前或合同履行中，</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有权实地核查投标人在投标时提供的分支机构或服务机构的场地、生产/储存/运输设备设施及能力等材料的符合性，若发现虚假将取消投标（成交）资格，且</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有权终止合同。因此给</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造成损失的，全部由投标人承担。</w:t>
      </w:r>
    </w:p>
    <w:p>
      <w:pPr>
        <w:pStyle w:val="129"/>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9.5</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在采购文件约定的供货期限和采购范围内，</w:t>
      </w:r>
      <w:r>
        <w:rPr>
          <w:rFonts w:hint="eastAsia" w:ascii="宋体" w:hAnsi="宋体" w:cs="宋体"/>
          <w:color w:val="auto"/>
          <w:kern w:val="2"/>
          <w:sz w:val="21"/>
          <w:szCs w:val="21"/>
          <w:highlight w:val="none"/>
          <w:lang w:val="en-US" w:eastAsia="zh-CN" w:bidi="ar-SA"/>
        </w:rPr>
        <w:t>招标人</w:t>
      </w:r>
      <w:r>
        <w:rPr>
          <w:rFonts w:hint="eastAsia" w:ascii="宋体" w:hAnsi="宋体" w:eastAsia="宋体" w:cs="宋体"/>
          <w:color w:val="auto"/>
          <w:kern w:val="2"/>
          <w:sz w:val="21"/>
          <w:szCs w:val="21"/>
          <w:highlight w:val="none"/>
          <w:lang w:val="en-US" w:eastAsia="zh-CN" w:bidi="ar-SA"/>
        </w:rPr>
        <w:t>有权根据项目实际情况及有关法律法规、政策的规定进行变更调整。在变更调整后，投标人应遵照执行。</w:t>
      </w:r>
    </w:p>
    <w:p>
      <w:pPr>
        <w:pageBreakBefore/>
        <w:spacing w:line="360" w:lineRule="auto"/>
        <w:rPr>
          <w:rFonts w:ascii="宋体" w:hAnsi="宋体" w:cs="宋体"/>
          <w:color w:val="auto"/>
          <w:szCs w:val="21"/>
          <w:highlight w:val="none"/>
        </w:rPr>
      </w:pPr>
      <w:r>
        <w:rPr>
          <w:rFonts w:hint="eastAsia" w:ascii="宋体" w:hAnsi="宋体" w:cs="宋体"/>
          <w:b/>
          <w:color w:val="auto"/>
          <w:sz w:val="28"/>
          <w:szCs w:val="28"/>
          <w:highlight w:val="none"/>
          <w:lang w:val="en-US" w:eastAsia="zh-CN"/>
        </w:rPr>
        <w:t>附件：</w:t>
      </w:r>
      <w:r>
        <w:rPr>
          <w:rFonts w:hint="eastAsia" w:ascii="宋体" w:hAnsi="宋体" w:eastAsia="宋体" w:cs="宋体"/>
          <w:b/>
          <w:color w:val="auto"/>
          <w:sz w:val="28"/>
          <w:szCs w:val="28"/>
          <w:highlight w:val="none"/>
        </w:rPr>
        <w:t>PAM用量统计表</w:t>
      </w:r>
    </w:p>
    <w:tbl>
      <w:tblPr>
        <w:tblStyle w:val="38"/>
        <w:tblW w:w="100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568"/>
        <w:gridCol w:w="1584"/>
        <w:gridCol w:w="1539"/>
        <w:gridCol w:w="1481"/>
        <w:gridCol w:w="1022"/>
        <w:gridCol w:w="1013"/>
        <w:gridCol w:w="672"/>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87"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PAM用量统计表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东引运河片区</w:t>
            </w: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序号</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污水厂名称</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设计污泥产量（吨/天，80%含水率计算）</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预计污泥产量（吨/天，80%含水率计算）</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总产量                                       （吨湿泥）</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吨湿泥药耗（吨）</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年度药剂需求量（吨）</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浓缩方式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寮步三期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61.54</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22462</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0.0002</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温塘二期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83.5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30.00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10950</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转鼓浓缩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横沥东坑二期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40.00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14600</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离心浓缩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常平东二期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46.33</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24.90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9089</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0.0002</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常平西二期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53.01</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31.14</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11366</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0.0002</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黄江梅塘南部厂</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11.44</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4176</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转鼓浓缩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73"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21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458</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199</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72642</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38</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3"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东江下游片区</w:t>
            </w: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市区厂众源移动式（含一二期和三期）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90.00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32850</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0.0001</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高埗二期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38.25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12.84</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4687</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转鼓浓缩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21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128</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103</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37537</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滨海湾片区</w:t>
            </w: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长安新区众源移动式</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60.00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21900</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0.0001</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大岭山二期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88</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51.68</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18863</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叠螺浓缩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沙田二期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32.15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10.10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3687</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转鼓浓缩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虎门宁洲三期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104.4</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16.80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6132</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0.0002</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21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285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139</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50582</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26</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石马河片区</w:t>
            </w: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凤岗竹塘二期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24.10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8797</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重力浓缩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塘厦白泥湖</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45.5</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22.38</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8169</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叠螺浓缩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凤岗竹塘三期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33.73</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12311</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0.0020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25</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带式浓缩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1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清溪厦坭二期</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44</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14.40</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5256</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0.0010</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转鼓浓缩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21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210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95</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34533</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38</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总</w:t>
            </w:r>
            <w:r>
              <w:rPr>
                <w:rFonts w:hint="eastAsia" w:ascii="宋体" w:hAnsi="宋体" w:eastAsia="宋体" w:cs="宋体"/>
                <w:b/>
                <w:color w:val="auto"/>
                <w:sz w:val="21"/>
                <w:szCs w:val="21"/>
                <w:highlight w:val="none"/>
              </w:rPr>
              <w:t>计</w:t>
            </w: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1080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535</w:t>
            </w:r>
          </w:p>
        </w:tc>
        <w:tc>
          <w:tcPr>
            <w:tcW w:w="10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195293</w:t>
            </w:r>
          </w:p>
        </w:tc>
        <w:tc>
          <w:tcPr>
            <w:tcW w:w="1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110</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rPr>
          <w:rFonts w:hint="eastAsia"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备注：上述数量为暂定，仅便于投标人了解项目情况，不作为招标人最终采购数量的保证，具体供货量以招标人的供货通知为准。</w:t>
      </w:r>
    </w:p>
    <w:p>
      <w:pPr>
        <w:pageBreakBefore/>
        <w:tabs>
          <w:tab w:val="left" w:pos="1080"/>
        </w:tabs>
        <w:autoSpaceDE w:val="0"/>
        <w:autoSpaceDN w:val="0"/>
        <w:adjustRightInd w:val="0"/>
        <w:spacing w:line="360" w:lineRule="auto"/>
        <w:ind w:left="357" w:leftChars="-100" w:hanging="567"/>
        <w:jc w:val="center"/>
        <w:outlineLvl w:val="0"/>
        <w:rPr>
          <w:rFonts w:ascii="宋体" w:hAnsi="宋体" w:cs="宋体"/>
          <w:b/>
          <w:bCs/>
          <w:color w:val="auto"/>
          <w:kern w:val="44"/>
          <w:sz w:val="32"/>
          <w:szCs w:val="32"/>
          <w:highlight w:val="none"/>
          <w:lang w:val="zh-CN"/>
        </w:rPr>
      </w:pPr>
      <w:bookmarkStart w:id="363" w:name="_Toc11281_WPSOffice_Level1"/>
      <w:bookmarkStart w:id="364" w:name="_Toc450662892"/>
      <w:bookmarkStart w:id="365" w:name="_Toc11453"/>
      <w:bookmarkStart w:id="366" w:name="_Toc173684923"/>
      <w:bookmarkStart w:id="367" w:name="_Toc19477"/>
      <w:bookmarkStart w:id="368" w:name="_Toc142508359"/>
      <w:bookmarkStart w:id="369" w:name="_Toc486167707"/>
      <w:r>
        <w:rPr>
          <w:rFonts w:hint="eastAsia" w:ascii="宋体" w:hAnsi="宋体" w:cs="宋体"/>
          <w:b/>
          <w:bCs/>
          <w:color w:val="auto"/>
          <w:kern w:val="44"/>
          <w:sz w:val="32"/>
          <w:szCs w:val="32"/>
          <w:highlight w:val="none"/>
          <w:lang w:val="zh-CN"/>
        </w:rPr>
        <w:t>第四篇</w:t>
      </w:r>
      <w:r>
        <w:rPr>
          <w:rFonts w:ascii="宋体" w:hAnsi="宋体" w:cs="宋体"/>
          <w:b/>
          <w:bCs/>
          <w:color w:val="auto"/>
          <w:kern w:val="44"/>
          <w:sz w:val="32"/>
          <w:szCs w:val="32"/>
          <w:highlight w:val="none"/>
          <w:lang w:val="zh-CN"/>
        </w:rPr>
        <w:t xml:space="preserve"> </w:t>
      </w:r>
      <w:r>
        <w:rPr>
          <w:rFonts w:hint="eastAsia" w:ascii="宋体" w:hAnsi="宋体" w:cs="宋体"/>
          <w:b/>
          <w:bCs/>
          <w:color w:val="auto"/>
          <w:kern w:val="44"/>
          <w:sz w:val="32"/>
          <w:szCs w:val="32"/>
          <w:highlight w:val="none"/>
          <w:lang w:val="zh-CN"/>
        </w:rPr>
        <w:t>合同条款格式</w:t>
      </w:r>
      <w:bookmarkEnd w:id="363"/>
      <w:bookmarkEnd w:id="364"/>
      <w:bookmarkEnd w:id="365"/>
      <w:bookmarkEnd w:id="366"/>
      <w:bookmarkEnd w:id="367"/>
      <w:bookmarkEnd w:id="368"/>
      <w:bookmarkEnd w:id="369"/>
    </w:p>
    <w:p>
      <w:pPr>
        <w:autoSpaceDE w:val="0"/>
        <w:autoSpaceDN w:val="0"/>
        <w:adjustRightInd w:val="0"/>
        <w:spacing w:line="360" w:lineRule="auto"/>
        <w:jc w:val="center"/>
        <w:rPr>
          <w:rFonts w:ascii="宋体" w:hAnsi="宋体" w:cs="宋体"/>
          <w:b/>
          <w:color w:val="auto"/>
          <w:kern w:val="0"/>
          <w:sz w:val="52"/>
          <w:szCs w:val="52"/>
          <w:highlight w:val="none"/>
        </w:rPr>
      </w:pPr>
    </w:p>
    <w:p>
      <w:pPr>
        <w:autoSpaceDE w:val="0"/>
        <w:autoSpaceDN w:val="0"/>
        <w:adjustRightInd w:val="0"/>
        <w:spacing w:line="360" w:lineRule="auto"/>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东莞市众源环境投资有限公司2025年污泥处理用聚丙烯酰胺采购项目</w:t>
      </w:r>
    </w:p>
    <w:p>
      <w:pPr>
        <w:autoSpaceDE w:val="0"/>
        <w:autoSpaceDN w:val="0"/>
        <w:adjustRightInd w:val="0"/>
        <w:spacing w:line="360" w:lineRule="auto"/>
        <w:jc w:val="center"/>
        <w:rPr>
          <w:rFonts w:ascii="宋体" w:hAnsi="宋体" w:cs="宋体"/>
          <w:b/>
          <w:strike/>
          <w:color w:val="auto"/>
          <w:kern w:val="0"/>
          <w:sz w:val="52"/>
          <w:szCs w:val="52"/>
          <w:highlight w:val="none"/>
        </w:rPr>
      </w:pPr>
    </w:p>
    <w:p>
      <w:pPr>
        <w:autoSpaceDE w:val="0"/>
        <w:autoSpaceDN w:val="0"/>
        <w:adjustRightInd w:val="0"/>
        <w:spacing w:line="360" w:lineRule="auto"/>
        <w:jc w:val="center"/>
        <w:rPr>
          <w:rFonts w:ascii="宋体" w:hAnsi="宋体" w:cs="宋体"/>
          <w:b/>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cs="宋体"/>
          <w:b/>
          <w:bCs/>
          <w:color w:val="auto"/>
          <w:spacing w:val="60"/>
          <w:kern w:val="0"/>
          <w:sz w:val="52"/>
          <w:szCs w:val="52"/>
          <w:highlight w:val="none"/>
        </w:rPr>
      </w:pPr>
      <w:r>
        <w:rPr>
          <w:rFonts w:hint="eastAsia" w:ascii="宋体" w:hAnsi="宋体" w:cs="宋体"/>
          <w:b/>
          <w:bCs/>
          <w:color w:val="auto"/>
          <w:spacing w:val="60"/>
          <w:kern w:val="0"/>
          <w:sz w:val="52"/>
          <w:szCs w:val="52"/>
          <w:highlight w:val="none"/>
        </w:rPr>
        <w:t>合同书</w:t>
      </w:r>
    </w:p>
    <w:p>
      <w:pPr>
        <w:autoSpaceDE w:val="0"/>
        <w:autoSpaceDN w:val="0"/>
        <w:adjustRightInd w:val="0"/>
        <w:spacing w:line="360" w:lineRule="auto"/>
        <w:jc w:val="left"/>
        <w:rPr>
          <w:rFonts w:ascii="宋体" w:hAnsi="宋体" w:cs="宋体"/>
          <w:color w:val="auto"/>
          <w:kern w:val="0"/>
          <w:sz w:val="48"/>
          <w:szCs w:val="48"/>
          <w:highlight w:val="none"/>
        </w:rPr>
      </w:pPr>
    </w:p>
    <w:p>
      <w:pPr>
        <w:autoSpaceDE w:val="0"/>
        <w:autoSpaceDN w:val="0"/>
        <w:adjustRightInd w:val="0"/>
        <w:spacing w:line="360" w:lineRule="auto"/>
        <w:jc w:val="left"/>
        <w:rPr>
          <w:rFonts w:ascii="宋体" w:hAnsi="宋体" w:cs="宋体"/>
          <w:color w:val="auto"/>
          <w:kern w:val="0"/>
          <w:sz w:val="48"/>
          <w:szCs w:val="48"/>
          <w:highlight w:val="none"/>
        </w:rPr>
      </w:pPr>
    </w:p>
    <w:p>
      <w:pPr>
        <w:autoSpaceDE w:val="0"/>
        <w:autoSpaceDN w:val="0"/>
        <w:adjustRightInd w:val="0"/>
        <w:spacing w:line="360" w:lineRule="auto"/>
        <w:ind w:firstLine="1285" w:firstLineChars="400"/>
        <w:jc w:val="left"/>
        <w:rPr>
          <w:rFonts w:ascii="宋体" w:hAnsi="宋体" w:cs="宋体"/>
          <w:b/>
          <w:bCs/>
          <w:color w:val="auto"/>
          <w:kern w:val="0"/>
          <w:sz w:val="32"/>
          <w:szCs w:val="32"/>
          <w:highlight w:val="none"/>
          <w:u w:val="single"/>
        </w:rPr>
      </w:pPr>
      <w:r>
        <w:rPr>
          <w:rFonts w:hint="eastAsia" w:ascii="宋体" w:hAnsi="宋体" w:cs="宋体"/>
          <w:b/>
          <w:bCs/>
          <w:color w:val="auto"/>
          <w:kern w:val="0"/>
          <w:sz w:val="32"/>
          <w:szCs w:val="32"/>
          <w:highlight w:val="none"/>
        </w:rPr>
        <w:t>合同编号：</w:t>
      </w:r>
      <w:r>
        <w:rPr>
          <w:rFonts w:hint="eastAsia" w:ascii="宋体" w:hAnsi="宋体" w:cs="宋体"/>
          <w:b/>
          <w:bCs/>
          <w:color w:val="auto"/>
          <w:kern w:val="0"/>
          <w:sz w:val="32"/>
          <w:szCs w:val="32"/>
          <w:highlight w:val="none"/>
          <w:u w:val="single"/>
        </w:rPr>
        <w:t xml:space="preserve">                       </w:t>
      </w:r>
    </w:p>
    <w:p>
      <w:pPr>
        <w:autoSpaceDE w:val="0"/>
        <w:autoSpaceDN w:val="0"/>
        <w:adjustRightInd w:val="0"/>
        <w:spacing w:line="360" w:lineRule="auto"/>
        <w:ind w:firstLine="1285" w:firstLineChars="40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甲    方：</w:t>
      </w:r>
      <w:r>
        <w:rPr>
          <w:rFonts w:hint="eastAsia" w:ascii="宋体" w:hAnsi="宋体" w:cs="宋体"/>
          <w:b/>
          <w:bCs/>
          <w:color w:val="auto"/>
          <w:kern w:val="0"/>
          <w:sz w:val="32"/>
          <w:szCs w:val="32"/>
          <w:highlight w:val="none"/>
          <w:u w:val="single"/>
        </w:rPr>
        <w:t xml:space="preserve">                       </w:t>
      </w:r>
    </w:p>
    <w:p>
      <w:pPr>
        <w:autoSpaceDE w:val="0"/>
        <w:autoSpaceDN w:val="0"/>
        <w:adjustRightInd w:val="0"/>
        <w:spacing w:line="360" w:lineRule="auto"/>
        <w:ind w:firstLine="1259" w:firstLineChars="392"/>
        <w:jc w:val="left"/>
        <w:rPr>
          <w:rFonts w:ascii="宋体" w:hAnsi="宋体" w:cs="宋体"/>
          <w:b/>
          <w:bCs/>
          <w:color w:val="auto"/>
          <w:kern w:val="0"/>
          <w:sz w:val="32"/>
          <w:szCs w:val="32"/>
          <w:highlight w:val="none"/>
          <w:u w:val="single"/>
        </w:rPr>
      </w:pPr>
      <w:r>
        <w:rPr>
          <w:rFonts w:hint="eastAsia" w:ascii="宋体" w:hAnsi="宋体" w:cs="宋体"/>
          <w:b/>
          <w:bCs/>
          <w:color w:val="auto"/>
          <w:kern w:val="0"/>
          <w:sz w:val="32"/>
          <w:szCs w:val="32"/>
          <w:highlight w:val="none"/>
        </w:rPr>
        <w:t>乙    方：</w:t>
      </w:r>
      <w:r>
        <w:rPr>
          <w:rFonts w:hint="eastAsia" w:ascii="宋体" w:hAnsi="宋体" w:cs="宋体"/>
          <w:b/>
          <w:bCs/>
          <w:color w:val="auto"/>
          <w:kern w:val="0"/>
          <w:sz w:val="32"/>
          <w:szCs w:val="32"/>
          <w:highlight w:val="none"/>
          <w:u w:val="single"/>
        </w:rPr>
        <w:t xml:space="preserve">                       </w:t>
      </w:r>
    </w:p>
    <w:p>
      <w:pPr>
        <w:autoSpaceDE w:val="0"/>
        <w:autoSpaceDN w:val="0"/>
        <w:adjustRightInd w:val="0"/>
        <w:spacing w:line="360" w:lineRule="auto"/>
        <w:ind w:firstLine="1254" w:firstLineChars="392"/>
        <w:jc w:val="left"/>
        <w:rPr>
          <w:rFonts w:ascii="宋体" w:hAnsi="宋体" w:cs="宋体"/>
          <w:color w:val="auto"/>
          <w:kern w:val="0"/>
          <w:sz w:val="32"/>
          <w:szCs w:val="32"/>
          <w:highlight w:val="none"/>
          <w:u w:val="single"/>
        </w:rPr>
      </w:pPr>
    </w:p>
    <w:p>
      <w:pPr>
        <w:autoSpaceDE w:val="0"/>
        <w:autoSpaceDN w:val="0"/>
        <w:adjustRightInd w:val="0"/>
        <w:spacing w:line="360" w:lineRule="auto"/>
        <w:ind w:firstLine="1265" w:firstLineChars="45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签订日期：   年   月   日</w:t>
      </w:r>
    </w:p>
    <w:p>
      <w:pPr>
        <w:autoSpaceDE w:val="0"/>
        <w:autoSpaceDN w:val="0"/>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甲方：</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r>
        <w:rPr>
          <w:rFonts w:hint="eastAsia" w:ascii="宋体" w:hAnsi="宋体" w:cs="宋体"/>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cs="宋体"/>
          <w:color w:val="auto"/>
          <w:kern w:val="0"/>
          <w:szCs w:val="21"/>
          <w:highlight w:val="none"/>
        </w:rPr>
      </w:pP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根据《中华人民共和国民法典》及</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日通知的</w:t>
      </w:r>
      <w:r>
        <w:rPr>
          <w:rFonts w:hint="eastAsia" w:ascii="宋体" w:hAnsi="宋体" w:cs="宋体"/>
          <w:color w:val="auto"/>
          <w:kern w:val="0"/>
          <w:szCs w:val="21"/>
          <w:highlight w:val="none"/>
          <w:u w:val="single"/>
        </w:rPr>
        <w:t xml:space="preserve"> 东莞市众源环境投资有限公司2025年污泥处理用聚丙烯酰胺采购项目 </w:t>
      </w:r>
      <w:r>
        <w:rPr>
          <w:rFonts w:hint="eastAsia" w:ascii="宋体" w:hAnsi="宋体" w:cs="宋体"/>
          <w:color w:val="auto"/>
          <w:kern w:val="0"/>
          <w:szCs w:val="21"/>
          <w:highlight w:val="none"/>
        </w:rPr>
        <w:t>中标结果（招标编号：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）和招标文件的要求，经双方协商一致，签订本合同。</w:t>
      </w: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70" w:name="_Toc22072"/>
      <w:bookmarkStart w:id="371" w:name="_Toc4173"/>
      <w:bookmarkStart w:id="372" w:name="_Toc22409"/>
      <w:r>
        <w:rPr>
          <w:rFonts w:hint="eastAsia" w:ascii="宋体" w:hAnsi="宋体" w:cs="宋体"/>
          <w:b/>
          <w:color w:val="auto"/>
          <w:kern w:val="0"/>
          <w:szCs w:val="21"/>
          <w:highlight w:val="none"/>
        </w:rPr>
        <w:t>第一条 合同项目</w:t>
      </w:r>
      <w:bookmarkEnd w:id="370"/>
      <w:bookmarkEnd w:id="371"/>
      <w:bookmarkEnd w:id="372"/>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1、合同货物清单：</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1093"/>
        <w:gridCol w:w="1093"/>
        <w:gridCol w:w="960"/>
        <w:gridCol w:w="1481"/>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货物名称</w:t>
            </w:r>
          </w:p>
        </w:tc>
        <w:tc>
          <w:tcPr>
            <w:tcW w:w="52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品牌</w:t>
            </w:r>
          </w:p>
        </w:tc>
        <w:tc>
          <w:tcPr>
            <w:tcW w:w="52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产地</w:t>
            </w:r>
          </w:p>
        </w:tc>
        <w:tc>
          <w:tcPr>
            <w:tcW w:w="4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单位</w:t>
            </w:r>
          </w:p>
        </w:tc>
        <w:tc>
          <w:tcPr>
            <w:tcW w:w="71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暂定数量</w:t>
            </w:r>
          </w:p>
        </w:tc>
        <w:tc>
          <w:tcPr>
            <w:tcW w:w="1493"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综合单价（元/吨）</w:t>
            </w:r>
          </w:p>
          <w:p>
            <w:pPr>
              <w:snapToGrid w:val="0"/>
              <w:jc w:val="center"/>
              <w:rPr>
                <w:rFonts w:ascii="宋体" w:hAnsi="宋体" w:cs="宋体"/>
                <w:b/>
                <w:color w:val="auto"/>
                <w:szCs w:val="21"/>
                <w:highlight w:val="none"/>
                <w:u w:val="words"/>
              </w:rPr>
            </w:pPr>
            <w:r>
              <w:rPr>
                <w:rFonts w:hint="eastAsia" w:ascii="宋体" w:hAnsi="宋体" w:cs="宋体"/>
                <w:b/>
                <w:color w:val="auto"/>
                <w:szCs w:val="21"/>
                <w:highlight w:val="none"/>
                <w:u w:val="words"/>
              </w:rPr>
              <w:t>（不含销项税）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u w:val="words"/>
              </w:rPr>
            </w:pPr>
            <w:r>
              <w:rPr>
                <w:rFonts w:hint="eastAsia" w:ascii="宋体" w:hAnsi="宋体" w:cs="宋体"/>
                <w:color w:val="auto"/>
                <w:szCs w:val="21"/>
                <w:highlight w:val="none"/>
              </w:rPr>
              <w:t>阳离子聚丙烯酰胺</w:t>
            </w:r>
          </w:p>
        </w:tc>
        <w:tc>
          <w:tcPr>
            <w:tcW w:w="52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u w:val="words"/>
              </w:rPr>
            </w:pPr>
          </w:p>
        </w:tc>
        <w:tc>
          <w:tcPr>
            <w:tcW w:w="52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u w:val="words"/>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u w:val="words"/>
              </w:rPr>
            </w:pPr>
            <w:r>
              <w:rPr>
                <w:rFonts w:hint="eastAsia" w:ascii="宋体" w:hAnsi="宋体" w:cs="宋体"/>
                <w:color w:val="auto"/>
                <w:szCs w:val="21"/>
                <w:highlight w:val="none"/>
                <w:u w:val="words"/>
              </w:rPr>
              <w:t>吨</w:t>
            </w:r>
          </w:p>
        </w:tc>
        <w:tc>
          <w:tcPr>
            <w:tcW w:w="71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u w:val="words"/>
              </w:rPr>
            </w:pPr>
            <w:r>
              <w:rPr>
                <w:rFonts w:hint="eastAsia" w:ascii="宋体" w:hAnsi="宋体" w:cs="宋体"/>
                <w:color w:val="auto"/>
                <w:szCs w:val="21"/>
                <w:highlight w:val="none"/>
              </w:rPr>
              <w:t>110</w:t>
            </w:r>
            <w:r>
              <w:rPr>
                <w:rFonts w:ascii="宋体" w:hAnsi="宋体" w:cs="宋体"/>
                <w:color w:val="auto"/>
                <w:szCs w:val="21"/>
                <w:highlight w:val="none"/>
              </w:rPr>
              <w:t>.00</w:t>
            </w:r>
          </w:p>
        </w:tc>
        <w:tc>
          <w:tcPr>
            <w:tcW w:w="1493"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Cs w:val="21"/>
                <w:highlight w:val="none"/>
                <w:u w:val="words"/>
              </w:rPr>
            </w:pPr>
          </w:p>
        </w:tc>
      </w:tr>
    </w:tbl>
    <w:p>
      <w:pPr>
        <w:autoSpaceDE w:val="0"/>
        <w:autoSpaceDN w:val="0"/>
        <w:adjustRightInd w:val="0"/>
        <w:snapToGrid w:val="0"/>
        <w:spacing w:before="120" w:beforeLines="50" w:line="360" w:lineRule="auto"/>
        <w:ind w:firstLine="420" w:firstLineChars="200"/>
        <w:jc w:val="left"/>
        <w:rPr>
          <w:rFonts w:ascii="宋体" w:hAnsi="宋体" w:cs="宋体"/>
          <w:b/>
          <w:color w:val="auto"/>
          <w:kern w:val="0"/>
          <w:szCs w:val="21"/>
          <w:highlight w:val="none"/>
        </w:rPr>
      </w:pPr>
      <w:r>
        <w:rPr>
          <w:rFonts w:hint="eastAsia" w:ascii="宋体" w:hAnsi="宋体" w:cs="宋体"/>
          <w:bCs/>
          <w:color w:val="auto"/>
          <w:kern w:val="0"/>
          <w:szCs w:val="21"/>
          <w:highlight w:val="none"/>
        </w:rPr>
        <w:t>备注：上述暂定数量仅为便于计算合同暂定总价使用，不作为甲方最终采购数量的保证。</w:t>
      </w:r>
      <w:r>
        <w:rPr>
          <w:rFonts w:hint="eastAsia" w:ascii="宋体" w:hAnsi="宋体" w:cs="宋体"/>
          <w:color w:val="auto"/>
          <w:kern w:val="2"/>
          <w:sz w:val="21"/>
          <w:szCs w:val="21"/>
          <w:highlight w:val="none"/>
          <w:lang w:val="en-US" w:eastAsia="zh-CN" w:bidi="ar-SA"/>
        </w:rPr>
        <w:t>产品的选型根据合同</w:t>
      </w:r>
      <w:r>
        <w:rPr>
          <w:rFonts w:hint="eastAsia" w:ascii="宋体" w:hAnsi="宋体" w:cs="宋体"/>
          <w:color w:val="auto"/>
          <w:szCs w:val="21"/>
          <w:highlight w:val="none"/>
        </w:rPr>
        <w:t>技术指标</w:t>
      </w:r>
      <w:r>
        <w:rPr>
          <w:rFonts w:hint="eastAsia" w:ascii="宋体" w:hAnsi="宋体" w:cs="宋体"/>
          <w:color w:val="auto"/>
          <w:szCs w:val="21"/>
          <w:highlight w:val="none"/>
          <w:lang w:val="en-US" w:eastAsia="zh-CN"/>
        </w:rPr>
        <w:t>要求及</w:t>
      </w:r>
      <w:r>
        <w:rPr>
          <w:rFonts w:hint="eastAsia" w:ascii="宋体" w:hAnsi="宋体" w:cs="宋体"/>
          <w:bCs/>
          <w:color w:val="auto"/>
          <w:kern w:val="0"/>
          <w:szCs w:val="21"/>
          <w:highlight w:val="none"/>
        </w:rPr>
        <w:t>甲方</w:t>
      </w:r>
      <w:r>
        <w:rPr>
          <w:rFonts w:hint="eastAsia" w:ascii="宋体" w:hAnsi="宋体" w:cs="宋体"/>
          <w:color w:val="auto"/>
          <w:kern w:val="2"/>
          <w:sz w:val="21"/>
          <w:szCs w:val="21"/>
          <w:highlight w:val="none"/>
          <w:lang w:val="en-US" w:eastAsia="zh-CN" w:bidi="ar-SA"/>
        </w:rPr>
        <w:t>运营项目的工艺及性质，结合小试、中式及运营项目实际使用后的情况确定，</w:t>
      </w:r>
      <w:r>
        <w:rPr>
          <w:rFonts w:hint="eastAsia" w:ascii="宋体" w:hAnsi="宋体" w:cs="宋体"/>
          <w:bCs/>
          <w:color w:val="auto"/>
          <w:kern w:val="0"/>
          <w:szCs w:val="21"/>
          <w:highlight w:val="none"/>
        </w:rPr>
        <w:t>甲方的实际需求数量以各运营项目的供货通知为准，在供货期内乙方不得因甲方实际采购数量的减少或增加而要求提供任何形式的补偿或赔偿，或要求甲方按暂定数量采购相应货物。</w:t>
      </w:r>
    </w:p>
    <w:p>
      <w:pPr>
        <w:autoSpaceDE w:val="0"/>
        <w:autoSpaceDN w:val="0"/>
        <w:adjustRightInd w:val="0"/>
        <w:snapToGri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、本合同的供货期</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供货期：合同签订之日起一年内，即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日，具体供货起始日期以甲方书面通知为准。乙方收到甲方通知后必须无条件按照本合同约定开始供货。</w:t>
      </w:r>
    </w:p>
    <w:p>
      <w:pPr>
        <w:autoSpaceDE w:val="0"/>
        <w:autoSpaceDN w:val="0"/>
        <w:adjustRightInd w:val="0"/>
        <w:snapToGrid w:val="0"/>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3、合同履行中，甲方在本合同约定的供货期和采购范围内，有权根据项目实际情况及有关法律法规、政策的规定对合同的相应条款进行变更调整。在变更调整后，乙方应遵照执行。</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4、乙方应承担完成合同义务的全部费用，包括但不限于：</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val="zh-CN" w:eastAsia="zh-Hans"/>
        </w:rPr>
      </w:pPr>
      <w:r>
        <w:rPr>
          <w:rFonts w:hint="eastAsia" w:ascii="宋体" w:hAnsi="宋体" w:cs="宋体"/>
          <w:color w:val="auto"/>
          <w:kern w:val="0"/>
          <w:szCs w:val="21"/>
          <w:highlight w:val="none"/>
          <w:lang w:val="zh-CN" w:eastAsia="zh-Hans"/>
        </w:rPr>
        <w:t>（1）合同范围内所有货物的研究、采购、制造、检验、配合试验（含小试、中试）、包装、储存、运输（退换货运输）、称重、装卸、安全、保险、培训、验收的费用；</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val="zh-CN" w:eastAsia="zh-Hans"/>
        </w:rPr>
      </w:pPr>
      <w:r>
        <w:rPr>
          <w:rFonts w:hint="eastAsia" w:ascii="宋体" w:hAnsi="宋体" w:cs="宋体"/>
          <w:color w:val="auto"/>
          <w:kern w:val="0"/>
          <w:szCs w:val="21"/>
          <w:highlight w:val="none"/>
          <w:lang w:val="zh-CN" w:eastAsia="zh-Hans"/>
        </w:rPr>
        <w:t>（2）</w:t>
      </w:r>
      <w:r>
        <w:rPr>
          <w:rFonts w:hint="eastAsia" w:ascii="宋体" w:hAnsi="宋体" w:cs="宋体"/>
          <w:color w:val="auto"/>
          <w:kern w:val="0"/>
          <w:szCs w:val="21"/>
          <w:highlight w:val="none"/>
          <w:lang w:eastAsia="zh-Hans"/>
        </w:rPr>
        <w:t>应急供货费用、为满足项目调试需求导致的小批量、多频次分散供货的成本以及货物运输、货物验收合格前发生的安全事故所产生的一切费用；</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val="zh-CN" w:eastAsia="zh-Hans"/>
        </w:rPr>
      </w:pPr>
      <w:r>
        <w:rPr>
          <w:rFonts w:hint="eastAsia" w:ascii="宋体" w:hAnsi="宋体" w:cs="宋体"/>
          <w:color w:val="auto"/>
          <w:kern w:val="0"/>
          <w:szCs w:val="21"/>
          <w:highlight w:val="none"/>
          <w:lang w:val="zh-CN" w:eastAsia="zh-Hans"/>
        </w:rPr>
        <w:t>（</w:t>
      </w:r>
      <w:r>
        <w:rPr>
          <w:rFonts w:hint="eastAsia" w:ascii="宋体" w:hAnsi="宋体" w:cs="宋体"/>
          <w:color w:val="auto"/>
          <w:kern w:val="0"/>
          <w:szCs w:val="21"/>
          <w:highlight w:val="none"/>
          <w:lang w:eastAsia="zh-Hans"/>
        </w:rPr>
        <w:t>3</w:t>
      </w:r>
      <w:r>
        <w:rPr>
          <w:rFonts w:hint="eastAsia" w:ascii="宋体" w:hAnsi="宋体" w:cs="宋体"/>
          <w:color w:val="auto"/>
          <w:kern w:val="0"/>
          <w:szCs w:val="21"/>
          <w:highlight w:val="none"/>
          <w:lang w:val="zh-CN" w:eastAsia="zh-Hans"/>
        </w:rPr>
        <w:t>）货物及其工艺所有制造方、甲方应支付的对专有技术、商标权、专利权和版权、设计或其他知识产权而需要向其他方支付的版税；</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val="zh-CN" w:eastAsia="zh-Hans"/>
        </w:rPr>
      </w:pPr>
      <w:r>
        <w:rPr>
          <w:rFonts w:hint="eastAsia" w:ascii="宋体" w:hAnsi="宋体" w:cs="宋体"/>
          <w:color w:val="auto"/>
          <w:kern w:val="0"/>
          <w:szCs w:val="21"/>
          <w:highlight w:val="none"/>
          <w:lang w:val="zh-CN" w:eastAsia="zh-Hans"/>
        </w:rPr>
        <w:t>（4）日常技术指导，免费的质保服务，包括但不限于免费现场质量问题处理或更换无效产品，按甲方要求小试、中试，并以甲方确认的最优化的产品成分配比供货；</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eastAsia="zh-Hans"/>
        </w:rPr>
      </w:pPr>
      <w:r>
        <w:rPr>
          <w:rFonts w:hint="eastAsia" w:ascii="宋体" w:hAnsi="宋体" w:cs="宋体"/>
          <w:color w:val="auto"/>
          <w:kern w:val="0"/>
          <w:szCs w:val="21"/>
          <w:highlight w:val="none"/>
          <w:lang w:eastAsia="zh-Hans"/>
        </w:rPr>
        <w:t>（5）合理利润、</w:t>
      </w:r>
      <w:r>
        <w:rPr>
          <w:rFonts w:hint="eastAsia" w:ascii="宋体" w:hAnsi="宋体" w:cs="宋体"/>
          <w:color w:val="auto"/>
          <w:kern w:val="0"/>
          <w:szCs w:val="21"/>
          <w:highlight w:val="none"/>
          <w:lang w:val="zh-CN" w:eastAsia="zh-Hans"/>
        </w:rPr>
        <w:t>乙方销项税额以外的税费</w:t>
      </w:r>
      <w:r>
        <w:rPr>
          <w:rFonts w:hint="eastAsia" w:ascii="宋体" w:hAnsi="宋体" w:cs="宋体"/>
          <w:color w:val="auto"/>
          <w:kern w:val="0"/>
          <w:szCs w:val="21"/>
          <w:highlight w:val="none"/>
          <w:lang w:eastAsia="zh-Hans"/>
        </w:rPr>
        <w:t>等；</w:t>
      </w:r>
    </w:p>
    <w:p>
      <w:pPr>
        <w:autoSpaceDE w:val="0"/>
        <w:autoSpaceDN w:val="0"/>
        <w:adjustRightInd w:val="0"/>
        <w:snapToGrid w:val="0"/>
        <w:spacing w:line="360" w:lineRule="auto"/>
        <w:ind w:left="2" w:firstLine="420" w:firstLineChars="200"/>
        <w:jc w:val="left"/>
        <w:rPr>
          <w:rFonts w:ascii="宋体" w:hAnsi="宋体" w:cs="宋体"/>
          <w:color w:val="auto"/>
          <w:kern w:val="0"/>
          <w:szCs w:val="21"/>
          <w:highlight w:val="none"/>
          <w:lang w:val="zh-CN" w:eastAsia="zh-Hans"/>
        </w:rPr>
      </w:pPr>
      <w:r>
        <w:rPr>
          <w:rFonts w:hint="eastAsia" w:ascii="宋体" w:hAnsi="宋体" w:cs="宋体"/>
          <w:color w:val="auto"/>
          <w:kern w:val="0"/>
          <w:szCs w:val="21"/>
          <w:highlight w:val="none"/>
          <w:lang w:val="zh-CN" w:eastAsia="zh-Hans"/>
        </w:rPr>
        <w:t>（6）法律法规、商业公认、招标文件规定由乙方承担的其他直接及间接费用。</w:t>
      </w:r>
    </w:p>
    <w:p>
      <w:pPr>
        <w:spacing w:line="360" w:lineRule="auto"/>
        <w:ind w:left="124" w:leftChars="59" w:firstLine="422" w:firstLineChars="201"/>
        <w:rPr>
          <w:rFonts w:ascii="宋体" w:hAnsi="宋体" w:cs="宋体"/>
          <w:bCs/>
          <w:color w:val="auto"/>
          <w:szCs w:val="21"/>
          <w:highlight w:val="none"/>
          <w:lang w:val="zh-CN"/>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Hans"/>
        </w:rPr>
        <w:t>货物</w:t>
      </w:r>
      <w:r>
        <w:rPr>
          <w:rFonts w:hint="eastAsia" w:ascii="宋体" w:hAnsi="宋体" w:cs="宋体"/>
          <w:bCs/>
          <w:color w:val="auto"/>
          <w:szCs w:val="21"/>
          <w:highlight w:val="none"/>
          <w:lang w:val="zh-CN"/>
        </w:rPr>
        <w:t>的供货按照甲方各运营项目的实际供货需求，将会存在不同项目、不同时间、不同批次供货的情况（</w:t>
      </w:r>
      <w:r>
        <w:rPr>
          <w:rFonts w:hint="eastAsia" w:ascii="宋体" w:hAnsi="宋体" w:cs="宋体"/>
          <w:bCs/>
          <w:color w:val="auto"/>
          <w:szCs w:val="21"/>
          <w:highlight w:val="none"/>
          <w:lang w:val="en-US" w:eastAsia="zh-CN"/>
        </w:rPr>
        <w:t>计划</w:t>
      </w:r>
      <w:r>
        <w:rPr>
          <w:rFonts w:hint="eastAsia" w:ascii="宋体" w:hAnsi="宋体" w:cs="宋体"/>
          <w:bCs/>
          <w:color w:val="auto"/>
          <w:szCs w:val="21"/>
          <w:highlight w:val="none"/>
          <w:lang w:val="zh-CN"/>
        </w:rPr>
        <w:t>起送量1吨），乙方应充分考虑上述因素可能导致的增加成本，并且该成本已包含在上述全部费用内。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73" w:name="_Toc32070"/>
      <w:bookmarkStart w:id="374" w:name="_Toc45"/>
      <w:bookmarkStart w:id="375" w:name="_Toc8263"/>
      <w:r>
        <w:rPr>
          <w:rFonts w:hint="eastAsia" w:ascii="宋体" w:hAnsi="宋体" w:cs="宋体"/>
          <w:b/>
          <w:color w:val="auto"/>
          <w:kern w:val="0"/>
          <w:szCs w:val="21"/>
          <w:highlight w:val="none"/>
        </w:rPr>
        <w:t>第二条 合同价款及销项税价</w:t>
      </w:r>
      <w:bookmarkEnd w:id="373"/>
      <w:bookmarkEnd w:id="374"/>
      <w:bookmarkEnd w:id="375"/>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1、本合同综合单价（即销售额，不含乙方销项税额）为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元/吨（大写人民币每吨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在本合同履行过程中，综合单</w:t>
      </w:r>
      <w:r>
        <w:rPr>
          <w:rFonts w:hint="eastAsia" w:ascii="宋体" w:hAnsi="宋体" w:cs="宋体"/>
          <w:color w:val="auto"/>
          <w:kern w:val="0"/>
          <w:szCs w:val="21"/>
          <w:highlight w:val="none"/>
        </w:rPr>
        <w:t>价（即销售额，不含乙方销项税额）</w:t>
      </w:r>
      <w:r>
        <w:rPr>
          <w:rFonts w:hint="eastAsia" w:ascii="宋体" w:hAnsi="宋体" w:cs="宋体"/>
          <w:color w:val="auto"/>
          <w:kern w:val="0"/>
          <w:szCs w:val="21"/>
          <w:highlight w:val="none"/>
          <w:lang w:val="zh-CN"/>
        </w:rPr>
        <w:t>固定不变，不因材料、成分比例调整、劳务成本、运输成本、货物的行业标准或国家标准的变动等其他任何理由予以变更。</w:t>
      </w:r>
      <w:r>
        <w:rPr>
          <w:rFonts w:hint="eastAsia" w:ascii="宋体" w:hAnsi="宋体" w:cs="宋体"/>
          <w:color w:val="auto"/>
          <w:kern w:val="0"/>
          <w:szCs w:val="21"/>
          <w:highlight w:val="none"/>
        </w:rPr>
        <w:t>未经甲方书面确认，乙方无权增加任何费用。若出现合同约定的销售折扣情形，甲、乙双方协商一致后降低综合单价。</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2、综合单价为阳离子聚丙烯酰胺的全费用包干价，包括但不限于阳离子聚丙烯酰胺的研究、采购、制造、检验、包装、储存、运输、称重、装卸、安全、保险、培训、验收，以及合理利润、</w:t>
      </w:r>
      <w:r>
        <w:rPr>
          <w:rFonts w:ascii="宋体" w:hAnsi="宋体" w:cs="宋体"/>
          <w:color w:val="auto"/>
          <w:kern w:val="0"/>
          <w:szCs w:val="21"/>
          <w:highlight w:val="none"/>
        </w:rPr>
        <w:t>销项税额以外的税费</w:t>
      </w:r>
      <w:r>
        <w:rPr>
          <w:rFonts w:hint="eastAsia" w:ascii="宋体" w:hAnsi="宋体" w:cs="宋体"/>
          <w:color w:val="auto"/>
          <w:kern w:val="0"/>
          <w:szCs w:val="21"/>
          <w:highlight w:val="none"/>
        </w:rPr>
        <w:t>等。</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3、依法计得并根据本合同约定确定的销项税额由甲方承担。根据</w:t>
      </w:r>
      <w:r>
        <w:rPr>
          <w:rFonts w:hint="eastAsia" w:ascii="宋体" w:hAnsi="宋体" w:cs="宋体"/>
          <w:color w:val="auto"/>
          <w:szCs w:val="21"/>
          <w:highlight w:val="none"/>
          <w:lang w:val="zh-CN"/>
        </w:rPr>
        <w:t>《中华人民共和国增值税暂行条例》（国务院令第691号修订版）</w:t>
      </w:r>
      <w:r>
        <w:rPr>
          <w:rFonts w:hint="eastAsia" w:ascii="宋体" w:hAnsi="宋体" w:cs="宋体"/>
          <w:color w:val="auto"/>
          <w:szCs w:val="21"/>
          <w:highlight w:val="none"/>
        </w:rPr>
        <w:t>及当前税务部门的相关规定，本合同项目的增值税税率为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，对应的销项税额为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元/吨（大写人民币每吨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在本合同履行过程中，乙方（合同相对方）的增值税销项税额按实结算</w:t>
      </w:r>
      <w:r>
        <w:rPr>
          <w:rFonts w:hint="eastAsia" w:ascii="宋体" w:hAnsi="宋体" w:cs="宋体"/>
          <w:color w:val="auto"/>
          <w:kern w:val="0"/>
          <w:szCs w:val="21"/>
          <w:highlight w:val="none"/>
        </w:rPr>
        <w:t>。但因乙方未按合同约定供货、未根据合同约定提供合法、完整的请款资料、货物验收不合格导致的返工或退货、货物验收合格前的非正常损耗等原因导致销项税额增加的，相应损失由乙方承担。</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4、合同综合单价价税合计为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元/吨（大写人民币每吨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），合同履行期间根据本条第</w:t>
      </w:r>
      <w:r>
        <w:rPr>
          <w:rFonts w:hint="eastAsia" w:ascii="宋体" w:hAnsi="宋体" w:cs="宋体"/>
          <w:color w:val="auto"/>
          <w:kern w:val="0"/>
          <w:szCs w:val="21"/>
          <w:highlight w:val="none"/>
          <w:lang w:val="en-US" w:eastAsia="zh-CN"/>
        </w:rPr>
        <w:t>3款</w:t>
      </w:r>
      <w:r>
        <w:rPr>
          <w:rFonts w:hint="eastAsia" w:ascii="宋体" w:hAnsi="宋体" w:cs="宋体"/>
          <w:color w:val="auto"/>
          <w:kern w:val="0"/>
          <w:szCs w:val="21"/>
          <w:highlight w:val="none"/>
        </w:rPr>
        <w:t>规定调整销项税额的，综合单价价税合计对应调整。</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5、采购合同项下暂定采购数量对应的暂定总合同价税合计为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（大写人民币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r>
        <w:rPr>
          <w:rFonts w:hint="eastAsia" w:ascii="宋体" w:hAnsi="宋体" w:cs="宋体"/>
          <w:color w:val="auto"/>
          <w:kern w:val="0"/>
          <w:szCs w:val="21"/>
          <w:highlight w:val="none"/>
        </w:rPr>
        <w:t>6、在供货期内，按综合单价乘以实际供货数量加上实际增值税税额进行结算。</w:t>
      </w:r>
    </w:p>
    <w:p>
      <w:pPr>
        <w:autoSpaceDE w:val="0"/>
        <w:autoSpaceDN w:val="0"/>
        <w:adjustRightInd w:val="0"/>
        <w:spacing w:line="360" w:lineRule="auto"/>
        <w:ind w:firstLine="476" w:firstLineChars="227"/>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76" w:name="_Toc5327"/>
      <w:bookmarkStart w:id="377" w:name="_Toc10862"/>
      <w:bookmarkStart w:id="378" w:name="_Toc14105"/>
      <w:r>
        <w:rPr>
          <w:rFonts w:hint="eastAsia" w:ascii="宋体" w:hAnsi="宋体" w:cs="宋体"/>
          <w:b/>
          <w:color w:val="auto"/>
          <w:kern w:val="0"/>
          <w:szCs w:val="21"/>
          <w:highlight w:val="none"/>
        </w:rPr>
        <w:t>第三条 合同组成</w:t>
      </w:r>
      <w:bookmarkEnd w:id="376"/>
      <w:bookmarkEnd w:id="377"/>
      <w:bookmarkEnd w:id="378"/>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本合同正文约定为准。</w:t>
      </w:r>
    </w:p>
    <w:p>
      <w:pPr>
        <w:autoSpaceDE w:val="0"/>
        <w:autoSpaceDN w:val="0"/>
        <w:adjustRightInd w:val="0"/>
        <w:snapToGrid w:val="0"/>
        <w:spacing w:line="360" w:lineRule="auto"/>
        <w:ind w:firstLine="422" w:firstLineChars="200"/>
        <w:jc w:val="left"/>
        <w:rPr>
          <w:rFonts w:ascii="宋体" w:hAnsi="宋体" w:cs="宋体"/>
          <w:b/>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79" w:name="_Toc20059"/>
      <w:bookmarkStart w:id="380" w:name="_Toc4974"/>
      <w:bookmarkStart w:id="381" w:name="_Toc31212"/>
      <w:r>
        <w:rPr>
          <w:rFonts w:hint="eastAsia" w:ascii="宋体" w:hAnsi="宋体" w:cs="宋体"/>
          <w:b/>
          <w:color w:val="auto"/>
          <w:kern w:val="0"/>
          <w:szCs w:val="21"/>
          <w:highlight w:val="none"/>
        </w:rPr>
        <w:t>第四条 技术要求及质量要求</w:t>
      </w:r>
      <w:bookmarkEnd w:id="379"/>
      <w:bookmarkEnd w:id="380"/>
      <w:bookmarkEnd w:id="381"/>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pPr>
        <w:autoSpaceDE w:val="0"/>
        <w:autoSpaceDN w:val="0"/>
        <w:adjustRightInd w:val="0"/>
        <w:snapToGrid w:val="0"/>
        <w:spacing w:line="360" w:lineRule="auto"/>
        <w:ind w:firstLine="371" w:firstLineChars="177"/>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2、乙方保证所提供阳离子聚丙烯酰胺固体产品应符合《水处理剂 阳离子型聚丙烯酰胺的技术条件和试验方法》（GB/T 31246-2014）质量及检测标准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并且</w:t>
      </w:r>
      <w:r>
        <w:rPr>
          <w:rFonts w:hint="eastAsia"/>
          <w:color w:val="auto"/>
          <w:highlight w:val="none"/>
          <w:lang w:val="en-US" w:eastAsia="zh-CN"/>
        </w:rPr>
        <w:t>达到以下指标要求：</w:t>
      </w: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表1  阳离子聚丙烯酰胺主要技术指标</w:t>
      </w:r>
    </w:p>
    <w:tbl>
      <w:tblPr>
        <w:tblStyle w:val="39"/>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指标项目</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5" w:type="dxa"/>
            <w:shd w:val="clear" w:color="auto" w:fill="auto"/>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阳离子度，w/%</w:t>
            </w:r>
          </w:p>
        </w:tc>
        <w:tc>
          <w:tcPr>
            <w:tcW w:w="3382" w:type="dxa"/>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40%≥w≥5%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固含量，w1/%</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相对分子质量，M</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M≥100×10</w:t>
            </w:r>
            <w:r>
              <w:rPr>
                <w:rFonts w:hint="eastAsia" w:ascii="宋体" w:hAnsi="宋体" w:cs="宋体"/>
                <w:color w:val="auto"/>
                <w:szCs w:val="21"/>
                <w:highlight w:val="none"/>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丙烯酰胺单体含量（干基），w</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溶解时间（1g/L），t/min</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水不溶物，w</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筛余物（1.4mm筛网），w4/%</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4</w:t>
            </w: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筛余物（180μm筛网），w5/%</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5</w:t>
            </w:r>
            <w:r>
              <w:rPr>
                <w:rFonts w:hint="eastAsia" w:ascii="宋体" w:hAnsi="宋体" w:cs="宋体"/>
                <w:color w:val="auto"/>
                <w:szCs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硫酸盐（SO4）含量，w</w:t>
            </w:r>
            <w:r>
              <w:rPr>
                <w:rFonts w:hint="eastAsia" w:ascii="宋体" w:hAnsi="宋体" w:cs="宋体"/>
                <w:color w:val="auto"/>
                <w:szCs w:val="21"/>
                <w:highlight w:val="none"/>
                <w:vertAlign w:val="subscript"/>
              </w:rPr>
              <w:t>6</w:t>
            </w:r>
            <w:r>
              <w:rPr>
                <w:rFonts w:hint="eastAsia" w:ascii="宋体" w:hAnsi="宋体" w:cs="宋体"/>
                <w:color w:val="auto"/>
                <w:szCs w:val="21"/>
                <w:highlight w:val="none"/>
              </w:rPr>
              <w:t>/（g/g)</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6</w:t>
            </w:r>
            <w:r>
              <w:rPr>
                <w:rFonts w:hint="eastAsia" w:ascii="宋体" w:hAnsi="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5" w:type="dxa"/>
            <w:vAlign w:val="center"/>
          </w:tcPr>
          <w:p>
            <w:pPr>
              <w:spacing w:line="360" w:lineRule="auto"/>
              <w:ind w:right="420"/>
              <w:jc w:val="center"/>
              <w:rPr>
                <w:rFonts w:ascii="宋体" w:hAnsi="宋体" w:cs="宋体"/>
                <w:color w:val="auto"/>
                <w:szCs w:val="21"/>
                <w:highlight w:val="none"/>
              </w:rPr>
            </w:pPr>
            <w:r>
              <w:rPr>
                <w:rFonts w:hint="eastAsia" w:ascii="宋体" w:hAnsi="宋体" w:cs="宋体"/>
                <w:color w:val="auto"/>
                <w:szCs w:val="21"/>
                <w:highlight w:val="none"/>
              </w:rPr>
              <w:t>氯化物（Cl）含量，w</w:t>
            </w:r>
            <w:r>
              <w:rPr>
                <w:rFonts w:hint="eastAsia" w:ascii="宋体" w:hAnsi="宋体" w:cs="宋体"/>
                <w:color w:val="auto"/>
                <w:szCs w:val="21"/>
                <w:highlight w:val="none"/>
                <w:vertAlign w:val="subscript"/>
              </w:rPr>
              <w:t>7</w:t>
            </w:r>
            <w:r>
              <w:rPr>
                <w:rFonts w:hint="eastAsia" w:ascii="宋体" w:hAnsi="宋体" w:cs="宋体"/>
                <w:color w:val="auto"/>
                <w:szCs w:val="21"/>
                <w:highlight w:val="none"/>
              </w:rPr>
              <w:t>/（g/g）</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w:t>
            </w:r>
            <w:r>
              <w:rPr>
                <w:rFonts w:hint="eastAsia" w:ascii="宋体" w:hAnsi="宋体" w:cs="宋体"/>
                <w:color w:val="auto"/>
                <w:szCs w:val="21"/>
                <w:highlight w:val="none"/>
                <w:vertAlign w:val="subscript"/>
              </w:rPr>
              <w:t>7</w:t>
            </w:r>
            <w:r>
              <w:rPr>
                <w:rFonts w:hint="eastAsia" w:ascii="宋体" w:hAnsi="宋体" w:cs="宋体"/>
                <w:color w:val="auto"/>
                <w:szCs w:val="21"/>
                <w:highlight w:val="none"/>
              </w:rPr>
              <w:t>≤0.05</w:t>
            </w:r>
          </w:p>
        </w:tc>
      </w:tr>
    </w:tbl>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hAnsi="宋体"/>
          <w:color w:val="auto"/>
          <w:szCs w:val="21"/>
          <w:highlight w:val="none"/>
        </w:rPr>
        <w:t>供货期间，如有发布最新的行业标准或国家标准，甲方有权根据项目实际情况及有关行业标准或国家标准对合同的主要技术指标进行变更调整，乙方应无条件接受</w:t>
      </w:r>
      <w:r>
        <w:rPr>
          <w:rFonts w:hint="eastAsia" w:ascii="宋体" w:hAnsi="宋体" w:cs="宋体"/>
          <w:color w:val="auto"/>
          <w:kern w:val="0"/>
          <w:szCs w:val="21"/>
          <w:highlight w:val="none"/>
        </w:rPr>
        <w:t>。</w:t>
      </w: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4、乙方须提供每批次出厂</w:t>
      </w:r>
      <w:r>
        <w:rPr>
          <w:rFonts w:ascii="宋体" w:hAnsi="宋体" w:cs="宋体"/>
          <w:color w:val="auto"/>
          <w:szCs w:val="21"/>
          <w:highlight w:val="none"/>
        </w:rPr>
        <w:t>的</w:t>
      </w:r>
      <w:r>
        <w:rPr>
          <w:rFonts w:hint="eastAsia" w:ascii="宋体" w:hAnsi="宋体" w:cs="宋体"/>
          <w:color w:val="auto"/>
          <w:kern w:val="0"/>
          <w:szCs w:val="21"/>
          <w:highlight w:val="none"/>
        </w:rPr>
        <w:t>检验报告，该检验报告应随供货单据一并提交。</w:t>
      </w: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乙方有义务配合甲方及其关联方污泥减量化运营项目主体就污泥减量化运营项目进行货物的小试、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乙方配合甲方对各污泥减量化运营项目的货物进行小试、中试，提供小试、中试生产药剂，做好货物的成分配比等服务，乙方完成本项义务的相关费用已包含在已供货的货物的综合单价内，甲方无需另行支付其他费用。</w:t>
      </w:r>
    </w:p>
    <w:p>
      <w:pPr>
        <w:spacing w:line="360" w:lineRule="auto"/>
        <w:ind w:firstLine="422" w:firstLineChars="200"/>
        <w:jc w:val="left"/>
        <w:rPr>
          <w:rFonts w:ascii="宋体" w:hAnsi="宋体" w:cs="宋体"/>
          <w:b/>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82" w:name="_Toc63"/>
      <w:bookmarkStart w:id="383" w:name="_Toc11517"/>
      <w:bookmarkStart w:id="384" w:name="_Toc28301"/>
      <w:r>
        <w:rPr>
          <w:rFonts w:hint="eastAsia" w:ascii="宋体" w:hAnsi="宋体" w:cs="宋体"/>
          <w:b/>
          <w:color w:val="auto"/>
          <w:kern w:val="0"/>
          <w:szCs w:val="21"/>
          <w:highlight w:val="none"/>
        </w:rPr>
        <w:t xml:space="preserve">第五条 </w:t>
      </w:r>
      <w:r>
        <w:rPr>
          <w:rFonts w:hint="eastAsia" w:ascii="宋体" w:hAnsi="宋体" w:cs="宋体"/>
          <w:b/>
          <w:bCs/>
          <w:color w:val="auto"/>
          <w:kern w:val="0"/>
          <w:szCs w:val="21"/>
          <w:highlight w:val="none"/>
        </w:rPr>
        <w:t>包装及运输要求</w:t>
      </w:r>
      <w:bookmarkEnd w:id="382"/>
      <w:bookmarkEnd w:id="383"/>
      <w:bookmarkEnd w:id="384"/>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阳离子聚丙烯酰胺固体产品采用双层包装袋包装,包装上应涂刷牢固的标志，内容包括：生产厂名、产品名称、商标、批号或生产日期、净质量、厂址及GB/T 191规定的“怕热”和“怕湿”标志。运输过程</w:t>
      </w:r>
      <w:r>
        <w:rPr>
          <w:rFonts w:hint="eastAsia" w:ascii="宋体" w:hAnsi="宋体" w:cs="宋体"/>
          <w:color w:val="auto"/>
          <w:szCs w:val="21"/>
          <w:highlight w:val="none"/>
        </w:rPr>
        <w:t>严防雨淋、曝晒</w:t>
      </w:r>
      <w:r>
        <w:rPr>
          <w:rFonts w:hint="eastAsia" w:ascii="宋体" w:hAnsi="宋体" w:cs="宋体"/>
          <w:color w:val="auto"/>
          <w:kern w:val="0"/>
          <w:szCs w:val="21"/>
          <w:highlight w:val="none"/>
        </w:rPr>
        <w:t>。其余包装及运输要求需符合《水处理剂 阳离子型聚丙烯酰胺的技术条件和试验方法》（GB/T 31246-2014）中所列标准，包装及运输按发布的最新国家标准执行。</w:t>
      </w:r>
    </w:p>
    <w:p>
      <w:pPr>
        <w:autoSpaceDE w:val="0"/>
        <w:autoSpaceDN w:val="0"/>
        <w:adjustRightInd w:val="0"/>
        <w:snapToGrid w:val="0"/>
        <w:spacing w:line="360" w:lineRule="auto"/>
        <w:ind w:firstLine="373" w:firstLineChars="177"/>
        <w:jc w:val="left"/>
        <w:rPr>
          <w:rFonts w:ascii="宋体" w:hAnsi="宋体" w:cs="宋体"/>
          <w:b/>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85" w:name="_Toc18387"/>
      <w:bookmarkStart w:id="386" w:name="_Toc31705"/>
      <w:bookmarkStart w:id="387" w:name="_Toc19938"/>
      <w:r>
        <w:rPr>
          <w:rFonts w:hint="eastAsia" w:ascii="宋体" w:hAnsi="宋体" w:cs="宋体"/>
          <w:b/>
          <w:color w:val="auto"/>
          <w:kern w:val="0"/>
          <w:szCs w:val="21"/>
          <w:highlight w:val="none"/>
        </w:rPr>
        <w:t>第六条 货物的交付</w:t>
      </w:r>
      <w:bookmarkEnd w:id="385"/>
      <w:bookmarkEnd w:id="386"/>
      <w:bookmarkEnd w:id="387"/>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1、交货地点及起送量：甲方所属的在东莞市范围内的</w:t>
      </w:r>
      <w:r>
        <w:rPr>
          <w:rFonts w:hint="eastAsia" w:ascii="宋体" w:hAnsi="宋体" w:cs="宋体"/>
          <w:color w:val="auto"/>
          <w:kern w:val="0"/>
          <w:szCs w:val="21"/>
          <w:highlight w:val="none"/>
          <w:lang w:val="en-US" w:eastAsia="zh-CN"/>
        </w:rPr>
        <w:t>各个</w:t>
      </w:r>
      <w:r>
        <w:rPr>
          <w:rFonts w:hint="eastAsia" w:ascii="宋体" w:hAnsi="宋体" w:cs="宋体"/>
          <w:color w:val="auto"/>
          <w:kern w:val="0"/>
          <w:szCs w:val="21"/>
          <w:highlight w:val="none"/>
        </w:rPr>
        <w:t>污泥减量化运营项目</w:t>
      </w:r>
      <w:r>
        <w:rPr>
          <w:rFonts w:hint="eastAsia" w:ascii="宋体" w:hAnsi="宋体" w:cs="宋体"/>
          <w:color w:val="auto"/>
          <w:kern w:val="0"/>
          <w:szCs w:val="21"/>
          <w:highlight w:val="none"/>
          <w:lang w:val="en-US" w:eastAsia="zh-CN"/>
        </w:rPr>
        <w:t>现场</w:t>
      </w:r>
      <w:r>
        <w:rPr>
          <w:rFonts w:hint="eastAsia" w:ascii="宋体" w:hAnsi="宋体" w:cs="宋体"/>
          <w:color w:val="auto"/>
          <w:kern w:val="0"/>
          <w:szCs w:val="21"/>
          <w:highlight w:val="none"/>
        </w:rPr>
        <w:t>，起送量1吨。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2、乙方按甲方发出的供货通知进行供货。乙方接到甲方的供货通知后必须在2天内将阳离子聚丙烯酰胺送达交货地点。如甲方要求加急供货，乙方应在1天内将阳离子聚丙烯酰胺送达。</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乙方自行负责将阳离子聚丙烯酰胺运送至各运营项目指定位置，并承担相应的运输、装卸等费用，运输人员应配备足够防护器具。如在运输及装卸过程中，产品发生泄漏，应由乙方负责清理收集，避免造成人员伤害或环境污染。</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4、每送货批次，乙方需提供交货地点附近的电子地磅的称重单（含载货时的称重数量和卸货后的称重数量），相关费用由乙方承担。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货期间，未收到甲方正式通知前，乙方无需为合同履行做准备工作。否则当甲方根据项目实际情况及有关法律法规、政策的规定对采购范围进行变更调整、或改变供货频率、或改变供货数量等，造成乙方已产生的产品过剩、过质保期无效等，甲方无需承担任何责任和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6、乙方提供的产品如不能通过甲方验收的，乙方应该按照甲方要求无条件予以退换货，并承担相应责任和费用。</w:t>
      </w:r>
    </w:p>
    <w:p>
      <w:pPr>
        <w:autoSpaceDE w:val="0"/>
        <w:autoSpaceDN w:val="0"/>
        <w:adjustRightInd w:val="0"/>
        <w:spacing w:line="360" w:lineRule="auto"/>
        <w:jc w:val="left"/>
        <w:rPr>
          <w:rFonts w:ascii="宋体" w:hAnsi="宋体" w:cs="宋体"/>
          <w:bCs/>
          <w:color w:val="auto"/>
          <w:kern w:val="0"/>
          <w:sz w:val="24"/>
          <w:szCs w:val="24"/>
          <w:highlight w:val="none"/>
        </w:rPr>
      </w:pPr>
    </w:p>
    <w:p>
      <w:pPr>
        <w:autoSpaceDE w:val="0"/>
        <w:autoSpaceDN w:val="0"/>
        <w:adjustRightInd w:val="0"/>
        <w:snapToGrid w:val="0"/>
        <w:spacing w:line="360" w:lineRule="auto"/>
        <w:ind w:firstLine="422" w:firstLineChars="200"/>
        <w:jc w:val="left"/>
        <w:outlineLvl w:val="0"/>
        <w:rPr>
          <w:rFonts w:ascii="宋体" w:hAnsi="宋体" w:cs="宋体"/>
          <w:b/>
          <w:color w:val="auto"/>
          <w:kern w:val="0"/>
          <w:szCs w:val="21"/>
          <w:highlight w:val="none"/>
        </w:rPr>
      </w:pPr>
      <w:bookmarkStart w:id="388" w:name="_Toc19637"/>
      <w:bookmarkStart w:id="389" w:name="_Toc12557"/>
      <w:bookmarkStart w:id="390" w:name="_Toc15570"/>
      <w:r>
        <w:rPr>
          <w:rFonts w:hint="eastAsia" w:ascii="宋体" w:hAnsi="宋体" w:cs="宋体"/>
          <w:b/>
          <w:color w:val="auto"/>
          <w:kern w:val="0"/>
          <w:szCs w:val="21"/>
          <w:highlight w:val="none"/>
        </w:rPr>
        <w:t>第七条 储存</w:t>
      </w:r>
      <w:bookmarkEnd w:id="388"/>
      <w:bookmarkEnd w:id="389"/>
      <w:bookmarkEnd w:id="390"/>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1、乙方应协助和指导甲方进行货物的储存，对甲方的储存方式、方法、储存数量、仓库的安全设施设备、安全生产规章制度等是否符合国家标准或者国家有关规定提出合理的建议，并进行技术指导。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2、对产品的贮存装置、贮存条件等要求，乙方应详细告知甲方。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91" w:name="_Toc24138"/>
      <w:bookmarkStart w:id="392" w:name="_Toc23072"/>
      <w:bookmarkStart w:id="393" w:name="_Toc9001"/>
      <w:r>
        <w:rPr>
          <w:rFonts w:hint="eastAsia" w:ascii="宋体" w:hAnsi="宋体" w:cs="宋体"/>
          <w:b/>
          <w:color w:val="auto"/>
          <w:kern w:val="0"/>
          <w:szCs w:val="21"/>
          <w:highlight w:val="none"/>
        </w:rPr>
        <w:t>第八条 验收</w:t>
      </w:r>
      <w:bookmarkEnd w:id="391"/>
      <w:bookmarkEnd w:id="392"/>
      <w:bookmarkEnd w:id="393"/>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验收分为货到交货地点的初步验收和货物检验合格后的最终验收。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（1）初步验收：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货物运抵交货地点，甲方运营项目与乙方共同验货。甲方运营项目按照本项目合同及招标文件，对货物的数量、品种、随车产品出厂质量检验报告、供货单据等进行核对。</w:t>
      </w:r>
    </w:p>
    <w:p>
      <w:pPr>
        <w:pStyle w:val="46"/>
        <w:spacing w:line="360" w:lineRule="auto"/>
        <w:ind w:firstLine="420"/>
        <w:rPr>
          <w:rFonts w:ascii="宋体" w:hAnsi="宋体" w:cs="宋体"/>
          <w:color w:val="auto"/>
          <w:szCs w:val="21"/>
          <w:highlight w:val="none"/>
          <w:lang w:val="en-US"/>
        </w:rPr>
      </w:pPr>
      <w:r>
        <w:rPr>
          <w:rFonts w:hint="eastAsia" w:ascii="宋体" w:hAnsi="宋体" w:cs="宋体"/>
          <w:color w:val="auto"/>
          <w:szCs w:val="21"/>
          <w:highlight w:val="none"/>
          <w:lang w:val="en-US"/>
        </w:rPr>
        <w:t>初步验收合格后甲方运营项目、乙方双方进行相关签收手续。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（2）最终验收</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①甲方运营项目对每次供货货物检验，批检检验指标包含阳离子度和固含量。其余指标为按需检验指标，甲方根据需要抽检，货物批检检验指标和按需检验指标由甲方关于药剂的管理制度及要求适时调整。每次货到现场时可由双方共同取样，供货货物合格判定以甲方委托的实验室检验结果为准。货物</w:t>
      </w:r>
      <w:r>
        <w:rPr>
          <w:rFonts w:hint="eastAsia" w:ascii="宋体" w:hAnsi="宋体" w:cs="宋体"/>
          <w:color w:val="auto"/>
          <w:kern w:val="0"/>
          <w:szCs w:val="21"/>
          <w:highlight w:val="none"/>
        </w:rPr>
        <w:t>检测</w:t>
      </w:r>
      <w:r>
        <w:rPr>
          <w:rFonts w:hint="eastAsia" w:ascii="宋体" w:hAnsi="宋体" w:cs="宋体"/>
          <w:color w:val="auto"/>
          <w:kern w:val="0"/>
          <w:szCs w:val="21"/>
          <w:highlight w:val="none"/>
          <w:lang w:val="en-US" w:eastAsia="zh-CN"/>
        </w:rPr>
        <w:t>时</w:t>
      </w:r>
      <w:r>
        <w:rPr>
          <w:rFonts w:hint="eastAsia" w:ascii="宋体" w:hAnsi="宋体" w:cs="宋体"/>
          <w:color w:val="auto"/>
          <w:kern w:val="0"/>
          <w:szCs w:val="21"/>
          <w:highlight w:val="none"/>
        </w:rPr>
        <w:t>，可由双方</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rPr>
        <w:t>货到现场时共同取样，并在自取样之时起7个工作日内出具检验结果。若发现检验不合格，或因不合格影响生产效果，乙方应按甲方要求对该批次供货量进行无条件退换，并承担该批货退换的一切费用，且保证不影响甲方正常生产的前提下及时按甲方的供货需求以加急供货的方式补充供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若乙方对甲方的检测结果有异议，在保证甲方正常生产的前提下，</w:t>
      </w:r>
      <w:r>
        <w:rPr>
          <w:rFonts w:hint="eastAsia" w:ascii="宋体" w:hAnsi="宋体" w:cs="宋体"/>
          <w:color w:val="auto"/>
          <w:szCs w:val="21"/>
          <w:highlight w:val="none"/>
        </w:rPr>
        <w:t>在检测结果出具</w:t>
      </w:r>
      <w:r>
        <w:rPr>
          <w:rFonts w:hint="eastAsia" w:ascii="宋体" w:hAnsi="宋体" w:cs="宋体"/>
          <w:color w:val="auto"/>
          <w:kern w:val="0"/>
          <w:szCs w:val="21"/>
          <w:highlight w:val="none"/>
        </w:rPr>
        <w:t>后2个工作日内，可通过双方确认的甲方所在地第三方有检测产品CMA认证资质的单位对货物进行检测，经确认此批次货物质量不符合合同约定的，此批次货物</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检测费用由乙方支付；若检测结果认定为不存在质量问题的，此批次货物</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检测费用由甲方</w:t>
      </w:r>
      <w:r>
        <w:rPr>
          <w:rFonts w:hint="eastAsia" w:ascii="宋体" w:hAnsi="宋体" w:cs="宋体"/>
          <w:color w:val="auto"/>
          <w:kern w:val="0"/>
          <w:szCs w:val="21"/>
          <w:highlight w:val="none"/>
          <w:lang w:val="en-US" w:eastAsia="zh-CN"/>
        </w:rPr>
        <w:t>承担</w:t>
      </w:r>
      <w:r>
        <w:rPr>
          <w:rFonts w:hint="eastAsia" w:ascii="宋体" w:hAnsi="宋体" w:cs="宋体"/>
          <w:color w:val="auto"/>
          <w:kern w:val="0"/>
          <w:szCs w:val="21"/>
          <w:highlight w:val="none"/>
        </w:rPr>
        <w:t>。以上不合格情况出现3次以上，甲方将有权单方面中止或解除合同，并追究因为使用乙方所提供的未达到所承诺质量标准产品而产生的所有损失和责任。</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②货物检验方法，按《水处理剂 阳离子型聚丙烯酰胺的技术条件和试验方法》（GB /T 31246-2014）中的检测方法进行。供货期间，如有发布最新的行业标准或国家标准，货物检验方法按发布的最新行业标准或国家标准执行。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2、货物按上述程序验收后，甲方向乙方出具书面的验收报告，乙方需对验收报告盖章确认。验收报告作为对货物供货数量及主要技术指标验收的证明，不代表对货物使用效果的认可。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3、甲方运营项目根据本条规定对货物所做出的验收，仅作为起算付款及质保期之用，不视为双方对于货物质量的最终认可，乙方仍应在质保期内对产品质量承担保证责任。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货物在经最终验收合格前，其损耗、毁损、灭失等风险及责任由乙方承担，如因发生前述情形，导致乙方所提供的货物不能通过甲方运营项目验收的，乙方应按甲方运营项目要求无条件予以退换货，给甲方造成损失的，乙方须承担全部的赔偿责任。</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乙方交货时应随货提供每批次出厂检验报告、磅单及供货随车单（送货单）等资料，甲方现场验收确认，但货物使用过程中因乙方货物影响生产效果的，乙方仍应承担相应的违约责任。乙方负责技术文档的归纳、整理、提交，并按甲方要求提供完整的技术资料。</w:t>
      </w:r>
    </w:p>
    <w:p>
      <w:pPr>
        <w:widowControl/>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94" w:name="_Toc4312"/>
      <w:bookmarkStart w:id="395" w:name="_Toc6513"/>
      <w:bookmarkStart w:id="396" w:name="_Toc2273"/>
      <w:r>
        <w:rPr>
          <w:rFonts w:hint="eastAsia" w:ascii="宋体" w:hAnsi="宋体" w:cs="宋体"/>
          <w:b/>
          <w:color w:val="auto"/>
          <w:kern w:val="0"/>
          <w:szCs w:val="21"/>
          <w:highlight w:val="none"/>
        </w:rPr>
        <w:t>第九条 权利保证</w:t>
      </w:r>
      <w:bookmarkEnd w:id="394"/>
      <w:bookmarkEnd w:id="395"/>
      <w:bookmarkEnd w:id="396"/>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诉讼费、律师费、公证费、执行费、差旅费等）。</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397" w:name="_Toc25366"/>
      <w:bookmarkStart w:id="398" w:name="_Toc14069"/>
      <w:bookmarkStart w:id="399" w:name="_Toc30267"/>
      <w:r>
        <w:rPr>
          <w:rFonts w:hint="eastAsia" w:ascii="宋体" w:hAnsi="宋体" w:cs="宋体"/>
          <w:b/>
          <w:color w:val="auto"/>
          <w:kern w:val="0"/>
          <w:szCs w:val="21"/>
          <w:highlight w:val="none"/>
        </w:rPr>
        <w:t>第十条 质量保证及售后服务</w:t>
      </w:r>
      <w:bookmarkEnd w:id="397"/>
      <w:bookmarkEnd w:id="398"/>
      <w:bookmarkEnd w:id="399"/>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1、乙方应以书面形式提供货物的质量保障承诺，该等承诺不应低于本合同约定的标准。</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2、质保期：以货到现场之日起</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3、乙方应具有相应的技术人员，具备供货及售前售后的服务能力。</w:t>
      </w:r>
      <w:r>
        <w:rPr>
          <w:rFonts w:hint="eastAsia" w:ascii="宋体" w:hAnsi="宋体" w:cs="宋体"/>
          <w:color w:val="auto"/>
          <w:kern w:val="0"/>
          <w:szCs w:val="21"/>
          <w:highlight w:val="none"/>
          <w:lang w:eastAsia="zh-Hans"/>
        </w:rPr>
        <w:t>乙方应</w:t>
      </w:r>
      <w:r>
        <w:rPr>
          <w:rFonts w:hint="eastAsia" w:ascii="宋体" w:hAnsi="宋体" w:cs="宋体"/>
          <w:color w:val="auto"/>
          <w:kern w:val="0"/>
          <w:szCs w:val="21"/>
          <w:highlight w:val="none"/>
        </w:rPr>
        <w:t>在接到质量问题通知后</w:t>
      </w:r>
      <w:r>
        <w:rPr>
          <w:rFonts w:hint="eastAsia" w:ascii="宋体" w:hAnsi="宋体" w:cs="宋体"/>
          <w:color w:val="auto"/>
          <w:kern w:val="0"/>
          <w:szCs w:val="21"/>
          <w:highlight w:val="none"/>
          <w:u w:val="single"/>
        </w:rPr>
        <w:t>24</w:t>
      </w:r>
      <w:r>
        <w:rPr>
          <w:rFonts w:hint="eastAsia" w:ascii="宋体" w:hAnsi="宋体" w:cs="宋体"/>
          <w:color w:val="auto"/>
          <w:kern w:val="0"/>
          <w:szCs w:val="21"/>
          <w:highlight w:val="none"/>
        </w:rPr>
        <w:t>小时内到达现场对问题进行处理，且不得另行收取任何费用。</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在交货或合同履行过程中，若因货物检测不合格、或货物使用过程中出现质量问题，该批次供货退还乙方，并由乙方承担因此造成的一切损失的赔偿。若自甲方通知货物不合格之时起24个小时之内未将不合格货物运离甲方储存点的，甲方可自行或委托第三方对不合格货物进行处置，除该批货物无需支付任何货款外，乙方还必须承担甲方处置该批不合格货物所需的全部费用，以及给甲方造成的一切损失。</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5、自甲方通知货物不合格之时起，乙方必须按照加急供货的规定，将等量的合格货物送交甲方，否则按加急供货的违约规定进行处理。</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6、乙方应负责对甲方的试验人员、操作人员免费进行培训。</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00" w:name="_Toc30240"/>
      <w:bookmarkStart w:id="401" w:name="_Toc21170"/>
      <w:bookmarkStart w:id="402" w:name="_Toc2510"/>
      <w:r>
        <w:rPr>
          <w:rFonts w:hint="eastAsia" w:ascii="宋体" w:hAnsi="宋体" w:cs="宋体"/>
          <w:b/>
          <w:color w:val="auto"/>
          <w:kern w:val="0"/>
          <w:szCs w:val="21"/>
          <w:highlight w:val="none"/>
        </w:rPr>
        <w:t>第十一条 履约担保</w:t>
      </w:r>
      <w:bookmarkEnd w:id="400"/>
      <w:bookmarkEnd w:id="401"/>
      <w:bookmarkEnd w:id="402"/>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1、乙方应当根据招标文件的规定在签订本合同前向甲方提供履约担保，履约担保形式及金额由乙方从以下方式中任选一种：</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履约保证金（银行转账形式）金额为人民币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银行不可撤销履约保函金额为</w:t>
      </w:r>
      <w:r>
        <w:rPr>
          <w:rFonts w:hint="eastAsia" w:ascii="宋体" w:hAnsi="宋体" w:cs="宋体"/>
          <w:color w:val="auto"/>
          <w:kern w:val="0"/>
          <w:szCs w:val="21"/>
          <w:highlight w:val="none"/>
          <w:u w:val="single"/>
          <w:lang w:val="zh-CN"/>
        </w:rPr>
        <w:t>人民币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u w:val="single"/>
          <w:lang w:val="zh-CN"/>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履约保证保险金额为</w:t>
      </w:r>
      <w:r>
        <w:rPr>
          <w:rFonts w:hint="eastAsia" w:ascii="宋体" w:hAnsi="宋体" w:cs="宋体"/>
          <w:color w:val="auto"/>
          <w:kern w:val="0"/>
          <w:szCs w:val="21"/>
          <w:highlight w:val="none"/>
          <w:u w:val="single"/>
          <w:lang w:val="zh-CN"/>
        </w:rPr>
        <w:t>人民币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担保公司履约担保书金额为人民币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2、履约担保用于补偿甲方因乙方不能完全履行其合同义务而蒙受的损失，如发生下列任一情况时，甲方除有权依合同追究乙方违约责任外，还有权提取履约担保并进行相应处理：</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乙方将本合同项下乙方的权利义务全部转让给第三方，或未经甲方书面同意，乙方将本合同部分权利义务分包给第三方，甲方有权没收其履约担保</w:t>
      </w:r>
      <w:r>
        <w:rPr>
          <w:rFonts w:hint="eastAsia" w:ascii="宋体" w:hAnsi="宋体" w:cs="宋体"/>
          <w:color w:val="auto"/>
          <w:kern w:val="0"/>
          <w:szCs w:val="21"/>
          <w:highlight w:val="none"/>
          <w:lang w:val="zh-CN"/>
        </w:rPr>
        <w:t>。</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（2）在合同履行期间，乙方怠于履行合同义务，经甲方通知或要求承担违约金后仍拒不改正，甲方有权没收或适当扣除其履约担保。</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3）在合同履行期间，因乙方货物、服务质量问题造成损害、侵权损失（包括但不限于甲方（含其人员）经济损失、乙方所雇人员及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在合同履行期间</w:t>
      </w:r>
      <w:r>
        <w:rPr>
          <w:rFonts w:hint="eastAsia" w:ascii="宋体" w:hAnsi="宋体" w:cs="宋体"/>
          <w:color w:val="auto"/>
          <w:kern w:val="0"/>
          <w:szCs w:val="21"/>
          <w:highlight w:val="none"/>
        </w:rPr>
        <w:t>，乙方违约产生的违约金、赔偿、罚款或其他应付费用等项，甲方有权直接从未付货款中扣除或使用履约担保予以支付。</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（5）合同期内，乙方不能及时完成合同某项义务的，甲方有权使用履约担保用于处理该项工作。</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（6）其他根据本合同约定或法律规定，甲方可使用履约担保的情形。</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3、在乙方完成本合同下全部义务，且在合同期限届满并完成全部供货及相关服务义务后二十八（28）日内，甲方将履约担保余额无息退还乙方。</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4、如乙方提供银行不可撤销履约保函（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或担保公司履约担保书）作为履约担保的，银行不可撤销履约保函（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或担保公司履约担保书）应从合同签订之日起至合同期限届满并完成全部供货及相关服务义务后二十八（28）日内保持有效。如银行不可撤销履约保函（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或担保公司履约担保书）在规定有效期届满而货物尚未全部最终验收合格的，乙方必须在银行不可撤销履约保函（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或担保公司履约担保书）到期15日前无条件办理办妥符合甲方要求的延期手续或重新提供银行不可撤销履约保函（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或担保公司履约担保书）；否则视为乙方违约，甲方有权在银行不可撤销履约保函（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或担保公司履约担保书）到期前向出具履约担保的机构提取履约担保。在银行不可撤销履约保函（</w:t>
      </w:r>
      <w:r>
        <w:rPr>
          <w:rFonts w:hint="eastAsia" w:ascii="宋体" w:hAnsi="宋体" w:cs="宋体"/>
          <w:color w:val="auto"/>
          <w:szCs w:val="21"/>
          <w:highlight w:val="none"/>
        </w:rPr>
        <w:t>或履约保证保险，</w:t>
      </w:r>
      <w:r>
        <w:rPr>
          <w:rFonts w:hint="eastAsia" w:ascii="宋体" w:hAnsi="宋体" w:cs="宋体"/>
          <w:color w:val="auto"/>
          <w:kern w:val="0"/>
          <w:szCs w:val="21"/>
          <w:highlight w:val="none"/>
        </w:rPr>
        <w:t>或担保公司履约担保书）到期后乙方未按甲方要求重新提供的，甲方有权要求乙方以履约担保金额为限承担违约金。</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autoSpaceDE w:val="0"/>
        <w:autoSpaceDN w:val="0"/>
        <w:adjustRightInd w:val="0"/>
        <w:snapToGrid w:val="0"/>
        <w:spacing w:line="360" w:lineRule="auto"/>
        <w:ind w:firstLine="373" w:firstLineChars="177"/>
        <w:jc w:val="left"/>
        <w:rPr>
          <w:rFonts w:ascii="宋体" w:hAnsi="宋体" w:cs="宋体"/>
          <w:b/>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03" w:name="_Toc27617"/>
      <w:bookmarkStart w:id="404" w:name="_Toc641"/>
      <w:bookmarkStart w:id="405" w:name="_Toc16439"/>
      <w:r>
        <w:rPr>
          <w:rFonts w:hint="eastAsia" w:ascii="宋体" w:hAnsi="宋体" w:cs="宋体"/>
          <w:b/>
          <w:color w:val="auto"/>
          <w:kern w:val="0"/>
          <w:szCs w:val="21"/>
          <w:highlight w:val="none"/>
        </w:rPr>
        <w:t>第十二条 付款方式</w:t>
      </w:r>
      <w:bookmarkEnd w:id="403"/>
      <w:bookmarkEnd w:id="404"/>
      <w:bookmarkEnd w:id="405"/>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双方一致同意，在乙方按合同约定提供履约担保后，甲方通过以下方式以人民币支付合同款项给乙方：</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合同履约过程中，乙方根据本合同约定需向甲方支付违约金、赔偿金、或其他应付费用等款项的，甲方有权要求乙方向甲方支付完前述款项后，甲方才根据本合同向乙方支付合同价和税额，由此造成付款迟延的，甲方不承担任何违约责任；同时，甲方有权使用履约担保或直接从未付合同款项、</w:t>
      </w:r>
      <w:r>
        <w:rPr>
          <w:rFonts w:hint="eastAsia" w:ascii="宋体" w:hAnsi="宋体" w:cs="宋体"/>
          <w:color w:val="auto"/>
          <w:kern w:val="0"/>
          <w:szCs w:val="21"/>
          <w:highlight w:val="none"/>
          <w:lang w:eastAsia="zh-Hans"/>
        </w:rPr>
        <w:t>履约</w:t>
      </w:r>
      <w:r>
        <w:rPr>
          <w:rFonts w:hint="eastAsia" w:ascii="宋体" w:hAnsi="宋体" w:cs="宋体"/>
          <w:color w:val="auto"/>
          <w:kern w:val="0"/>
          <w:szCs w:val="21"/>
          <w:highlight w:val="none"/>
        </w:rPr>
        <w:t>担保中直接扣除，且乙方必须按照扣除前述费用前的合同价（销售额）开具增值税专用发票[或不含税价等额的增值税普通发票（免税普通发票）]，保证增值税税额符合法律规定。</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2、供货款项按月支付，甲乙双方每月15日办理支付上月实际供货量的结算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如遇节假日或周末</w:t>
      </w:r>
      <w:r>
        <w:rPr>
          <w:rFonts w:hint="eastAsia" w:ascii="宋体" w:hAnsi="宋体" w:cs="宋体"/>
          <w:color w:val="auto"/>
          <w:kern w:val="0"/>
          <w:szCs w:val="21"/>
          <w:highlight w:val="none"/>
          <w:lang w:val="en-US" w:eastAsia="zh-CN"/>
        </w:rPr>
        <w:t>可</w:t>
      </w:r>
      <w:r>
        <w:rPr>
          <w:rFonts w:hint="eastAsia" w:ascii="宋体" w:hAnsi="宋体" w:cs="宋体"/>
          <w:color w:val="auto"/>
          <w:kern w:val="0"/>
          <w:szCs w:val="21"/>
          <w:highlight w:val="none"/>
        </w:rPr>
        <w:t>顺延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实际供货量按电子地磅的称重单计算的阳离子聚丙烯酰胺净重为准，如乙方供应的货物全部经甲方验收合格且乙方无违反本合同约定的行为，则按照实际供货量及本合同约定的综合单价结算；如部分货物验收不合格或乙方存在其他违约行为的，则根据实际经甲方验收合格的供货量以及本合同约定的综合单价并扣除相应违约金后进行结算。双方完成结算后，乙方应向甲方提交请款报告、供货台账、等额的合法、有效的增值税专用发票，甲方在收到前述材料并确认无误后30个工作日内，向乙方支付上月实际经验收合格的供货量的货款及对应的税额。</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3、乙方迟延提供请款资料、发票或提供的请款资料、发票不符合要求的，甲方的付款时间可相应顺延，且甲方不因此承担任何责任。因支付产生的相关银行手续费用，根据有关银行规定执行，如不能明确的，由乙方承担。由于乙方提供的发票不符合税法规定，给甲方造成的损失由乙方承担全部的赔偿责任。</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4、甲方每月在付款手续前对乙方的履约情况进行评价，填写《供应商履约评价表》，对于评审结论为不合格的，甲方有权暂停支付乙方上月款项，待下月评审合格后支付；若出现第二次评审结论为不合格的，甲方有权取消乙方的供货资格并单方解除合同、没收履约担保。</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5、甲方按本合同约定单方解除合同的，乙方应在收到甲方单方解除合同书面通知之日起30日内与甲方共同确认已完成经甲方验收合格的供货量及对应的金额，前述期限届满后，未经甲乙双方共同确认的供货量不得再要求结算。</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6、乙方账户信息：</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开户银行：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银行账户：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银行账号：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户名：                                </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乙方变更账户信息的，应至少提前【3】日书面通知甲方予以确认，因乙方怠于通知而造成损失的，由乙方自行承担责任。</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06" w:name="_Toc24418"/>
      <w:bookmarkStart w:id="407" w:name="_Toc14030"/>
      <w:bookmarkStart w:id="408" w:name="_Toc19248"/>
      <w:r>
        <w:rPr>
          <w:rFonts w:hint="eastAsia" w:ascii="宋体" w:hAnsi="宋体" w:cs="宋体"/>
          <w:b/>
          <w:color w:val="auto"/>
          <w:kern w:val="0"/>
          <w:szCs w:val="21"/>
          <w:highlight w:val="none"/>
        </w:rPr>
        <w:t>第十三条 技术资料</w:t>
      </w:r>
      <w:bookmarkEnd w:id="406"/>
      <w:bookmarkEnd w:id="407"/>
      <w:bookmarkEnd w:id="408"/>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1、乙方需向甲方提供但不限于下述技术资料：</w:t>
      </w:r>
    </w:p>
    <w:p>
      <w:pPr>
        <w:autoSpaceDE w:val="0"/>
        <w:autoSpaceDN w:val="0"/>
        <w:adjustRightInd w:val="0"/>
        <w:snapToGrid w:val="0"/>
        <w:spacing w:line="360" w:lineRule="auto"/>
        <w:ind w:firstLine="707" w:firstLineChars="337"/>
        <w:jc w:val="left"/>
        <w:rPr>
          <w:rFonts w:ascii="宋体" w:hAnsi="宋体" w:cs="宋体"/>
          <w:color w:val="auto"/>
          <w:kern w:val="0"/>
          <w:szCs w:val="21"/>
          <w:highlight w:val="none"/>
        </w:rPr>
      </w:pPr>
      <w:r>
        <w:rPr>
          <w:rFonts w:hint="eastAsia" w:ascii="宋体" w:hAnsi="宋体" w:cs="宋体"/>
          <w:color w:val="auto"/>
          <w:kern w:val="0"/>
          <w:szCs w:val="21"/>
          <w:highlight w:val="none"/>
        </w:rPr>
        <w:t>（1）每批次需提供：出厂检验报告、磅单、供货随车单（经甲方验收确认的送货单）等。</w:t>
      </w:r>
    </w:p>
    <w:p>
      <w:pPr>
        <w:autoSpaceDE w:val="0"/>
        <w:autoSpaceDN w:val="0"/>
        <w:adjustRightInd w:val="0"/>
        <w:snapToGrid w:val="0"/>
        <w:spacing w:line="360" w:lineRule="auto"/>
        <w:ind w:firstLine="707" w:firstLineChars="337"/>
        <w:jc w:val="left"/>
        <w:rPr>
          <w:rFonts w:ascii="宋体" w:hAnsi="宋体" w:cs="宋体"/>
          <w:color w:val="auto"/>
          <w:kern w:val="0"/>
          <w:szCs w:val="21"/>
          <w:highlight w:val="none"/>
        </w:rPr>
      </w:pPr>
      <w:r>
        <w:rPr>
          <w:rFonts w:hint="eastAsia" w:ascii="宋体" w:hAnsi="宋体" w:cs="宋体"/>
          <w:color w:val="auto"/>
          <w:kern w:val="0"/>
          <w:szCs w:val="21"/>
          <w:highlight w:val="none"/>
        </w:rPr>
        <w:t>（2）供货期内需提供一份：质量说明书、第三方质量检验报告；</w:t>
      </w:r>
    </w:p>
    <w:p>
      <w:pPr>
        <w:autoSpaceDE w:val="0"/>
        <w:autoSpaceDN w:val="0"/>
        <w:adjustRightInd w:val="0"/>
        <w:snapToGrid w:val="0"/>
        <w:spacing w:line="360" w:lineRule="auto"/>
        <w:ind w:firstLine="707" w:firstLineChars="337"/>
        <w:jc w:val="left"/>
        <w:rPr>
          <w:rFonts w:ascii="宋体" w:hAnsi="宋体" w:cs="宋体"/>
          <w:color w:val="auto"/>
          <w:kern w:val="0"/>
          <w:szCs w:val="21"/>
          <w:highlight w:val="none"/>
        </w:rPr>
      </w:pPr>
      <w:r>
        <w:rPr>
          <w:rFonts w:hint="eastAsia" w:ascii="宋体" w:hAnsi="宋体" w:cs="宋体"/>
          <w:color w:val="auto"/>
          <w:kern w:val="0"/>
          <w:szCs w:val="21"/>
          <w:highlight w:val="none"/>
        </w:rPr>
        <w:t>（3）与货物使用相关的其他文件；</w:t>
      </w:r>
    </w:p>
    <w:p>
      <w:pPr>
        <w:autoSpaceDE w:val="0"/>
        <w:autoSpaceDN w:val="0"/>
        <w:adjustRightInd w:val="0"/>
        <w:snapToGrid w:val="0"/>
        <w:spacing w:line="360" w:lineRule="auto"/>
        <w:ind w:firstLine="707" w:firstLineChars="337"/>
        <w:jc w:val="left"/>
        <w:rPr>
          <w:rFonts w:ascii="宋体" w:hAnsi="宋体" w:cs="宋体"/>
          <w:color w:val="auto"/>
          <w:kern w:val="0"/>
          <w:szCs w:val="21"/>
          <w:highlight w:val="none"/>
        </w:rPr>
      </w:pPr>
      <w:r>
        <w:rPr>
          <w:rFonts w:hint="eastAsia" w:ascii="宋体" w:hAnsi="宋体" w:cs="宋体"/>
          <w:color w:val="auto"/>
          <w:kern w:val="0"/>
          <w:szCs w:val="21"/>
          <w:highlight w:val="none"/>
        </w:rPr>
        <w:t>（4）甲方要求提供的其他检验报告等。</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2、乙方需将上述资料以及其他甲方在使用货物过程中所需的技术资料（若上述资料为复印件的，则须加盖乙方公章）在交货时交给甲方，有关资料的收集和整理由乙方负责，甲方予以配合。</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09" w:name="_Toc1343"/>
      <w:bookmarkStart w:id="410" w:name="_Toc32230"/>
      <w:bookmarkStart w:id="411" w:name="_Toc8800"/>
      <w:r>
        <w:rPr>
          <w:rFonts w:hint="eastAsia" w:ascii="宋体" w:hAnsi="宋体" w:cs="宋体"/>
          <w:b/>
          <w:color w:val="auto"/>
          <w:kern w:val="0"/>
          <w:szCs w:val="21"/>
          <w:highlight w:val="none"/>
        </w:rPr>
        <w:t>第十四条 不可抗力</w:t>
      </w:r>
      <w:bookmarkEnd w:id="409"/>
      <w:bookmarkEnd w:id="410"/>
      <w:bookmarkEnd w:id="411"/>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w:t>
      </w:r>
      <w:r>
        <w:rPr>
          <w:rFonts w:hint="eastAsia" w:ascii="宋体" w:hAnsi="宋体" w:eastAsia="宋体" w:cs="宋体"/>
          <w:color w:val="auto"/>
          <w:kern w:val="2"/>
          <w:sz w:val="21"/>
          <w:szCs w:val="21"/>
          <w:highlight w:val="none"/>
          <w:lang w:val="en-US" w:eastAsia="zh-CN" w:bidi="ar-SA"/>
        </w:rPr>
        <w:t>提供有效证明材料</w:t>
      </w:r>
      <w:r>
        <w:rPr>
          <w:rFonts w:hint="eastAsia" w:ascii="宋体" w:hAnsi="宋体" w:cs="宋体"/>
          <w:color w:val="auto"/>
          <w:kern w:val="0"/>
          <w:szCs w:val="21"/>
          <w:highlight w:val="none"/>
        </w:rPr>
        <w:t>。如果不可抗力事件发生后，乙方不能按甲方每批次的最迟交货期交货的，则甲方有权单方解除本合同并不承担任何责任。</w:t>
      </w:r>
    </w:p>
    <w:p>
      <w:pPr>
        <w:autoSpaceDE w:val="0"/>
        <w:autoSpaceDN w:val="0"/>
        <w:adjustRightInd w:val="0"/>
        <w:snapToGrid w:val="0"/>
        <w:spacing w:line="360" w:lineRule="auto"/>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12" w:name="_Toc217"/>
      <w:bookmarkStart w:id="413" w:name="_Toc27573"/>
      <w:bookmarkStart w:id="414" w:name="_Toc1393"/>
      <w:r>
        <w:rPr>
          <w:rFonts w:hint="eastAsia" w:ascii="宋体" w:hAnsi="宋体" w:cs="宋体"/>
          <w:b/>
          <w:color w:val="auto"/>
          <w:kern w:val="0"/>
          <w:szCs w:val="21"/>
          <w:highlight w:val="none"/>
        </w:rPr>
        <w:t>第十五条 违约责任</w:t>
      </w:r>
      <w:bookmarkEnd w:id="412"/>
      <w:bookmarkEnd w:id="413"/>
      <w:bookmarkEnd w:id="414"/>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加急供货时，乙方未在约定的时间内完成交货的（包括但不限于不按时间、不按质量、不按地点交货），或未在规定的时间内承担相应的更换、退货责任的，每逾期12个小时，应按暂定总合同价税合计金额的1%向甲方支付违约金，乙方逾期</w:t>
      </w:r>
      <w:r>
        <w:rPr>
          <w:rFonts w:hint="eastAsia" w:ascii="宋体" w:hAnsi="宋体" w:cs="宋体"/>
          <w:color w:val="auto"/>
          <w:szCs w:val="21"/>
          <w:highlight w:val="none"/>
        </w:rPr>
        <w:t>供货次数超过3次</w:t>
      </w:r>
      <w:r>
        <w:rPr>
          <w:rFonts w:hint="eastAsia" w:ascii="宋体" w:hAnsi="宋体" w:cs="宋体"/>
          <w:color w:val="auto"/>
          <w:kern w:val="0"/>
          <w:szCs w:val="21"/>
          <w:highlight w:val="none"/>
        </w:rPr>
        <w:t>的，甲方有权单方解除本合同，</w:t>
      </w:r>
      <w:r>
        <w:rPr>
          <w:rFonts w:hint="eastAsia" w:ascii="宋体" w:hAnsi="宋体" w:cs="宋体"/>
          <w:color w:val="auto"/>
          <w:kern w:val="0"/>
          <w:szCs w:val="21"/>
          <w:highlight w:val="none"/>
          <w:lang w:eastAsia="zh-Hans"/>
        </w:rPr>
        <w:t>乙</w:t>
      </w:r>
      <w:r>
        <w:rPr>
          <w:rFonts w:hint="eastAsia" w:ascii="宋体" w:hAnsi="宋体" w:cs="宋体"/>
          <w:color w:val="auto"/>
          <w:kern w:val="0"/>
          <w:szCs w:val="21"/>
          <w:highlight w:val="none"/>
        </w:rPr>
        <w:t>方除前述逾期违约金外，还应额外按暂定总合同价税合计金额的3%向甲方支付违约金。</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日常供货（非加急供货）乙方未在约定的时间内完成交货的（包括但不限于不按时间、不按质量、不按地点交货），或未在规定的时间内承担相应的更换、退货责任的，每逾期12个小时，应按暂定总合同价税合计金额的5‰向甲方支付违约金。乙方逾期</w:t>
      </w:r>
      <w:r>
        <w:rPr>
          <w:rFonts w:hint="eastAsia" w:ascii="宋体" w:hAnsi="宋体" w:cs="宋体"/>
          <w:color w:val="auto"/>
          <w:szCs w:val="21"/>
          <w:highlight w:val="none"/>
        </w:rPr>
        <w:t>供货次数超过3次</w:t>
      </w:r>
      <w:r>
        <w:rPr>
          <w:rFonts w:hint="eastAsia" w:ascii="宋体" w:hAnsi="宋体" w:cs="宋体"/>
          <w:color w:val="auto"/>
          <w:kern w:val="0"/>
          <w:szCs w:val="21"/>
          <w:highlight w:val="none"/>
        </w:rPr>
        <w:t>的，甲方可单方解除本合同，乙方除前述逾期违约金外，还应额外按暂定总合同价税合计金额的3%向甲方支付违约金。</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3、若甲方对乙方货物检验过程中发现检验不合格，或货物使用过程中因乙方货物不合格影响生产效果，甲方有权要求乙方每次承担暂定总合同价税合计金额1%的违约金。</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4、乙方所交货物（包括但不限于品种、型号、规格、质量）不符合甲方要求的，甲方有权拒收，并要求乙方予以退货，同时乙方每次应向甲方支付暂定总合同价税合计金额的1%的违约金。合同期内，乙方所交货物经检验出现3次及以上（含本数）的不合格情况时，甲方将有权单方解除合同，没收履约担保，并追究因为使用不合格产品而产生的所有损失和责任。</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5、乙方未按约定履行培训或售后服务义务的，甲方有权要求限期改正，如逾期仍未改正的，甲方有权单方解除合同，并没收履约担保。</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6、在质保期内，因货物质量问题发生安全事故或引起其他损失、造成不良后果的，乙方应承担全部</w:t>
      </w:r>
      <w:r>
        <w:rPr>
          <w:rFonts w:hint="eastAsia" w:ascii="宋体" w:hAnsi="宋体" w:cs="宋体"/>
          <w:color w:val="auto"/>
          <w:kern w:val="0"/>
          <w:szCs w:val="21"/>
          <w:highlight w:val="none"/>
          <w:lang w:eastAsia="zh-Hans"/>
        </w:rPr>
        <w:t>法律</w:t>
      </w:r>
      <w:r>
        <w:rPr>
          <w:rFonts w:hint="eastAsia" w:ascii="宋体" w:hAnsi="宋体" w:cs="宋体"/>
          <w:color w:val="auto"/>
          <w:kern w:val="0"/>
          <w:szCs w:val="21"/>
          <w:highlight w:val="none"/>
        </w:rPr>
        <w:t>责任</w:t>
      </w:r>
      <w:r>
        <w:rPr>
          <w:rFonts w:hint="eastAsia" w:ascii="宋体" w:hAnsi="宋体" w:cs="宋体"/>
          <w:color w:val="auto"/>
          <w:kern w:val="0"/>
          <w:szCs w:val="21"/>
          <w:highlight w:val="none"/>
          <w:lang w:eastAsia="zh-Hans"/>
        </w:rPr>
        <w:t>及经济</w:t>
      </w:r>
      <w:r>
        <w:rPr>
          <w:rFonts w:hint="eastAsia" w:ascii="宋体" w:hAnsi="宋体" w:cs="宋体"/>
          <w:color w:val="auto"/>
          <w:kern w:val="0"/>
          <w:szCs w:val="21"/>
          <w:highlight w:val="none"/>
        </w:rPr>
        <w:t>损失赔偿。对于在非质保期发生的质量问题，乙方在过错范围内承担责任，非乙方过错导致问题需乙方处理的，甲方按合理市场价支付相应费用。</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7、合同履行中，甲方有权实地核查乙方在投标时提供的分支机构或服务机构的场地、生产/储存/运输设备设施及能力等材料的符合性，若发现虚假将取消投标（成交）资格，且甲方有权终止合同。因此给甲方造成损失的，全部由乙方承担。</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8、乙方自甲方通知货物不合格之时起，甲方有权要求乙方必须按照本合同约定的加急供货方式，将等量的合格货物送交甲方，否则按本条下加急供货的违约约定进行处理。</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9、乙方应确保所交货物不侵犯第三方任何权益，否则，由此引起的一切责任及损失都由乙方承担。</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10、乙方保证对其在讨论、签订、履行本合同过程中所获悉的属于甲方的且无法从公开渠道获得的文件资料及项目信息予以严格保密并应采取相应的保密措施，保证其自身及工作人员不私自使用或向任何第三方泄露，否则，视为乙方违约，甲方有权要求乙方支付履约担保等额的违约金，且乙方须承担由此给甲方造成的一切损失。乙方及其工作人员的保密义务不因本合同的终止而终止，直至相关保密信息被合法公开时止。</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11、乙方有义务接受甲方及使用方的监督、评价及考核，且同意甲方关于供货资格供应商的管理规则及要求。</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12、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支付履约担保等额的违约金，且甲方有权单方解除合同。</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13、从合同生效之日起，若因乙方所提供的产品导致甲方污泥脱水减量化设备生产运行出现异常或故障，妨碍项目正常生产运行，乙方应根据甲方通知于24小时内到指定地点提供技术服务，自费派工程师到达现场，并在甲方要求的限期内排除故障，确保不影响甲方项目的生产运营，且乙方须承担由此给甲方造成的一切损失。</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14、如到货检测不合格，乙方应按加急供货方式及时退换为合格产品，如乙方到货后验收不合格导致退货的，乙方应向甲方支付退货管理费，费用按退货批次药剂金额（不含乙方销项税）的5%收取，该条款与其他违约责任条款不冲突，乙方仍需按本合同约定承担相应的违约责任。</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15、在合同的履行期间，乙方应当保持相应资质的有效性，并符合国家的相关规定。若乙方在合同期内有关资质不符合本合同要求及国家规定的，甲方及其关联方污泥减量化运营项目主体有权委托第三方进行供货，并由乙方承担履约担保等额的违约金。同时，造成甲方及其关联方污泥减量化运营项目主体的经济损失（包括但不限于重新采购的差价、委托第三方的费用），由乙方承担全部赔偿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在本合同履行过程中，乙方不得消极怠工或拒不履行合同义务（包括但不限于按合同要求交货、换货、培训、技术支持、售后等），否则将视为乙方违约，甲方除可按本合同约定追究乙方违约责任外，甲方仍有权就违约事宜提出</w:t>
      </w:r>
      <w:r>
        <w:rPr>
          <w:rFonts w:hint="eastAsia" w:ascii="宋体" w:hAnsi="宋体" w:cs="宋体"/>
          <w:color w:val="auto"/>
          <w:kern w:val="0"/>
          <w:szCs w:val="21"/>
          <w:highlight w:val="none"/>
          <w:lang w:eastAsia="zh-Hans"/>
        </w:rPr>
        <w:t>整</w:t>
      </w:r>
      <w:r>
        <w:rPr>
          <w:rFonts w:hint="eastAsia" w:ascii="宋体" w:hAnsi="宋体" w:cs="宋体"/>
          <w:color w:val="auto"/>
          <w:kern w:val="0"/>
          <w:szCs w:val="21"/>
          <w:highlight w:val="none"/>
        </w:rPr>
        <w:t>改，如乙方在甲方限期内仍未完成整改或整改后仍不合格的，甲方有权单方解除合同，要求乙方按暂定总合同价税合计金额的5%支付违约金，并有权依法委托有资质的第三方继续履行本合同义务，由此造成的一切损失（包括但不限于再行采购的费用、委托第三人继续履行时超出本合同费用部分等）由乙方全部承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损失无法计算的，乙方</w:t>
      </w:r>
      <w:r>
        <w:rPr>
          <w:rFonts w:hint="eastAsia" w:ascii="宋体" w:hAnsi="宋体" w:cs="宋体"/>
          <w:bCs/>
          <w:color w:val="auto"/>
          <w:kern w:val="0"/>
          <w:szCs w:val="21"/>
          <w:highlight w:val="none"/>
        </w:rPr>
        <w:t>按暂定总合同价税合计金额5%支付违约金</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17、乙方车辆在甲方各污泥减量化运营项目行驶时，必须严格遵守厂区道路限行，限速和限重要求，如因乙方未遵守前述要求，对厂区/甲方（含其人员）、乙方人员、第三方造成损失的，乙方须承担</w:t>
      </w:r>
      <w:r>
        <w:rPr>
          <w:rFonts w:hint="eastAsia" w:ascii="宋体" w:hAnsi="宋体" w:cs="宋体"/>
          <w:color w:val="auto"/>
          <w:kern w:val="0"/>
          <w:szCs w:val="21"/>
          <w:highlight w:val="none"/>
          <w:lang w:eastAsia="zh-Hans"/>
        </w:rPr>
        <w:t>全部法律责任和经济损失</w:t>
      </w:r>
      <w:r>
        <w:rPr>
          <w:rFonts w:hint="eastAsia" w:ascii="宋体" w:hAnsi="宋体" w:cs="宋体"/>
          <w:color w:val="auto"/>
          <w:kern w:val="0"/>
          <w:szCs w:val="21"/>
          <w:highlight w:val="none"/>
        </w:rPr>
        <w:t>赔偿。</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乙方人员在甲方各污泥减量化运营项目的安全由乙方自行负责。在进行卸货等工作时，必须严格遵守相关劳动安全规定，并按要求佩戴相关安全劳动防护用具。乙方须做好安全防护措施，合同履行过程中出现的安全事故</w:t>
      </w:r>
      <w:r>
        <w:rPr>
          <w:rFonts w:hint="eastAsia" w:ascii="宋体" w:hAnsi="宋体" w:cs="宋体"/>
          <w:color w:val="auto"/>
          <w:kern w:val="0"/>
          <w:szCs w:val="21"/>
          <w:highlight w:val="none"/>
          <w:lang w:eastAsia="zh-Hans"/>
        </w:rPr>
        <w:t>引发的法律和经济责任应</w:t>
      </w:r>
      <w:r>
        <w:rPr>
          <w:rFonts w:hint="eastAsia" w:ascii="宋体" w:hAnsi="宋体" w:cs="宋体"/>
          <w:color w:val="auto"/>
          <w:kern w:val="0"/>
          <w:szCs w:val="21"/>
          <w:highlight w:val="none"/>
        </w:rPr>
        <w:t>由乙方自行承担。乙方人员在甲方场所必须遵守甲方的一切规章制度和安全条例，服从甲方的监督。乙方在提供本合同项下所有服务的过程中，如因违反甲方相关规章制度、安全条例，或因不服从甲方监督而发生安全事故的，其</w:t>
      </w:r>
      <w:r>
        <w:rPr>
          <w:rFonts w:hint="eastAsia" w:ascii="宋体" w:hAnsi="宋体" w:cs="宋体"/>
          <w:color w:val="auto"/>
          <w:kern w:val="0"/>
          <w:szCs w:val="21"/>
          <w:highlight w:val="none"/>
          <w:lang w:eastAsia="zh-Hans"/>
        </w:rPr>
        <w:t>法律和经济</w:t>
      </w:r>
      <w:r>
        <w:rPr>
          <w:rFonts w:hint="eastAsia" w:ascii="宋体" w:hAnsi="宋体" w:cs="宋体"/>
          <w:color w:val="auto"/>
          <w:kern w:val="0"/>
          <w:szCs w:val="21"/>
          <w:highlight w:val="none"/>
        </w:rPr>
        <w:t>结果与责任均由乙方负责，甲方无须承担任何</w:t>
      </w:r>
      <w:r>
        <w:rPr>
          <w:rFonts w:hint="eastAsia" w:ascii="宋体" w:hAnsi="宋体" w:cs="宋体"/>
          <w:color w:val="auto"/>
          <w:kern w:val="0"/>
          <w:szCs w:val="21"/>
          <w:highlight w:val="none"/>
          <w:lang w:eastAsia="zh-Hans"/>
        </w:rPr>
        <w:t>法律和经济</w:t>
      </w:r>
      <w:r>
        <w:rPr>
          <w:rFonts w:hint="eastAsia" w:ascii="宋体" w:hAnsi="宋体" w:cs="宋体"/>
          <w:color w:val="auto"/>
          <w:kern w:val="0"/>
          <w:szCs w:val="21"/>
          <w:highlight w:val="none"/>
        </w:rPr>
        <w:t>结果与责任。</w:t>
      </w:r>
    </w:p>
    <w:p>
      <w:pPr>
        <w:autoSpaceDE w:val="0"/>
        <w:autoSpaceDN w:val="0"/>
        <w:adjustRightInd w:val="0"/>
        <w:snapToGrid w:val="0"/>
        <w:spacing w:line="360" w:lineRule="auto"/>
        <w:ind w:firstLine="371" w:firstLineChars="17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甲方根据项目实际情况及有关法律法规、政策的规定对合同的相应条款进行变更调整的，乙方应遵照变更调整后的合同执行，若乙方拒绝履行变更调整后的合同，甲方有权按暂定总合同价税合计金额的【1%】要求乙方承担违约金。</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合同履约期间，因乙方违约而支付违约金的，甲方有权在应付未付货款中扣除。乙方违约导致甲方损失的，乙方应支付违约金并承担赔偿责任。违约金数额不</w:t>
      </w:r>
      <w:r>
        <w:rPr>
          <w:rFonts w:hint="eastAsia" w:ascii="宋体" w:hAnsi="宋体" w:cs="宋体"/>
          <w:color w:val="auto"/>
          <w:kern w:val="0"/>
          <w:szCs w:val="21"/>
          <w:highlight w:val="none"/>
          <w:lang w:eastAsia="zh-Hans"/>
        </w:rPr>
        <w:t>足</w:t>
      </w:r>
      <w:r>
        <w:rPr>
          <w:rFonts w:hint="eastAsia" w:ascii="宋体" w:hAnsi="宋体" w:cs="宋体"/>
          <w:color w:val="auto"/>
          <w:kern w:val="0"/>
          <w:szCs w:val="21"/>
          <w:highlight w:val="none"/>
        </w:rPr>
        <w:t>以赔偿甲方所有损失的，乙方还需另行支付补足赔偿。</w:t>
      </w: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15" w:name="_Toc31150"/>
      <w:bookmarkStart w:id="416" w:name="_Toc12103"/>
      <w:bookmarkStart w:id="417" w:name="_Toc19951"/>
      <w:r>
        <w:rPr>
          <w:rFonts w:hint="eastAsia" w:ascii="宋体" w:hAnsi="宋体" w:cs="宋体"/>
          <w:b/>
          <w:color w:val="auto"/>
          <w:kern w:val="0"/>
          <w:szCs w:val="21"/>
          <w:highlight w:val="none"/>
        </w:rPr>
        <w:t>第十六条 争议解决</w:t>
      </w:r>
      <w:bookmarkEnd w:id="415"/>
      <w:bookmarkEnd w:id="416"/>
      <w:bookmarkEnd w:id="417"/>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双方在履约中发生争执和分歧，双方应通过友好协商解决，如不能通过友好协商解决的，任何一方均可向甲方住所地有管辖权的人民法院提起诉讼解决。</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p>
    <w:p>
      <w:pPr>
        <w:autoSpaceDE w:val="0"/>
        <w:autoSpaceDN w:val="0"/>
        <w:adjustRightInd w:val="0"/>
        <w:snapToGrid w:val="0"/>
        <w:spacing w:line="360" w:lineRule="auto"/>
        <w:ind w:firstLine="373" w:firstLineChars="177"/>
        <w:jc w:val="left"/>
        <w:outlineLvl w:val="0"/>
        <w:rPr>
          <w:rFonts w:ascii="宋体" w:hAnsi="宋体" w:cs="宋体"/>
          <w:b/>
          <w:color w:val="auto"/>
          <w:kern w:val="0"/>
          <w:szCs w:val="21"/>
          <w:highlight w:val="none"/>
        </w:rPr>
      </w:pPr>
      <w:bookmarkStart w:id="418" w:name="_Toc32431"/>
      <w:bookmarkStart w:id="419" w:name="_Toc1405"/>
      <w:bookmarkStart w:id="420" w:name="_Toc17889"/>
      <w:r>
        <w:rPr>
          <w:rFonts w:hint="eastAsia" w:ascii="宋体" w:hAnsi="宋体" w:cs="宋体"/>
          <w:b/>
          <w:color w:val="auto"/>
          <w:kern w:val="0"/>
          <w:szCs w:val="21"/>
          <w:highlight w:val="none"/>
        </w:rPr>
        <w:t>第十七条 其他</w:t>
      </w:r>
      <w:bookmarkEnd w:id="418"/>
      <w:bookmarkEnd w:id="419"/>
      <w:bookmarkEnd w:id="420"/>
    </w:p>
    <w:p>
      <w:pPr>
        <w:autoSpaceDE w:val="0"/>
        <w:autoSpaceDN w:val="0"/>
        <w:adjustRightInd w:val="0"/>
        <w:snapToGrid w:val="0"/>
        <w:spacing w:line="360" w:lineRule="auto"/>
        <w:ind w:firstLine="371" w:firstLineChars="177"/>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1、乙方必须清楚理解：本合同不具排他性，甲方对本合同范围内的具体项目享有自主选择的权利。本合同仅作为乙方在本合同期限内取得向甲方就具体污泥减量化运营项目供应</w:t>
      </w:r>
      <w:r>
        <w:rPr>
          <w:rFonts w:hint="eastAsia" w:ascii="宋体" w:hAnsi="宋体" w:cs="宋体"/>
          <w:color w:val="auto"/>
          <w:szCs w:val="21"/>
          <w:highlight w:val="none"/>
        </w:rPr>
        <w:t>阳离子聚丙烯酰胺固体产品</w:t>
      </w:r>
      <w:r>
        <w:rPr>
          <w:rFonts w:hint="eastAsia" w:ascii="宋体" w:hAnsi="宋体" w:cs="宋体"/>
          <w:bCs/>
          <w:color w:val="auto"/>
          <w:kern w:val="0"/>
          <w:szCs w:val="21"/>
          <w:highlight w:val="none"/>
        </w:rPr>
        <w:t>的供货资格，但并不代表乙方必然取得具体污泥减量化运营项目供货的权利。甲方根据乙方资质条件、履约能力和实际履约情况、具体污泥减量化运营项目实际需求仍有权另行采购其他第三方进行本合同范围内的货物供货服务。</w:t>
      </w:r>
    </w:p>
    <w:p>
      <w:pPr>
        <w:autoSpaceDE w:val="0"/>
        <w:autoSpaceDN w:val="0"/>
        <w:adjustRightInd w:val="0"/>
        <w:snapToGrid w:val="0"/>
        <w:spacing w:line="360" w:lineRule="auto"/>
        <w:ind w:firstLine="371" w:firstLineChars="177"/>
        <w:jc w:val="left"/>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szCs w:val="21"/>
          <w:highlight w:val="none"/>
          <w:lang w:val="zh-CN"/>
        </w:rPr>
        <w:t>乙方因违约被甲方解除本合同的，甲方有权将乙方纳入东莞市水务集团</w:t>
      </w:r>
      <w:r>
        <w:rPr>
          <w:rFonts w:hint="eastAsia" w:ascii="宋体" w:hAnsi="宋体" w:cs="宋体"/>
          <w:bCs/>
          <w:color w:val="auto"/>
          <w:szCs w:val="21"/>
          <w:highlight w:val="none"/>
        </w:rPr>
        <w:t>实业发展</w:t>
      </w:r>
      <w:r>
        <w:rPr>
          <w:rFonts w:hint="eastAsia" w:ascii="宋体" w:hAnsi="宋体" w:cs="宋体"/>
          <w:bCs/>
          <w:color w:val="auto"/>
          <w:szCs w:val="21"/>
          <w:highlight w:val="none"/>
          <w:lang w:val="zh-CN"/>
        </w:rPr>
        <w:t>有限公司（含其全资子公司、控股公司、由其管理的参股公司）招标、采购、征集供应商或合作方采购的‘黑名单’中，禁止其在1年内参与东莞市水务集团</w:t>
      </w:r>
      <w:r>
        <w:rPr>
          <w:rFonts w:hint="eastAsia" w:ascii="宋体" w:hAnsi="宋体" w:cs="宋体"/>
          <w:bCs/>
          <w:color w:val="auto"/>
          <w:szCs w:val="21"/>
          <w:highlight w:val="none"/>
        </w:rPr>
        <w:t>实业发展</w:t>
      </w:r>
      <w:r>
        <w:rPr>
          <w:rFonts w:hint="eastAsia" w:ascii="宋体" w:hAnsi="宋体" w:cs="宋体"/>
          <w:bCs/>
          <w:color w:val="auto"/>
          <w:szCs w:val="21"/>
          <w:highlight w:val="none"/>
          <w:lang w:val="zh-CN"/>
        </w:rPr>
        <w:t>有限公司（含其全资子公司、控股公司、由其管理的参股公司）的同类生产药剂相关采购</w:t>
      </w: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供应商征集等活动</w:t>
      </w:r>
      <w:r>
        <w:rPr>
          <w:rFonts w:hint="eastAsia" w:ascii="宋体" w:hAnsi="宋体" w:cs="宋体"/>
          <w:bCs/>
          <w:color w:val="auto"/>
          <w:szCs w:val="21"/>
          <w:highlight w:val="none"/>
          <w:lang w:val="zh-CN"/>
        </w:rPr>
        <w:t>。</w:t>
      </w:r>
    </w:p>
    <w:p>
      <w:pPr>
        <w:autoSpaceDE w:val="0"/>
        <w:autoSpaceDN w:val="0"/>
        <w:adjustRightInd w:val="0"/>
        <w:snapToGrid w:val="0"/>
        <w:spacing w:line="360" w:lineRule="auto"/>
        <w:ind w:firstLine="371" w:firstLineChars="177"/>
        <w:jc w:val="left"/>
        <w:rPr>
          <w:rFonts w:ascii="宋体" w:hAnsi="宋体" w:cs="宋体"/>
          <w:bCs/>
          <w:color w:val="auto"/>
          <w:kern w:val="0"/>
          <w:szCs w:val="21"/>
          <w:highlight w:val="none"/>
        </w:rPr>
      </w:pPr>
      <w:r>
        <w:rPr>
          <w:rFonts w:hint="eastAsia" w:ascii="宋体" w:hAnsi="宋体" w:cs="宋体"/>
          <w:bCs/>
          <w:color w:val="auto"/>
          <w:kern w:val="0"/>
          <w:szCs w:val="21"/>
          <w:highlight w:val="none"/>
        </w:rPr>
        <w:t>3、基于乙方的专业特长，甲方代表（合同签字者）对关于产品质量指标的确认、变更等，仅是程序性行为，并非就是对乙方产品质量责任的免除，乙方仍要对所供的产品承担全部责任。</w:t>
      </w:r>
    </w:p>
    <w:p>
      <w:pPr>
        <w:autoSpaceDE w:val="0"/>
        <w:autoSpaceDN w:val="0"/>
        <w:adjustRightInd w:val="0"/>
        <w:snapToGrid w:val="0"/>
        <w:spacing w:line="360" w:lineRule="auto"/>
        <w:ind w:firstLine="371" w:firstLineChars="177"/>
        <w:jc w:val="left"/>
        <w:rPr>
          <w:rFonts w:ascii="宋体" w:hAnsi="宋体" w:cs="宋体"/>
          <w:bCs/>
          <w:color w:val="auto"/>
          <w:kern w:val="0"/>
          <w:szCs w:val="21"/>
          <w:highlight w:val="none"/>
        </w:rPr>
      </w:pPr>
      <w:r>
        <w:rPr>
          <w:rFonts w:hint="eastAsia" w:ascii="宋体" w:hAnsi="宋体" w:cs="宋体"/>
          <w:bCs/>
          <w:color w:val="auto"/>
          <w:kern w:val="0"/>
          <w:szCs w:val="21"/>
          <w:highlight w:val="none"/>
        </w:rPr>
        <w:t>4、合同履约过程中，若发现同一种货物或服务存在有选择性的报价或不是固定的报价的，或存在多种理解方式的情况发生时，按最有利甲方的方式解释。</w:t>
      </w:r>
    </w:p>
    <w:p>
      <w:pPr>
        <w:autoSpaceDE w:val="0"/>
        <w:autoSpaceDN w:val="0"/>
        <w:adjustRightInd w:val="0"/>
        <w:snapToGrid w:val="0"/>
        <w:spacing w:line="360" w:lineRule="auto"/>
        <w:ind w:firstLine="371" w:firstLineChars="177"/>
        <w:jc w:val="left"/>
        <w:rPr>
          <w:rFonts w:ascii="宋体" w:hAnsi="宋体" w:cs="宋体"/>
          <w:bCs/>
          <w:color w:val="auto"/>
          <w:kern w:val="0"/>
          <w:szCs w:val="21"/>
          <w:highlight w:val="none"/>
        </w:rPr>
      </w:pPr>
      <w:r>
        <w:rPr>
          <w:rFonts w:hint="eastAsia" w:ascii="宋体" w:hAnsi="宋体" w:cs="宋体"/>
          <w:bCs/>
          <w:color w:val="auto"/>
          <w:kern w:val="0"/>
          <w:szCs w:val="21"/>
          <w:highlight w:val="none"/>
        </w:rPr>
        <w:t>5、本合同及相关招投标文件、中标通知书等作为本合同附件均为合同的有效组成部分，与本合同同具法律效力。如附件内容与本合同有冲突的，以本合同为准。</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6、本合同壹式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份，甲方执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份，乙方执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份，招标代理机构执</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份，均具有同等法律效力，本合同自双方法定代表人或授权代表签字并盖章之日起生效至合同项下全部义务履行完毕时终止。</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7、本</w:t>
      </w:r>
      <w:r>
        <w:rPr>
          <w:rFonts w:hint="eastAsia" w:ascii="宋体" w:hAnsi="宋体" w:cs="宋体"/>
          <w:bCs/>
          <w:color w:val="auto"/>
          <w:kern w:val="0"/>
          <w:szCs w:val="21"/>
          <w:highlight w:val="none"/>
        </w:rPr>
        <w:t>合同</w:t>
      </w:r>
      <w:r>
        <w:rPr>
          <w:rFonts w:hint="eastAsia" w:ascii="宋体" w:hAnsi="宋体" w:cs="宋体"/>
          <w:color w:val="auto"/>
          <w:kern w:val="0"/>
          <w:szCs w:val="21"/>
          <w:highlight w:val="none"/>
        </w:rPr>
        <w:t>未尽事宜，由双方协商处理。</w:t>
      </w:r>
    </w:p>
    <w:p>
      <w:pPr>
        <w:autoSpaceDE w:val="0"/>
        <w:autoSpaceDN w:val="0"/>
        <w:adjustRightInd w:val="0"/>
        <w:snapToGrid w:val="0"/>
        <w:spacing w:line="360" w:lineRule="auto"/>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bCs/>
          <w:color w:val="auto"/>
          <w:kern w:val="0"/>
          <w:szCs w:val="21"/>
          <w:highlight w:val="none"/>
        </w:rPr>
        <w:t>合同</w:t>
      </w:r>
      <w:r>
        <w:rPr>
          <w:rFonts w:hint="eastAsia" w:ascii="宋体" w:hAnsi="宋体" w:cs="宋体"/>
          <w:color w:val="auto"/>
          <w:kern w:val="0"/>
          <w:szCs w:val="21"/>
          <w:highlight w:val="none"/>
        </w:rPr>
        <w:t>附件：1、供应商履约评价表； 2、廉洁协议书</w:t>
      </w:r>
      <w:r>
        <w:rPr>
          <w:rFonts w:hint="eastAsia" w:ascii="宋体" w:hAnsi="宋体" w:cs="宋体"/>
          <w:color w:val="auto"/>
          <w:szCs w:val="21"/>
          <w:highlight w:val="none"/>
        </w:rPr>
        <w:t>；3、中标通知书；4、用户需求书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5、验收报告</w:t>
      </w:r>
      <w:r>
        <w:rPr>
          <w:rFonts w:hint="eastAsia" w:ascii="宋体" w:hAnsi="宋体" w:cs="宋体"/>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（以下无正文内容为签字盖章页）</w:t>
      </w:r>
    </w:p>
    <w:p>
      <w:pPr>
        <w:autoSpaceDE w:val="0"/>
        <w:autoSpaceDN w:val="0"/>
        <w:adjustRightInd w:val="0"/>
        <w:spacing w:line="360" w:lineRule="auto"/>
        <w:jc w:val="left"/>
        <w:rPr>
          <w:rFonts w:ascii="宋体" w:hAnsi="宋体" w:cs="宋体"/>
          <w:bCs/>
          <w:color w:val="auto"/>
          <w:kern w:val="0"/>
          <w:szCs w:val="21"/>
          <w:highlight w:val="none"/>
        </w:rPr>
      </w:pPr>
    </w:p>
    <w:p>
      <w:pPr>
        <w:autoSpaceDE w:val="0"/>
        <w:autoSpaceDN w:val="0"/>
        <w:adjustRightInd w:val="0"/>
        <w:spacing w:line="360" w:lineRule="auto"/>
        <w:jc w:val="left"/>
        <w:rPr>
          <w:rFonts w:ascii="宋体" w:hAnsi="宋体" w:cs="宋体"/>
          <w:bCs/>
          <w:color w:val="auto"/>
          <w:kern w:val="0"/>
          <w:szCs w:val="21"/>
          <w:highlight w:val="none"/>
        </w:rPr>
      </w:pPr>
    </w:p>
    <w:p>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autoSpaceDE w:val="0"/>
        <w:autoSpaceDN w:val="0"/>
        <w:adjustRightIn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（本页为《东莞市众源环境投资有限公司2025年污泥处理用聚丙烯酰胺采购项目合同》签署页）</w:t>
      </w:r>
    </w:p>
    <w:p>
      <w:pPr>
        <w:pStyle w:val="18"/>
        <w:rPr>
          <w:color w:val="auto"/>
          <w:highlight w:val="none"/>
        </w:rPr>
      </w:pPr>
    </w:p>
    <w:tbl>
      <w:tblPr>
        <w:tblStyle w:val="38"/>
        <w:tblW w:w="9142" w:type="dxa"/>
        <w:jc w:val="center"/>
        <w:tblLayout w:type="fixed"/>
        <w:tblCellMar>
          <w:top w:w="0" w:type="dxa"/>
          <w:left w:w="108" w:type="dxa"/>
          <w:bottom w:w="0" w:type="dxa"/>
          <w:right w:w="108" w:type="dxa"/>
        </w:tblCellMar>
      </w:tblPr>
      <w:tblGrid>
        <w:gridCol w:w="4383"/>
        <w:gridCol w:w="4759"/>
      </w:tblGrid>
      <w:tr>
        <w:tblPrEx>
          <w:tblCellMar>
            <w:top w:w="0" w:type="dxa"/>
            <w:left w:w="108" w:type="dxa"/>
            <w:bottom w:w="0" w:type="dxa"/>
            <w:right w:w="108" w:type="dxa"/>
          </w:tblCellMar>
        </w:tblPrEx>
        <w:trPr>
          <w:jc w:val="center"/>
        </w:trPr>
        <w:tc>
          <w:tcPr>
            <w:tcW w:w="438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甲方（盖章）：东莞市众源环境投资有限公司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法定代表人（或授权代表）：</w:t>
            </w:r>
          </w:p>
        </w:tc>
        <w:tc>
          <w:tcPr>
            <w:tcW w:w="47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乙方（盖章）：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法定代表人（或授权代表）：</w:t>
            </w:r>
          </w:p>
        </w:tc>
      </w:tr>
      <w:tr>
        <w:trPr>
          <w:jc w:val="center"/>
        </w:trPr>
        <w:tc>
          <w:tcPr>
            <w:tcW w:w="438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7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rPr>
          <w:trHeight w:val="1074" w:hRule="atLeast"/>
          <w:jc w:val="center"/>
        </w:trPr>
        <w:tc>
          <w:tcPr>
            <w:tcW w:w="438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地址：广东省东莞市东城街道火炼树红棉路40号302室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开户名称：东莞市众源环境投资有限公司</w:t>
            </w:r>
          </w:p>
        </w:tc>
        <w:tc>
          <w:tcPr>
            <w:tcW w:w="4759" w:type="dxa"/>
          </w:tcPr>
          <w:p>
            <w:pPr>
              <w:spacing w:line="360" w:lineRule="auto"/>
              <w:rPr>
                <w:rFonts w:ascii="宋体" w:hAnsi="宋体" w:cs="宋体"/>
                <w:color w:val="auto"/>
                <w:highlight w:val="none"/>
              </w:rPr>
            </w:pPr>
            <w:r>
              <w:rPr>
                <w:rFonts w:hint="eastAsia" w:ascii="宋体" w:hAnsi="宋体" w:cs="宋体"/>
                <w:color w:val="auto"/>
                <w:szCs w:val="21"/>
                <w:highlight w:val="none"/>
              </w:rPr>
              <w:t>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p>
        </w:tc>
      </w:tr>
      <w:tr>
        <w:tblPrEx>
          <w:tblCellMar>
            <w:top w:w="0" w:type="dxa"/>
            <w:left w:w="108" w:type="dxa"/>
            <w:bottom w:w="0" w:type="dxa"/>
            <w:right w:w="108" w:type="dxa"/>
          </w:tblCellMar>
        </w:tblPrEx>
        <w:trPr>
          <w:jc w:val="center"/>
        </w:trPr>
        <w:tc>
          <w:tcPr>
            <w:tcW w:w="438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Cs/>
                <w:color w:val="auto"/>
                <w:szCs w:val="21"/>
                <w:highlight w:val="none"/>
                <w:lang w:val="zh-CN"/>
              </w:rPr>
              <w:t>招商银行股份有限公司东莞分行</w:t>
            </w:r>
          </w:p>
        </w:tc>
        <w:tc>
          <w:tcPr>
            <w:tcW w:w="47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tblPrEx>
          <w:tblCellMar>
            <w:top w:w="0" w:type="dxa"/>
            <w:left w:w="108" w:type="dxa"/>
            <w:bottom w:w="0" w:type="dxa"/>
            <w:right w:w="108" w:type="dxa"/>
          </w:tblCellMar>
        </w:tblPrEx>
        <w:trPr>
          <w:jc w:val="center"/>
        </w:trPr>
        <w:tc>
          <w:tcPr>
            <w:tcW w:w="438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bCs/>
                <w:color w:val="auto"/>
                <w:szCs w:val="21"/>
                <w:highlight w:val="none"/>
                <w:lang w:val="zh-CN"/>
              </w:rPr>
              <w:t>769908269610828</w:t>
            </w:r>
          </w:p>
        </w:tc>
        <w:tc>
          <w:tcPr>
            <w:tcW w:w="47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rPr>
          <w:jc w:val="center"/>
        </w:trPr>
        <w:tc>
          <w:tcPr>
            <w:tcW w:w="4383" w:type="dxa"/>
          </w:tcPr>
          <w:p>
            <w:pPr>
              <w:widowControl/>
              <w:snapToGrid w:val="0"/>
              <w:jc w:val="left"/>
              <w:rPr>
                <w:rFonts w:ascii="宋体" w:hAnsi="宋体" w:cs="宋体"/>
                <w:color w:val="auto"/>
                <w:szCs w:val="21"/>
                <w:highlight w:val="none"/>
              </w:rPr>
            </w:pPr>
          </w:p>
          <w:p>
            <w:pPr>
              <w:widowControl/>
              <w:snapToGrid w:val="0"/>
              <w:jc w:val="left"/>
              <w:rPr>
                <w:rFonts w:ascii="宋体" w:hAnsi="宋体" w:cs="宋体"/>
                <w:color w:val="auto"/>
                <w:szCs w:val="21"/>
                <w:highlight w:val="none"/>
              </w:rPr>
            </w:pPr>
            <w:r>
              <w:rPr>
                <w:rFonts w:hint="eastAsia" w:ascii="宋体" w:hAnsi="宋体" w:cs="宋体"/>
                <w:color w:val="auto"/>
                <w:szCs w:val="21"/>
                <w:highlight w:val="none"/>
              </w:rPr>
              <w:t>签订日期：</w:t>
            </w:r>
          </w:p>
        </w:tc>
        <w:tc>
          <w:tcPr>
            <w:tcW w:w="4759" w:type="dxa"/>
          </w:tcPr>
          <w:p>
            <w:pPr>
              <w:spacing w:line="360" w:lineRule="auto"/>
              <w:rPr>
                <w:rFonts w:ascii="宋体" w:hAnsi="宋体" w:cs="宋体"/>
                <w:color w:val="auto"/>
                <w:szCs w:val="21"/>
                <w:highlight w:val="none"/>
              </w:rPr>
            </w:pPr>
          </w:p>
        </w:tc>
      </w:tr>
    </w:tbl>
    <w:p>
      <w:pPr>
        <w:autoSpaceDE w:val="0"/>
        <w:autoSpaceDN w:val="0"/>
        <w:adjustRightInd w:val="0"/>
        <w:jc w:val="left"/>
        <w:rPr>
          <w:rFonts w:ascii="宋体" w:hAnsi="宋体" w:cs="宋体"/>
          <w:color w:val="auto"/>
          <w:kern w:val="0"/>
          <w:sz w:val="24"/>
          <w:szCs w:val="24"/>
          <w:highlight w:val="none"/>
        </w:rPr>
      </w:pPr>
    </w:p>
    <w:p>
      <w:pPr>
        <w:rPr>
          <w:rFonts w:ascii="宋体" w:hAnsi="宋体" w:cs="宋体"/>
          <w:color w:val="auto"/>
          <w:highlight w:val="none"/>
        </w:rPr>
      </w:pPr>
    </w:p>
    <w:p>
      <w:pPr>
        <w:autoSpaceDE w:val="0"/>
        <w:autoSpaceDN w:val="0"/>
        <w:adjustRightInd w:val="0"/>
        <w:spacing w:line="360" w:lineRule="auto"/>
        <w:jc w:val="left"/>
        <w:rPr>
          <w:rFonts w:ascii="宋体" w:hAnsi="宋体" w:cs="宋体"/>
          <w:color w:val="auto"/>
          <w:kern w:val="0"/>
          <w:szCs w:val="21"/>
          <w:highlight w:val="none"/>
        </w:rPr>
      </w:pPr>
    </w:p>
    <w:p>
      <w:pPr>
        <w:pageBreakBefore/>
        <w:autoSpaceDE w:val="0"/>
        <w:autoSpaceDN w:val="0"/>
        <w:adjustRightInd w:val="0"/>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附件1：供应商履约评价表</w:t>
      </w:r>
    </w:p>
    <w:p>
      <w:pPr>
        <w:autoSpaceDE w:val="0"/>
        <w:autoSpaceDN w:val="0"/>
        <w:adjustRightInd w:val="0"/>
        <w:spacing w:line="360" w:lineRule="auto"/>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供应商履约评价表</w:t>
      </w:r>
    </w:p>
    <w:tbl>
      <w:tblPr>
        <w:tblStyle w:val="3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96"/>
        <w:gridCol w:w="2208"/>
        <w:gridCol w:w="1482"/>
        <w:gridCol w:w="789"/>
        <w:gridCol w:w="1287"/>
        <w:gridCol w:w="973"/>
        <w:gridCol w:w="640"/>
        <w:gridCol w:w="108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2" w:hRule="atLeast"/>
          <w:jc w:val="center"/>
        </w:trPr>
        <w:tc>
          <w:tcPr>
            <w:tcW w:w="1521" w:type="dxa"/>
            <w:gridSpan w:val="2"/>
            <w:vAlign w:val="center"/>
          </w:tcPr>
          <w:p>
            <w:pPr>
              <w:widowControl/>
              <w:snapToGrid w:val="0"/>
              <w:jc w:val="center"/>
              <w:rPr>
                <w:rFonts w:ascii="宋体" w:hAnsi="宋体" w:cs="宋体"/>
                <w:color w:val="auto"/>
                <w:szCs w:val="21"/>
                <w:highlight w:val="none"/>
              </w:rPr>
            </w:pPr>
            <w:r>
              <w:rPr>
                <w:rFonts w:hint="eastAsia" w:ascii="宋体" w:hAnsi="宋体" w:cs="宋体"/>
                <w:bCs/>
                <w:color w:val="auto"/>
                <w:szCs w:val="21"/>
                <w:highlight w:val="none"/>
              </w:rPr>
              <w:t>合同名称</w:t>
            </w:r>
          </w:p>
        </w:tc>
        <w:tc>
          <w:tcPr>
            <w:tcW w:w="8460" w:type="dxa"/>
            <w:gridSpan w:val="7"/>
            <w:vAlign w:val="center"/>
          </w:tcPr>
          <w:p>
            <w:pPr>
              <w:widowControl/>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15" w:hRule="atLeast"/>
          <w:jc w:val="center"/>
        </w:trPr>
        <w:tc>
          <w:tcPr>
            <w:tcW w:w="1521" w:type="dxa"/>
            <w:gridSpan w:val="2"/>
            <w:vAlign w:val="center"/>
          </w:tcPr>
          <w:p>
            <w:pPr>
              <w:widowControl/>
              <w:snapToGrid w:val="0"/>
              <w:jc w:val="center"/>
              <w:rPr>
                <w:rFonts w:ascii="宋体" w:hAnsi="宋体" w:cs="宋体"/>
                <w:color w:val="auto"/>
                <w:szCs w:val="21"/>
                <w:highlight w:val="none"/>
              </w:rPr>
            </w:pPr>
            <w:r>
              <w:rPr>
                <w:rFonts w:hint="eastAsia" w:ascii="宋体" w:hAnsi="宋体" w:cs="宋体"/>
                <w:bCs/>
                <w:color w:val="auto"/>
                <w:szCs w:val="21"/>
                <w:highlight w:val="none"/>
              </w:rPr>
              <w:t>合同编号</w:t>
            </w:r>
          </w:p>
        </w:tc>
        <w:tc>
          <w:tcPr>
            <w:tcW w:w="8460" w:type="dxa"/>
            <w:gridSpan w:val="7"/>
            <w:vAlign w:val="center"/>
          </w:tcPr>
          <w:p>
            <w:pPr>
              <w:widowControl/>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1521" w:type="dxa"/>
            <w:gridSpan w:val="2"/>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甲方（买方）名称</w:t>
            </w:r>
          </w:p>
        </w:tc>
        <w:tc>
          <w:tcPr>
            <w:tcW w:w="8460" w:type="dxa"/>
            <w:gridSpan w:val="7"/>
            <w:vAlign w:val="center"/>
          </w:tcPr>
          <w:p>
            <w:pPr>
              <w:widowControl/>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6" w:hRule="atLeast"/>
          <w:jc w:val="center"/>
        </w:trPr>
        <w:tc>
          <w:tcPr>
            <w:tcW w:w="1521" w:type="dxa"/>
            <w:gridSpan w:val="2"/>
            <w:vAlign w:val="center"/>
          </w:tcPr>
          <w:p>
            <w:pPr>
              <w:widowControl/>
              <w:snapToGrid w:val="0"/>
              <w:jc w:val="center"/>
              <w:rPr>
                <w:rFonts w:ascii="宋体" w:hAnsi="宋体" w:cs="宋体"/>
                <w:color w:val="auto"/>
                <w:szCs w:val="21"/>
                <w:highlight w:val="none"/>
              </w:rPr>
            </w:pPr>
            <w:r>
              <w:rPr>
                <w:rFonts w:hint="eastAsia" w:ascii="宋体" w:hAnsi="宋体" w:cs="宋体"/>
                <w:bCs/>
                <w:color w:val="auto"/>
                <w:szCs w:val="21"/>
                <w:highlight w:val="none"/>
              </w:rPr>
              <w:t>供应商</w:t>
            </w:r>
            <w:r>
              <w:rPr>
                <w:rFonts w:hint="eastAsia" w:ascii="宋体" w:hAnsi="宋体" w:cs="宋体"/>
                <w:color w:val="auto"/>
                <w:szCs w:val="21"/>
                <w:highlight w:val="none"/>
              </w:rPr>
              <w:t>名称</w:t>
            </w:r>
          </w:p>
        </w:tc>
        <w:tc>
          <w:tcPr>
            <w:tcW w:w="8460" w:type="dxa"/>
            <w:gridSpan w:val="7"/>
            <w:vAlign w:val="center"/>
          </w:tcPr>
          <w:p>
            <w:pPr>
              <w:widowControl/>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52" w:hRule="atLeast"/>
          <w:jc w:val="center"/>
        </w:trPr>
        <w:tc>
          <w:tcPr>
            <w:tcW w:w="1521" w:type="dxa"/>
            <w:gridSpan w:val="2"/>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供应货物名称</w:t>
            </w:r>
          </w:p>
        </w:tc>
        <w:tc>
          <w:tcPr>
            <w:tcW w:w="8460" w:type="dxa"/>
            <w:gridSpan w:val="7"/>
            <w:vAlign w:val="center"/>
          </w:tcPr>
          <w:p>
            <w:pPr>
              <w:widowControl/>
              <w:snapToGrid w:val="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履约评价项目</w:t>
            </w:r>
          </w:p>
        </w:tc>
        <w:tc>
          <w:tcPr>
            <w:tcW w:w="3690" w:type="dxa"/>
            <w:gridSpan w:val="2"/>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评价标准</w:t>
            </w:r>
          </w:p>
        </w:tc>
        <w:tc>
          <w:tcPr>
            <w:tcW w:w="2076" w:type="dxa"/>
            <w:gridSpan w:val="2"/>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评分说明</w:t>
            </w:r>
          </w:p>
        </w:tc>
        <w:tc>
          <w:tcPr>
            <w:tcW w:w="973"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640"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实得分</w:t>
            </w: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备注</w:t>
            </w:r>
          </w:p>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（该项分值80%的分数）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质量</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（1）货物未出现全部拒收或换货等质量问题；</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（2）有效成份含量符合合同规定，货物其他指标符合合同规定；</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（3）每批次货物质量稳定，投加效果良好，未出现由于每批次货物质量参差不齐或在同一投加量下产生不同效果，而对污泥减量化运营项目的生产运营造成实质性影响或损失等情况。</w:t>
            </w:r>
          </w:p>
        </w:tc>
        <w:tc>
          <w:tcPr>
            <w:tcW w:w="2076" w:type="dxa"/>
            <w:gridSpan w:val="2"/>
            <w:vAlign w:val="center"/>
          </w:tcPr>
          <w:p>
            <w:pPr>
              <w:widowControl/>
              <w:snapToGrid w:val="0"/>
              <w:jc w:val="left"/>
              <w:rPr>
                <w:rFonts w:ascii="宋体" w:hAnsi="宋体" w:cs="宋体"/>
                <w:color w:val="auto"/>
                <w:szCs w:val="21"/>
                <w:highlight w:val="none"/>
              </w:rPr>
            </w:pPr>
            <w:r>
              <w:rPr>
                <w:rFonts w:hint="eastAsia" w:ascii="宋体" w:hAnsi="宋体" w:cs="宋体"/>
                <w:bCs/>
                <w:color w:val="auto"/>
                <w:szCs w:val="21"/>
                <w:highlight w:val="none"/>
              </w:rPr>
              <w:t>达到标准的得满分，每月每次有一项未达到标准的扣4分。</w:t>
            </w:r>
          </w:p>
        </w:tc>
        <w:tc>
          <w:tcPr>
            <w:tcW w:w="97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20</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包装运输</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货物的包装、运输符合合同规定及行业标准；未出现由于包装、运输方式不当造成以下不良后果：</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（1）影响货物输送或储存质量；</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（2）货物质量下降；</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（3）货物泄漏导致供货量不足；</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（4）造成环境污染。</w:t>
            </w:r>
          </w:p>
        </w:tc>
        <w:tc>
          <w:tcPr>
            <w:tcW w:w="2076"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达到标准的得满分，每月每次有一项未达到标准的扣3分。</w:t>
            </w:r>
          </w:p>
        </w:tc>
        <w:tc>
          <w:tcPr>
            <w:tcW w:w="97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15</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货物交付</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（1）按合同约定时间供货（包括加急供货）；</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（2）每批次供货配合提供电子地磅称重单；</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（3）交付人员专业性强，工作效率高，熟悉交付操作流程；</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（4）运输车辆按厂区指示行驶及停放、卸货方式恰当；</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（5）每批次实际供货数量与甲方（买方）所发出供货通知要求的供货数量一致。</w:t>
            </w:r>
          </w:p>
        </w:tc>
        <w:tc>
          <w:tcPr>
            <w:tcW w:w="2076" w:type="dxa"/>
            <w:gridSpan w:val="2"/>
            <w:vAlign w:val="center"/>
          </w:tcPr>
          <w:p>
            <w:pPr>
              <w:widowControl/>
              <w:snapToGrid w:val="0"/>
              <w:rPr>
                <w:rFonts w:ascii="宋体" w:hAnsi="宋体" w:cs="宋体"/>
                <w:color w:val="auto"/>
                <w:szCs w:val="21"/>
                <w:highlight w:val="none"/>
              </w:rPr>
            </w:pPr>
            <w:r>
              <w:rPr>
                <w:rFonts w:hint="eastAsia" w:ascii="宋体" w:hAnsi="宋体" w:cs="宋体"/>
                <w:bCs/>
                <w:color w:val="auto"/>
                <w:szCs w:val="21"/>
                <w:highlight w:val="none"/>
              </w:rPr>
              <w:t>达到标准的得满分，每月每次有一项未达到标准的扣3分。</w:t>
            </w:r>
          </w:p>
        </w:tc>
        <w:tc>
          <w:tcPr>
            <w:tcW w:w="97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20</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验收</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（1）及时提供货物的各项技术资料；</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（2）高效处理退换货工作、态度良好；（3）未出现因对检测结果存在异议而影响供货的情况；</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（4）未出现因货物检验不合格，或因货物不合格影响厂区生产效果的情况。</w:t>
            </w:r>
          </w:p>
        </w:tc>
        <w:tc>
          <w:tcPr>
            <w:tcW w:w="2076"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达到标准的得满分，每月每次有一项未达到标准的扣4分。</w:t>
            </w:r>
          </w:p>
        </w:tc>
        <w:tc>
          <w:tcPr>
            <w:tcW w:w="973"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20</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（1）运输服务商资质符合合同规定及行业标准；</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（2）未出现超载或非法运输等情况；</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（3）未出现由于运输服务商资质不符、超载或非法运输造成第三方或厂区事故、损失的情况。</w:t>
            </w:r>
          </w:p>
        </w:tc>
        <w:tc>
          <w:tcPr>
            <w:tcW w:w="2076"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达到标准的得满分，每月每次有一项未达到标准的扣3分。</w:t>
            </w:r>
          </w:p>
        </w:tc>
        <w:tc>
          <w:tcPr>
            <w:tcW w:w="973"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096"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售后服务</w:t>
            </w:r>
          </w:p>
        </w:tc>
        <w:tc>
          <w:tcPr>
            <w:tcW w:w="3690" w:type="dxa"/>
            <w:gridSpan w:val="2"/>
            <w:vAlign w:val="center"/>
          </w:tcPr>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（1）人员：</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①管理、技术及服务人员均符合投标文件的承诺，服务队伍稳定，人员充足、专业性强，充分配合甲方（买方）供货需求；</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②对接人员与甲方（买方）沟通良好、理解到位、执行力强，能及时发现、解决问题，并未雨绸缪地因应各厂区实际情况提供合理化的供配货建议；</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③未出现推诿，借故不肯签署合同规定的文件或者敷衍了事、置之不理等情况。</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（2）配合：</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①售后服务流程完善，跟踪到位，响应速度快；</w:t>
            </w:r>
          </w:p>
          <w:p>
            <w:pPr>
              <w:widowControl/>
              <w:snapToGrid w:val="0"/>
              <w:rPr>
                <w:rFonts w:ascii="宋体" w:hAnsi="宋体" w:cs="宋体"/>
                <w:bCs/>
                <w:color w:val="auto"/>
                <w:szCs w:val="21"/>
                <w:highlight w:val="none"/>
              </w:rPr>
            </w:pPr>
            <w:r>
              <w:rPr>
                <w:rFonts w:hint="eastAsia" w:ascii="宋体" w:hAnsi="宋体" w:cs="宋体"/>
                <w:bCs/>
                <w:color w:val="auto"/>
                <w:szCs w:val="21"/>
                <w:highlight w:val="none"/>
              </w:rPr>
              <w:t>②就货物储存保质方式、方法提出合理化建议并能提供专业技术指导；</w:t>
            </w:r>
          </w:p>
          <w:p>
            <w:pPr>
              <w:widowControl/>
              <w:snapToGrid w:val="0"/>
              <w:rPr>
                <w:rFonts w:ascii="宋体" w:hAnsi="宋体" w:cs="宋体"/>
                <w:color w:val="auto"/>
                <w:szCs w:val="21"/>
                <w:highlight w:val="none"/>
              </w:rPr>
            </w:pPr>
            <w:r>
              <w:rPr>
                <w:rFonts w:hint="eastAsia" w:ascii="宋体" w:hAnsi="宋体" w:cs="宋体"/>
                <w:bCs/>
                <w:color w:val="auto"/>
                <w:szCs w:val="21"/>
                <w:highlight w:val="none"/>
              </w:rPr>
              <w:t>③积极配合甲方（买方）进行试验、积极协助甲方（买方）</w:t>
            </w:r>
            <w:r>
              <w:rPr>
                <w:rFonts w:hint="eastAsia" w:ascii="宋体" w:hAnsi="宋体" w:cs="宋体"/>
                <w:color w:val="auto"/>
                <w:szCs w:val="21"/>
                <w:highlight w:val="none"/>
              </w:rPr>
              <w:t>接受政府管理部门的检查工作及提供各类资质证明材料；</w:t>
            </w:r>
          </w:p>
          <w:p>
            <w:pPr>
              <w:widowControl/>
              <w:snapToGrid w:val="0"/>
              <w:rPr>
                <w:rFonts w:ascii="宋体" w:hAnsi="宋体" w:cs="宋体"/>
                <w:color w:val="auto"/>
                <w:szCs w:val="21"/>
                <w:highlight w:val="none"/>
              </w:rPr>
            </w:pPr>
            <w:r>
              <w:rPr>
                <w:rFonts w:hint="eastAsia" w:ascii="宋体" w:hAnsi="宋体" w:cs="宋体"/>
                <w:color w:val="auto"/>
                <w:szCs w:val="21"/>
                <w:highlight w:val="none"/>
              </w:rPr>
              <w:t>④能根据甲方（买方）要求提供专业培训。</w:t>
            </w:r>
          </w:p>
        </w:tc>
        <w:tc>
          <w:tcPr>
            <w:tcW w:w="2076" w:type="dxa"/>
            <w:gridSpan w:val="2"/>
            <w:vAlign w:val="center"/>
          </w:tcPr>
          <w:p>
            <w:pPr>
              <w:widowControl/>
              <w:snapToGrid w:val="0"/>
              <w:jc w:val="left"/>
              <w:rPr>
                <w:rFonts w:ascii="宋体" w:hAnsi="宋体" w:cs="宋体"/>
                <w:bCs/>
                <w:color w:val="auto"/>
                <w:szCs w:val="21"/>
                <w:highlight w:val="none"/>
              </w:rPr>
            </w:pPr>
            <w:r>
              <w:rPr>
                <w:rFonts w:hint="eastAsia" w:ascii="宋体" w:hAnsi="宋体" w:cs="宋体"/>
                <w:bCs/>
                <w:color w:val="auto"/>
                <w:szCs w:val="21"/>
                <w:highlight w:val="none"/>
              </w:rPr>
              <w:t>达到标准的得满分，每月每次有一项未达到标准的扣2分。</w:t>
            </w:r>
          </w:p>
        </w:tc>
        <w:tc>
          <w:tcPr>
            <w:tcW w:w="973"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287" w:type="dxa"/>
            <w:gridSpan w:val="6"/>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973"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100</w:t>
            </w:r>
          </w:p>
        </w:tc>
        <w:tc>
          <w:tcPr>
            <w:tcW w:w="640" w:type="dxa"/>
            <w:vAlign w:val="center"/>
          </w:tcPr>
          <w:p>
            <w:pPr>
              <w:widowControl/>
              <w:snapToGrid w:val="0"/>
              <w:jc w:val="center"/>
              <w:rPr>
                <w:rFonts w:ascii="宋体" w:hAnsi="宋体" w:cs="宋体"/>
                <w:bCs/>
                <w:color w:val="auto"/>
                <w:szCs w:val="21"/>
                <w:highlight w:val="none"/>
              </w:rPr>
            </w:pPr>
          </w:p>
        </w:tc>
        <w:tc>
          <w:tcPr>
            <w:tcW w:w="1081" w:type="dxa"/>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3729" w:type="dxa"/>
            <w:gridSpan w:val="3"/>
            <w:vAlign w:val="center"/>
          </w:tcPr>
          <w:p>
            <w:pPr>
              <w:widowControl/>
              <w:snapToGrid w:val="0"/>
              <w:jc w:val="center"/>
              <w:rPr>
                <w:rFonts w:ascii="宋体" w:hAnsi="宋体" w:cs="宋体"/>
                <w:bCs/>
                <w:color w:val="auto"/>
                <w:szCs w:val="21"/>
                <w:highlight w:val="none"/>
              </w:rPr>
            </w:pPr>
            <w:r>
              <w:rPr>
                <w:rFonts w:hint="eastAsia" w:ascii="宋体" w:hAnsi="宋体" w:cs="宋体"/>
                <w:bCs/>
                <w:color w:val="auto"/>
                <w:szCs w:val="21"/>
                <w:highlight w:val="none"/>
              </w:rPr>
              <w:t>评审结论</w:t>
            </w:r>
          </w:p>
        </w:tc>
        <w:tc>
          <w:tcPr>
            <w:tcW w:w="6252" w:type="dxa"/>
            <w:gridSpan w:val="6"/>
          </w:tcPr>
          <w:p>
            <w:pPr>
              <w:widowControl/>
              <w:snapToGrid w:val="0"/>
              <w:jc w:val="left"/>
              <w:rPr>
                <w:rFonts w:ascii="宋体" w:hAnsi="宋体" w:cs="宋体"/>
                <w:bCs/>
                <w:color w:val="auto"/>
                <w:szCs w:val="21"/>
                <w:highlight w:val="none"/>
              </w:rPr>
            </w:pPr>
            <w:r>
              <w:rPr>
                <w:rFonts w:hint="eastAsia" w:ascii="宋体" w:hAnsi="宋体" w:cs="宋体"/>
                <w:bCs/>
                <w:color w:val="auto"/>
                <w:szCs w:val="21"/>
                <w:highlight w:val="none"/>
              </w:rPr>
              <w:t>□每项实得分均不低于该项分值80%的，评审结论合格</w:t>
            </w:r>
          </w:p>
          <w:p>
            <w:pPr>
              <w:autoSpaceDE w:val="0"/>
              <w:autoSpaceDN w:val="0"/>
              <w:adjustRightInd w:val="0"/>
              <w:jc w:val="left"/>
              <w:outlineLvl w:val="2"/>
              <w:rPr>
                <w:rFonts w:ascii="宋体" w:hAnsi="宋体" w:cs="宋体"/>
                <w:color w:val="auto"/>
                <w:sz w:val="24"/>
                <w:szCs w:val="24"/>
                <w:highlight w:val="none"/>
              </w:rPr>
            </w:pPr>
          </w:p>
          <w:p>
            <w:pPr>
              <w:widowControl/>
              <w:snapToGrid w:val="0"/>
              <w:jc w:val="left"/>
              <w:rPr>
                <w:rFonts w:ascii="宋体" w:hAnsi="宋体" w:cs="宋体"/>
                <w:bCs/>
                <w:color w:val="auto"/>
                <w:szCs w:val="21"/>
                <w:highlight w:val="none"/>
              </w:rPr>
            </w:pPr>
            <w:r>
              <w:rPr>
                <w:rFonts w:hint="eastAsia" w:ascii="宋体" w:hAnsi="宋体" w:cs="宋体"/>
                <w:bCs/>
                <w:color w:val="auto"/>
                <w:szCs w:val="21"/>
                <w:highlight w:val="none"/>
              </w:rPr>
              <w:t>□评审结论不合格，说明：</w:t>
            </w:r>
            <w:r>
              <w:rPr>
                <w:rFonts w:hint="eastAsia" w:ascii="宋体" w:hAnsi="宋体" w:cs="宋体"/>
                <w:bCs/>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729" w:type="dxa"/>
            <w:gridSpan w:val="3"/>
            <w:vMerge w:val="restart"/>
            <w:vAlign w:val="center"/>
          </w:tcPr>
          <w:p>
            <w:pPr>
              <w:widowControl/>
              <w:snapToGrid w:val="0"/>
              <w:jc w:val="center"/>
              <w:rPr>
                <w:rFonts w:ascii="宋体" w:hAnsi="宋体" w:cs="宋体"/>
                <w:color w:val="auto"/>
                <w:szCs w:val="21"/>
                <w:highlight w:val="none"/>
              </w:rPr>
            </w:pPr>
            <w:r>
              <w:rPr>
                <w:rFonts w:hint="eastAsia" w:ascii="宋体" w:hAnsi="宋体" w:cs="宋体"/>
                <w:bCs/>
                <w:color w:val="auto"/>
                <w:szCs w:val="21"/>
                <w:highlight w:val="none"/>
              </w:rPr>
              <w:t>履约评审运营项目</w:t>
            </w:r>
            <w:r>
              <w:rPr>
                <w:rFonts w:hint="eastAsia" w:ascii="宋体" w:hAnsi="宋体" w:cs="宋体"/>
                <w:color w:val="auto"/>
                <w:szCs w:val="21"/>
                <w:highlight w:val="none"/>
              </w:rPr>
              <w:t>其他</w:t>
            </w:r>
            <w:r>
              <w:rPr>
                <w:rFonts w:hint="eastAsia" w:ascii="宋体" w:hAnsi="宋体" w:cs="宋体"/>
                <w:bCs/>
                <w:color w:val="auto"/>
                <w:szCs w:val="21"/>
                <w:highlight w:val="none"/>
              </w:rPr>
              <w:t>意见及签署</w:t>
            </w:r>
          </w:p>
        </w:tc>
        <w:tc>
          <w:tcPr>
            <w:tcW w:w="2271" w:type="dxa"/>
            <w:gridSpan w:val="2"/>
            <w:vAlign w:val="center"/>
          </w:tcPr>
          <w:p>
            <w:pPr>
              <w:widowControl/>
              <w:snapToGrid w:val="0"/>
              <w:jc w:val="left"/>
              <w:rPr>
                <w:rFonts w:ascii="宋体" w:hAnsi="宋体" w:cs="宋体"/>
                <w:color w:val="auto"/>
                <w:szCs w:val="21"/>
                <w:highlight w:val="none"/>
              </w:rPr>
            </w:pPr>
            <w:r>
              <w:rPr>
                <w:rFonts w:hint="eastAsia" w:ascii="宋体" w:hAnsi="宋体" w:cs="宋体"/>
                <w:bCs/>
                <w:color w:val="auto"/>
                <w:szCs w:val="21"/>
                <w:highlight w:val="none"/>
              </w:rPr>
              <w:t>经办人</w:t>
            </w:r>
          </w:p>
        </w:tc>
        <w:tc>
          <w:tcPr>
            <w:tcW w:w="3987" w:type="dxa"/>
            <w:gridSpan w:val="5"/>
            <w:vAlign w:val="center"/>
          </w:tcPr>
          <w:p>
            <w:pPr>
              <w:widowControl/>
              <w:snapToGrid w:val="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29" w:type="dxa"/>
            <w:gridSpan w:val="3"/>
            <w:vMerge w:val="continue"/>
          </w:tcPr>
          <w:p>
            <w:pPr>
              <w:widowControl/>
              <w:snapToGrid w:val="0"/>
              <w:jc w:val="left"/>
              <w:rPr>
                <w:rFonts w:ascii="宋体" w:hAnsi="宋体" w:cs="宋体"/>
                <w:bCs/>
                <w:color w:val="auto"/>
                <w:szCs w:val="21"/>
                <w:highlight w:val="none"/>
              </w:rPr>
            </w:pPr>
          </w:p>
        </w:tc>
        <w:tc>
          <w:tcPr>
            <w:tcW w:w="2271" w:type="dxa"/>
            <w:gridSpan w:val="2"/>
            <w:vAlign w:val="center"/>
          </w:tcPr>
          <w:p>
            <w:pPr>
              <w:widowControl/>
              <w:snapToGrid w:val="0"/>
              <w:jc w:val="left"/>
              <w:rPr>
                <w:rFonts w:ascii="宋体" w:hAnsi="宋体" w:cs="宋体"/>
                <w:bCs/>
                <w:color w:val="auto"/>
                <w:szCs w:val="21"/>
                <w:highlight w:val="none"/>
              </w:rPr>
            </w:pPr>
            <w:r>
              <w:rPr>
                <w:rFonts w:hint="eastAsia" w:ascii="宋体" w:hAnsi="宋体" w:cs="宋体"/>
                <w:bCs/>
                <w:color w:val="auto"/>
                <w:szCs w:val="21"/>
                <w:highlight w:val="none"/>
              </w:rPr>
              <w:t>运营项目负责人</w:t>
            </w:r>
          </w:p>
        </w:tc>
        <w:tc>
          <w:tcPr>
            <w:tcW w:w="3987" w:type="dxa"/>
            <w:gridSpan w:val="5"/>
            <w:vAlign w:val="center"/>
          </w:tcPr>
          <w:p>
            <w:pPr>
              <w:widowControl/>
              <w:snapToGrid w:val="0"/>
              <w:jc w:val="left"/>
              <w:rPr>
                <w:rFonts w:ascii="宋体" w:hAnsi="宋体" w:cs="宋体"/>
                <w:bCs/>
                <w:color w:val="auto"/>
                <w:szCs w:val="21"/>
                <w:highlight w:val="none"/>
              </w:rPr>
            </w:pPr>
          </w:p>
        </w:tc>
      </w:tr>
    </w:tbl>
    <w:p>
      <w:pPr>
        <w:autoSpaceDE w:val="0"/>
        <w:autoSpaceDN w:val="0"/>
        <w:adjustRightInd w:val="0"/>
        <w:jc w:val="left"/>
        <w:rPr>
          <w:rFonts w:ascii="宋体" w:hAnsi="宋体" w:cs="宋体"/>
          <w:color w:val="auto"/>
          <w:kern w:val="0"/>
          <w:sz w:val="24"/>
          <w:szCs w:val="24"/>
          <w:highlight w:val="none"/>
        </w:rPr>
      </w:pPr>
    </w:p>
    <w:p>
      <w:pPr>
        <w:pageBreakBefore/>
        <w:autoSpaceDE w:val="0"/>
        <w:autoSpaceDN w:val="0"/>
        <w:adjustRightInd w:val="0"/>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附件2：廉洁协议书</w:t>
      </w:r>
    </w:p>
    <w:p>
      <w:pPr>
        <w:autoSpaceDE w:val="0"/>
        <w:autoSpaceDN w:val="0"/>
        <w:adjustRightIn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廉洁协议书</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项目名称：</w:t>
      </w:r>
      <w:r>
        <w:rPr>
          <w:rFonts w:hint="eastAsia" w:ascii="宋体" w:hAnsi="宋体" w:cs="宋体"/>
          <w:color w:val="auto"/>
          <w:kern w:val="0"/>
          <w:szCs w:val="21"/>
          <w:highlight w:val="none"/>
        </w:rPr>
        <w:t>东莞市众源环境投资有限公司2025年污泥处理用聚丙烯酰胺采购项目                                    （招标编号：</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甲方（业主单位）：</w:t>
      </w:r>
      <w:r>
        <w:rPr>
          <w:rFonts w:hint="eastAsia" w:ascii="宋体" w:hAnsi="宋体" w:cs="宋体"/>
          <w:color w:val="auto"/>
          <w:kern w:val="0"/>
          <w:szCs w:val="21"/>
          <w:highlight w:val="none"/>
        </w:rPr>
        <w:t xml:space="preserve"> </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乙方：</w:t>
      </w:r>
      <w:r>
        <w:rPr>
          <w:rFonts w:hint="eastAsia" w:ascii="宋体" w:hAnsi="宋体" w:cs="宋体"/>
          <w:color w:val="auto"/>
          <w:kern w:val="0"/>
          <w:szCs w:val="21"/>
          <w:highlight w:val="none"/>
        </w:rPr>
        <w:t xml:space="preserve"> </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第一条  甲乙双方的权利和义务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（一）严格遵守党和国家有关法律法规等有关廉洁从业规定。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（二）严格执行本项目的合同文件，自觉按合同办事。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（四）建立健全廉洁制度，开展廉洁教育，设立廉洁监督公示牌，公布举报电话，监督并认真查处违法违纪行为。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（五）发现对方在业务活动中有违反廉洁规定的行为，有及时提醒对方纠正的权利和义务。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（六）发现对方严重违反本协议义务条款的行为，有向其上级有关部门举报、建议给予处理并要求告知处理结果的权利。</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第二条  甲方的义务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（一）甲方及其工作人员不得索要或接受乙方的礼金、有价证券和贵重物品，不得在乙方报销任何应由甲方或个人支付的费用。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（二）甲方工作人员不得参加乙方安排的高消费宴请和娱乐活动；不得接受乙方提供的通讯工具、交通工具和高档办公用品。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（三）甲方及其工作人员不得要求或者接受乙方为其住房装修、婚丧嫁娶活动、家属或亲友的工作安排以及出国出境、旅游等提供方便。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（四）甲方工作人员不得向乙方介绍其家属或者亲友（包括家属或亲友开办的公司企业）从事于本项目涉及的经济业务活动。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（五）甲方及其工作人员不得以任何理由向乙方推荐分包单位，不得要求乙方购买合同规定外的材料和设备。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（六）甲方及其工作人员不得进行违反廉洁规定的其他活动。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第三条  乙方义务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（一）乙方不得以任何理由向甲方及其工作人员馈赠礼金、有价证券、贵重礼品，或报销应由甲方单位或个人支付的任何费用。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（二）乙方及其工作人员不得以考察、参观、洽谈业务、签订合同等的借口邀请甲方及其工作人员参加高消费的宴请、娱乐和健身等活动。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（三）乙方不得为甲方单位和个人购置或提供通讯工具、交通工具和高档办公用品等。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（四）乙方及其工作人员不得为甲方工作人员购买、装修、维修私人住房、汽车等。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（五）乙方及其工作人员不得为甲方工作人员的婚丧嫁娶、家属或亲友的工作安排，及出国出境提供方便以及报销任何私人消费的费用。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（六）乙方及其工作人员不得进行影响甲方及其工作人员公正执行合同和履行职务的其他活动。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第四条  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（一）甲方违反本协议第一、第二条给乙方单位造成经济损失的，应予以赔偿。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（二）乙方违反本协议第一、第三条给甲方单位造成经济损失的，应予以赔偿。</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第五条  监督检查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甲乙双方的廉洁从业行为由双方或双方上级单位的纪检、监察部门负责监督，对本协议履行情况进行检查。</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第六条 举报信访受理</w:t>
      </w:r>
    </w:p>
    <w:p>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（一）举报受理部门：东莞市水务集团有限公司纪检监察部。</w:t>
      </w:r>
    </w:p>
    <w:p>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（二）举报电话：（0769）23076092。</w:t>
      </w:r>
    </w:p>
    <w:p>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Style w:val="44"/>
          <w:rFonts w:hint="eastAsia" w:ascii="宋体" w:hAnsi="宋体" w:cs="宋体"/>
          <w:color w:val="auto"/>
          <w:sz w:val="21"/>
          <w:szCs w:val="21"/>
          <w:highlight w:val="none"/>
        </w:rPr>
        <w:t>jcsj@dgswjt.cn。</w:t>
      </w:r>
      <w:r>
        <w:rPr>
          <w:rStyle w:val="44"/>
          <w:rFonts w:hint="eastAsia" w:ascii="宋体" w:hAnsi="宋体" w:cs="宋体"/>
          <w:color w:val="auto"/>
          <w:sz w:val="21"/>
          <w:szCs w:val="21"/>
          <w:highlight w:val="none"/>
        </w:rPr>
        <w:fldChar w:fldCharType="end"/>
      </w:r>
    </w:p>
    <w:p>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（四）信访地址：广东省东莞市东城街道育华路1号。</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第七条 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本协议有效期为甲乙双方签字并加盖公章之日起至该工程/采购项目竣工验收完毕，质保期/服务期满后止。本协议一式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份，甲、乙双方上级主管部门各执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（本页为廉洁协议签署页）</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ind w:left="5880" w:hanging="5880" w:hangingChars="28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甲方（盖章）：                           乙方（盖章）： </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                             法定代表人：</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甲方代表：                               乙方代表：</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jc w:val="left"/>
        <w:rPr>
          <w:rFonts w:ascii="宋体" w:hAnsi="宋体" w:cs="宋体"/>
          <w:color w:val="auto"/>
          <w:kern w:val="0"/>
          <w:sz w:val="24"/>
          <w:szCs w:val="24"/>
          <w:highlight w:val="none"/>
        </w:rPr>
      </w:pPr>
      <w:r>
        <w:rPr>
          <w:rFonts w:hint="eastAsia" w:ascii="宋体" w:hAnsi="宋体" w:cs="宋体"/>
          <w:color w:val="auto"/>
          <w:kern w:val="0"/>
          <w:szCs w:val="21"/>
          <w:highlight w:val="none"/>
        </w:rPr>
        <w:t>签订日期：    年  月  日                      年  月  日</w:t>
      </w:r>
    </w:p>
    <w:p>
      <w:pPr>
        <w:autoSpaceDE w:val="0"/>
        <w:autoSpaceDN w:val="0"/>
        <w:adjustRightInd w:val="0"/>
        <w:jc w:val="left"/>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pStyle w:val="46"/>
        <w:rPr>
          <w:rFonts w:ascii="宋体" w:hAnsi="宋体" w:cs="宋体"/>
          <w:color w:val="auto"/>
          <w:kern w:val="0"/>
          <w:sz w:val="24"/>
          <w:szCs w:val="24"/>
          <w:highlight w:val="none"/>
        </w:rPr>
      </w:pPr>
    </w:p>
    <w:p>
      <w:pPr>
        <w:autoSpaceDE w:val="0"/>
        <w:autoSpaceDN w:val="0"/>
        <w:adjustRightInd w:val="0"/>
        <w:snapToGrid w:val="0"/>
        <w:spacing w:line="360" w:lineRule="auto"/>
        <w:jc w:val="left"/>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附件5：验收报告</w:t>
      </w:r>
    </w:p>
    <w:p>
      <w:pPr>
        <w:jc w:val="center"/>
        <w:rPr>
          <w:rFonts w:ascii="方正小标宋简体" w:eastAsia="方正小标宋简体"/>
          <w:color w:val="auto"/>
          <w:sz w:val="44"/>
          <w:szCs w:val="44"/>
          <w:highlight w:val="none"/>
        </w:rPr>
      </w:pPr>
      <w:r>
        <w:rPr>
          <w:rFonts w:hint="eastAsia" w:ascii="方正小标宋简体" w:eastAsia="方正小标宋简体"/>
          <w:color w:val="auto"/>
          <w:sz w:val="32"/>
          <w:szCs w:val="32"/>
          <w:highlight w:val="none"/>
        </w:rPr>
        <w:t>验收报告</w:t>
      </w:r>
    </w:p>
    <w:tbl>
      <w:tblPr>
        <w:tblStyle w:val="3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3"/>
        <w:gridCol w:w="546"/>
        <w:gridCol w:w="1684"/>
        <w:gridCol w:w="183"/>
        <w:gridCol w:w="524"/>
        <w:gridCol w:w="1578"/>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auto"/>
                <w:sz w:val="24"/>
                <w:highlight w:val="none"/>
              </w:rPr>
            </w:pPr>
            <w:r>
              <w:rPr>
                <w:rFonts w:hint="eastAsia" w:ascii="宋体" w:hAnsi="宋体"/>
                <w:b/>
                <w:color w:val="auto"/>
                <w:sz w:val="24"/>
                <w:highlight w:val="none"/>
              </w:rPr>
              <w:t>合同名称</w:t>
            </w:r>
          </w:p>
        </w:tc>
        <w:tc>
          <w:tcPr>
            <w:tcW w:w="8018"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autoSpaceDE w:val="0"/>
              <w:autoSpaceDN w:val="0"/>
              <w:adjustRightInd w:val="0"/>
              <w:spacing w:line="360" w:lineRule="auto"/>
              <w:jc w:val="left"/>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auto"/>
                <w:sz w:val="24"/>
                <w:highlight w:val="none"/>
              </w:rPr>
            </w:pPr>
            <w:r>
              <w:rPr>
                <w:rFonts w:hint="eastAsia" w:ascii="宋体" w:hAnsi="宋体" w:eastAsia="宋体" w:cs="宋体"/>
                <w:b/>
                <w:color w:val="auto"/>
                <w:sz w:val="24"/>
                <w:highlight w:val="none"/>
              </w:rPr>
              <w:t>合同编号</w:t>
            </w:r>
          </w:p>
        </w:tc>
        <w:tc>
          <w:tcPr>
            <w:tcW w:w="8018"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left"/>
              <w:textAlignment w:val="center"/>
              <w:rPr>
                <w:rFonts w:hint="default" w:ascii="宋体" w:hAnsi="宋体" w:eastAsiaTheme="minorEastAsia"/>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14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auto"/>
                <w:sz w:val="24"/>
                <w:highlight w:val="none"/>
              </w:rPr>
            </w:pPr>
            <w:r>
              <w:rPr>
                <w:rFonts w:hint="eastAsia" w:ascii="宋体" w:hAnsi="宋体" w:eastAsia="宋体" w:cs="宋体"/>
                <w:b/>
                <w:color w:val="auto"/>
                <w:sz w:val="24"/>
                <w:highlight w:val="none"/>
              </w:rPr>
              <w:t>供货单位</w:t>
            </w:r>
          </w:p>
        </w:tc>
        <w:tc>
          <w:tcPr>
            <w:tcW w:w="8018"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left"/>
              <w:textAlignment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b/>
                <w:color w:val="auto"/>
                <w:sz w:val="24"/>
                <w:highlight w:val="none"/>
              </w:rPr>
            </w:pPr>
            <w:r>
              <w:rPr>
                <w:rFonts w:hint="eastAsia" w:ascii="宋体" w:hAnsi="宋体" w:eastAsia="宋体" w:cs="宋体"/>
                <w:b/>
                <w:color w:val="auto"/>
                <w:sz w:val="24"/>
                <w:highlight w:val="none"/>
              </w:rPr>
              <w:t>药剂名称</w:t>
            </w:r>
          </w:p>
        </w:tc>
        <w:tc>
          <w:tcPr>
            <w:tcW w:w="2413"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阳离子聚丙烯酰胺</w:t>
            </w:r>
          </w:p>
        </w:tc>
        <w:tc>
          <w:tcPr>
            <w:tcW w:w="210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ascii="宋体" w:hAnsi="宋体" w:eastAsia="宋体" w:cs="宋体"/>
                <w:b/>
                <w:color w:val="auto"/>
                <w:sz w:val="24"/>
                <w:highlight w:val="none"/>
              </w:rPr>
            </w:pPr>
            <w:r>
              <w:rPr>
                <w:rFonts w:hint="eastAsia" w:ascii="宋体" w:hAnsi="宋体" w:eastAsia="宋体" w:cs="宋体"/>
                <w:b/>
                <w:color w:val="auto"/>
                <w:sz w:val="24"/>
                <w:highlight w:val="none"/>
              </w:rPr>
              <w:t>品    牌</w:t>
            </w:r>
          </w:p>
        </w:tc>
        <w:tc>
          <w:tcPr>
            <w:tcW w:w="350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161" w:type="dxa"/>
            <w:gridSpan w:val="7"/>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现场初检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2689" w:type="dxa"/>
            <w:gridSpan w:val="2"/>
            <w:tcBorders>
              <w:top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供货时间</w:t>
            </w:r>
          </w:p>
        </w:tc>
        <w:tc>
          <w:tcPr>
            <w:tcW w:w="7472" w:type="dxa"/>
            <w:gridSpan w:val="5"/>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bCs/>
                <w:color w:val="auto"/>
                <w:kern w:val="0"/>
                <w:sz w:val="22"/>
                <w:szCs w:val="22"/>
                <w:highlight w:val="none"/>
                <w:lang w:bidi="ar"/>
              </w:rPr>
            </w:pPr>
            <w:r>
              <w:rPr>
                <w:rFonts w:hint="eastAsia" w:ascii="Times New Roman" w:hAnsi="Times New Roman" w:eastAsia="宋体" w:cs="Times New Roman"/>
                <w:bCs/>
                <w:color w:val="auto"/>
                <w:kern w:val="0"/>
                <w:sz w:val="22"/>
                <w:szCs w:val="22"/>
                <w:highlight w:val="none"/>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689" w:type="dxa"/>
            <w:gridSpan w:val="2"/>
            <w:shd w:val="clear" w:color="auto" w:fill="auto"/>
            <w:noWrap/>
            <w:tcMar>
              <w:top w:w="15" w:type="dxa"/>
              <w:left w:w="15" w:type="dxa"/>
              <w:right w:w="15" w:type="dxa"/>
            </w:tcMar>
            <w:vAlign w:val="center"/>
          </w:tcPr>
          <w:p>
            <w:pPr>
              <w:widowControl/>
              <w:ind w:firstLine="442" w:firstLineChars="200"/>
              <w:textAlignment w:val="center"/>
              <w:rPr>
                <w:rFonts w:ascii="Times New Roman" w:hAnsi="Times New Roman" w:eastAsia="宋体" w:cs="Times New Roman"/>
                <w:color w:val="auto"/>
                <w:sz w:val="24"/>
                <w:highlight w:val="none"/>
              </w:rPr>
            </w:pPr>
            <w:r>
              <w:rPr>
                <w:rFonts w:hint="eastAsia" w:ascii="宋体" w:hAnsi="宋体" w:eastAsia="宋体" w:cs="宋体"/>
                <w:b/>
                <w:color w:val="auto"/>
                <w:sz w:val="22"/>
                <w:szCs w:val="22"/>
                <w:highlight w:val="none"/>
              </w:rPr>
              <w:t>供货数量（吨）</w:t>
            </w:r>
          </w:p>
        </w:tc>
        <w:tc>
          <w:tcPr>
            <w:tcW w:w="7472" w:type="dxa"/>
            <w:gridSpan w:val="5"/>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689" w:type="dxa"/>
            <w:gridSpan w:val="2"/>
            <w:shd w:val="clear" w:color="auto" w:fill="auto"/>
            <w:noWrap/>
            <w:tcMar>
              <w:top w:w="15" w:type="dxa"/>
              <w:left w:w="15" w:type="dxa"/>
              <w:right w:w="15" w:type="dxa"/>
            </w:tcMar>
            <w:vAlign w:val="center"/>
          </w:tcPr>
          <w:p>
            <w:pPr>
              <w:widowControl/>
              <w:ind w:firstLine="442" w:firstLineChars="200"/>
              <w:textAlignment w:val="center"/>
              <w:rPr>
                <w:rFonts w:ascii="Times New Roman" w:hAnsi="Times New Roman" w:eastAsia="宋体" w:cs="Times New Roman"/>
                <w:color w:val="auto"/>
                <w:sz w:val="24"/>
                <w:highlight w:val="none"/>
              </w:rPr>
            </w:pPr>
            <w:r>
              <w:rPr>
                <w:rFonts w:hint="eastAsia" w:ascii="宋体" w:hAnsi="宋体" w:eastAsia="宋体" w:cs="宋体"/>
                <w:b/>
                <w:color w:val="auto"/>
                <w:sz w:val="22"/>
                <w:szCs w:val="22"/>
                <w:highlight w:val="none"/>
              </w:rPr>
              <w:t>外观颜色</w:t>
            </w:r>
          </w:p>
        </w:tc>
        <w:tc>
          <w:tcPr>
            <w:tcW w:w="7472" w:type="dxa"/>
            <w:gridSpan w:val="5"/>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689" w:type="dxa"/>
            <w:gridSpan w:val="2"/>
            <w:shd w:val="clear" w:color="auto" w:fill="auto"/>
            <w:noWrap/>
            <w:tcMar>
              <w:top w:w="15" w:type="dxa"/>
              <w:left w:w="15" w:type="dxa"/>
              <w:right w:w="15" w:type="dxa"/>
            </w:tcMar>
            <w:vAlign w:val="center"/>
          </w:tcPr>
          <w:p>
            <w:pPr>
              <w:widowControl/>
              <w:ind w:firstLine="442" w:firstLineChars="200"/>
              <w:textAlignment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随货资料</w:t>
            </w:r>
          </w:p>
        </w:tc>
        <w:tc>
          <w:tcPr>
            <w:tcW w:w="7472" w:type="dxa"/>
            <w:gridSpan w:val="5"/>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bCs/>
                <w:color w:val="auto"/>
                <w:kern w:val="0"/>
                <w:sz w:val="22"/>
                <w:szCs w:val="22"/>
                <w:highlight w:val="none"/>
                <w:lang w:bidi="ar"/>
              </w:rPr>
              <w:t xml:space="preserve">出厂检验报告 </w:t>
            </w:r>
            <w:r>
              <w:rPr>
                <w:rFonts w:hint="eastAsia" w:ascii="Times New Roman" w:hAnsi="Times New Roman" w:eastAsia="宋体" w:cs="Times New Roman"/>
                <w:bCs/>
                <w:color w:val="auto"/>
                <w:kern w:val="0"/>
                <w:sz w:val="22"/>
                <w:szCs w:val="22"/>
                <w:highlight w:val="none"/>
                <w:lang w:bidi="ar"/>
              </w:rPr>
              <w:sym w:font="Wingdings 2" w:char="F0A3"/>
            </w:r>
            <w:r>
              <w:rPr>
                <w:rFonts w:hint="eastAsia" w:ascii="Times New Roman" w:hAnsi="Times New Roman" w:eastAsia="宋体" w:cs="Times New Roman"/>
                <w:bCs/>
                <w:color w:val="auto"/>
                <w:kern w:val="0"/>
                <w:sz w:val="22"/>
                <w:szCs w:val="22"/>
                <w:highlight w:val="none"/>
                <w:lang w:bidi="ar"/>
              </w:rPr>
              <w:t xml:space="preserve"> 、 磅单 </w:t>
            </w:r>
            <w:r>
              <w:rPr>
                <w:rFonts w:hint="eastAsia" w:ascii="Times New Roman" w:hAnsi="Times New Roman" w:eastAsia="宋体" w:cs="Times New Roman"/>
                <w:bCs/>
                <w:color w:val="auto"/>
                <w:kern w:val="0"/>
                <w:sz w:val="22"/>
                <w:szCs w:val="22"/>
                <w:highlight w:val="none"/>
                <w:lang w:bidi="ar"/>
              </w:rPr>
              <w:sym w:font="Wingdings 2" w:char="F0A3"/>
            </w:r>
            <w:r>
              <w:rPr>
                <w:rFonts w:hint="eastAsia" w:ascii="Times New Roman" w:hAnsi="Times New Roman" w:eastAsia="宋体" w:cs="Times New Roman"/>
                <w:bCs/>
                <w:color w:val="auto"/>
                <w:kern w:val="0"/>
                <w:sz w:val="22"/>
                <w:szCs w:val="22"/>
                <w:highlight w:val="none"/>
                <w:lang w:bidi="ar"/>
              </w:rPr>
              <w:t xml:space="preserve"> 、送货单 </w:t>
            </w:r>
            <w:r>
              <w:rPr>
                <w:rFonts w:hint="eastAsia" w:ascii="Times New Roman" w:hAnsi="Times New Roman" w:eastAsia="宋体" w:cs="Times New Roman"/>
                <w:bCs/>
                <w:color w:val="auto"/>
                <w:kern w:val="0"/>
                <w:sz w:val="22"/>
                <w:szCs w:val="22"/>
                <w:highlight w:val="none"/>
                <w:lang w:bidi="ar"/>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689" w:type="dxa"/>
            <w:gridSpan w:val="2"/>
            <w:shd w:val="clear" w:color="auto" w:fill="auto"/>
            <w:noWrap/>
            <w:tcMar>
              <w:top w:w="15" w:type="dxa"/>
              <w:left w:w="15" w:type="dxa"/>
              <w:right w:w="15" w:type="dxa"/>
            </w:tcMar>
            <w:vAlign w:val="center"/>
          </w:tcPr>
          <w:p>
            <w:pPr>
              <w:widowControl/>
              <w:ind w:firstLine="442" w:firstLineChars="200"/>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初检人员签字/日期</w:t>
            </w:r>
          </w:p>
        </w:tc>
        <w:tc>
          <w:tcPr>
            <w:tcW w:w="7472" w:type="dxa"/>
            <w:gridSpan w:val="5"/>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161" w:type="dxa"/>
            <w:gridSpan w:val="7"/>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auto"/>
                <w:sz w:val="24"/>
                <w:highlight w:val="none"/>
              </w:rPr>
            </w:pPr>
            <w:r>
              <w:rPr>
                <w:rFonts w:hint="eastAsia" w:ascii="宋体" w:hAnsi="宋体" w:eastAsia="宋体" w:cs="宋体"/>
                <w:b/>
                <w:color w:val="auto"/>
                <w:sz w:val="24"/>
                <w:highlight w:val="none"/>
              </w:rPr>
              <w:t>第三方检测结果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4373" w:type="dxa"/>
            <w:gridSpan w:val="3"/>
            <w:shd w:val="clear" w:color="auto" w:fill="auto"/>
            <w:noWrap/>
            <w:tcMar>
              <w:top w:w="15" w:type="dxa"/>
              <w:left w:w="15" w:type="dxa"/>
              <w:right w:w="15" w:type="dxa"/>
            </w:tcMar>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kern w:val="0"/>
                <w:sz w:val="22"/>
                <w:szCs w:val="22"/>
                <w:highlight w:val="none"/>
                <w:lang w:bidi="ar"/>
              </w:rPr>
              <w:t>指标信息</w:t>
            </w:r>
          </w:p>
        </w:tc>
        <w:tc>
          <w:tcPr>
            <w:tcW w:w="2285" w:type="dxa"/>
            <w:gridSpan w:val="3"/>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第三方检测</w:t>
            </w:r>
          </w:p>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22"/>
                <w:szCs w:val="22"/>
                <w:highlight w:val="none"/>
              </w:rPr>
              <w:t>报告编号</w:t>
            </w:r>
          </w:p>
        </w:tc>
        <w:tc>
          <w:tcPr>
            <w:tcW w:w="3503" w:type="dxa"/>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4373" w:type="dxa"/>
            <w:gridSpan w:val="3"/>
            <w:shd w:val="clear" w:color="auto" w:fill="auto"/>
            <w:noWrap/>
            <w:tcMar>
              <w:top w:w="15" w:type="dxa"/>
              <w:left w:w="15" w:type="dxa"/>
              <w:right w:w="15" w:type="dxa"/>
            </w:tcMar>
            <w:vAlign w:val="center"/>
          </w:tcPr>
          <w:p>
            <w:pPr>
              <w:jc w:val="center"/>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1"/>
                <w:szCs w:val="21"/>
                <w:highlight w:val="none"/>
              </w:rPr>
              <w:t>阳离子度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固含量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单位：%）</w:t>
            </w:r>
          </w:p>
        </w:tc>
        <w:tc>
          <w:tcPr>
            <w:tcW w:w="2285" w:type="dxa"/>
            <w:gridSpan w:val="3"/>
            <w:vMerge w:val="continue"/>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c>
          <w:tcPr>
            <w:tcW w:w="3503" w:type="dxa"/>
            <w:vMerge w:val="continue"/>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4373" w:type="dxa"/>
            <w:gridSpan w:val="3"/>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p>
        </w:tc>
        <w:tc>
          <w:tcPr>
            <w:tcW w:w="2285" w:type="dxa"/>
            <w:gridSpan w:val="3"/>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c>
          <w:tcPr>
            <w:tcW w:w="3503" w:type="dxa"/>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4373" w:type="dxa"/>
            <w:gridSpan w:val="3"/>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宋体" w:cs="Times New Roman"/>
                <w:b/>
                <w:color w:val="auto"/>
                <w:kern w:val="0"/>
                <w:sz w:val="22"/>
                <w:szCs w:val="22"/>
                <w:highlight w:val="none"/>
                <w:lang w:bidi="ar"/>
              </w:rPr>
            </w:pPr>
            <w:r>
              <w:rPr>
                <w:rFonts w:hint="eastAsia" w:ascii="宋体" w:hAnsi="宋体" w:cs="宋体"/>
                <w:b/>
                <w:bCs/>
                <w:color w:val="auto"/>
                <w:kern w:val="0"/>
                <w:sz w:val="22"/>
                <w:szCs w:val="22"/>
                <w:highlight w:val="none"/>
                <w:lang w:val="en-US" w:eastAsia="zh-CN" w:bidi="ar"/>
              </w:rPr>
              <w:t>是否抽检及</w:t>
            </w:r>
            <w:r>
              <w:rPr>
                <w:rFonts w:hint="eastAsia" w:ascii="Times New Roman" w:hAnsi="Times New Roman" w:cs="Times New Roman"/>
                <w:b/>
                <w:color w:val="auto"/>
                <w:kern w:val="0"/>
                <w:sz w:val="22"/>
                <w:szCs w:val="22"/>
                <w:highlight w:val="none"/>
                <w:lang w:val="en-US" w:eastAsia="zh-CN" w:bidi="ar"/>
              </w:rPr>
              <w:t>抽检</w:t>
            </w:r>
            <w:r>
              <w:rPr>
                <w:rFonts w:hint="eastAsia" w:ascii="Times New Roman" w:hAnsi="Times New Roman" w:eastAsia="宋体" w:cs="Times New Roman"/>
                <w:b/>
                <w:color w:val="auto"/>
                <w:kern w:val="0"/>
                <w:sz w:val="22"/>
                <w:szCs w:val="22"/>
                <w:highlight w:val="none"/>
                <w:lang w:bidi="ar"/>
              </w:rPr>
              <w:t>指标信息</w:t>
            </w:r>
          </w:p>
          <w:p>
            <w:pPr>
              <w:widowControl/>
              <w:jc w:val="center"/>
              <w:textAlignment w:val="center"/>
              <w:rPr>
                <w:rFonts w:hint="default" w:ascii="宋体" w:hAnsi="宋体" w:eastAsia="微软雅黑" w:cs="宋体"/>
                <w:color w:val="auto"/>
                <w:kern w:val="0"/>
                <w:sz w:val="22"/>
                <w:szCs w:val="22"/>
                <w:highlight w:val="none"/>
                <w:lang w:val="en-US" w:eastAsia="zh-CN" w:bidi="ar"/>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 xml:space="preserve">不抽检 </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抽检以下勾选指标</w:t>
            </w:r>
          </w:p>
        </w:tc>
        <w:tc>
          <w:tcPr>
            <w:tcW w:w="2285" w:type="dxa"/>
            <w:gridSpan w:val="3"/>
            <w:vMerge w:val="restart"/>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第三方检测</w:t>
            </w:r>
          </w:p>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22"/>
                <w:szCs w:val="22"/>
                <w:highlight w:val="none"/>
              </w:rPr>
              <w:t>报告编号</w:t>
            </w:r>
          </w:p>
        </w:tc>
        <w:tc>
          <w:tcPr>
            <w:tcW w:w="3503" w:type="dxa"/>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4373" w:type="dxa"/>
            <w:gridSpan w:val="3"/>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相对分子质量，M</w:t>
            </w:r>
            <w:r>
              <w:rPr>
                <w:rFonts w:hint="eastAsia" w:ascii="宋体" w:hAnsi="宋体" w:cs="宋体"/>
                <w:color w:val="auto"/>
                <w:szCs w:val="21"/>
                <w:highlight w:val="none"/>
                <w:lang w:val="en-US" w:eastAsia="zh-CN"/>
              </w:rPr>
              <w:t xml:space="preserve"> </w:t>
            </w:r>
          </w:p>
          <w:p>
            <w:pPr>
              <w:widowControl/>
              <w:jc w:val="left"/>
              <w:textAlignment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丙烯酰胺单体含量（干基），w</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w:t>
            </w:r>
          </w:p>
          <w:p>
            <w:pPr>
              <w:widowControl/>
              <w:jc w:val="left"/>
              <w:textAlignment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溶解时间（1g/L），t/min</w:t>
            </w:r>
          </w:p>
          <w:p>
            <w:pPr>
              <w:widowControl/>
              <w:jc w:val="left"/>
              <w:textAlignment w:val="center"/>
              <w:rPr>
                <w:rFonts w:hint="eastAsia" w:ascii="宋体" w:hAnsi="宋体" w:eastAsia="宋体" w:cs="宋体"/>
                <w:color w:val="auto"/>
                <w:szCs w:val="21"/>
                <w:highlight w:val="no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水不溶物，w</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widowControl/>
              <w:jc w:val="left"/>
              <w:textAlignment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筛余物（1.4mm筛网），w</w:t>
            </w:r>
            <w:r>
              <w:rPr>
                <w:rFonts w:hint="eastAsia" w:ascii="宋体" w:hAnsi="宋体" w:cs="宋体"/>
                <w:color w:val="auto"/>
                <w:szCs w:val="21"/>
                <w:highlight w:val="none"/>
                <w:vertAlign w:val="subscript"/>
              </w:rPr>
              <w:t>4</w:t>
            </w:r>
            <w:r>
              <w:rPr>
                <w:rFonts w:hint="eastAsia" w:ascii="宋体" w:hAnsi="宋体" w:cs="宋体"/>
                <w:color w:val="auto"/>
                <w:szCs w:val="21"/>
                <w:highlight w:val="none"/>
              </w:rPr>
              <w:t>/%</w:t>
            </w:r>
          </w:p>
          <w:p>
            <w:pPr>
              <w:widowControl/>
              <w:jc w:val="left"/>
              <w:textAlignment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筛余物（180μm筛网），w</w:t>
            </w:r>
            <w:r>
              <w:rPr>
                <w:rFonts w:hint="eastAsia" w:ascii="宋体" w:hAnsi="宋体" w:cs="宋体"/>
                <w:color w:val="auto"/>
                <w:szCs w:val="21"/>
                <w:highlight w:val="none"/>
                <w:vertAlign w:val="subscript"/>
              </w:rPr>
              <w:t>5</w:t>
            </w:r>
            <w:r>
              <w:rPr>
                <w:rFonts w:hint="eastAsia" w:ascii="宋体" w:hAnsi="宋体" w:cs="宋体"/>
                <w:color w:val="auto"/>
                <w:szCs w:val="21"/>
                <w:highlight w:val="none"/>
              </w:rPr>
              <w:t>/%</w:t>
            </w:r>
          </w:p>
          <w:p>
            <w:pPr>
              <w:widowControl/>
              <w:jc w:val="left"/>
              <w:textAlignment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硫酸盐（SO4）含量，w</w:t>
            </w:r>
            <w:r>
              <w:rPr>
                <w:rFonts w:hint="eastAsia" w:ascii="宋体" w:hAnsi="宋体" w:cs="宋体"/>
                <w:color w:val="auto"/>
                <w:szCs w:val="21"/>
                <w:highlight w:val="none"/>
                <w:vertAlign w:val="subscript"/>
              </w:rPr>
              <w:t>6</w:t>
            </w:r>
            <w:r>
              <w:rPr>
                <w:rFonts w:hint="eastAsia" w:ascii="宋体" w:hAnsi="宋体" w:cs="宋体"/>
                <w:color w:val="auto"/>
                <w:szCs w:val="21"/>
                <w:highlight w:val="none"/>
              </w:rPr>
              <w:t>/（g/g)</w:t>
            </w:r>
          </w:p>
          <w:p>
            <w:pPr>
              <w:widowControl/>
              <w:jc w:val="left"/>
              <w:textAlignment w:val="center"/>
              <w:rPr>
                <w:rFonts w:hint="eastAsia" w:ascii="宋体" w:hAnsi="宋体" w:cs="宋体"/>
                <w:color w:val="auto"/>
                <w:szCs w:val="21"/>
                <w:highlight w:val="none"/>
                <w:lang w:val="en-US" w:eastAsia="zh-CN"/>
              </w:rPr>
            </w:pPr>
            <w:r>
              <w:rPr>
                <w:rFonts w:hint="eastAsia" w:ascii="微软雅黑" w:hAnsi="微软雅黑" w:eastAsia="微软雅黑" w:cs="微软雅黑"/>
                <w:color w:val="auto"/>
                <w:szCs w:val="21"/>
                <w:highlight w:val="none"/>
              </w:rPr>
              <w:t>☐</w:t>
            </w:r>
            <w:r>
              <w:rPr>
                <w:rFonts w:hint="eastAsia" w:ascii="宋体" w:hAnsi="宋体" w:cs="宋体"/>
                <w:color w:val="auto"/>
                <w:szCs w:val="21"/>
                <w:highlight w:val="none"/>
              </w:rPr>
              <w:t>氯化物（Cl）含量，w</w:t>
            </w:r>
            <w:r>
              <w:rPr>
                <w:rFonts w:hint="eastAsia" w:ascii="宋体" w:hAnsi="宋体" w:cs="宋体"/>
                <w:color w:val="auto"/>
                <w:szCs w:val="21"/>
                <w:highlight w:val="none"/>
                <w:vertAlign w:val="subscript"/>
              </w:rPr>
              <w:t>7</w:t>
            </w:r>
            <w:r>
              <w:rPr>
                <w:rFonts w:hint="eastAsia" w:ascii="宋体" w:hAnsi="宋体" w:cs="宋体"/>
                <w:color w:val="auto"/>
                <w:szCs w:val="21"/>
                <w:highlight w:val="none"/>
              </w:rPr>
              <w:t>/（g/g）</w:t>
            </w:r>
          </w:p>
        </w:tc>
        <w:tc>
          <w:tcPr>
            <w:tcW w:w="2285" w:type="dxa"/>
            <w:gridSpan w:val="3"/>
            <w:vMerge w:val="continue"/>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c>
          <w:tcPr>
            <w:tcW w:w="3503" w:type="dxa"/>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4373" w:type="dxa"/>
            <w:gridSpan w:val="3"/>
            <w:shd w:val="clear" w:color="auto" w:fill="auto"/>
            <w:noWrap/>
            <w:tcMar>
              <w:top w:w="15" w:type="dxa"/>
              <w:left w:w="15" w:type="dxa"/>
              <w:right w:w="15" w:type="dxa"/>
            </w:tcMar>
            <w:vAlign w:val="center"/>
          </w:tcPr>
          <w:p>
            <w:pPr>
              <w:widowControl/>
              <w:jc w:val="left"/>
              <w:textAlignment w:val="center"/>
              <w:rPr>
                <w:rFonts w:hint="eastAsia" w:ascii="微软雅黑" w:hAnsi="微软雅黑" w:eastAsia="微软雅黑" w:cs="微软雅黑"/>
                <w:color w:val="auto"/>
                <w:szCs w:val="21"/>
                <w:highlight w:val="none"/>
              </w:rPr>
            </w:pPr>
          </w:p>
        </w:tc>
        <w:tc>
          <w:tcPr>
            <w:tcW w:w="2285" w:type="dxa"/>
            <w:gridSpan w:val="3"/>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c>
          <w:tcPr>
            <w:tcW w:w="3503" w:type="dxa"/>
            <w:shd w:val="clear" w:color="auto" w:fill="auto"/>
            <w:tcMar>
              <w:top w:w="15" w:type="dxa"/>
              <w:left w:w="15" w:type="dxa"/>
              <w:right w:w="15" w:type="dxa"/>
            </w:tcMar>
            <w:vAlign w:val="center"/>
          </w:tcPr>
          <w:p>
            <w:pPr>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jc w:val="center"/>
        </w:trPr>
        <w:tc>
          <w:tcPr>
            <w:tcW w:w="5080" w:type="dxa"/>
            <w:gridSpan w:val="5"/>
            <w:shd w:val="clear" w:color="auto" w:fill="auto"/>
            <w:noWrap/>
            <w:tcMar>
              <w:top w:w="15" w:type="dxa"/>
              <w:left w:w="15" w:type="dxa"/>
              <w:right w:w="15" w:type="dxa"/>
            </w:tcMar>
          </w:tcPr>
          <w:p>
            <w:pPr>
              <w:jc w:val="center"/>
              <w:rPr>
                <w:b/>
                <w:bCs/>
                <w:color w:val="auto"/>
                <w:highlight w:val="none"/>
              </w:rPr>
            </w:pPr>
          </w:p>
          <w:p>
            <w:pPr>
              <w:ind w:firstLine="211" w:firstLineChars="100"/>
              <w:jc w:val="left"/>
              <w:rPr>
                <w:rFonts w:hint="eastAsia"/>
                <w:b/>
                <w:bCs/>
                <w:color w:val="auto"/>
                <w:highlight w:val="none"/>
              </w:rPr>
            </w:pPr>
          </w:p>
          <w:p>
            <w:pPr>
              <w:ind w:firstLine="211" w:firstLineChars="100"/>
              <w:jc w:val="left"/>
              <w:rPr>
                <w:b/>
                <w:bCs/>
                <w:color w:val="auto"/>
                <w:highlight w:val="none"/>
              </w:rPr>
            </w:pPr>
            <w:r>
              <w:rPr>
                <w:rFonts w:hint="eastAsia"/>
                <w:b/>
                <w:bCs/>
                <w:color w:val="auto"/>
                <w:highlight w:val="none"/>
              </w:rPr>
              <w:t>供货单位（盖章）：</w:t>
            </w:r>
          </w:p>
          <w:p>
            <w:pPr>
              <w:pStyle w:val="46"/>
              <w:rPr>
                <w:color w:val="auto"/>
                <w:highlight w:val="none"/>
                <w:lang w:val="en-US"/>
              </w:rPr>
            </w:pPr>
          </w:p>
          <w:p>
            <w:pPr>
              <w:pStyle w:val="46"/>
              <w:rPr>
                <w:color w:val="auto"/>
                <w:highlight w:val="none"/>
                <w:lang w:val="en-US"/>
              </w:rPr>
            </w:pPr>
          </w:p>
          <w:p>
            <w:pPr>
              <w:pStyle w:val="46"/>
              <w:rPr>
                <w:rFonts w:hint="eastAsia"/>
                <w:color w:val="auto"/>
                <w:highlight w:val="none"/>
                <w:lang w:val="en-US"/>
              </w:rPr>
            </w:pPr>
          </w:p>
          <w:p>
            <w:pPr>
              <w:ind w:firstLine="211" w:firstLineChars="100"/>
              <w:jc w:val="left"/>
              <w:rPr>
                <w:b/>
                <w:bCs/>
                <w:color w:val="auto"/>
                <w:highlight w:val="none"/>
              </w:rPr>
            </w:pPr>
            <w:r>
              <w:rPr>
                <w:rFonts w:hint="eastAsia"/>
                <w:b/>
                <w:bCs/>
                <w:color w:val="auto"/>
                <w:highlight w:val="none"/>
              </w:rPr>
              <w:t>现场代表签字/日期：</w:t>
            </w:r>
          </w:p>
          <w:p>
            <w:pPr>
              <w:ind w:firstLine="211" w:firstLineChars="100"/>
              <w:jc w:val="left"/>
              <w:rPr>
                <w:b/>
                <w:bCs/>
                <w:color w:val="auto"/>
                <w:highlight w:val="none"/>
              </w:rPr>
            </w:pPr>
          </w:p>
          <w:p>
            <w:pPr>
              <w:jc w:val="left"/>
              <w:rPr>
                <w:rFonts w:ascii="Times New Roman" w:hAnsi="Times New Roman" w:eastAsia="宋体" w:cs="Times New Roman"/>
                <w:color w:val="auto"/>
                <w:sz w:val="24"/>
                <w:highlight w:val="none"/>
              </w:rPr>
            </w:pPr>
          </w:p>
        </w:tc>
        <w:tc>
          <w:tcPr>
            <w:tcW w:w="5081" w:type="dxa"/>
            <w:gridSpan w:val="2"/>
            <w:shd w:val="clear" w:color="auto" w:fill="auto"/>
            <w:noWrap/>
            <w:tcMar>
              <w:top w:w="15" w:type="dxa"/>
              <w:left w:w="15" w:type="dxa"/>
              <w:right w:w="15" w:type="dxa"/>
            </w:tcMar>
          </w:tcPr>
          <w:p>
            <w:pPr>
              <w:ind w:firstLine="211" w:firstLineChars="100"/>
              <w:jc w:val="left"/>
              <w:rPr>
                <w:b/>
                <w:bCs/>
                <w:color w:val="auto"/>
                <w:highlight w:val="none"/>
              </w:rPr>
            </w:pPr>
          </w:p>
          <w:p>
            <w:pPr>
              <w:ind w:firstLine="211" w:firstLineChars="100"/>
              <w:jc w:val="left"/>
              <w:rPr>
                <w:rFonts w:hint="eastAsia"/>
                <w:b/>
                <w:bCs/>
                <w:color w:val="auto"/>
                <w:highlight w:val="none"/>
              </w:rPr>
            </w:pPr>
          </w:p>
          <w:p>
            <w:pPr>
              <w:ind w:firstLine="211" w:firstLineChars="100"/>
              <w:jc w:val="left"/>
              <w:rPr>
                <w:b/>
                <w:bCs/>
                <w:color w:val="auto"/>
                <w:highlight w:val="none"/>
              </w:rPr>
            </w:pPr>
            <w:r>
              <w:rPr>
                <w:rFonts w:hint="eastAsia"/>
                <w:b/>
                <w:bCs/>
                <w:color w:val="auto"/>
                <w:highlight w:val="none"/>
              </w:rPr>
              <w:t>采购单位同意接收：是</w:t>
            </w:r>
            <w:r>
              <w:rPr>
                <w:rFonts w:hint="eastAsia"/>
                <w:b/>
                <w:bCs/>
                <w:color w:val="auto"/>
                <w:highlight w:val="none"/>
              </w:rPr>
              <w:sym w:font="Wingdings 2" w:char="F0A3"/>
            </w:r>
            <w:r>
              <w:rPr>
                <w:rFonts w:hint="eastAsia"/>
                <w:b/>
                <w:bCs/>
                <w:color w:val="auto"/>
                <w:highlight w:val="none"/>
              </w:rPr>
              <w:t xml:space="preserve">   否</w:t>
            </w:r>
            <w:r>
              <w:rPr>
                <w:b/>
                <w:bCs/>
                <w:color w:val="auto"/>
                <w:highlight w:val="none"/>
              </w:rPr>
              <w:sym w:font="Wingdings 2" w:char="F0A3"/>
            </w:r>
          </w:p>
          <w:p>
            <w:pPr>
              <w:pStyle w:val="46"/>
              <w:rPr>
                <w:color w:val="auto"/>
                <w:highlight w:val="none"/>
                <w:lang w:val="en-US"/>
              </w:rPr>
            </w:pPr>
          </w:p>
          <w:p>
            <w:pPr>
              <w:pStyle w:val="46"/>
              <w:rPr>
                <w:color w:val="auto"/>
                <w:highlight w:val="none"/>
                <w:lang w:val="en-US"/>
              </w:rPr>
            </w:pPr>
          </w:p>
          <w:p>
            <w:pPr>
              <w:pStyle w:val="46"/>
              <w:rPr>
                <w:rFonts w:hint="eastAsia"/>
                <w:color w:val="auto"/>
                <w:highlight w:val="none"/>
                <w:lang w:val="en-US"/>
              </w:rPr>
            </w:pPr>
          </w:p>
          <w:p>
            <w:pPr>
              <w:pStyle w:val="46"/>
              <w:ind w:firstLine="211" w:firstLineChars="100"/>
              <w:rPr>
                <w:rFonts w:hint="eastAsia"/>
                <w:color w:val="auto"/>
                <w:highlight w:val="none"/>
                <w:lang w:val="en-US"/>
              </w:rPr>
            </w:pPr>
            <w:r>
              <w:rPr>
                <w:rFonts w:hint="eastAsia" w:hAnsiTheme="minorHAnsi" w:cstheme="minorBidi"/>
                <w:b/>
                <w:bCs/>
                <w:color w:val="auto"/>
                <w:kern w:val="2"/>
                <w:sz w:val="21"/>
                <w:highlight w:val="none"/>
                <w:lang w:val="en-US"/>
              </w:rPr>
              <w:t>采购单位代表签字/日期：</w:t>
            </w:r>
          </w:p>
        </w:tc>
      </w:tr>
    </w:tbl>
    <w:p>
      <w:pPr>
        <w:rPr>
          <w:color w:val="auto"/>
          <w:highlight w:val="none"/>
        </w:rPr>
      </w:pPr>
      <w:r>
        <w:rPr>
          <w:rFonts w:hint="eastAsia"/>
          <w:b/>
          <w:bCs/>
          <w:color w:val="auto"/>
          <w:highlight w:val="none"/>
        </w:rPr>
        <w:t xml:space="preserve">                                 </w:t>
      </w:r>
      <w:r>
        <w:rPr>
          <w:rFonts w:hint="eastAsia"/>
          <w:color w:val="auto"/>
          <w:highlight w:val="none"/>
        </w:rPr>
        <w:t xml:space="preserve">                                                                   </w:t>
      </w:r>
    </w:p>
    <w:p>
      <w:pPr>
        <w:pStyle w:val="46"/>
        <w:rPr>
          <w:rFonts w:hint="default"/>
          <w:color w:val="auto"/>
          <w:highlight w:val="none"/>
          <w:lang w:val="en-US" w:eastAsia="zh-CN"/>
        </w:rPr>
      </w:pPr>
    </w:p>
    <w:p>
      <w:pPr>
        <w:pageBreakBefore/>
        <w:spacing w:before="120" w:beforeLines="50" w:after="120" w:afterLines="50" w:line="360" w:lineRule="auto"/>
        <w:ind w:firstLine="640"/>
        <w:jc w:val="center"/>
        <w:outlineLvl w:val="0"/>
        <w:rPr>
          <w:rFonts w:ascii="宋体" w:hAnsi="宋体" w:cs="Times New Roman"/>
          <w:b/>
          <w:bCs/>
          <w:color w:val="auto"/>
          <w:sz w:val="32"/>
          <w:szCs w:val="32"/>
          <w:highlight w:val="none"/>
          <w:lang w:val="zh-CN"/>
        </w:rPr>
      </w:pPr>
      <w:bookmarkStart w:id="421" w:name="_Toc447044479"/>
      <w:bookmarkStart w:id="422" w:name="_Toc142508360"/>
      <w:bookmarkStart w:id="423" w:name="_Toc18930"/>
      <w:bookmarkStart w:id="424" w:name="_Toc447044603"/>
      <w:bookmarkStart w:id="425" w:name="_Toc22246"/>
      <w:bookmarkStart w:id="426" w:name="_Toc173684924"/>
      <w:bookmarkStart w:id="427" w:name="_Toc512353083"/>
      <w:bookmarkStart w:id="428" w:name="_Toc447045090"/>
      <w:bookmarkStart w:id="429" w:name="_Toc24427_WPSOffice_Level1"/>
      <w:r>
        <w:rPr>
          <w:rFonts w:hint="eastAsia" w:ascii="宋体" w:hAnsi="宋体" w:cs="Times New Roman"/>
          <w:b/>
          <w:bCs/>
          <w:color w:val="auto"/>
          <w:sz w:val="32"/>
          <w:szCs w:val="32"/>
          <w:highlight w:val="none"/>
          <w:lang w:val="zh-CN"/>
        </w:rPr>
        <w:t>第五篇</w:t>
      </w:r>
      <w:r>
        <w:rPr>
          <w:rFonts w:ascii="宋体" w:hAnsi="宋体" w:cs="Times New Roman"/>
          <w:b/>
          <w:bCs/>
          <w:color w:val="auto"/>
          <w:sz w:val="32"/>
          <w:szCs w:val="32"/>
          <w:highlight w:val="none"/>
          <w:lang w:val="zh-CN"/>
        </w:rPr>
        <w:t xml:space="preserve"> </w:t>
      </w:r>
      <w:r>
        <w:rPr>
          <w:rFonts w:hint="eastAsia" w:ascii="宋体" w:hAnsi="宋体" w:cs="Times New Roman"/>
          <w:b/>
          <w:bCs/>
          <w:color w:val="auto"/>
          <w:sz w:val="32"/>
          <w:szCs w:val="32"/>
          <w:highlight w:val="none"/>
          <w:lang w:val="zh-CN"/>
        </w:rPr>
        <w:t>相关保函格式</w:t>
      </w:r>
      <w:bookmarkEnd w:id="421"/>
      <w:bookmarkEnd w:id="422"/>
      <w:bookmarkEnd w:id="423"/>
      <w:bookmarkEnd w:id="424"/>
      <w:bookmarkEnd w:id="425"/>
      <w:bookmarkEnd w:id="426"/>
      <w:bookmarkEnd w:id="427"/>
      <w:bookmarkEnd w:id="428"/>
      <w:bookmarkEnd w:id="429"/>
      <w:bookmarkStart w:id="430" w:name="_Toc447044480"/>
      <w:bookmarkStart w:id="431" w:name="_Toc447044604"/>
      <w:bookmarkStart w:id="432" w:name="_Toc447045091"/>
    </w:p>
    <w:p>
      <w:pPr>
        <w:autoSpaceDE w:val="0"/>
        <w:autoSpaceDN w:val="0"/>
        <w:adjustRightInd w:val="0"/>
        <w:spacing w:after="120" w:afterLines="50" w:line="360" w:lineRule="auto"/>
        <w:jc w:val="left"/>
        <w:rPr>
          <w:rFonts w:ascii="宋体" w:hAnsi="宋体" w:cs="Times New Roman"/>
          <w:b/>
          <w:color w:val="auto"/>
          <w:kern w:val="0"/>
          <w:sz w:val="28"/>
          <w:szCs w:val="28"/>
          <w:highlight w:val="none"/>
        </w:rPr>
      </w:pPr>
      <w:bookmarkStart w:id="433" w:name="_Toc26521_WPSOffice_Level2"/>
      <w:r>
        <w:rPr>
          <w:rFonts w:hint="eastAsia" w:ascii="宋体" w:hAnsi="宋体" w:cs="Times New Roman"/>
          <w:b/>
          <w:color w:val="auto"/>
          <w:kern w:val="0"/>
          <w:sz w:val="28"/>
          <w:szCs w:val="28"/>
          <w:highlight w:val="none"/>
        </w:rPr>
        <w:t>一、不可撤销银行履约保函格式</w:t>
      </w:r>
      <w:bookmarkEnd w:id="430"/>
      <w:bookmarkEnd w:id="431"/>
      <w:bookmarkEnd w:id="432"/>
      <w:bookmarkEnd w:id="433"/>
    </w:p>
    <w:p>
      <w:pPr>
        <w:autoSpaceDE w:val="0"/>
        <w:autoSpaceDN w:val="0"/>
        <w:adjustRightInd w:val="0"/>
        <w:jc w:val="center"/>
        <w:rPr>
          <w:rFonts w:ascii="宋体" w:hAnsi="宋体" w:cs="Times New Roman"/>
          <w:b/>
          <w:color w:val="auto"/>
          <w:kern w:val="0"/>
          <w:sz w:val="30"/>
          <w:szCs w:val="30"/>
          <w:highlight w:val="none"/>
        </w:rPr>
      </w:pPr>
      <w:r>
        <w:rPr>
          <w:rFonts w:hint="eastAsia" w:ascii="宋体" w:hAnsi="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ind w:firstLine="6300"/>
        <w:jc w:val="left"/>
        <w:rPr>
          <w:rFonts w:ascii="宋体" w:hAnsi="宋体" w:cs="Times New Roman"/>
          <w:color w:val="auto"/>
          <w:kern w:val="0"/>
          <w:szCs w:val="21"/>
          <w:highlight w:val="none"/>
          <w:u w:val="single"/>
        </w:rPr>
      </w:pPr>
      <w:r>
        <w:rPr>
          <w:rFonts w:ascii="宋体" w:hAnsi="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cs="宋体"/>
          <w:color w:val="auto"/>
          <w:kern w:val="0"/>
          <w:szCs w:val="21"/>
          <w:highlight w:val="none"/>
        </w:rPr>
      </w:pPr>
      <w:r>
        <w:rPr>
          <w:rFonts w:hint="eastAsia" w:ascii="宋体" w:hAnsi="宋体" w:cs="宋体"/>
          <w:color w:val="auto"/>
          <w:kern w:val="0"/>
          <w:szCs w:val="21"/>
          <w:highlight w:val="none"/>
        </w:rPr>
        <w:t>鉴于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申请人</w:t>
      </w:r>
      <w:r>
        <w:rPr>
          <w:rFonts w:ascii="宋体" w:hAnsi="宋体" w:cs="宋体"/>
          <w:color w:val="auto"/>
          <w:kern w:val="0"/>
          <w:szCs w:val="21"/>
          <w:highlight w:val="none"/>
          <w:u w:val="single"/>
        </w:rPr>
        <w:t xml:space="preserve">的名称与地址）  </w:t>
      </w:r>
      <w:r>
        <w:rPr>
          <w:rFonts w:hint="eastAsia" w:ascii="宋体" w:hAnsi="宋体" w:cs="宋体"/>
          <w:color w:val="auto"/>
          <w:kern w:val="0"/>
          <w:szCs w:val="21"/>
          <w:highlight w:val="none"/>
        </w:rPr>
        <w:t>（下称“申请人”），已保证按拟签订的</w:t>
      </w:r>
      <w:r>
        <w:rPr>
          <w:rFonts w:ascii="宋体" w:hAnsi="宋体" w:cs="宋体"/>
          <w:color w:val="auto"/>
          <w:kern w:val="0"/>
          <w:szCs w:val="21"/>
          <w:highlight w:val="none"/>
          <w:u w:val="single"/>
        </w:rPr>
        <w:t xml:space="preserve"> 项目名称       （招标编号：         ）</w:t>
      </w:r>
      <w:r>
        <w:rPr>
          <w:rFonts w:hint="eastAsia" w:ascii="宋体" w:hAnsi="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cs="宋体"/>
          <w:color w:val="auto"/>
          <w:kern w:val="0"/>
          <w:szCs w:val="21"/>
          <w:highlight w:val="none"/>
        </w:rPr>
      </w:pPr>
      <w:r>
        <w:rPr>
          <w:rFonts w:hint="eastAsia" w:ascii="宋体" w:hAnsi="宋体" w:cs="宋体"/>
          <w:color w:val="auto"/>
          <w:kern w:val="0"/>
          <w:szCs w:val="21"/>
          <w:highlight w:val="none"/>
        </w:rPr>
        <w:t>根据上述合同（招标文件）规定，申请人应向受益人提供一份金额为人民币（大写）</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元）</w:t>
      </w:r>
      <w:r>
        <w:rPr>
          <w:rFonts w:hint="eastAsia" w:ascii="宋体" w:hAnsi="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cs="宋体"/>
          <w:color w:val="auto"/>
          <w:kern w:val="0"/>
          <w:szCs w:val="21"/>
          <w:highlight w:val="none"/>
        </w:rPr>
      </w:pPr>
      <w:r>
        <w:rPr>
          <w:rFonts w:hint="eastAsia" w:ascii="宋体" w:hAnsi="宋体" w:cs="宋体"/>
          <w:color w:val="auto"/>
          <w:kern w:val="0"/>
          <w:szCs w:val="21"/>
          <w:highlight w:val="none"/>
        </w:rPr>
        <w:t>我方</w:t>
      </w:r>
      <w:r>
        <w:rPr>
          <w:rFonts w:ascii="宋体" w:hAnsi="宋体" w:cs="宋体"/>
          <w:color w:val="auto"/>
          <w:kern w:val="0"/>
          <w:szCs w:val="21"/>
          <w:highlight w:val="none"/>
          <w:u w:val="single"/>
        </w:rPr>
        <w:t xml:space="preserve">     （银行名称）</w:t>
      </w:r>
      <w:r>
        <w:rPr>
          <w:rFonts w:hint="eastAsia" w:ascii="宋体" w:hAnsi="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cs="Times New Roman"/>
          <w:color w:val="auto"/>
          <w:kern w:val="0"/>
          <w:szCs w:val="21"/>
          <w:highlight w:val="none"/>
        </w:rPr>
      </w:pPr>
      <w:r>
        <w:rPr>
          <w:rFonts w:ascii="宋体" w:hAnsi="宋体" w:cs="Times New Roman"/>
          <w:color w:val="auto"/>
          <w:kern w:val="0"/>
          <w:szCs w:val="21"/>
          <w:highlight w:val="none"/>
        </w:rPr>
        <w:t>本保函</w:t>
      </w:r>
      <w:r>
        <w:rPr>
          <w:rFonts w:hint="eastAsia" w:ascii="宋体" w:hAnsi="宋体" w:cs="Times New Roman"/>
          <w:color w:val="auto"/>
          <w:kern w:val="0"/>
          <w:szCs w:val="21"/>
          <w:highlight w:val="none"/>
        </w:rPr>
        <w:t>应自合同签订之日起至完成全部供货（含最终验收合格）且结算完毕之后二十八（</w:t>
      </w:r>
      <w:r>
        <w:rPr>
          <w:rFonts w:ascii="宋体" w:hAnsi="宋体" w:cs="Times New Roman"/>
          <w:color w:val="auto"/>
          <w:kern w:val="0"/>
          <w:szCs w:val="21"/>
          <w:highlight w:val="none"/>
        </w:rPr>
        <w:t>28）日内</w:t>
      </w:r>
      <w:r>
        <w:rPr>
          <w:rFonts w:hint="eastAsia" w:ascii="宋体" w:hAnsi="宋体" w:cs="Times New Roman"/>
          <w:color w:val="auto"/>
          <w:kern w:val="0"/>
          <w:szCs w:val="21"/>
          <w:highlight w:val="none"/>
        </w:rPr>
        <w:t>保持有效。</w:t>
      </w:r>
    </w:p>
    <w:p>
      <w:pPr>
        <w:widowControl/>
        <w:autoSpaceDE w:val="0"/>
        <w:autoSpaceDN w:val="0"/>
        <w:adjustRightInd w:val="0"/>
        <w:spacing w:line="360" w:lineRule="auto"/>
        <w:ind w:firstLine="437"/>
        <w:jc w:val="left"/>
        <w:rPr>
          <w:rFonts w:ascii="宋体" w:hAnsi="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担</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保</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银</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行：</w:t>
      </w:r>
      <w:r>
        <w:rPr>
          <w:rFonts w:ascii="宋体" w:hAnsi="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pPr>
        <w:widowControl/>
        <w:autoSpaceDE w:val="0"/>
        <w:autoSpaceDN w:val="0"/>
        <w:adjustRightInd w:val="0"/>
        <w:spacing w:line="360" w:lineRule="auto"/>
        <w:ind w:firstLine="2520" w:firstLineChars="1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u w:val="single"/>
        </w:rPr>
        <w:t xml:space="preserve">                                          </w:t>
      </w:r>
    </w:p>
    <w:p>
      <w:pPr>
        <w:widowControl/>
        <w:autoSpaceDE w:val="0"/>
        <w:autoSpaceDN w:val="0"/>
        <w:adjustRightInd w:val="0"/>
        <w:spacing w:line="360" w:lineRule="auto"/>
        <w:ind w:firstLine="2520" w:firstLineChars="1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法定代表人或其授权的代表人：</w:t>
      </w:r>
      <w:r>
        <w:rPr>
          <w:rFonts w:ascii="宋体" w:hAnsi="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cs="宋体"/>
          <w:color w:val="auto"/>
          <w:kern w:val="0"/>
          <w:szCs w:val="21"/>
          <w:highlight w:val="none"/>
          <w:u w:val="single"/>
        </w:rPr>
      </w:pPr>
      <w:r>
        <w:rPr>
          <w:rFonts w:ascii="宋体" w:hAnsi="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cs="宋体"/>
          <w:color w:val="auto"/>
          <w:kern w:val="0"/>
          <w:szCs w:val="21"/>
          <w:highlight w:val="none"/>
          <w:u w:val="single"/>
        </w:rPr>
      </w:pPr>
      <w:r>
        <w:rPr>
          <w:rFonts w:ascii="宋体" w:hAnsi="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autoSpaceDE w:val="0"/>
        <w:autoSpaceDN w:val="0"/>
        <w:adjustRightInd w:val="0"/>
        <w:spacing w:line="360" w:lineRule="auto"/>
        <w:jc w:val="left"/>
        <w:rPr>
          <w:rFonts w:ascii="宋体" w:hAnsi="宋体" w:cs="宋体"/>
          <w:color w:val="auto"/>
          <w:kern w:val="0"/>
          <w:szCs w:val="21"/>
          <w:highlight w:val="none"/>
        </w:rPr>
      </w:pPr>
    </w:p>
    <w:p>
      <w:pPr>
        <w:widowControl/>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ind w:right="368" w:rightChars="175"/>
        <w:jc w:val="left"/>
        <w:rPr>
          <w:rFonts w:ascii="宋体" w:hAnsi="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rPr>
          <w:rFonts w:ascii="宋体" w:hAnsi="宋体" w:cs="Times New Roman"/>
          <w:b/>
          <w:color w:val="auto"/>
          <w:kern w:val="0"/>
          <w:sz w:val="28"/>
          <w:szCs w:val="28"/>
          <w:highlight w:val="none"/>
        </w:rPr>
      </w:pPr>
      <w:r>
        <w:rPr>
          <w:rFonts w:hint="eastAsia" w:ascii="宋体" w:hAnsi="宋体" w:cs="Times New Roman"/>
          <w:b/>
          <w:color w:val="auto"/>
          <w:kern w:val="0"/>
          <w:sz w:val="28"/>
          <w:szCs w:val="28"/>
          <w:highlight w:val="none"/>
        </w:rPr>
        <w:t>二、履约保证保险凭证格式</w:t>
      </w:r>
    </w:p>
    <w:p>
      <w:pPr>
        <w:autoSpaceDE w:val="0"/>
        <w:autoSpaceDN w:val="0"/>
        <w:adjustRightInd w:val="0"/>
        <w:jc w:val="center"/>
        <w:rPr>
          <w:rFonts w:ascii="宋体" w:hAnsi="宋体" w:cs="Times New Roman"/>
          <w:b/>
          <w:color w:val="auto"/>
          <w:kern w:val="0"/>
          <w:sz w:val="30"/>
          <w:szCs w:val="30"/>
          <w:highlight w:val="none"/>
        </w:rPr>
      </w:pPr>
    </w:p>
    <w:p>
      <w:pPr>
        <w:autoSpaceDE w:val="0"/>
        <w:autoSpaceDN w:val="0"/>
        <w:adjustRightInd w:val="0"/>
        <w:jc w:val="center"/>
        <w:rPr>
          <w:rFonts w:ascii="宋体" w:hAnsi="宋体" w:cs="Times New Roman"/>
          <w:b/>
          <w:color w:val="auto"/>
          <w:kern w:val="0"/>
          <w:sz w:val="30"/>
          <w:szCs w:val="30"/>
          <w:highlight w:val="none"/>
        </w:rPr>
      </w:pPr>
      <w:r>
        <w:rPr>
          <w:rFonts w:hint="eastAsia" w:ascii="宋体" w:hAnsi="宋体" w:cs="Times New Roman"/>
          <w:b/>
          <w:color w:val="auto"/>
          <w:kern w:val="0"/>
          <w:sz w:val="30"/>
          <w:szCs w:val="30"/>
          <w:highlight w:val="none"/>
        </w:rPr>
        <w:t>履约保证保险凭证</w:t>
      </w:r>
    </w:p>
    <w:p>
      <w:pPr>
        <w:autoSpaceDE w:val="0"/>
        <w:autoSpaceDN w:val="0"/>
        <w:adjustRightInd w:val="0"/>
        <w:spacing w:line="360" w:lineRule="auto"/>
        <w:ind w:firstLine="437"/>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autoSpaceDE w:val="0"/>
        <w:autoSpaceDN w:val="0"/>
        <w:adjustRightInd w:val="0"/>
        <w:spacing w:line="360" w:lineRule="auto"/>
        <w:ind w:firstLine="437"/>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编号：</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 xml:space="preserve">（下称“受益人”）： </w:t>
      </w:r>
    </w:p>
    <w:p>
      <w:pPr>
        <w:autoSpaceDE w:val="0"/>
        <w:autoSpaceDN w:val="0"/>
        <w:adjustRightInd w:val="0"/>
        <w:spacing w:line="360" w:lineRule="auto"/>
        <w:ind w:firstLine="437"/>
        <w:jc w:val="left"/>
        <w:rPr>
          <w:rFonts w:ascii="宋体" w:hAnsi="宋体" w:cs="宋体"/>
          <w:color w:val="auto"/>
          <w:kern w:val="0"/>
          <w:szCs w:val="21"/>
          <w:highlight w:val="none"/>
        </w:rPr>
      </w:pP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鉴于</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（下称“申请人”）已与贵方签订了</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 xml:space="preserve"> </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项目</w:t>
      </w:r>
      <w:r>
        <w:rPr>
          <w:rFonts w:ascii="宋体" w:hAnsi="宋体" w:cs="Times New Roman"/>
          <w:color w:val="auto"/>
          <w:kern w:val="0"/>
          <w:szCs w:val="21"/>
          <w:highlight w:val="none"/>
          <w:u w:val="single"/>
        </w:rPr>
        <w:t>（招标编号：        ）</w:t>
      </w:r>
      <w:r>
        <w:rPr>
          <w:rFonts w:hint="eastAsia" w:ascii="宋体" w:hAnsi="宋体" w:cs="Times New Roman"/>
          <w:color w:val="auto"/>
          <w:kern w:val="0"/>
          <w:szCs w:val="21"/>
          <w:highlight w:val="none"/>
        </w:rPr>
        <w:t>合同</w:t>
      </w:r>
      <w:r>
        <w:rPr>
          <w:rFonts w:hint="eastAsia" w:ascii="宋体" w:hAnsi="宋体" w:cs="宋体"/>
          <w:color w:val="auto"/>
          <w:kern w:val="0"/>
          <w:szCs w:val="21"/>
          <w:highlight w:val="none"/>
        </w:rPr>
        <w:t>。我方已接受申请人的请求，并出具《履约保证保险》保险单。</w:t>
      </w:r>
      <w:r>
        <w:rPr>
          <w:rFonts w:ascii="宋体" w:hAnsi="宋体" w:cs="宋体"/>
          <w:color w:val="auto"/>
          <w:kern w:val="0"/>
          <w:szCs w:val="21"/>
          <w:highlight w:val="none"/>
        </w:rPr>
        <w:t xml:space="preserve">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一、保证保险金额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我方承担的履约保证保险的保险金额（最高限额）为人民币（大写）</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元 （</w:t>
      </w:r>
      <w:r>
        <w:rPr>
          <w:rFonts w:ascii="宋体" w:hAnsi="宋体" w:cs="宋体"/>
          <w:color w:val="auto"/>
          <w:kern w:val="0"/>
          <w:szCs w:val="21"/>
          <w:highlight w:val="none"/>
        </w:rPr>
        <w:t>¥</w:t>
      </w:r>
      <w:r>
        <w:rPr>
          <w:rFonts w:hint="eastAsia" w:ascii="宋体" w:hAnsi="宋体" w:cs="宋体"/>
          <w:b/>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二、保证保险的责任范围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在保险期间内，申请人因自身原因未按照与贵方签订的</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 xml:space="preserve"> </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项目</w:t>
      </w:r>
      <w:r>
        <w:rPr>
          <w:rFonts w:ascii="宋体" w:hAnsi="宋体" w:cs="Times New Roman"/>
          <w:color w:val="auto"/>
          <w:kern w:val="0"/>
          <w:szCs w:val="21"/>
          <w:highlight w:val="none"/>
          <w:u w:val="single"/>
        </w:rPr>
        <w:t>（招标编号：        ）</w:t>
      </w:r>
      <w:r>
        <w:rPr>
          <w:rFonts w:hint="eastAsia" w:ascii="宋体" w:hAnsi="宋体" w:cs="Times New Roman"/>
          <w:color w:val="auto"/>
          <w:kern w:val="0"/>
          <w:szCs w:val="21"/>
          <w:highlight w:val="none"/>
        </w:rPr>
        <w:t>合同</w:t>
      </w:r>
      <w:r>
        <w:rPr>
          <w:rFonts w:hint="eastAsia" w:ascii="宋体" w:hAnsi="宋体" w:cs="宋体"/>
          <w:color w:val="auto"/>
          <w:kern w:val="0"/>
          <w:szCs w:val="21"/>
          <w:highlight w:val="none"/>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三、代偿的安排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四、生效时间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本保险凭证自我方法定代表人（或其授权代理人）签字并加盖保险承保章之日起生效。 </w:t>
      </w: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五、其他</w:t>
      </w:r>
    </w:p>
    <w:p>
      <w:pPr>
        <w:autoSpaceDE w:val="0"/>
        <w:autoSpaceDN w:val="0"/>
        <w:adjustRightInd w:val="0"/>
        <w:spacing w:line="360" w:lineRule="auto"/>
        <w:ind w:firstLine="437"/>
        <w:jc w:val="left"/>
        <w:rPr>
          <w:rFonts w:ascii="宋体" w:hAnsi="宋体" w:cs="Times New Roman"/>
          <w:color w:val="auto"/>
          <w:kern w:val="0"/>
          <w:szCs w:val="21"/>
          <w:highlight w:val="none"/>
        </w:rPr>
      </w:pPr>
      <w:r>
        <w:rPr>
          <w:rFonts w:ascii="宋体" w:hAnsi="宋体" w:cs="Times New Roman"/>
          <w:color w:val="auto"/>
          <w:kern w:val="0"/>
          <w:szCs w:val="21"/>
          <w:highlight w:val="none"/>
        </w:rPr>
        <w:t>本</w:t>
      </w:r>
      <w:r>
        <w:rPr>
          <w:rFonts w:hint="eastAsia" w:ascii="宋体" w:hAnsi="宋体" w:cs="宋体"/>
          <w:color w:val="auto"/>
          <w:kern w:val="0"/>
          <w:szCs w:val="21"/>
          <w:highlight w:val="none"/>
        </w:rPr>
        <w:t>履约保证保险</w:t>
      </w:r>
      <w:r>
        <w:rPr>
          <w:rFonts w:hint="eastAsia" w:ascii="宋体" w:hAnsi="宋体" w:cs="Times New Roman"/>
          <w:color w:val="auto"/>
          <w:kern w:val="0"/>
          <w:szCs w:val="21"/>
          <w:highlight w:val="none"/>
        </w:rPr>
        <w:t>应自合同签订之日起至完成全部供货（含最终验收合格）且结算完毕之后二十八（</w:t>
      </w:r>
      <w:r>
        <w:rPr>
          <w:rFonts w:ascii="宋体" w:hAnsi="宋体" w:cs="Times New Roman"/>
          <w:color w:val="auto"/>
          <w:kern w:val="0"/>
          <w:szCs w:val="21"/>
          <w:highlight w:val="none"/>
        </w:rPr>
        <w:t>28）日内</w:t>
      </w:r>
      <w:r>
        <w:rPr>
          <w:rFonts w:hint="eastAsia" w:ascii="宋体" w:hAnsi="宋体" w:cs="Times New Roman"/>
          <w:color w:val="auto"/>
          <w:kern w:val="0"/>
          <w:szCs w:val="21"/>
          <w:highlight w:val="none"/>
        </w:rPr>
        <w:t>保持有效。</w:t>
      </w:r>
    </w:p>
    <w:p>
      <w:pPr>
        <w:autoSpaceDE w:val="0"/>
        <w:autoSpaceDN w:val="0"/>
        <w:adjustRightInd w:val="0"/>
        <w:spacing w:line="360" w:lineRule="auto"/>
        <w:ind w:firstLine="437"/>
        <w:jc w:val="left"/>
        <w:rPr>
          <w:rFonts w:ascii="宋体" w:hAnsi="宋体"/>
          <w:color w:val="auto"/>
          <w:highlight w:val="none"/>
        </w:rPr>
      </w:pPr>
    </w:p>
    <w:p>
      <w:pPr>
        <w:autoSpaceDE w:val="0"/>
        <w:autoSpaceDN w:val="0"/>
        <w:adjustRightInd w:val="0"/>
        <w:spacing w:line="360" w:lineRule="auto"/>
        <w:ind w:firstLine="437"/>
        <w:jc w:val="left"/>
        <w:rPr>
          <w:rFonts w:ascii="宋体" w:hAnsi="宋体" w:cs="宋体"/>
          <w:color w:val="auto"/>
          <w:kern w:val="0"/>
          <w:szCs w:val="21"/>
          <w:highlight w:val="none"/>
        </w:rPr>
      </w:pPr>
      <w:r>
        <w:rPr>
          <w:rFonts w:hint="eastAsia" w:ascii="宋体" w:hAnsi="宋体" w:cs="宋体"/>
          <w:color w:val="auto"/>
          <w:kern w:val="0"/>
          <w:szCs w:val="21"/>
          <w:highlight w:val="none"/>
        </w:rPr>
        <w:t>附：《</w:t>
      </w:r>
      <w:r>
        <w:rPr>
          <w:rFonts w:ascii="宋体" w:hAnsi="宋体" w:cs="宋体"/>
          <w:color w:val="auto"/>
          <w:kern w:val="0"/>
          <w:szCs w:val="21"/>
          <w:highlight w:val="none"/>
        </w:rPr>
        <w:t xml:space="preserve">XXX </w:t>
      </w:r>
      <w:r>
        <w:rPr>
          <w:rFonts w:hint="eastAsia" w:ascii="宋体" w:hAnsi="宋体" w:cs="宋体"/>
          <w:color w:val="auto"/>
          <w:kern w:val="0"/>
          <w:szCs w:val="21"/>
          <w:highlight w:val="none"/>
        </w:rPr>
        <w:t>保险有限公司履约保证保险（</w:t>
      </w:r>
      <w:r>
        <w:rPr>
          <w:rFonts w:ascii="宋体" w:hAnsi="宋体" w:cs="宋体"/>
          <w:color w:val="auto"/>
          <w:kern w:val="0"/>
          <w:szCs w:val="21"/>
          <w:highlight w:val="none"/>
        </w:rPr>
        <w:t xml:space="preserve">X </w:t>
      </w:r>
      <w:r>
        <w:rPr>
          <w:rFonts w:hint="eastAsia" w:ascii="宋体" w:hAnsi="宋体" w:cs="宋体"/>
          <w:color w:val="auto"/>
          <w:kern w:val="0"/>
          <w:szCs w:val="21"/>
          <w:highlight w:val="none"/>
        </w:rPr>
        <w:t xml:space="preserve">款）条款》及保单 </w:t>
      </w:r>
    </w:p>
    <w:p>
      <w:pPr>
        <w:autoSpaceDE w:val="0"/>
        <w:autoSpaceDN w:val="0"/>
        <w:adjustRightInd w:val="0"/>
        <w:spacing w:line="360" w:lineRule="auto"/>
        <w:ind w:firstLine="437"/>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autoSpaceDE w:val="0"/>
        <w:autoSpaceDN w:val="0"/>
        <w:adjustRightInd w:val="0"/>
        <w:spacing w:line="360" w:lineRule="auto"/>
        <w:ind w:firstLine="437"/>
        <w:jc w:val="center"/>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保险人：</w:t>
      </w:r>
      <w:r>
        <w:rPr>
          <w:rFonts w:hint="eastAsia" w:ascii="宋体" w:hAnsi="宋体" w:cs="宋体"/>
          <w:color w:val="auto"/>
          <w:kern w:val="0"/>
          <w:szCs w:val="21"/>
          <w:highlight w:val="none"/>
          <w:u w:val="single"/>
        </w:rPr>
        <w:t xml:space="preserve">         （盖章）        </w:t>
      </w:r>
    </w:p>
    <w:p>
      <w:pPr>
        <w:autoSpaceDE w:val="0"/>
        <w:autoSpaceDN w:val="0"/>
        <w:adjustRightInd w:val="0"/>
        <w:spacing w:line="360" w:lineRule="auto"/>
        <w:ind w:firstLine="437"/>
        <w:jc w:val="center"/>
        <w:rPr>
          <w:rFonts w:ascii="宋体" w:hAnsi="宋体"/>
          <w:color w:val="auto"/>
          <w:szCs w:val="21"/>
          <w:highlight w:val="none"/>
          <w:u w:val="single"/>
        </w:rPr>
      </w:pP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wordWrap w:val="0"/>
        <w:autoSpaceDE w:val="0"/>
        <w:autoSpaceDN w:val="0"/>
        <w:adjustRightInd w:val="0"/>
        <w:spacing w:line="360" w:lineRule="auto"/>
        <w:ind w:firstLine="437"/>
        <w:jc w:val="right"/>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u w:val="single"/>
        </w:rPr>
        <w:t xml:space="preserve">                        </w:t>
      </w:r>
    </w:p>
    <w:p>
      <w:pPr>
        <w:autoSpaceDE w:val="0"/>
        <w:autoSpaceDN w:val="0"/>
        <w:adjustRightInd w:val="0"/>
        <w:spacing w:line="360" w:lineRule="auto"/>
        <w:ind w:firstLine="437"/>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p>
    <w:p>
      <w:pPr>
        <w:autoSpaceDE w:val="0"/>
        <w:autoSpaceDN w:val="0"/>
        <w:adjustRightInd w:val="0"/>
        <w:spacing w:line="360" w:lineRule="auto"/>
        <w:ind w:firstLine="437"/>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日 </w:t>
      </w:r>
    </w:p>
    <w:p>
      <w:pPr>
        <w:jc w:val="right"/>
        <w:rPr>
          <w:rFonts w:ascii="宋体" w:hAnsi="宋体" w:cs="Times New Roman"/>
          <w:b/>
          <w:color w:val="auto"/>
          <w:kern w:val="0"/>
          <w:sz w:val="28"/>
          <w:szCs w:val="28"/>
          <w:highlight w:val="none"/>
        </w:rPr>
      </w:pPr>
      <w:r>
        <w:rPr>
          <w:rFonts w:hint="eastAsia" w:ascii="宋体" w:hAnsi="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cs="Times New Roman"/>
          <w:b/>
          <w:color w:val="auto"/>
          <w:kern w:val="0"/>
          <w:sz w:val="28"/>
          <w:szCs w:val="28"/>
          <w:highlight w:val="none"/>
        </w:rPr>
      </w:pPr>
      <w:r>
        <w:rPr>
          <w:rFonts w:hint="eastAsia" w:ascii="宋体" w:hAnsi="宋体" w:cs="Times New Roman"/>
          <w:b/>
          <w:color w:val="auto"/>
          <w:kern w:val="0"/>
          <w:sz w:val="28"/>
          <w:szCs w:val="28"/>
          <w:highlight w:val="none"/>
        </w:rPr>
        <w:t>三、担保公司履约担保书格式</w:t>
      </w:r>
    </w:p>
    <w:p>
      <w:pPr>
        <w:autoSpaceDE w:val="0"/>
        <w:autoSpaceDN w:val="0"/>
        <w:adjustRightInd w:val="0"/>
        <w:jc w:val="center"/>
        <w:rPr>
          <w:rFonts w:ascii="宋体" w:hAnsi="宋体" w:cs="Times New Roman"/>
          <w:b/>
          <w:color w:val="auto"/>
          <w:kern w:val="0"/>
          <w:sz w:val="30"/>
          <w:szCs w:val="30"/>
          <w:highlight w:val="none"/>
        </w:rPr>
      </w:pPr>
      <w:r>
        <w:rPr>
          <w:rFonts w:hint="eastAsia" w:ascii="宋体" w:hAnsi="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cs="Times New Roman"/>
          <w:color w:val="auto"/>
          <w:kern w:val="0"/>
          <w:szCs w:val="21"/>
          <w:highlight w:val="none"/>
        </w:rPr>
      </w:pPr>
      <w:r>
        <w:rPr>
          <w:rFonts w:ascii="宋体" w:hAnsi="宋体" w:cs="Times New Roman"/>
          <w:color w:val="auto"/>
          <w:kern w:val="0"/>
          <w:szCs w:val="21"/>
          <w:highlight w:val="none"/>
        </w:rPr>
        <w:t>鉴于</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申请人</w:t>
      </w:r>
      <w:r>
        <w:rPr>
          <w:rFonts w:ascii="宋体" w:hAnsi="宋体" w:cs="Times New Roman"/>
          <w:color w:val="auto"/>
          <w:kern w:val="0"/>
          <w:szCs w:val="21"/>
          <w:highlight w:val="none"/>
          <w:u w:val="single"/>
        </w:rPr>
        <w:t xml:space="preserve">的名称与地址）  </w:t>
      </w:r>
      <w:r>
        <w:rPr>
          <w:rFonts w:ascii="宋体" w:hAnsi="宋体" w:cs="Times New Roman"/>
          <w:color w:val="auto"/>
          <w:kern w:val="0"/>
          <w:szCs w:val="21"/>
          <w:highlight w:val="none"/>
        </w:rPr>
        <w:t>（下称“</w:t>
      </w:r>
      <w:r>
        <w:rPr>
          <w:rFonts w:hint="eastAsia" w:ascii="宋体" w:hAnsi="宋体" w:cs="Times New Roman"/>
          <w:color w:val="auto"/>
          <w:kern w:val="0"/>
          <w:szCs w:val="21"/>
          <w:highlight w:val="none"/>
        </w:rPr>
        <w:t>申请人</w:t>
      </w:r>
      <w:r>
        <w:rPr>
          <w:rFonts w:ascii="宋体" w:hAnsi="宋体" w:cs="Times New Roman"/>
          <w:color w:val="auto"/>
          <w:kern w:val="0"/>
          <w:szCs w:val="21"/>
          <w:highlight w:val="none"/>
        </w:rPr>
        <w:t>”），已保证按</w:t>
      </w:r>
      <w:r>
        <w:rPr>
          <w:rFonts w:hint="eastAsia" w:ascii="宋体" w:hAnsi="宋体" w:cs="宋体"/>
          <w:color w:val="auto"/>
          <w:kern w:val="0"/>
          <w:szCs w:val="21"/>
          <w:highlight w:val="none"/>
        </w:rPr>
        <w:t>拟签订的</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 xml:space="preserve"> </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项目</w:t>
      </w:r>
      <w:r>
        <w:rPr>
          <w:rFonts w:ascii="宋体" w:hAnsi="宋体" w:cs="Times New Roman"/>
          <w:color w:val="auto"/>
          <w:kern w:val="0"/>
          <w:szCs w:val="21"/>
          <w:highlight w:val="none"/>
          <w:u w:val="single"/>
        </w:rPr>
        <w:t>（招标编号：        ）</w:t>
      </w:r>
      <w:r>
        <w:rPr>
          <w:rFonts w:hint="eastAsia" w:ascii="宋体" w:hAnsi="宋体" w:cs="Times New Roman"/>
          <w:color w:val="auto"/>
          <w:kern w:val="0"/>
          <w:szCs w:val="21"/>
          <w:highlight w:val="none"/>
        </w:rPr>
        <w:t>合同（招标文件）</w:t>
      </w:r>
      <w:r>
        <w:rPr>
          <w:rFonts w:ascii="宋体" w:hAnsi="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cs="Times New Roman"/>
          <w:color w:val="auto"/>
          <w:kern w:val="0"/>
          <w:szCs w:val="21"/>
          <w:highlight w:val="none"/>
        </w:rPr>
      </w:pPr>
      <w:r>
        <w:rPr>
          <w:rFonts w:ascii="宋体" w:hAnsi="宋体" w:cs="Times New Roman"/>
          <w:color w:val="auto"/>
          <w:kern w:val="0"/>
          <w:szCs w:val="21"/>
          <w:highlight w:val="none"/>
        </w:rPr>
        <w:t>根据上述合同（招标文件）规定，</w:t>
      </w:r>
      <w:r>
        <w:rPr>
          <w:rFonts w:hint="eastAsia" w:ascii="宋体" w:hAnsi="宋体" w:cs="Times New Roman"/>
          <w:color w:val="auto"/>
          <w:kern w:val="0"/>
          <w:szCs w:val="21"/>
          <w:highlight w:val="none"/>
        </w:rPr>
        <w:t>申请人</w:t>
      </w:r>
      <w:r>
        <w:rPr>
          <w:rFonts w:ascii="宋体" w:hAnsi="宋体" w:cs="Times New Roman"/>
          <w:color w:val="auto"/>
          <w:kern w:val="0"/>
          <w:szCs w:val="21"/>
          <w:highlight w:val="none"/>
        </w:rPr>
        <w:t>应向受益人提供一份金额为人民币</w:t>
      </w:r>
      <w:r>
        <w:rPr>
          <w:rFonts w:hint="eastAsia" w:ascii="宋体" w:hAnsi="宋体" w:cs="宋体"/>
          <w:color w:val="auto"/>
          <w:kern w:val="0"/>
          <w:szCs w:val="21"/>
          <w:highlight w:val="none"/>
        </w:rPr>
        <w:t>（大写）</w:t>
      </w:r>
      <w:r>
        <w:rPr>
          <w:rFonts w:ascii="宋体" w:hAnsi="宋体" w:cs="Times New Roman"/>
          <w:color w:val="auto"/>
          <w:kern w:val="0"/>
          <w:szCs w:val="21"/>
          <w:highlight w:val="none"/>
          <w:u w:val="single"/>
        </w:rPr>
        <w:t xml:space="preserve">     （RMB元）</w:t>
      </w:r>
      <w:r>
        <w:rPr>
          <w:rFonts w:ascii="宋体" w:hAnsi="宋体" w:cs="Times New Roman"/>
          <w:color w:val="auto"/>
          <w:kern w:val="0"/>
          <w:szCs w:val="21"/>
          <w:highlight w:val="none"/>
        </w:rPr>
        <w:t>的</w:t>
      </w:r>
      <w:r>
        <w:rPr>
          <w:rFonts w:hint="eastAsia" w:ascii="宋体" w:hAnsi="宋体" w:cs="Times New Roman"/>
          <w:color w:val="auto"/>
          <w:kern w:val="0"/>
          <w:szCs w:val="21"/>
          <w:highlight w:val="none"/>
        </w:rPr>
        <w:t>无条件、</w:t>
      </w:r>
      <w:r>
        <w:rPr>
          <w:rFonts w:ascii="宋体" w:hAnsi="宋体" w:cs="Times New Roman"/>
          <w:bCs/>
          <w:color w:val="auto"/>
          <w:kern w:val="0"/>
          <w:szCs w:val="21"/>
          <w:highlight w:val="none"/>
        </w:rPr>
        <w:t>不可撤销</w:t>
      </w:r>
      <w:r>
        <w:rPr>
          <w:rFonts w:ascii="宋体" w:hAnsi="宋体" w:cs="Times New Roman"/>
          <w:color w:val="auto"/>
          <w:kern w:val="0"/>
          <w:szCs w:val="21"/>
          <w:highlight w:val="none"/>
        </w:rPr>
        <w:t>履约</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，作为</w:t>
      </w:r>
      <w:r>
        <w:rPr>
          <w:rFonts w:hint="eastAsia" w:ascii="宋体" w:hAnsi="宋体" w:cs="Times New Roman"/>
          <w:color w:val="auto"/>
          <w:kern w:val="0"/>
          <w:szCs w:val="21"/>
          <w:highlight w:val="none"/>
        </w:rPr>
        <w:t>申请人</w:t>
      </w:r>
      <w:r>
        <w:rPr>
          <w:rFonts w:ascii="宋体" w:hAnsi="宋体" w:cs="Times New Roman"/>
          <w:color w:val="auto"/>
          <w:kern w:val="0"/>
          <w:szCs w:val="21"/>
          <w:highlight w:val="none"/>
        </w:rPr>
        <w:t>履行上述合同的担保</w:t>
      </w:r>
      <w:r>
        <w:rPr>
          <w:rFonts w:ascii="宋体" w:hAnsi="宋体" w:cs="宋体"/>
          <w:color w:val="auto"/>
          <w:kern w:val="0"/>
          <w:szCs w:val="21"/>
          <w:highlight w:val="none"/>
        </w:rPr>
        <w:t>，</w:t>
      </w:r>
      <w:r>
        <w:rPr>
          <w:rFonts w:hint="eastAsia" w:ascii="宋体" w:hAnsi="宋体" w:cs="宋体"/>
          <w:color w:val="auto"/>
          <w:kern w:val="0"/>
          <w:szCs w:val="21"/>
          <w:highlight w:val="none"/>
          <w:lang w:eastAsia="zh-Hans"/>
        </w:rPr>
        <w:t>我方</w:t>
      </w:r>
      <w:r>
        <w:rPr>
          <w:rFonts w:ascii="宋体" w:hAnsi="宋体" w:cs="宋体"/>
          <w:color w:val="auto"/>
          <w:kern w:val="0"/>
          <w:szCs w:val="21"/>
          <w:highlight w:val="none"/>
          <w:u w:val="single"/>
        </w:rPr>
        <w:t xml:space="preserve">  </w:t>
      </w:r>
      <w:r>
        <w:rPr>
          <w:rFonts w:ascii="宋体" w:hAnsi="宋体" w:cs="Times New Roman"/>
          <w:color w:val="auto"/>
          <w:kern w:val="0"/>
          <w:szCs w:val="21"/>
          <w:highlight w:val="none"/>
          <w:u w:val="single"/>
        </w:rPr>
        <w:t>（</w:t>
      </w:r>
      <w:r>
        <w:rPr>
          <w:rFonts w:hint="eastAsia" w:ascii="宋体" w:hAnsi="宋体" w:cs="Times New Roman"/>
          <w:color w:val="auto"/>
          <w:kern w:val="0"/>
          <w:szCs w:val="21"/>
          <w:highlight w:val="none"/>
          <w:u w:val="single"/>
        </w:rPr>
        <w:t>担保公司</w:t>
      </w:r>
      <w:r>
        <w:rPr>
          <w:rFonts w:ascii="宋体" w:hAnsi="宋体" w:cs="Times New Roman"/>
          <w:color w:val="auto"/>
          <w:kern w:val="0"/>
          <w:szCs w:val="21"/>
          <w:highlight w:val="none"/>
          <w:u w:val="single"/>
        </w:rPr>
        <w:t>名称）</w:t>
      </w:r>
      <w:r>
        <w:rPr>
          <w:rFonts w:hint="eastAsia" w:ascii="宋体" w:hAnsi="宋体" w:cs="Times New Roman"/>
          <w:color w:val="auto"/>
          <w:kern w:val="0"/>
          <w:szCs w:val="21"/>
          <w:highlight w:val="none"/>
          <w:u w:val="single"/>
        </w:rPr>
        <w:t xml:space="preserve">  </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Hans"/>
        </w:rPr>
        <w:t>本合同项下的保证责任为连带责任保证</w:t>
      </w:r>
      <w:r>
        <w:rPr>
          <w:rFonts w:hint="eastAsia" w:ascii="宋体" w:hAnsi="宋体" w:cs="宋体"/>
          <w:color w:val="auto"/>
          <w:kern w:val="0"/>
          <w:szCs w:val="21"/>
          <w:highlight w:val="none"/>
        </w:rPr>
        <w:t>。</w:t>
      </w:r>
    </w:p>
    <w:p>
      <w:pPr>
        <w:autoSpaceDE w:val="0"/>
        <w:autoSpaceDN w:val="0"/>
        <w:adjustRightInd w:val="0"/>
        <w:spacing w:line="360" w:lineRule="auto"/>
        <w:ind w:firstLine="437"/>
        <w:jc w:val="left"/>
        <w:rPr>
          <w:rFonts w:ascii="宋体" w:hAnsi="宋体" w:cs="宋体"/>
          <w:color w:val="auto"/>
          <w:kern w:val="0"/>
          <w:szCs w:val="21"/>
          <w:highlight w:val="none"/>
        </w:rPr>
      </w:pPr>
      <w:r>
        <w:rPr>
          <w:rFonts w:ascii="宋体" w:hAnsi="宋体" w:cs="Times New Roman"/>
          <w:color w:val="auto"/>
          <w:kern w:val="0"/>
          <w:szCs w:val="21"/>
          <w:highlight w:val="none"/>
        </w:rPr>
        <w:t>我方</w:t>
      </w:r>
      <w:r>
        <w:rPr>
          <w:rFonts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u w:val="single"/>
        </w:rPr>
        <w:t>担保公司</w:t>
      </w:r>
      <w:r>
        <w:rPr>
          <w:rFonts w:ascii="宋体" w:hAnsi="宋体" w:cs="Times New Roman"/>
          <w:color w:val="auto"/>
          <w:kern w:val="0"/>
          <w:szCs w:val="21"/>
          <w:highlight w:val="none"/>
          <w:u w:val="single"/>
        </w:rPr>
        <w:t xml:space="preserve">名称）  </w:t>
      </w:r>
      <w:r>
        <w:rPr>
          <w:rFonts w:ascii="宋体" w:hAnsi="宋体" w:cs="Times New Roman"/>
          <w:color w:val="auto"/>
          <w:kern w:val="0"/>
          <w:szCs w:val="21"/>
          <w:highlight w:val="none"/>
        </w:rPr>
        <w:t>，受</w:t>
      </w:r>
      <w:r>
        <w:rPr>
          <w:rFonts w:hint="eastAsia" w:ascii="宋体" w:hAnsi="宋体" w:cs="Times New Roman"/>
          <w:color w:val="auto"/>
          <w:kern w:val="0"/>
          <w:szCs w:val="21"/>
          <w:highlight w:val="none"/>
        </w:rPr>
        <w:t>申请人</w:t>
      </w:r>
      <w:r>
        <w:rPr>
          <w:rFonts w:ascii="宋体" w:hAnsi="宋体" w:cs="Times New Roman"/>
          <w:color w:val="auto"/>
          <w:kern w:val="0"/>
          <w:szCs w:val="21"/>
          <w:highlight w:val="none"/>
        </w:rPr>
        <w:t>的委托，</w:t>
      </w:r>
      <w:r>
        <w:rPr>
          <w:rFonts w:hint="eastAsia" w:ascii="宋体" w:hAnsi="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cs="宋体"/>
          <w:color w:val="auto"/>
          <w:kern w:val="0"/>
          <w:szCs w:val="21"/>
          <w:highlight w:val="none"/>
        </w:rPr>
        <w:t>_______元）</w:t>
      </w:r>
      <w:r>
        <w:rPr>
          <w:rFonts w:hint="eastAsia" w:ascii="宋体" w:hAnsi="宋体" w:cs="宋体"/>
          <w:color w:val="auto"/>
          <w:kern w:val="0"/>
          <w:szCs w:val="21"/>
          <w:highlight w:val="none"/>
        </w:rPr>
        <w:t>的款项。</w:t>
      </w:r>
    </w:p>
    <w:p>
      <w:pPr>
        <w:autoSpaceDE w:val="0"/>
        <w:autoSpaceDN w:val="0"/>
        <w:adjustRightInd w:val="0"/>
        <w:spacing w:line="360" w:lineRule="auto"/>
        <w:ind w:firstLine="437"/>
        <w:jc w:val="left"/>
        <w:rPr>
          <w:rFonts w:ascii="宋体" w:hAnsi="宋体" w:cs="Times New Roman"/>
          <w:color w:val="auto"/>
          <w:kern w:val="0"/>
          <w:szCs w:val="21"/>
          <w:highlight w:val="none"/>
        </w:rPr>
      </w:pPr>
      <w:r>
        <w:rPr>
          <w:rFonts w:ascii="宋体" w:hAnsi="宋体" w:cs="Times New Roman"/>
          <w:color w:val="auto"/>
          <w:kern w:val="0"/>
          <w:szCs w:val="21"/>
          <w:highlight w:val="none"/>
        </w:rPr>
        <w:t>我方还同意，任何受益人与</w:t>
      </w:r>
      <w:r>
        <w:rPr>
          <w:rFonts w:hint="eastAsia" w:ascii="宋体" w:hAnsi="宋体" w:cs="Times New Roman"/>
          <w:color w:val="auto"/>
          <w:kern w:val="0"/>
          <w:szCs w:val="21"/>
          <w:highlight w:val="none"/>
        </w:rPr>
        <w:t>申请人</w:t>
      </w:r>
      <w:r>
        <w:rPr>
          <w:rFonts w:ascii="宋体" w:hAnsi="宋体" w:cs="Times New Roman"/>
          <w:color w:val="auto"/>
          <w:kern w:val="0"/>
          <w:szCs w:val="21"/>
          <w:highlight w:val="none"/>
        </w:rPr>
        <w:t>之间可能对合同条款的修改、规范或其他合同文件的变动补充，都不能免除我方按本</w:t>
      </w:r>
      <w:r>
        <w:rPr>
          <w:rFonts w:hint="eastAsia" w:ascii="宋体" w:hAnsi="宋体" w:cs="Times New Roman"/>
          <w:color w:val="auto"/>
          <w:kern w:val="0"/>
          <w:szCs w:val="21"/>
          <w:highlight w:val="none"/>
        </w:rPr>
        <w:t>担保</w:t>
      </w:r>
      <w:r>
        <w:rPr>
          <w:rFonts w:ascii="宋体" w:hAnsi="宋体" w:cs="Times New Roman"/>
          <w:color w:val="auto"/>
          <w:kern w:val="0"/>
          <w:szCs w:val="21"/>
          <w:highlight w:val="none"/>
        </w:rPr>
        <w:t>函所承担的责任。因此，有关上述变动、补充和修改无须通知</w:t>
      </w:r>
      <w:r>
        <w:rPr>
          <w:rFonts w:hint="eastAsia" w:ascii="宋体" w:hAnsi="宋体" w:cs="Times New Roman"/>
          <w:color w:val="auto"/>
          <w:kern w:val="0"/>
          <w:szCs w:val="21"/>
          <w:highlight w:val="none"/>
        </w:rPr>
        <w:t>或征得</w:t>
      </w:r>
      <w:r>
        <w:rPr>
          <w:rFonts w:ascii="宋体" w:hAnsi="宋体" w:cs="Times New Roman"/>
          <w:color w:val="auto"/>
          <w:kern w:val="0"/>
          <w:szCs w:val="21"/>
          <w:highlight w:val="none"/>
        </w:rPr>
        <w:t>我方</w:t>
      </w:r>
      <w:r>
        <w:rPr>
          <w:rFonts w:hint="eastAsia" w:ascii="宋体" w:hAnsi="宋体" w:cs="Times New Roman"/>
          <w:color w:val="auto"/>
          <w:kern w:val="0"/>
          <w:szCs w:val="21"/>
          <w:highlight w:val="none"/>
        </w:rPr>
        <w:t>同意</w:t>
      </w:r>
      <w:r>
        <w:rPr>
          <w:rFonts w:ascii="宋体" w:hAnsi="宋体" w:cs="Times New Roman"/>
          <w:color w:val="auto"/>
          <w:kern w:val="0"/>
          <w:szCs w:val="21"/>
          <w:highlight w:val="none"/>
        </w:rPr>
        <w:t>。</w:t>
      </w:r>
    </w:p>
    <w:p>
      <w:pPr>
        <w:autoSpaceDE w:val="0"/>
        <w:autoSpaceDN w:val="0"/>
        <w:adjustRightInd w:val="0"/>
        <w:spacing w:line="360" w:lineRule="auto"/>
        <w:ind w:firstLine="437"/>
        <w:jc w:val="left"/>
        <w:rPr>
          <w:rFonts w:ascii="宋体" w:hAnsi="宋体" w:cs="Times New Roman"/>
          <w:color w:val="auto"/>
          <w:kern w:val="0"/>
          <w:szCs w:val="21"/>
          <w:highlight w:val="none"/>
        </w:rPr>
      </w:pPr>
      <w:r>
        <w:rPr>
          <w:rFonts w:ascii="宋体" w:hAnsi="宋体" w:cs="Times New Roman"/>
          <w:color w:val="auto"/>
          <w:kern w:val="0"/>
          <w:szCs w:val="21"/>
          <w:highlight w:val="none"/>
        </w:rPr>
        <w:t>本保函</w:t>
      </w:r>
      <w:r>
        <w:rPr>
          <w:rFonts w:hint="eastAsia" w:ascii="宋体" w:hAnsi="宋体" w:cs="Times New Roman"/>
          <w:color w:val="auto"/>
          <w:kern w:val="0"/>
          <w:szCs w:val="21"/>
          <w:highlight w:val="none"/>
        </w:rPr>
        <w:t>应自合同签订之日起至完成全部供货（含最终验收合格）且结算完毕之后二十八（</w:t>
      </w:r>
      <w:r>
        <w:rPr>
          <w:rFonts w:ascii="宋体" w:hAnsi="宋体" w:cs="Times New Roman"/>
          <w:color w:val="auto"/>
          <w:kern w:val="0"/>
          <w:szCs w:val="21"/>
          <w:highlight w:val="none"/>
        </w:rPr>
        <w:t>28）日内</w:t>
      </w:r>
      <w:r>
        <w:rPr>
          <w:rFonts w:hint="eastAsia" w:ascii="宋体" w:hAnsi="宋体" w:cs="Times New Roman"/>
          <w:color w:val="auto"/>
          <w:kern w:val="0"/>
          <w:szCs w:val="21"/>
          <w:highlight w:val="none"/>
        </w:rPr>
        <w:t>保持有效。</w:t>
      </w:r>
    </w:p>
    <w:p>
      <w:pPr>
        <w:autoSpaceDE w:val="0"/>
        <w:autoSpaceDN w:val="0"/>
        <w:adjustRightInd w:val="0"/>
        <w:spacing w:line="360" w:lineRule="auto"/>
        <w:jc w:val="left"/>
        <w:rPr>
          <w:rFonts w:ascii="宋体" w:hAnsi="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联系人：                        </w:t>
      </w:r>
    </w:p>
    <w:p>
      <w:pPr>
        <w:autoSpaceDE w:val="0"/>
        <w:autoSpaceDN w:val="0"/>
        <w:adjustRightInd w:val="0"/>
        <w:spacing w:line="360" w:lineRule="auto"/>
        <w:ind w:firstLine="3990" w:firstLineChars="19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日期：    年   月   日</w:t>
      </w:r>
    </w:p>
    <w:p>
      <w:pPr>
        <w:rPr>
          <w:color w:val="auto"/>
          <w:highlight w:val="none"/>
          <w:lang w:val="zh-CN"/>
        </w:rPr>
      </w:pPr>
    </w:p>
    <w:p>
      <w:pPr>
        <w:pStyle w:val="46"/>
        <w:rPr>
          <w:color w:val="auto"/>
          <w:highlight w:val="none"/>
          <w:lang w:val="zh-CN"/>
        </w:rPr>
      </w:pPr>
    </w:p>
    <w:p>
      <w:pPr>
        <w:rPr>
          <w:color w:val="auto"/>
          <w:highlight w:val="none"/>
          <w:lang w:val="zh-CN"/>
        </w:rPr>
      </w:pPr>
    </w:p>
    <w:p>
      <w:pPr>
        <w:pageBreakBefore/>
        <w:tabs>
          <w:tab w:val="left" w:pos="1080"/>
        </w:tabs>
        <w:autoSpaceDE w:val="0"/>
        <w:autoSpaceDN w:val="0"/>
        <w:adjustRightInd w:val="0"/>
        <w:spacing w:line="360" w:lineRule="auto"/>
        <w:jc w:val="center"/>
        <w:outlineLvl w:val="0"/>
        <w:rPr>
          <w:rFonts w:ascii="宋体" w:hAnsi="宋体" w:cs="宋体"/>
          <w:b/>
          <w:bCs/>
          <w:color w:val="auto"/>
          <w:kern w:val="44"/>
          <w:sz w:val="32"/>
          <w:szCs w:val="32"/>
          <w:highlight w:val="none"/>
        </w:rPr>
      </w:pPr>
      <w:bookmarkStart w:id="434" w:name="_Toc12794"/>
      <w:bookmarkStart w:id="435" w:name="_Toc142508361"/>
      <w:bookmarkStart w:id="436" w:name="_Toc6923"/>
      <w:bookmarkStart w:id="437" w:name="_Toc32761_WPSOffice_Level1"/>
      <w:bookmarkStart w:id="438" w:name="_Toc173684925"/>
      <w:bookmarkStart w:id="439" w:name="_Toc450662895"/>
      <w:bookmarkStart w:id="440" w:name="_Toc486167708"/>
      <w:r>
        <w:rPr>
          <w:rFonts w:hint="eastAsia" w:ascii="宋体" w:hAnsi="宋体" w:cs="宋体"/>
          <w:b/>
          <w:bCs/>
          <w:color w:val="auto"/>
          <w:kern w:val="44"/>
          <w:sz w:val="32"/>
          <w:szCs w:val="32"/>
          <w:highlight w:val="none"/>
          <w:lang w:val="zh-CN"/>
        </w:rPr>
        <w:t>第六篇 投标文件格式</w:t>
      </w:r>
      <w:bookmarkEnd w:id="434"/>
      <w:bookmarkEnd w:id="435"/>
      <w:bookmarkEnd w:id="436"/>
      <w:bookmarkEnd w:id="437"/>
      <w:bookmarkEnd w:id="438"/>
      <w:bookmarkEnd w:id="439"/>
      <w:bookmarkEnd w:id="440"/>
    </w:p>
    <w:p>
      <w:pPr>
        <w:pStyle w:val="19"/>
        <w:spacing w:line="360" w:lineRule="auto"/>
        <w:jc w:val="center"/>
        <w:rPr>
          <w:rFonts w:ascii="宋体" w:hAnsi="宋体" w:cs="宋体"/>
          <w:b/>
          <w:color w:val="auto"/>
          <w:kern w:val="0"/>
          <w:sz w:val="32"/>
          <w:szCs w:val="32"/>
          <w:highlight w:val="none"/>
        </w:rPr>
      </w:pPr>
      <w:bookmarkStart w:id="441" w:name="_Toc1977721"/>
      <w:bookmarkStart w:id="442" w:name="_Toc142508362"/>
      <w:bookmarkStart w:id="443" w:name="_Toc102860067"/>
      <w:bookmarkStart w:id="444" w:name="_Toc486167709"/>
      <w:bookmarkStart w:id="445" w:name="_Toc21133_WPSOffice_Level2"/>
      <w:bookmarkStart w:id="446" w:name="_Toc104991868"/>
      <w:bookmarkStart w:id="447" w:name="_Toc102860411"/>
      <w:bookmarkStart w:id="448" w:name="_Toc94107202"/>
      <w:bookmarkStart w:id="449" w:name="_Toc140596921"/>
      <w:bookmarkStart w:id="450" w:name="_Toc533708121"/>
      <w:r>
        <w:rPr>
          <w:rFonts w:hint="eastAsia" w:ascii="宋体" w:hAnsi="宋体" w:cs="宋体"/>
          <w:b/>
          <w:color w:val="auto"/>
          <w:kern w:val="0"/>
          <w:sz w:val="32"/>
          <w:szCs w:val="32"/>
          <w:highlight w:val="none"/>
        </w:rPr>
        <w:br w:type="page"/>
      </w:r>
    </w:p>
    <w:p>
      <w:pPr>
        <w:pStyle w:val="19"/>
        <w:spacing w:line="360" w:lineRule="auto"/>
        <w:jc w:val="center"/>
        <w:rPr>
          <w:rFonts w:ascii="宋体" w:hAnsi="宋体" w:cs="宋体"/>
          <w:b/>
          <w:color w:val="auto"/>
          <w:kern w:val="0"/>
          <w:sz w:val="32"/>
          <w:szCs w:val="32"/>
          <w:highlight w:val="none"/>
        </w:rPr>
      </w:pPr>
    </w:p>
    <w:p>
      <w:pPr>
        <w:pStyle w:val="19"/>
        <w:spacing w:line="360" w:lineRule="auto"/>
        <w:jc w:val="center"/>
        <w:rPr>
          <w:rFonts w:ascii="宋体" w:hAnsi="宋体" w:cs="宋体"/>
          <w:b/>
          <w:color w:val="auto"/>
          <w:kern w:val="0"/>
          <w:sz w:val="32"/>
          <w:szCs w:val="32"/>
          <w:highlight w:val="none"/>
        </w:rPr>
      </w:pPr>
    </w:p>
    <w:p>
      <w:pPr>
        <w:pStyle w:val="19"/>
        <w:spacing w:line="360" w:lineRule="auto"/>
        <w:jc w:val="center"/>
        <w:rPr>
          <w:rFonts w:ascii="宋体" w:hAnsi="宋体" w:cs="宋体"/>
          <w:b/>
          <w:color w:val="auto"/>
          <w:kern w:val="0"/>
          <w:sz w:val="32"/>
          <w:szCs w:val="32"/>
          <w:highlight w:val="none"/>
        </w:rPr>
      </w:pPr>
    </w:p>
    <w:p>
      <w:pPr>
        <w:pStyle w:val="19"/>
        <w:spacing w:line="360" w:lineRule="auto"/>
        <w:jc w:val="center"/>
        <w:rPr>
          <w:rFonts w:ascii="宋体" w:hAnsi="宋体" w:cs="宋体"/>
          <w:color w:val="auto"/>
          <w:sz w:val="84"/>
          <w:highlight w:val="none"/>
        </w:rPr>
      </w:pPr>
    </w:p>
    <w:p>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r>
        <w:rPr>
          <w:rFonts w:hint="eastAsia" w:ascii="宋体" w:hAnsi="宋体" w:cs="宋体"/>
          <w:color w:val="auto"/>
          <w:highlight w:val="none"/>
        </w:rPr>
        <w:br w:type="page"/>
      </w:r>
    </w:p>
    <w:p>
      <w:pPr>
        <w:pStyle w:val="19"/>
        <w:spacing w:line="360" w:lineRule="auto"/>
        <w:rPr>
          <w:rFonts w:ascii="宋体" w:hAnsi="宋体" w:cs="宋体"/>
          <w:color w:val="auto"/>
          <w:highlight w:val="none"/>
        </w:rPr>
      </w:pPr>
    </w:p>
    <w:p>
      <w:pPr>
        <w:pBdr>
          <w:bottom w:val="single" w:color="auto" w:sz="6" w:space="0"/>
        </w:pBdr>
        <w:spacing w:line="480" w:lineRule="auto"/>
        <w:ind w:firstLine="472" w:firstLineChars="224"/>
        <w:jc w:val="center"/>
        <w:rPr>
          <w:rFonts w:ascii="宋体" w:hAnsi="宋体" w:cs="宋体"/>
          <w:b/>
          <w:bCs/>
          <w:color w:val="auto"/>
          <w:szCs w:val="21"/>
          <w:highlight w:val="none"/>
        </w:rPr>
      </w:pPr>
      <w:r>
        <w:rPr>
          <w:rFonts w:hint="eastAsia" w:ascii="宋体" w:hAnsi="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337"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评标项目</w:t>
            </w:r>
          </w:p>
        </w:tc>
        <w:tc>
          <w:tcPr>
            <w:tcW w:w="861"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招标文件上的满分值</w:t>
            </w:r>
          </w:p>
        </w:tc>
        <w:tc>
          <w:tcPr>
            <w:tcW w:w="2136" w:type="pct"/>
            <w:tcBorders>
              <w:left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p>
        </w:tc>
        <w:tc>
          <w:tcPr>
            <w:tcW w:w="1337" w:type="pct"/>
            <w:vAlign w:val="center"/>
          </w:tcPr>
          <w:p>
            <w:pPr>
              <w:adjustRightInd w:val="0"/>
              <w:snapToGrid w:val="0"/>
              <w:spacing w:line="360" w:lineRule="auto"/>
              <w:jc w:val="center"/>
              <w:rPr>
                <w:rFonts w:ascii="宋体" w:hAnsi="宋体" w:cs="宋体"/>
                <w:bCs/>
                <w:color w:val="auto"/>
                <w:szCs w:val="21"/>
                <w:highlight w:val="none"/>
              </w:rPr>
            </w:pPr>
          </w:p>
        </w:tc>
        <w:tc>
          <w:tcPr>
            <w:tcW w:w="861" w:type="pct"/>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ascii="宋体" w:hAnsi="宋体" w:cs="宋体"/>
                <w:bCs/>
                <w:color w:val="auto"/>
                <w:szCs w:val="21"/>
                <w:highlight w:val="none"/>
              </w:rPr>
            </w:pPr>
          </w:p>
        </w:tc>
        <w:tc>
          <w:tcPr>
            <w:tcW w:w="1337" w:type="pct"/>
            <w:vAlign w:val="center"/>
          </w:tcPr>
          <w:p>
            <w:pPr>
              <w:rPr>
                <w:rFonts w:ascii="宋体" w:hAnsi="宋体" w:cs="宋体"/>
                <w:bCs/>
                <w:color w:val="auto"/>
                <w:szCs w:val="21"/>
                <w:highlight w:val="none"/>
              </w:rPr>
            </w:pPr>
          </w:p>
        </w:tc>
        <w:tc>
          <w:tcPr>
            <w:tcW w:w="861" w:type="pct"/>
            <w:vAlign w:val="center"/>
          </w:tcPr>
          <w:p>
            <w:pPr>
              <w:rPr>
                <w:rFonts w:ascii="宋体" w:hAnsi="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p>
        </w:tc>
        <w:tc>
          <w:tcPr>
            <w:tcW w:w="1337" w:type="pct"/>
            <w:vAlign w:val="center"/>
          </w:tcPr>
          <w:p>
            <w:pPr>
              <w:adjustRightInd w:val="0"/>
              <w:snapToGrid w:val="0"/>
              <w:spacing w:line="360" w:lineRule="auto"/>
              <w:rPr>
                <w:rFonts w:ascii="宋体" w:hAnsi="宋体" w:cs="宋体"/>
                <w:bCs/>
                <w:color w:val="auto"/>
                <w:szCs w:val="21"/>
                <w:highlight w:val="none"/>
              </w:rPr>
            </w:pPr>
          </w:p>
        </w:tc>
        <w:tc>
          <w:tcPr>
            <w:tcW w:w="861" w:type="pct"/>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ascii="宋体" w:hAnsi="宋体" w:cs="宋体"/>
                <w:bCs/>
                <w:color w:val="auto"/>
                <w:szCs w:val="21"/>
                <w:highlight w:val="none"/>
              </w:rPr>
            </w:pPr>
          </w:p>
        </w:tc>
      </w:tr>
    </w:tbl>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widowControl/>
        <w:jc w:val="left"/>
        <w:rPr>
          <w:rFonts w:ascii="宋体" w:hAnsi="宋体" w:cs="宋体"/>
          <w:b/>
          <w:color w:val="auto"/>
          <w:kern w:val="0"/>
          <w:sz w:val="32"/>
          <w:szCs w:val="32"/>
          <w:highlight w:val="none"/>
        </w:rPr>
      </w:pPr>
      <w:r>
        <w:rPr>
          <w:rFonts w:hint="eastAsia" w:ascii="宋体" w:hAnsi="宋体" w:cs="宋体"/>
          <w:color w:val="auto"/>
          <w:highlight w:val="none"/>
        </w:rPr>
        <w:br w:type="page"/>
      </w:r>
    </w:p>
    <w:p>
      <w:pPr>
        <w:tabs>
          <w:tab w:val="left" w:pos="567"/>
        </w:tabs>
        <w:autoSpaceDE w:val="0"/>
        <w:autoSpaceDN w:val="0"/>
        <w:adjustRightInd w:val="0"/>
        <w:spacing w:line="360" w:lineRule="auto"/>
        <w:ind w:left="842" w:leftChars="0" w:hanging="842" w:hangingChars="262"/>
        <w:jc w:val="left"/>
        <w:outlineLvl w:val="2"/>
        <w:rPr>
          <w:rFonts w:ascii="宋体" w:hAnsi="宋体" w:cs="宋体"/>
          <w:b/>
          <w:color w:val="auto"/>
          <w:kern w:val="0"/>
          <w:sz w:val="32"/>
          <w:szCs w:val="32"/>
          <w:highlight w:val="none"/>
        </w:rPr>
      </w:pPr>
      <w:bookmarkStart w:id="451" w:name="_Toc13331"/>
      <w:bookmarkStart w:id="452" w:name="_Toc2569"/>
      <w:bookmarkStart w:id="453" w:name="_Toc18706"/>
      <w:bookmarkStart w:id="454" w:name="_Toc173684926"/>
      <w:r>
        <w:rPr>
          <w:rFonts w:hint="eastAsia" w:ascii="宋体" w:hAnsi="宋体" w:cs="宋体"/>
          <w:b/>
          <w:color w:val="auto"/>
          <w:kern w:val="0"/>
          <w:sz w:val="32"/>
          <w:szCs w:val="32"/>
          <w:highlight w:val="none"/>
        </w:rPr>
        <w:t>一、投标函格式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autoSpaceDE w:val="0"/>
        <w:autoSpaceDN w:val="0"/>
        <w:adjustRightInd w:val="0"/>
        <w:spacing w:line="360" w:lineRule="auto"/>
        <w:jc w:val="center"/>
        <w:rPr>
          <w:rFonts w:ascii="宋体" w:hAnsi="宋体" w:cs="宋体"/>
          <w:b/>
          <w:bCs/>
          <w:color w:val="auto"/>
          <w:sz w:val="30"/>
          <w:szCs w:val="30"/>
          <w:highlight w:val="none"/>
        </w:rPr>
      </w:pPr>
      <w:bookmarkStart w:id="455" w:name="_Toc16695_WPSOffice_Level3"/>
      <w:r>
        <w:rPr>
          <w:rFonts w:hint="eastAsia" w:ascii="宋体" w:hAnsi="宋体" w:cs="宋体"/>
          <w:b/>
          <w:bCs/>
          <w:color w:val="auto"/>
          <w:sz w:val="30"/>
          <w:szCs w:val="30"/>
          <w:highlight w:val="none"/>
          <w:lang w:val="zh-CN"/>
        </w:rPr>
        <w:t>投 标 函</w:t>
      </w:r>
      <w:bookmarkEnd w:id="455"/>
    </w:p>
    <w:p>
      <w:pPr>
        <w:autoSpaceDE w:val="0"/>
        <w:autoSpaceDN w:val="0"/>
        <w:adjustRightInd w:val="0"/>
        <w:spacing w:line="360" w:lineRule="auto"/>
        <w:rPr>
          <w:rFonts w:ascii="宋体" w:hAnsi="宋体" w:cs="宋体"/>
          <w:color w:val="auto"/>
          <w:szCs w:val="21"/>
          <w:highlight w:val="none"/>
          <w:lang w:val="zh-CN"/>
        </w:rPr>
      </w:pP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致：</w:t>
      </w:r>
      <w:r>
        <w:rPr>
          <w:rFonts w:hint="eastAsia" w:ascii="宋体" w:hAnsi="宋体" w:cs="宋体"/>
          <w:color w:val="auto"/>
          <w:kern w:val="0"/>
          <w:szCs w:val="21"/>
          <w:highlight w:val="none"/>
          <w:u w:val="single"/>
        </w:rPr>
        <w:t>东莞市众源环境投资有限公司</w:t>
      </w:r>
    </w:p>
    <w:p>
      <w:pPr>
        <w:autoSpaceDE w:val="0"/>
        <w:autoSpaceDN w:val="0"/>
        <w:adjustRightInd w:val="0"/>
        <w:spacing w:line="360" w:lineRule="auto"/>
        <w:rPr>
          <w:rFonts w:ascii="宋体" w:hAnsi="宋体" w:cs="宋体"/>
          <w:color w:val="auto"/>
          <w:szCs w:val="21"/>
          <w:highlight w:val="none"/>
        </w:rPr>
      </w:pPr>
    </w:p>
    <w:p>
      <w:pPr>
        <w:wordWrap w:val="0"/>
        <w:autoSpaceDE w:val="0"/>
        <w:autoSpaceDN w:val="0"/>
        <w:adjustRightInd w:val="0"/>
        <w:spacing w:line="360" w:lineRule="auto"/>
        <w:ind w:firstLine="420"/>
        <w:rPr>
          <w:rFonts w:ascii="宋体" w:hAnsi="宋体" w:cs="宋体"/>
          <w:color w:val="auto"/>
          <w:szCs w:val="21"/>
          <w:highlight w:val="none"/>
          <w:lang w:val="zh-CN"/>
        </w:rPr>
      </w:pPr>
      <w:r>
        <w:rPr>
          <w:rFonts w:hint="eastAsia" w:ascii="宋体" w:hAnsi="宋体" w:cs="宋体"/>
          <w:color w:val="auto"/>
          <w:szCs w:val="21"/>
          <w:highlight w:val="none"/>
          <w:lang w:val="zh-CN"/>
        </w:rPr>
        <w:t>根据贵方为</w:t>
      </w:r>
      <w:r>
        <w:rPr>
          <w:rFonts w:hint="eastAsia" w:ascii="宋体" w:hAnsi="宋体" w:cs="宋体"/>
          <w:color w:val="auto"/>
          <w:kern w:val="0"/>
          <w:szCs w:val="21"/>
          <w:highlight w:val="none"/>
          <w:u w:val="single"/>
          <w:lang w:eastAsia="zh-CN"/>
        </w:rPr>
        <w:t>东莞市众源环境投资有限公司2025年污泥处理用聚丙烯酰胺采购项目</w:t>
      </w:r>
      <w:r>
        <w:rPr>
          <w:rFonts w:hint="eastAsia" w:ascii="宋体" w:hAnsi="宋体" w:cs="宋体"/>
          <w:color w:val="auto"/>
          <w:szCs w:val="21"/>
          <w:highlight w:val="none"/>
          <w:lang w:val="zh-CN"/>
        </w:rPr>
        <w:t>(招标编号：</w:t>
      </w:r>
      <w:r>
        <w:rPr>
          <w:rFonts w:hint="eastAsia" w:ascii="宋体" w:hAnsi="宋体" w:cs="宋体"/>
          <w:color w:val="auto"/>
          <w:szCs w:val="21"/>
          <w:highlight w:val="none"/>
          <w:u w:val="single"/>
          <w:lang w:val="zh-CN"/>
        </w:rPr>
        <w:t>0832-SFCX25DG020A</w:t>
      </w:r>
      <w:r>
        <w:rPr>
          <w:rFonts w:hint="eastAsia" w:ascii="宋体" w:hAnsi="宋体" w:cs="宋体"/>
          <w:color w:val="auto"/>
          <w:szCs w:val="21"/>
          <w:highlight w:val="none"/>
          <w:lang w:val="zh-CN"/>
        </w:rPr>
        <w:t>)的投标邀请，我方（投标人名称）作为投标人正式授权</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cs="宋体"/>
          <w:color w:val="auto"/>
          <w:szCs w:val="21"/>
          <w:highlight w:val="none"/>
          <w:lang w:val="zh-CN"/>
        </w:rPr>
      </w:pPr>
      <w:r>
        <w:rPr>
          <w:rFonts w:hint="eastAsia" w:ascii="宋体" w:hAnsi="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cs="Times New Roman"/>
          <w:color w:val="auto"/>
          <w:szCs w:val="21"/>
          <w:highlight w:val="none"/>
          <w:lang w:val="zh-CN"/>
        </w:rPr>
      </w:pPr>
      <w:r>
        <w:rPr>
          <w:rFonts w:hint="eastAsia" w:ascii="宋体" w:hAnsi="宋体" w:cs="Times New Roman"/>
          <w:color w:val="auto"/>
          <w:szCs w:val="21"/>
          <w:highlight w:val="none"/>
          <w:lang w:val="zh-CN"/>
        </w:rPr>
        <w:t>（</w:t>
      </w:r>
      <w:r>
        <w:rPr>
          <w:rFonts w:ascii="宋体" w:hAnsi="宋体" w:cs="Times New Roman"/>
          <w:color w:val="auto"/>
          <w:szCs w:val="21"/>
          <w:highlight w:val="none"/>
          <w:lang w:val="zh-CN"/>
        </w:rPr>
        <w:t>—</w:t>
      </w:r>
      <w:r>
        <w:rPr>
          <w:rFonts w:hint="eastAsia" w:ascii="宋体" w:hAnsi="宋体" w:cs="Times New Roman"/>
          <w:color w:val="auto"/>
          <w:szCs w:val="21"/>
          <w:highlight w:val="none"/>
          <w:lang w:val="zh-CN"/>
        </w:rPr>
        <w:t>）唱标信封【</w:t>
      </w:r>
      <w:r>
        <w:rPr>
          <w:rFonts w:hint="eastAsia" w:ascii="宋体" w:hAnsi="宋体" w:cs="Times New Roman"/>
          <w:color w:val="auto"/>
          <w:szCs w:val="21"/>
          <w:highlight w:val="none"/>
          <w:u w:val="single"/>
          <w:lang w:val="zh-CN"/>
        </w:rPr>
        <w:t xml:space="preserve">        </w:t>
      </w:r>
      <w:r>
        <w:rPr>
          <w:rFonts w:hint="eastAsia" w:ascii="宋体" w:hAnsi="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cs="Times New Roman"/>
          <w:color w:val="auto"/>
          <w:szCs w:val="21"/>
          <w:highlight w:val="none"/>
          <w:lang w:val="zh-CN"/>
        </w:rPr>
      </w:pPr>
      <w:r>
        <w:rPr>
          <w:rFonts w:hint="eastAsia" w:ascii="宋体" w:hAnsi="宋体" w:cs="Times New Roman"/>
          <w:color w:val="auto"/>
          <w:szCs w:val="21"/>
          <w:highlight w:val="none"/>
          <w:lang w:val="zh-CN"/>
        </w:rPr>
        <w:t>（二）投标文件【正本</w:t>
      </w:r>
      <w:r>
        <w:rPr>
          <w:rFonts w:hint="eastAsia" w:ascii="宋体" w:hAnsi="宋体" w:cs="Times New Roman"/>
          <w:color w:val="auto"/>
          <w:szCs w:val="21"/>
          <w:highlight w:val="none"/>
          <w:u w:val="single"/>
          <w:lang w:val="zh-CN"/>
        </w:rPr>
        <w:t xml:space="preserve">        </w:t>
      </w:r>
      <w:r>
        <w:rPr>
          <w:rFonts w:hint="eastAsia" w:ascii="宋体" w:hAnsi="宋体" w:cs="Times New Roman"/>
          <w:color w:val="auto"/>
          <w:szCs w:val="21"/>
          <w:highlight w:val="none"/>
          <w:lang w:val="zh-CN"/>
        </w:rPr>
        <w:t>份，副本</w:t>
      </w:r>
      <w:r>
        <w:rPr>
          <w:rFonts w:hint="eastAsia" w:ascii="宋体" w:hAnsi="宋体" w:cs="Times New Roman"/>
          <w:color w:val="auto"/>
          <w:szCs w:val="21"/>
          <w:highlight w:val="none"/>
          <w:u w:val="single"/>
          <w:lang w:val="zh-CN"/>
        </w:rPr>
        <w:t xml:space="preserve">        </w:t>
      </w:r>
      <w:r>
        <w:rPr>
          <w:rFonts w:hint="eastAsia" w:ascii="宋体" w:hAnsi="宋体" w:cs="Times New Roman"/>
          <w:color w:val="auto"/>
          <w:szCs w:val="21"/>
          <w:highlight w:val="none"/>
          <w:lang w:val="zh-CN"/>
        </w:rPr>
        <w:t>份】。</w:t>
      </w:r>
    </w:p>
    <w:p>
      <w:pPr>
        <w:autoSpaceDE w:val="0"/>
        <w:autoSpaceDN w:val="0"/>
        <w:adjustRightInd w:val="0"/>
        <w:spacing w:line="360" w:lineRule="auto"/>
        <w:ind w:firstLine="420"/>
        <w:rPr>
          <w:rFonts w:ascii="宋体" w:hAnsi="宋体" w:cs="宋体"/>
          <w:color w:val="auto"/>
          <w:szCs w:val="21"/>
          <w:highlight w:val="none"/>
          <w:lang w:val="zh-CN"/>
        </w:rPr>
      </w:pPr>
      <w:r>
        <w:rPr>
          <w:rFonts w:hint="eastAsia" w:ascii="宋体" w:hAnsi="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（—）我方</w:t>
      </w:r>
      <w:r>
        <w:rPr>
          <w:rFonts w:hint="eastAsia" w:ascii="宋体" w:hAnsi="宋体" w:cs="Times New Roman"/>
          <w:color w:val="auto"/>
          <w:szCs w:val="21"/>
          <w:highlight w:val="none"/>
          <w:lang w:val="zh-CN"/>
        </w:rPr>
        <w:t>决定</w:t>
      </w:r>
      <w:r>
        <w:rPr>
          <w:rFonts w:hint="eastAsia" w:ascii="宋体" w:hAnsi="宋体" w:cs="宋体"/>
          <w:color w:val="auto"/>
          <w:szCs w:val="21"/>
          <w:highlight w:val="none"/>
          <w:lang w:val="zh-CN"/>
        </w:rPr>
        <w:t>参加招标编号为</w:t>
      </w:r>
      <w:r>
        <w:rPr>
          <w:rFonts w:hint="eastAsia" w:ascii="宋体" w:hAnsi="宋体" w:cs="宋体"/>
          <w:color w:val="auto"/>
          <w:szCs w:val="21"/>
          <w:highlight w:val="none"/>
          <w:u w:val="single"/>
          <w:lang w:val="zh-CN"/>
        </w:rPr>
        <w:t>0832-SFCX25DG020A</w:t>
      </w:r>
      <w:r>
        <w:rPr>
          <w:rFonts w:hint="eastAsia" w:ascii="宋体" w:hAnsi="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ascii="宋体" w:hAnsi="宋体" w:cs="宋体"/>
          <w:color w:val="auto"/>
          <w:szCs w:val="21"/>
          <w:highlight w:val="none"/>
          <w:lang w:val="zh-CN"/>
        </w:rPr>
      </w:pPr>
      <w:r>
        <w:rPr>
          <w:rFonts w:hint="eastAsia" w:ascii="宋体" w:hAnsi="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地  　址：</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邮政编码：</w:t>
      </w:r>
      <w:r>
        <w:rPr>
          <w:rFonts w:hint="eastAsia" w:ascii="宋体" w:hAnsi="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电　　话：</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代表姓名：</w:t>
      </w:r>
      <w:r>
        <w:rPr>
          <w:rFonts w:hint="eastAsia" w:ascii="宋体" w:hAnsi="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传　　真：</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 xml:space="preserve">        职　　务：</w:t>
      </w:r>
      <w:r>
        <w:rPr>
          <w:rFonts w:hint="eastAsia" w:ascii="宋体" w:hAnsi="宋体" w:cs="宋体"/>
          <w:color w:val="auto"/>
          <w:szCs w:val="21"/>
          <w:highlight w:val="none"/>
          <w:u w:val="single"/>
          <w:lang w:val="zh-CN"/>
        </w:rPr>
        <w:t xml:space="preserve">　　　　　　　　　　 </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ab/>
      </w:r>
      <w:r>
        <w:rPr>
          <w:rFonts w:hint="eastAsia" w:ascii="宋体" w:hAnsi="宋体" w:cs="宋体"/>
          <w:color w:val="auto"/>
          <w:szCs w:val="21"/>
          <w:highlight w:val="none"/>
        </w:rPr>
        <w:t>电子邮箱：</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ab/>
      </w:r>
    </w:p>
    <w:p>
      <w:pPr>
        <w:autoSpaceDE w:val="0"/>
        <w:autoSpaceDN w:val="0"/>
        <w:adjustRightInd w:val="0"/>
        <w:spacing w:line="360" w:lineRule="auto"/>
        <w:ind w:firstLine="4960" w:firstLineChars="2362"/>
        <w:rPr>
          <w:rFonts w:ascii="宋体" w:hAnsi="宋体" w:cs="宋体"/>
          <w:color w:val="auto"/>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szCs w:val="24"/>
          <w:highlight w:val="none"/>
          <w:lang w:val="zh-CN"/>
        </w:rPr>
        <w:t>加盖投标人法人公章</w:t>
      </w:r>
      <w:r>
        <w:rPr>
          <w:rFonts w:hint="eastAsia" w:ascii="宋体" w:hAnsi="宋体" w:cs="宋体"/>
          <w:color w:val="auto"/>
          <w:szCs w:val="21"/>
          <w:highlight w:val="none"/>
          <w:lang w:val="zh-CN"/>
        </w:rPr>
        <w:t>）</w:t>
      </w:r>
    </w:p>
    <w:p>
      <w:pPr>
        <w:autoSpaceDE w:val="0"/>
        <w:autoSpaceDN w:val="0"/>
        <w:adjustRightInd w:val="0"/>
        <w:spacing w:line="360" w:lineRule="auto"/>
        <w:ind w:firstLine="4960" w:firstLineChars="2362"/>
        <w:rPr>
          <w:rFonts w:ascii="宋体" w:hAnsi="宋体" w:cs="宋体"/>
          <w:color w:val="auto"/>
          <w:szCs w:val="21"/>
          <w:highlight w:val="none"/>
          <w:lang w:val="zh-CN"/>
        </w:rPr>
      </w:pPr>
      <w:r>
        <w:rPr>
          <w:rFonts w:hint="eastAsia" w:ascii="宋体" w:hAnsi="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cs="Times New Roman"/>
          <w:color w:val="auto"/>
          <w:sz w:val="24"/>
          <w:szCs w:val="24"/>
          <w:highlight w:val="none"/>
          <w:lang w:val="zh-CN"/>
        </w:rPr>
      </w:pPr>
      <w:r>
        <w:rPr>
          <w:rFonts w:hint="eastAsia" w:ascii="宋体" w:hAnsi="宋体" w:cs="宋体"/>
          <w:color w:val="auto"/>
          <w:szCs w:val="21"/>
          <w:highlight w:val="none"/>
          <w:lang w:val="zh-CN"/>
        </w:rPr>
        <w:t>日</w:t>
      </w:r>
      <w:r>
        <w:rPr>
          <w:rFonts w:hint="eastAsia" w:ascii="宋体" w:hAnsi="宋体" w:cs="Times New Roman"/>
          <w:color w:val="auto"/>
          <w:szCs w:val="24"/>
          <w:highlight w:val="none"/>
          <w:lang w:val="zh-CN"/>
        </w:rPr>
        <w:t>期：   年   月   日</w:t>
      </w:r>
    </w:p>
    <w:p>
      <w:pPr>
        <w:tabs>
          <w:tab w:val="left" w:pos="567"/>
        </w:tabs>
        <w:autoSpaceDE w:val="0"/>
        <w:autoSpaceDN w:val="0"/>
        <w:adjustRightInd w:val="0"/>
        <w:spacing w:line="360" w:lineRule="auto"/>
        <w:ind w:left="628" w:leftChars="0" w:hanging="628" w:hangingChars="262"/>
        <w:jc w:val="left"/>
        <w:outlineLvl w:val="2"/>
        <w:rPr>
          <w:rFonts w:ascii="宋体" w:hAnsi="宋体" w:cs="宋体"/>
          <w:b/>
          <w:color w:val="auto"/>
          <w:kern w:val="0"/>
          <w:sz w:val="32"/>
          <w:szCs w:val="32"/>
          <w:highlight w:val="none"/>
        </w:rPr>
      </w:pPr>
      <w:r>
        <w:rPr>
          <w:rFonts w:hint="eastAsia" w:ascii="宋体" w:hAnsi="宋体" w:cs="宋体"/>
          <w:color w:val="auto"/>
          <w:kern w:val="0"/>
          <w:sz w:val="24"/>
          <w:szCs w:val="24"/>
          <w:highlight w:val="none"/>
        </w:rPr>
        <w:br w:type="page"/>
      </w:r>
      <w:bookmarkStart w:id="456" w:name="_Toc8696"/>
      <w:bookmarkStart w:id="457" w:name="_Toc173684927"/>
      <w:bookmarkStart w:id="458" w:name="_Toc142508363"/>
      <w:bookmarkStart w:id="459" w:name="_Toc486167710"/>
      <w:bookmarkStart w:id="460" w:name="_Toc94107203"/>
      <w:bookmarkStart w:id="461" w:name="_Toc140596922"/>
      <w:bookmarkStart w:id="462" w:name="_Toc28613_WPSOffice_Level2"/>
      <w:bookmarkStart w:id="463" w:name="_Toc533708122"/>
      <w:bookmarkStart w:id="464" w:name="_Toc102860412"/>
      <w:bookmarkStart w:id="465" w:name="_Toc102860068"/>
      <w:bookmarkStart w:id="466" w:name="_Toc26795"/>
      <w:bookmarkStart w:id="467" w:name="_Toc104991869"/>
      <w:bookmarkStart w:id="468" w:name="_Toc1977722"/>
      <w:bookmarkStart w:id="469" w:name="_Toc25951"/>
      <w:r>
        <w:rPr>
          <w:rFonts w:hint="eastAsia" w:ascii="宋体" w:hAnsi="宋体" w:cs="宋体"/>
          <w:b/>
          <w:color w:val="auto"/>
          <w:kern w:val="0"/>
          <w:sz w:val="32"/>
          <w:szCs w:val="32"/>
          <w:highlight w:val="none"/>
        </w:rPr>
        <w:t>二、投标</w:t>
      </w:r>
      <w:r>
        <w:rPr>
          <w:rFonts w:hint="eastAsia" w:ascii="宋体" w:hAnsi="宋体" w:cs="宋体"/>
          <w:b/>
          <w:color w:val="auto"/>
          <w:kern w:val="44"/>
          <w:sz w:val="32"/>
          <w:szCs w:val="32"/>
          <w:highlight w:val="none"/>
        </w:rPr>
        <w:t>承诺书</w:t>
      </w:r>
      <w:r>
        <w:rPr>
          <w:rFonts w:hint="eastAsia" w:ascii="宋体" w:hAnsi="宋体" w:cs="宋体"/>
          <w:b/>
          <w:color w:val="auto"/>
          <w:kern w:val="0"/>
          <w:sz w:val="32"/>
          <w:szCs w:val="32"/>
          <w:highlight w:val="none"/>
        </w:rPr>
        <w:t>格式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autoSpaceDE w:val="0"/>
        <w:autoSpaceDN w:val="0"/>
        <w:adjustRightInd w:val="0"/>
        <w:spacing w:line="360" w:lineRule="auto"/>
        <w:jc w:val="center"/>
        <w:rPr>
          <w:rFonts w:ascii="宋体" w:hAnsi="宋体" w:cs="Times New Roman"/>
          <w:b/>
          <w:bCs/>
          <w:color w:val="auto"/>
          <w:sz w:val="30"/>
          <w:szCs w:val="30"/>
          <w:highlight w:val="none"/>
          <w:lang w:val="zh-CN"/>
        </w:rPr>
      </w:pPr>
      <w:r>
        <w:rPr>
          <w:rFonts w:hint="eastAsia" w:ascii="宋体" w:hAnsi="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Times New Roman"/>
          <w:color w:val="auto"/>
          <w:kern w:val="0"/>
          <w:szCs w:val="21"/>
          <w:highlight w:val="none"/>
        </w:rPr>
        <w:t>我方</w:t>
      </w:r>
      <w:r>
        <w:rPr>
          <w:rFonts w:hint="eastAsia" w:ascii="宋体" w:hAnsi="宋体" w:cs="Times New Roman"/>
          <w:color w:val="auto"/>
          <w:kern w:val="0"/>
          <w:szCs w:val="21"/>
          <w:highlight w:val="none"/>
          <w:u w:val="single"/>
        </w:rPr>
        <w:t xml:space="preserve">           </w:t>
      </w:r>
      <w:r>
        <w:rPr>
          <w:rFonts w:hint="eastAsia" w:ascii="宋体" w:hAnsi="宋体" w:cs="Times New Roman"/>
          <w:color w:val="auto"/>
          <w:kern w:val="0"/>
          <w:szCs w:val="21"/>
          <w:highlight w:val="none"/>
        </w:rPr>
        <w:t>（投标人名称）已完整阅读了</w:t>
      </w:r>
      <w:r>
        <w:rPr>
          <w:rFonts w:hint="eastAsia" w:ascii="宋体" w:hAnsi="宋体" w:cs="Times New Roman"/>
          <w:color w:val="auto"/>
          <w:kern w:val="0"/>
          <w:szCs w:val="21"/>
          <w:highlight w:val="none"/>
          <w:u w:val="single"/>
          <w:lang w:eastAsia="zh-CN"/>
        </w:rPr>
        <w:t>东莞市众源环境投资有限公司2025年污泥处理用聚丙烯酰胺采购项目</w:t>
      </w:r>
      <w:r>
        <w:rPr>
          <w:rFonts w:hint="eastAsia" w:ascii="宋体" w:hAnsi="宋体" w:cs="Times New Roman"/>
          <w:color w:val="auto"/>
          <w:kern w:val="0"/>
          <w:szCs w:val="21"/>
          <w:highlight w:val="none"/>
        </w:rPr>
        <w:t>（招标编号：</w:t>
      </w:r>
      <w:r>
        <w:rPr>
          <w:rFonts w:hint="eastAsia" w:ascii="宋体" w:hAnsi="宋体" w:cs="Times New Roman"/>
          <w:color w:val="auto"/>
          <w:kern w:val="0"/>
          <w:szCs w:val="21"/>
          <w:highlight w:val="none"/>
          <w:lang w:eastAsia="zh-CN"/>
        </w:rPr>
        <w:t>0832-SFCX25DG020A</w:t>
      </w:r>
      <w:r>
        <w:rPr>
          <w:rFonts w:hint="eastAsia" w:ascii="宋体" w:hAnsi="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cs="Times New Roman"/>
          <w:color w:val="auto"/>
          <w:kern w:val="0"/>
          <w:szCs w:val="21"/>
          <w:highlight w:val="none"/>
        </w:rPr>
        <w:cr/>
      </w:r>
      <w:r>
        <w:rPr>
          <w:rFonts w:ascii="宋体" w:hAnsi="宋体" w:cs="Times New Roman"/>
          <w:color w:val="auto"/>
          <w:kern w:val="0"/>
          <w:szCs w:val="21"/>
          <w:highlight w:val="none"/>
        </w:rPr>
        <w:t xml:space="preserve">    </w:t>
      </w:r>
      <w:r>
        <w:rPr>
          <w:rFonts w:hint="eastAsia" w:ascii="宋体" w:hAnsi="宋体" w:cs="Times New Roman"/>
          <w:color w:val="auto"/>
          <w:kern w:val="0"/>
          <w:szCs w:val="21"/>
          <w:highlight w:val="none"/>
        </w:rPr>
        <w:t>我方</w:t>
      </w:r>
      <w:r>
        <w:rPr>
          <w:rFonts w:hint="eastAsia" w:ascii="宋体" w:hAnsi="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cs="宋体"/>
          <w:color w:val="auto"/>
          <w:kern w:val="0"/>
          <w:szCs w:val="21"/>
          <w:highlight w:val="none"/>
        </w:rPr>
        <w:t>企业信用“黑名单”</w:t>
      </w:r>
      <w:r>
        <w:rPr>
          <w:rFonts w:hint="eastAsia" w:ascii="宋体" w:hAnsi="宋体" w:cs="宋体"/>
          <w:color w:val="auto"/>
          <w:kern w:val="0"/>
          <w:szCs w:val="21"/>
          <w:highlight w:val="none"/>
        </w:rPr>
        <w:t>，限制我方参与依法必须招标项目的投标，并</w:t>
      </w:r>
      <w:r>
        <w:rPr>
          <w:rFonts w:ascii="宋体" w:hAnsi="宋体" w:cs="宋体"/>
          <w:color w:val="auto"/>
          <w:kern w:val="0"/>
          <w:szCs w:val="21"/>
          <w:highlight w:val="none"/>
        </w:rPr>
        <w:t>向</w:t>
      </w:r>
      <w:r>
        <w:rPr>
          <w:rFonts w:hint="eastAsia" w:ascii="宋体" w:hAnsi="宋体" w:cs="宋体"/>
          <w:color w:val="auto"/>
          <w:kern w:val="0"/>
          <w:szCs w:val="21"/>
          <w:highlight w:val="none"/>
        </w:rPr>
        <w:t>行政主管部门报送</w:t>
      </w:r>
      <w:r>
        <w:rPr>
          <w:rFonts w:ascii="宋体" w:hAnsi="宋体" w:cs="宋体"/>
          <w:color w:val="auto"/>
          <w:kern w:val="0"/>
          <w:szCs w:val="21"/>
          <w:highlight w:val="none"/>
        </w:rPr>
        <w:t>结果。</w:t>
      </w:r>
      <w:r>
        <w:rPr>
          <w:rFonts w:hint="eastAsia" w:ascii="宋体" w:hAnsi="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cs="宋体"/>
          <w:color w:val="auto"/>
          <w:kern w:val="0"/>
          <w:szCs w:val="21"/>
          <w:highlight w:val="none"/>
        </w:rPr>
        <w:t>9.2</w:t>
      </w:r>
      <w:r>
        <w:rPr>
          <w:rFonts w:hint="eastAsia" w:ascii="宋体" w:hAnsi="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cs="Times New Roman"/>
          <w:color w:val="auto"/>
          <w:kern w:val="0"/>
          <w:szCs w:val="21"/>
          <w:highlight w:val="none"/>
        </w:rPr>
      </w:pPr>
    </w:p>
    <w:p>
      <w:pPr>
        <w:autoSpaceDE w:val="0"/>
        <w:autoSpaceDN w:val="0"/>
        <w:adjustRightInd w:val="0"/>
        <w:spacing w:line="360" w:lineRule="auto"/>
        <w:jc w:val="left"/>
        <w:rPr>
          <w:rFonts w:ascii="宋体" w:hAnsi="宋体" w:cs="Times New Roman"/>
          <w:color w:val="auto"/>
          <w:kern w:val="0"/>
          <w:sz w:val="24"/>
          <w:szCs w:val="24"/>
          <w:highlight w:val="none"/>
        </w:rPr>
      </w:pPr>
    </w:p>
    <w:p>
      <w:pPr>
        <w:autoSpaceDE w:val="0"/>
        <w:autoSpaceDN w:val="0"/>
        <w:adjustRightInd w:val="0"/>
        <w:spacing w:line="360" w:lineRule="auto"/>
        <w:jc w:val="left"/>
        <w:rPr>
          <w:rFonts w:ascii="宋体" w:hAnsi="宋体" w:cs="Times New Roman"/>
          <w:color w:val="auto"/>
          <w:kern w:val="0"/>
          <w:sz w:val="24"/>
          <w:szCs w:val="24"/>
          <w:highlight w:val="none"/>
        </w:rPr>
      </w:pPr>
    </w:p>
    <w:p>
      <w:pPr>
        <w:autoSpaceDE w:val="0"/>
        <w:autoSpaceDN w:val="0"/>
        <w:adjustRightInd w:val="0"/>
        <w:spacing w:line="360" w:lineRule="auto"/>
        <w:ind w:firstLine="5040"/>
        <w:rPr>
          <w:rFonts w:ascii="宋体" w:hAnsi="宋体" w:cs="Times New Roman"/>
          <w:color w:val="auto"/>
          <w:szCs w:val="24"/>
          <w:highlight w:val="none"/>
        </w:rPr>
      </w:pPr>
      <w:r>
        <w:rPr>
          <w:rFonts w:hint="eastAsia" w:ascii="宋体" w:hAnsi="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cs="Times New Roman"/>
          <w:color w:val="auto"/>
          <w:szCs w:val="24"/>
          <w:highlight w:val="none"/>
          <w:lang w:val="zh-CN"/>
        </w:rPr>
      </w:pPr>
      <w:r>
        <w:rPr>
          <w:rFonts w:hint="eastAsia" w:ascii="宋体" w:hAnsi="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cs="Times New Roman"/>
          <w:color w:val="auto"/>
          <w:sz w:val="24"/>
          <w:szCs w:val="24"/>
          <w:highlight w:val="none"/>
          <w:lang w:val="zh-CN"/>
        </w:rPr>
      </w:pPr>
      <w:r>
        <w:rPr>
          <w:rFonts w:hint="eastAsia" w:ascii="宋体" w:hAnsi="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p>
    <w:p>
      <w:pPr>
        <w:autoSpaceDE w:val="0"/>
        <w:autoSpaceDN w:val="0"/>
        <w:adjustRightInd w:val="0"/>
        <w:spacing w:line="360" w:lineRule="auto"/>
        <w:jc w:val="left"/>
        <w:rPr>
          <w:rFonts w:ascii="宋体" w:hAnsi="宋体" w:cs="宋体"/>
          <w:color w:val="auto"/>
          <w:kern w:val="0"/>
          <w:sz w:val="24"/>
          <w:szCs w:val="24"/>
          <w:highlight w:val="none"/>
        </w:rPr>
      </w:pPr>
    </w:p>
    <w:p>
      <w:pPr>
        <w:autoSpaceDE w:val="0"/>
        <w:autoSpaceDN w:val="0"/>
        <w:adjustRightInd w:val="0"/>
        <w:spacing w:line="360" w:lineRule="auto"/>
        <w:jc w:val="left"/>
        <w:rPr>
          <w:rFonts w:ascii="宋体" w:hAnsi="宋体" w:cs="宋体"/>
          <w:color w:val="auto"/>
          <w:kern w:val="0"/>
          <w:sz w:val="24"/>
          <w:szCs w:val="24"/>
          <w:highlight w:val="none"/>
        </w:rPr>
      </w:pPr>
      <w:bookmarkStart w:id="470" w:name="_Toc311032584"/>
      <w:bookmarkStart w:id="471" w:name="_Toc326768876"/>
      <w:bookmarkStart w:id="472" w:name="_Toc316896755"/>
    </w:p>
    <w:p>
      <w:pPr>
        <w:rPr>
          <w:rFonts w:hint="eastAsia" w:ascii="宋体" w:hAnsi="宋体" w:cs="宋体"/>
          <w:b/>
          <w:color w:val="auto"/>
          <w:kern w:val="44"/>
          <w:sz w:val="32"/>
          <w:szCs w:val="32"/>
          <w:highlight w:val="none"/>
        </w:rPr>
      </w:pPr>
      <w:bookmarkStart w:id="473" w:name="_Toc94107204"/>
      <w:bookmarkStart w:id="474" w:name="_Toc173684928"/>
      <w:bookmarkStart w:id="475" w:name="_Toc12590"/>
      <w:bookmarkStart w:id="476" w:name="_Toc104991870"/>
      <w:bookmarkStart w:id="477" w:name="_Toc102860069"/>
      <w:bookmarkStart w:id="478" w:name="_Toc142508364"/>
      <w:bookmarkStart w:id="479" w:name="_Toc86764083"/>
      <w:bookmarkStart w:id="480" w:name="_Toc11481"/>
      <w:bookmarkStart w:id="481" w:name="_Toc82182546"/>
      <w:bookmarkStart w:id="482" w:name="_Toc102860413"/>
      <w:bookmarkStart w:id="483" w:name="_Toc9778"/>
      <w:bookmarkStart w:id="484" w:name="_Toc140596923"/>
      <w:bookmarkStart w:id="485" w:name="_Toc7024_WPSOffice_Level2"/>
      <w:bookmarkStart w:id="486" w:name="_Toc533708123"/>
      <w:bookmarkStart w:id="487" w:name="_Toc486167711"/>
      <w:bookmarkStart w:id="488" w:name="_Toc1977723"/>
      <w:r>
        <w:rPr>
          <w:rFonts w:hint="eastAsia" w:ascii="宋体" w:hAnsi="宋体" w:cs="宋体"/>
          <w:b/>
          <w:color w:val="auto"/>
          <w:kern w:val="44"/>
          <w:sz w:val="32"/>
          <w:szCs w:val="32"/>
          <w:highlight w:val="none"/>
        </w:rPr>
        <w:br w:type="page"/>
      </w:r>
    </w:p>
    <w:p>
      <w:pPr>
        <w:tabs>
          <w:tab w:val="left" w:pos="567"/>
        </w:tabs>
        <w:autoSpaceDE w:val="0"/>
        <w:autoSpaceDN w:val="0"/>
        <w:adjustRightInd w:val="0"/>
        <w:spacing w:line="360" w:lineRule="auto"/>
        <w:ind w:left="842" w:leftChars="0" w:hanging="842" w:hangingChars="262"/>
        <w:jc w:val="left"/>
        <w:outlineLvl w:val="2"/>
        <w:rPr>
          <w:rFonts w:ascii="宋体" w:hAnsi="宋体" w:cs="宋体"/>
          <w:b/>
          <w:color w:val="auto"/>
          <w:kern w:val="44"/>
          <w:sz w:val="32"/>
          <w:szCs w:val="32"/>
          <w:highlight w:val="none"/>
        </w:rPr>
      </w:pPr>
      <w:r>
        <w:rPr>
          <w:rFonts w:hint="eastAsia" w:ascii="宋体" w:hAnsi="宋体" w:cs="宋体"/>
          <w:b/>
          <w:color w:val="auto"/>
          <w:kern w:val="44"/>
          <w:sz w:val="32"/>
          <w:szCs w:val="32"/>
          <w:highlight w:val="none"/>
        </w:rPr>
        <w:t>三、供货及/或提供服务过程承诺函格式</w:t>
      </w:r>
      <w:bookmarkEnd w:id="473"/>
      <w:bookmarkEnd w:id="474"/>
      <w:bookmarkEnd w:id="475"/>
      <w:bookmarkEnd w:id="476"/>
      <w:bookmarkEnd w:id="477"/>
      <w:bookmarkEnd w:id="478"/>
      <w:bookmarkEnd w:id="479"/>
      <w:bookmarkEnd w:id="480"/>
      <w:bookmarkEnd w:id="481"/>
      <w:bookmarkEnd w:id="482"/>
      <w:bookmarkEnd w:id="483"/>
      <w:bookmarkEnd w:id="484"/>
    </w:p>
    <w:p>
      <w:pPr>
        <w:autoSpaceDE w:val="0"/>
        <w:autoSpaceDN w:val="0"/>
        <w:adjustRightInd w:val="0"/>
        <w:spacing w:line="360" w:lineRule="auto"/>
        <w:jc w:val="center"/>
        <w:rPr>
          <w:rFonts w:ascii="宋体" w:hAnsi="宋体" w:cs="宋体"/>
          <w:b/>
          <w:color w:val="auto"/>
          <w:kern w:val="44"/>
          <w:sz w:val="30"/>
          <w:szCs w:val="30"/>
          <w:highlight w:val="none"/>
        </w:rPr>
      </w:pPr>
      <w:r>
        <w:rPr>
          <w:rFonts w:hint="eastAsia" w:ascii="宋体" w:hAnsi="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致东莞市众源环境投资有限公司：</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（投标人名称）为招标人公开招标的</w:t>
      </w:r>
      <w:r>
        <w:rPr>
          <w:rFonts w:hint="eastAsia" w:ascii="宋体" w:hAnsi="宋体" w:cs="Times New Roman"/>
          <w:color w:val="auto"/>
          <w:kern w:val="0"/>
          <w:szCs w:val="21"/>
          <w:highlight w:val="none"/>
          <w:lang w:eastAsia="zh-CN"/>
        </w:rPr>
        <w:t>东莞市众源环境投资有限公司2025年污泥处理用聚丙烯酰胺采购项目</w:t>
      </w:r>
      <w:r>
        <w:rPr>
          <w:rFonts w:hint="eastAsia" w:ascii="宋体" w:hAnsi="宋体" w:cs="宋体"/>
          <w:color w:val="auto"/>
          <w:kern w:val="0"/>
          <w:szCs w:val="21"/>
          <w:highlight w:val="none"/>
        </w:rPr>
        <w:t>(招标编号：</w:t>
      </w:r>
      <w:r>
        <w:rPr>
          <w:rFonts w:hint="eastAsia" w:ascii="宋体" w:hAnsi="宋体" w:cs="Times New Roman"/>
          <w:color w:val="auto"/>
          <w:szCs w:val="21"/>
          <w:highlight w:val="none"/>
          <w:lang w:val="zh-CN"/>
        </w:rPr>
        <w:t>0832-SFCX25DG020A</w:t>
      </w:r>
      <w:r>
        <w:rPr>
          <w:rFonts w:hint="eastAsia" w:ascii="宋体" w:hAnsi="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autoSpaceDE w:val="0"/>
        <w:autoSpaceDN w:val="0"/>
        <w:adjustRightInd w:val="0"/>
        <w:spacing w:line="360" w:lineRule="auto"/>
        <w:ind w:firstLine="5040"/>
        <w:rPr>
          <w:rFonts w:ascii="宋体" w:hAnsi="宋体" w:cs="宋体"/>
          <w:color w:val="auto"/>
          <w:szCs w:val="24"/>
          <w:highlight w:val="none"/>
        </w:rPr>
      </w:pPr>
      <w:r>
        <w:rPr>
          <w:rFonts w:hint="eastAsia" w:ascii="宋体" w:hAnsi="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cs="宋体"/>
          <w:color w:val="auto"/>
          <w:szCs w:val="24"/>
          <w:highlight w:val="none"/>
          <w:lang w:val="zh-CN"/>
        </w:rPr>
      </w:pPr>
      <w:r>
        <w:rPr>
          <w:rFonts w:hint="eastAsia" w:ascii="宋体" w:hAnsi="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cs="宋体"/>
          <w:color w:val="auto"/>
          <w:kern w:val="0"/>
          <w:sz w:val="24"/>
          <w:szCs w:val="24"/>
          <w:highlight w:val="none"/>
        </w:rPr>
      </w:pPr>
      <w:r>
        <w:rPr>
          <w:rFonts w:hint="eastAsia" w:ascii="宋体" w:hAnsi="宋体" w:cs="宋体"/>
          <w:color w:val="auto"/>
          <w:szCs w:val="24"/>
          <w:highlight w:val="none"/>
          <w:lang w:val="zh-CN"/>
        </w:rPr>
        <w:t>日期：   年   月   日</w:t>
      </w:r>
    </w:p>
    <w:p>
      <w:pPr>
        <w:autoSpaceDE/>
        <w:autoSpaceDN/>
        <w:adjustRightInd/>
        <w:spacing w:line="240" w:lineRule="auto"/>
        <w:ind w:left="0" w:leftChars="0" w:firstLine="0" w:firstLineChars="0"/>
        <w:jc w:val="left"/>
        <w:outlineLvl w:val="9"/>
        <w:rPr>
          <w:rFonts w:ascii="宋体" w:hAnsi="宋体" w:cs="宋体"/>
          <w:b/>
          <w:color w:val="auto"/>
          <w:kern w:val="0"/>
          <w:sz w:val="32"/>
          <w:szCs w:val="32"/>
          <w:highlight w:val="none"/>
        </w:rPr>
      </w:pPr>
      <w:bookmarkStart w:id="489" w:name="_Toc140596924"/>
      <w:bookmarkStart w:id="490" w:name="_Toc86764084"/>
      <w:bookmarkStart w:id="491" w:name="_Toc102860070"/>
      <w:bookmarkStart w:id="492" w:name="_Toc82182547"/>
      <w:bookmarkStart w:id="493" w:name="_Toc142508365"/>
      <w:bookmarkStart w:id="494" w:name="_Toc102860414"/>
      <w:bookmarkStart w:id="495" w:name="_Toc104991871"/>
      <w:bookmarkStart w:id="496" w:name="_Toc94107205"/>
      <w:bookmarkStart w:id="497" w:name="_Toc4779"/>
      <w:bookmarkStart w:id="498" w:name="_Toc3993"/>
      <w:bookmarkStart w:id="499" w:name="_Toc173684929"/>
      <w:bookmarkStart w:id="500" w:name="_Toc6287"/>
      <w:r>
        <w:rPr>
          <w:rFonts w:hint="eastAsia" w:ascii="宋体" w:hAnsi="宋体" w:cs="宋体"/>
          <w:b/>
          <w:color w:val="auto"/>
          <w:kern w:val="44"/>
          <w:sz w:val="32"/>
          <w:szCs w:val="32"/>
          <w:highlight w:val="none"/>
        </w:rPr>
        <w:br w:type="page"/>
      </w:r>
      <w:bookmarkEnd w:id="489"/>
      <w:bookmarkEnd w:id="490"/>
      <w:bookmarkEnd w:id="491"/>
      <w:bookmarkEnd w:id="492"/>
      <w:bookmarkEnd w:id="493"/>
      <w:bookmarkEnd w:id="494"/>
      <w:bookmarkEnd w:id="495"/>
      <w:bookmarkEnd w:id="496"/>
      <w:bookmarkStart w:id="501" w:name="_Toc102860415"/>
      <w:bookmarkStart w:id="502" w:name="_Toc94107206"/>
      <w:bookmarkStart w:id="503" w:name="_Toc104991872"/>
      <w:bookmarkStart w:id="504" w:name="_Toc102860071"/>
      <w:bookmarkStart w:id="505" w:name="_Toc142508366"/>
      <w:bookmarkStart w:id="506" w:name="_Toc140596925"/>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投标</w:t>
      </w:r>
      <w:r>
        <w:rPr>
          <w:rFonts w:hint="eastAsia" w:ascii="宋体" w:hAnsi="宋体" w:cs="宋体"/>
          <w:b/>
          <w:color w:val="auto"/>
          <w:kern w:val="44"/>
          <w:sz w:val="32"/>
          <w:szCs w:val="32"/>
          <w:highlight w:val="none"/>
        </w:rPr>
        <w:t>报价</w:t>
      </w:r>
      <w:r>
        <w:rPr>
          <w:rFonts w:hint="eastAsia" w:ascii="宋体" w:hAnsi="宋体" w:cs="宋体"/>
          <w:b/>
          <w:color w:val="auto"/>
          <w:kern w:val="0"/>
          <w:sz w:val="32"/>
          <w:szCs w:val="32"/>
          <w:highlight w:val="none"/>
        </w:rPr>
        <w:t>表格式</w:t>
      </w:r>
      <w:bookmarkEnd w:id="485"/>
      <w:bookmarkEnd w:id="486"/>
      <w:bookmarkEnd w:id="487"/>
      <w:bookmarkEnd w:id="488"/>
      <w:bookmarkEnd w:id="497"/>
      <w:bookmarkEnd w:id="498"/>
      <w:bookmarkEnd w:id="499"/>
      <w:bookmarkEnd w:id="500"/>
      <w:bookmarkEnd w:id="501"/>
      <w:bookmarkEnd w:id="502"/>
      <w:bookmarkEnd w:id="503"/>
      <w:bookmarkEnd w:id="504"/>
      <w:bookmarkEnd w:id="505"/>
      <w:bookmarkEnd w:id="506"/>
    </w:p>
    <w:p>
      <w:pPr>
        <w:spacing w:line="360" w:lineRule="auto"/>
        <w:jc w:val="center"/>
        <w:rPr>
          <w:rFonts w:ascii="宋体" w:hAnsi="宋体" w:cs="宋体"/>
          <w:b/>
          <w:bCs/>
          <w:color w:val="auto"/>
          <w:kern w:val="0"/>
          <w:szCs w:val="21"/>
          <w:highlight w:val="none"/>
        </w:rPr>
      </w:pPr>
      <w:r>
        <w:rPr>
          <w:rFonts w:hint="eastAsia" w:ascii="宋体" w:hAnsi="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项目名称：</w:t>
      </w:r>
      <w:r>
        <w:rPr>
          <w:rFonts w:hint="eastAsia" w:ascii="宋体" w:hAnsi="宋体" w:cs="宋体"/>
          <w:color w:val="auto"/>
          <w:kern w:val="0"/>
          <w:szCs w:val="21"/>
          <w:highlight w:val="none"/>
          <w:u w:val="single"/>
          <w:lang w:eastAsia="zh-CN"/>
        </w:rPr>
        <w:t>东莞市众源环境投资有限公司2025年污泥处理用聚丙烯酰胺采购项目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cs="宋体"/>
          <w:b/>
          <w:color w:val="auto"/>
          <w:kern w:val="0"/>
          <w:szCs w:val="21"/>
          <w:highlight w:val="none"/>
        </w:rPr>
        <w:t>招标编号：</w:t>
      </w:r>
      <w:r>
        <w:rPr>
          <w:rFonts w:hint="eastAsia" w:ascii="宋体" w:hAnsi="宋体" w:cs="宋体"/>
          <w:color w:val="auto"/>
          <w:kern w:val="0"/>
          <w:szCs w:val="21"/>
          <w:highlight w:val="none"/>
          <w:u w:val="single"/>
          <w:lang w:eastAsia="zh-CN"/>
        </w:rPr>
        <w:t>0832-SFCX25DG020A</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371"/>
        <w:gridCol w:w="1276"/>
        <w:gridCol w:w="709"/>
        <w:gridCol w:w="991"/>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Style w:val="15"/>
              <w:spacing w:before="0"/>
              <w:jc w:val="center"/>
              <w:rPr>
                <w:rFonts w:ascii="宋体" w:hAnsi="宋体"/>
                <w:color w:val="auto"/>
                <w:highlight w:val="none"/>
              </w:rPr>
            </w:pPr>
            <w:r>
              <w:rPr>
                <w:rFonts w:hint="eastAsia" w:ascii="宋体" w:hAnsi="宋体"/>
                <w:color w:val="auto"/>
                <w:highlight w:val="none"/>
              </w:rPr>
              <w:t>货物名称</w:t>
            </w:r>
          </w:p>
        </w:tc>
        <w:tc>
          <w:tcPr>
            <w:tcW w:w="661" w:type="pct"/>
            <w:vAlign w:val="center"/>
          </w:tcPr>
          <w:p>
            <w:pPr>
              <w:pStyle w:val="15"/>
              <w:spacing w:before="0"/>
              <w:jc w:val="center"/>
              <w:rPr>
                <w:rFonts w:ascii="宋体" w:hAnsi="宋体"/>
                <w:color w:val="auto"/>
                <w:highlight w:val="none"/>
              </w:rPr>
            </w:pPr>
            <w:r>
              <w:rPr>
                <w:rFonts w:hint="eastAsia" w:ascii="宋体" w:hAnsi="宋体"/>
                <w:color w:val="auto"/>
                <w:highlight w:val="none"/>
              </w:rPr>
              <w:t>品牌</w:t>
            </w:r>
          </w:p>
        </w:tc>
        <w:tc>
          <w:tcPr>
            <w:tcW w:w="615" w:type="pct"/>
            <w:vAlign w:val="center"/>
          </w:tcPr>
          <w:p>
            <w:pPr>
              <w:pStyle w:val="15"/>
              <w:spacing w:before="0"/>
              <w:jc w:val="center"/>
              <w:rPr>
                <w:rFonts w:ascii="宋体" w:hAnsi="宋体"/>
                <w:color w:val="auto"/>
                <w:highlight w:val="none"/>
              </w:rPr>
            </w:pPr>
            <w:r>
              <w:rPr>
                <w:rFonts w:hint="eastAsia" w:ascii="宋体" w:hAnsi="宋体"/>
                <w:color w:val="auto"/>
                <w:highlight w:val="none"/>
              </w:rPr>
              <w:t>产地</w:t>
            </w:r>
          </w:p>
        </w:tc>
        <w:tc>
          <w:tcPr>
            <w:tcW w:w="341" w:type="pct"/>
            <w:vAlign w:val="center"/>
          </w:tcPr>
          <w:p>
            <w:pPr>
              <w:pStyle w:val="15"/>
              <w:spacing w:before="0"/>
              <w:jc w:val="center"/>
              <w:rPr>
                <w:rFonts w:ascii="宋体" w:hAnsi="宋体"/>
                <w:color w:val="auto"/>
                <w:highlight w:val="none"/>
              </w:rPr>
            </w:pPr>
            <w:r>
              <w:rPr>
                <w:rFonts w:hint="eastAsia" w:ascii="宋体" w:hAnsi="宋体"/>
                <w:color w:val="auto"/>
                <w:highlight w:val="none"/>
              </w:rPr>
              <w:t>单位</w:t>
            </w:r>
          </w:p>
        </w:tc>
        <w:tc>
          <w:tcPr>
            <w:tcW w:w="477" w:type="pct"/>
            <w:vAlign w:val="center"/>
          </w:tcPr>
          <w:p>
            <w:pPr>
              <w:pStyle w:val="15"/>
              <w:spacing w:before="0"/>
              <w:jc w:val="center"/>
              <w:rPr>
                <w:rFonts w:ascii="宋体" w:hAnsi="宋体"/>
                <w:color w:val="auto"/>
                <w:highlight w:val="none"/>
              </w:rPr>
            </w:pPr>
            <w:r>
              <w:rPr>
                <w:rFonts w:hint="eastAsia" w:ascii="宋体" w:hAnsi="宋体"/>
                <w:color w:val="auto"/>
                <w:highlight w:val="none"/>
              </w:rPr>
              <w:t>暂定采购数量</w:t>
            </w:r>
          </w:p>
        </w:tc>
        <w:tc>
          <w:tcPr>
            <w:tcW w:w="1940" w:type="pct"/>
            <w:vAlign w:val="center"/>
          </w:tcPr>
          <w:p>
            <w:pPr>
              <w:pStyle w:val="15"/>
              <w:spacing w:before="0" w:line="360" w:lineRule="auto"/>
              <w:ind w:firstLine="210" w:firstLineChars="100"/>
              <w:jc w:val="center"/>
              <w:rPr>
                <w:rFonts w:ascii="宋体" w:hAnsi="宋体"/>
                <w:color w:val="auto"/>
                <w:highlight w:val="none"/>
              </w:rPr>
            </w:pPr>
            <w:r>
              <w:rPr>
                <w:rFonts w:hint="eastAsia" w:ascii="宋体" w:hAnsi="宋体"/>
                <w:color w:val="auto"/>
                <w:highlight w:val="none"/>
              </w:rPr>
              <w:t>综合单价（元/吨）（不含销项税）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Align w:val="center"/>
          </w:tcPr>
          <w:p>
            <w:pPr>
              <w:pStyle w:val="15"/>
              <w:spacing w:before="0"/>
              <w:jc w:val="center"/>
              <w:rPr>
                <w:rFonts w:hint="eastAsia" w:ascii="宋体" w:hAnsi="宋体" w:eastAsia="宋体"/>
                <w:color w:val="auto"/>
                <w:highlight w:val="none"/>
                <w:lang w:eastAsia="zh-CN"/>
              </w:rPr>
            </w:pPr>
            <w:r>
              <w:rPr>
                <w:rFonts w:hint="eastAsia" w:ascii="宋体" w:hAnsi="宋体"/>
                <w:color w:val="auto"/>
                <w:highlight w:val="none"/>
                <w:lang w:eastAsia="zh-CN"/>
              </w:rPr>
              <w:t>阳离子聚丙烯酰胺</w:t>
            </w:r>
          </w:p>
        </w:tc>
        <w:tc>
          <w:tcPr>
            <w:tcW w:w="661" w:type="pct"/>
            <w:vAlign w:val="center"/>
          </w:tcPr>
          <w:p>
            <w:pPr>
              <w:pStyle w:val="15"/>
              <w:spacing w:before="0"/>
              <w:jc w:val="center"/>
              <w:rPr>
                <w:rFonts w:ascii="宋体" w:hAnsi="宋体"/>
                <w:color w:val="auto"/>
                <w:highlight w:val="none"/>
              </w:rPr>
            </w:pPr>
          </w:p>
        </w:tc>
        <w:tc>
          <w:tcPr>
            <w:tcW w:w="615" w:type="pct"/>
            <w:vAlign w:val="center"/>
          </w:tcPr>
          <w:p>
            <w:pPr>
              <w:pStyle w:val="15"/>
              <w:spacing w:before="0"/>
              <w:jc w:val="center"/>
              <w:rPr>
                <w:rFonts w:ascii="宋体" w:hAnsi="宋体"/>
                <w:color w:val="auto"/>
                <w:highlight w:val="none"/>
              </w:rPr>
            </w:pPr>
          </w:p>
        </w:tc>
        <w:tc>
          <w:tcPr>
            <w:tcW w:w="341" w:type="pct"/>
            <w:vAlign w:val="center"/>
          </w:tcPr>
          <w:p>
            <w:pPr>
              <w:pStyle w:val="15"/>
              <w:spacing w:before="0"/>
              <w:jc w:val="center"/>
              <w:rPr>
                <w:rFonts w:ascii="宋体" w:hAnsi="宋体"/>
                <w:color w:val="auto"/>
                <w:highlight w:val="none"/>
              </w:rPr>
            </w:pPr>
            <w:r>
              <w:rPr>
                <w:rFonts w:hint="eastAsia" w:ascii="宋体" w:hAnsi="宋体"/>
                <w:color w:val="auto"/>
                <w:highlight w:val="none"/>
              </w:rPr>
              <w:t>吨</w:t>
            </w:r>
          </w:p>
        </w:tc>
        <w:tc>
          <w:tcPr>
            <w:tcW w:w="477" w:type="pct"/>
            <w:vAlign w:val="center"/>
          </w:tcPr>
          <w:p>
            <w:pPr>
              <w:pStyle w:val="15"/>
              <w:spacing w:before="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110</w:t>
            </w:r>
          </w:p>
        </w:tc>
        <w:tc>
          <w:tcPr>
            <w:tcW w:w="1940" w:type="pct"/>
            <w:vAlign w:val="center"/>
          </w:tcPr>
          <w:p>
            <w:pPr>
              <w:pStyle w:val="15"/>
              <w:spacing w:before="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pct"/>
            <w:gridSpan w:val="4"/>
            <w:vAlign w:val="center"/>
          </w:tcPr>
          <w:p>
            <w:pPr>
              <w:pStyle w:val="15"/>
              <w:spacing w:before="0"/>
              <w:jc w:val="center"/>
              <w:rPr>
                <w:rFonts w:ascii="宋体" w:hAnsi="宋体"/>
                <w:color w:val="auto"/>
                <w:highlight w:val="none"/>
              </w:rPr>
            </w:pPr>
            <w:r>
              <w:rPr>
                <w:rFonts w:hint="eastAsia" w:ascii="宋体" w:hAnsi="宋体"/>
                <w:color w:val="auto"/>
                <w:highlight w:val="none"/>
              </w:rPr>
              <w:t>投标报价（元，总价）</w:t>
            </w:r>
          </w:p>
          <w:p>
            <w:pPr>
              <w:pStyle w:val="15"/>
              <w:spacing w:before="0"/>
              <w:jc w:val="center"/>
              <w:rPr>
                <w:rFonts w:ascii="宋体" w:hAnsi="宋体"/>
                <w:color w:val="auto"/>
                <w:highlight w:val="none"/>
              </w:rPr>
            </w:pPr>
            <w:r>
              <w:rPr>
                <w:rFonts w:hint="eastAsia" w:ascii="宋体" w:hAnsi="宋体"/>
                <w:color w:val="auto"/>
                <w:highlight w:val="none"/>
              </w:rPr>
              <w:t>（不含销项税）</w:t>
            </w:r>
          </w:p>
        </w:tc>
        <w:tc>
          <w:tcPr>
            <w:tcW w:w="2418" w:type="pct"/>
            <w:gridSpan w:val="2"/>
            <w:vAlign w:val="center"/>
          </w:tcPr>
          <w:p>
            <w:pPr>
              <w:pStyle w:val="15"/>
              <w:spacing w:before="0"/>
              <w:jc w:val="center"/>
              <w:rPr>
                <w:rFonts w:ascii="宋体" w:hAnsi="宋体"/>
                <w:color w:val="auto"/>
                <w:highlight w:val="none"/>
              </w:rPr>
            </w:pPr>
            <w:r>
              <w:rPr>
                <w:rFonts w:hint="eastAsia" w:ascii="宋体" w:hAnsi="宋体"/>
                <w:color w:val="auto"/>
                <w:highlight w:val="none"/>
              </w:rPr>
              <w:t>（大写：人民币</w:t>
            </w:r>
            <w:r>
              <w:rPr>
                <w:rFonts w:ascii="宋体" w:hAnsi="宋体"/>
                <w:color w:val="auto"/>
                <w:highlight w:val="none"/>
                <w:u w:val="single"/>
              </w:rPr>
              <w:t xml:space="preserve">                </w:t>
            </w:r>
            <w:r>
              <w:rPr>
                <w:rFonts w:hint="eastAsia" w:ascii="宋体" w:hAnsi="宋体"/>
                <w:color w:val="auto"/>
                <w:highlight w:val="none"/>
              </w:rPr>
              <w:t>）</w:t>
            </w:r>
          </w:p>
          <w:p>
            <w:pPr>
              <w:spacing w:line="360" w:lineRule="auto"/>
              <w:jc w:val="center"/>
              <w:rPr>
                <w:rFonts w:ascii="宋体" w:hAnsi="宋体"/>
                <w:color w:val="auto"/>
                <w:highlight w:val="none"/>
              </w:rPr>
            </w:pPr>
            <w:r>
              <w:rPr>
                <w:rFonts w:hint="eastAsia" w:ascii="宋体" w:hAnsi="宋体"/>
                <w:snapToGrid w:val="0"/>
                <w:color w:val="auto"/>
                <w:kern w:val="0"/>
                <w:szCs w:val="20"/>
                <w:highlight w:val="none"/>
              </w:rPr>
              <w:t>（小写：¥</w:t>
            </w:r>
            <w:r>
              <w:rPr>
                <w:rFonts w:hint="eastAsia" w:ascii="宋体" w:hAnsi="宋体"/>
                <w:snapToGrid w:val="0"/>
                <w:color w:val="auto"/>
                <w:kern w:val="0"/>
                <w:szCs w:val="20"/>
                <w:highlight w:val="none"/>
                <w:u w:val="single"/>
              </w:rPr>
              <w:t xml:space="preserve">                </w:t>
            </w:r>
            <w:r>
              <w:rPr>
                <w:rFonts w:hint="eastAsia" w:ascii="宋体" w:hAnsi="宋体"/>
                <w:snapToGrid w:val="0"/>
                <w:color w:val="auto"/>
                <w:kern w:val="0"/>
                <w:szCs w:val="20"/>
                <w:highlight w:val="none"/>
              </w:rPr>
              <w:t>）</w:t>
            </w:r>
          </w:p>
        </w:tc>
      </w:tr>
    </w:tbl>
    <w:p>
      <w:pPr>
        <w:rPr>
          <w:rFonts w:ascii="宋体" w:hAnsi="宋体" w:cs="宋体"/>
          <w:color w:val="auto"/>
          <w:kern w:val="0"/>
          <w:sz w:val="20"/>
          <w:szCs w:val="21"/>
          <w:highlight w:val="none"/>
        </w:rPr>
      </w:pP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cs="Times New Roman"/>
          <w:b/>
          <w:color w:val="auto"/>
          <w:kern w:val="0"/>
          <w:szCs w:val="21"/>
          <w:highlight w:val="none"/>
          <w:u w:val="single"/>
        </w:rPr>
        <w:t>本项目投标报价为不含税价，即为《中华人民共和国增值税暂行条例》（国务院令第6</w:t>
      </w:r>
      <w:r>
        <w:rPr>
          <w:rFonts w:ascii="宋体" w:hAnsi="宋体" w:cs="Times New Roman"/>
          <w:b/>
          <w:color w:val="auto"/>
          <w:kern w:val="0"/>
          <w:szCs w:val="21"/>
          <w:highlight w:val="none"/>
          <w:u w:val="single"/>
        </w:rPr>
        <w:t>91</w:t>
      </w:r>
      <w:r>
        <w:rPr>
          <w:rFonts w:hint="eastAsia" w:ascii="宋体" w:hAnsi="宋体" w:cs="Times New Roman"/>
          <w:b/>
          <w:color w:val="auto"/>
          <w:kern w:val="0"/>
          <w:szCs w:val="21"/>
          <w:highlight w:val="none"/>
          <w:u w:val="single"/>
        </w:rPr>
        <w:t>号修订版）规定的销售额</w:t>
      </w:r>
      <w:r>
        <w:rPr>
          <w:rFonts w:hint="eastAsia" w:ascii="宋体" w:hAnsi="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s="Times New Roman"/>
          <w:color w:val="auto"/>
          <w:szCs w:val="21"/>
          <w:highlight w:val="none"/>
          <w:lang w:val="zh-CN"/>
        </w:rPr>
        <w:t>本采购项目的销项税额由招标人承担</w:t>
      </w:r>
      <w:r>
        <w:rPr>
          <w:rFonts w:hint="eastAsia" w:ascii="宋体" w:hAnsi="宋体" w:cs="Times New Roman"/>
          <w:color w:val="auto"/>
          <w:kern w:val="0"/>
          <w:szCs w:val="21"/>
          <w:highlight w:val="none"/>
        </w:rPr>
        <w:t>，不计入投标报价。</w:t>
      </w:r>
    </w:p>
    <w:p>
      <w:pPr>
        <w:autoSpaceDE w:val="0"/>
        <w:autoSpaceDN w:val="0"/>
        <w:adjustRightInd w:val="0"/>
        <w:snapToGrid w:val="0"/>
        <w:spacing w:line="360" w:lineRule="auto"/>
        <w:ind w:left="605" w:leftChars="18" w:hanging="567" w:hangingChars="270"/>
        <w:jc w:val="left"/>
        <w:rPr>
          <w:rFonts w:ascii="宋体" w:hAnsi="宋体" w:cs="Times New Roman"/>
          <w:b/>
          <w:bCs/>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2</w:t>
      </w:r>
      <w:r>
        <w:rPr>
          <w:rFonts w:hint="eastAsia" w:ascii="宋体" w:hAnsi="宋体" w:cs="Times New Roman"/>
          <w:color w:val="auto"/>
          <w:kern w:val="0"/>
          <w:szCs w:val="21"/>
          <w:highlight w:val="none"/>
        </w:rPr>
        <w:t>）</w:t>
      </w:r>
      <w:r>
        <w:rPr>
          <w:rFonts w:hint="eastAsia" w:ascii="宋体" w:hAnsi="宋体" w:cs="Times New Roman"/>
          <w:b/>
          <w:bCs/>
          <w:color w:val="auto"/>
          <w:kern w:val="0"/>
          <w:szCs w:val="21"/>
          <w:highlight w:val="none"/>
          <w:u w:val="single"/>
        </w:rPr>
        <w:t>投标人的投标报价高于最高投标限价的，该投标人的投标文件将被视为无效投标。</w:t>
      </w:r>
    </w:p>
    <w:p>
      <w:pPr>
        <w:autoSpaceDE w:val="0"/>
        <w:autoSpaceDN w:val="0"/>
        <w:adjustRightInd w:val="0"/>
        <w:snapToGrid w:val="0"/>
        <w:spacing w:line="360" w:lineRule="auto"/>
        <w:ind w:left="605" w:leftChars="18" w:hanging="567" w:hangingChars="27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w:t>
      </w:r>
      <w:r>
        <w:rPr>
          <w:rFonts w:hint="eastAsia" w:ascii="宋体" w:hAnsi="宋体" w:cs="Times New Roman"/>
          <w:b/>
          <w:color w:val="auto"/>
          <w:kern w:val="0"/>
          <w:szCs w:val="21"/>
          <w:highlight w:val="none"/>
          <w:u w:val="single"/>
        </w:rPr>
        <w:t>本表的投标报价为不含税综合单价乘以采购货物暂定数量的总价。</w:t>
      </w:r>
      <w:r>
        <w:rPr>
          <w:rFonts w:hint="eastAsia" w:ascii="宋体" w:hAnsi="宋体" w:cs="Times New Roman"/>
          <w:bCs/>
          <w:color w:val="auto"/>
          <w:kern w:val="0"/>
          <w:szCs w:val="21"/>
          <w:highlight w:val="none"/>
          <w:u w:val="single"/>
        </w:rPr>
        <w:t>本表内投标报价金额与按</w:t>
      </w:r>
      <w:r>
        <w:rPr>
          <w:rFonts w:hint="eastAsia" w:ascii="宋体" w:hAnsi="宋体" w:cs="Times New Roman"/>
          <w:bCs/>
          <w:color w:val="auto"/>
          <w:kern w:val="0"/>
          <w:szCs w:val="21"/>
          <w:highlight w:val="none"/>
          <w:u w:val="single"/>
          <w:lang w:val="en-US" w:eastAsia="zh-CN"/>
        </w:rPr>
        <w:t>综合</w:t>
      </w:r>
      <w:r>
        <w:rPr>
          <w:rFonts w:hint="eastAsia" w:ascii="宋体" w:hAnsi="宋体" w:cs="Times New Roman"/>
          <w:bCs/>
          <w:color w:val="auto"/>
          <w:kern w:val="0"/>
          <w:szCs w:val="21"/>
          <w:highlight w:val="none"/>
          <w:u w:val="single"/>
        </w:rPr>
        <w:t>单价计算的总金额不一致的，以</w:t>
      </w:r>
      <w:r>
        <w:rPr>
          <w:rFonts w:hint="eastAsia" w:ascii="宋体" w:hAnsi="宋体" w:cs="Times New Roman"/>
          <w:bCs/>
          <w:color w:val="auto"/>
          <w:kern w:val="0"/>
          <w:szCs w:val="21"/>
          <w:highlight w:val="none"/>
          <w:u w:val="single"/>
          <w:lang w:val="en-US" w:eastAsia="zh-CN"/>
        </w:rPr>
        <w:t>综合</w:t>
      </w:r>
      <w:r>
        <w:rPr>
          <w:rFonts w:hint="eastAsia" w:ascii="宋体" w:hAnsi="宋体" w:cs="Times New Roman"/>
          <w:bCs/>
          <w:color w:val="auto"/>
          <w:kern w:val="0"/>
          <w:szCs w:val="21"/>
          <w:highlight w:val="none"/>
          <w:u w:val="single"/>
        </w:rPr>
        <w:t>单价计算结果为准，</w:t>
      </w:r>
      <w:r>
        <w:rPr>
          <w:rFonts w:hint="eastAsia" w:ascii="宋体" w:hAnsi="宋体" w:cs="Times New Roman"/>
          <w:bCs/>
          <w:color w:val="auto"/>
          <w:kern w:val="0"/>
          <w:szCs w:val="21"/>
          <w:highlight w:val="none"/>
          <w:u w:val="single"/>
          <w:lang w:val="en-US" w:eastAsia="zh-CN"/>
        </w:rPr>
        <w:t>综合</w:t>
      </w:r>
      <w:r>
        <w:rPr>
          <w:rFonts w:hint="eastAsia" w:ascii="宋体" w:hAnsi="宋体" w:cs="Times New Roman"/>
          <w:bCs/>
          <w:color w:val="auto"/>
          <w:kern w:val="0"/>
          <w:szCs w:val="21"/>
          <w:highlight w:val="none"/>
          <w:u w:val="single"/>
        </w:rPr>
        <w:t>单价金额小数点有明显错位的，应以总价为准，并修正</w:t>
      </w:r>
      <w:r>
        <w:rPr>
          <w:rFonts w:hint="eastAsia" w:ascii="宋体" w:hAnsi="宋体" w:cs="Times New Roman"/>
          <w:bCs/>
          <w:color w:val="auto"/>
          <w:kern w:val="0"/>
          <w:szCs w:val="21"/>
          <w:highlight w:val="none"/>
          <w:u w:val="single"/>
          <w:lang w:val="en-US" w:eastAsia="zh-CN"/>
        </w:rPr>
        <w:t>综合</w:t>
      </w:r>
      <w:r>
        <w:rPr>
          <w:rFonts w:hint="eastAsia" w:ascii="宋体" w:hAnsi="宋体" w:cs="Times New Roman"/>
          <w:bCs/>
          <w:color w:val="auto"/>
          <w:kern w:val="0"/>
          <w:szCs w:val="21"/>
          <w:highlight w:val="none"/>
          <w:u w:val="single"/>
        </w:rPr>
        <w:t>单价</w:t>
      </w:r>
      <w:r>
        <w:rPr>
          <w:rFonts w:hint="eastAsia"/>
          <w:color w:val="auto"/>
          <w:highlight w:val="none"/>
          <w:u w:val="single"/>
        </w:rPr>
        <w:t>金额</w:t>
      </w:r>
      <w:r>
        <w:rPr>
          <w:rFonts w:hint="eastAsia" w:ascii="宋体" w:hAnsi="宋体" w:cs="Times New Roman"/>
          <w:bCs/>
          <w:color w:val="auto"/>
          <w:kern w:val="0"/>
          <w:szCs w:val="21"/>
          <w:highlight w:val="none"/>
          <w:u w:val="single"/>
        </w:rPr>
        <w:t>。</w:t>
      </w:r>
      <w:r>
        <w:rPr>
          <w:rFonts w:hint="eastAsia" w:ascii="宋体" w:hAnsi="宋体" w:cs="Times New Roman"/>
          <w:color w:val="auto"/>
          <w:kern w:val="0"/>
          <w:szCs w:val="21"/>
          <w:highlight w:val="none"/>
        </w:rPr>
        <w:t>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hAnsi="宋体"/>
          <w:color w:val="auto"/>
          <w:highlight w:val="none"/>
          <w:lang w:val="zh-CN"/>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w:t>
      </w:r>
      <w:r>
        <w:rPr>
          <w:rFonts w:hint="eastAsia" w:hAnsi="宋体"/>
          <w:color w:val="auto"/>
          <w:highlight w:val="none"/>
          <w:lang w:val="zh-CN"/>
        </w:rPr>
        <w:t>上述暂定采购数量仅为方便合计投标报价使用，不作为招标人最终购买数量的保证，我方承诺不因实际采购数量的减少或增加而要求招标人提供任何形式的补偿或赔偿。</w:t>
      </w:r>
    </w:p>
    <w:p>
      <w:pPr>
        <w:autoSpaceDE w:val="0"/>
        <w:autoSpaceDN w:val="0"/>
        <w:adjustRightInd w:val="0"/>
        <w:snapToGrid w:val="0"/>
        <w:spacing w:line="360" w:lineRule="auto"/>
        <w:ind w:left="605" w:leftChars="18" w:hanging="567" w:hangingChars="270"/>
        <w:jc w:val="left"/>
        <w:rPr>
          <w:rFonts w:ascii="宋体" w:hAnsi="宋体" w:cs="Times New Roman"/>
          <w:b/>
          <w:bCs/>
          <w:color w:val="auto"/>
          <w:kern w:val="0"/>
          <w:szCs w:val="21"/>
          <w:highlight w:val="none"/>
          <w:lang w:val="zh-CN"/>
        </w:rPr>
      </w:pPr>
      <w:r>
        <w:rPr>
          <w:rFonts w:hint="eastAsia" w:ascii="宋体" w:hAnsi="宋体" w:cs="Times New Roman"/>
          <w:color w:val="auto"/>
          <w:kern w:val="0"/>
          <w:szCs w:val="21"/>
          <w:highlight w:val="none"/>
          <w:u w:val="single"/>
          <w:lang w:val="zh-CN"/>
        </w:rPr>
        <w:t>（</w:t>
      </w:r>
      <w:r>
        <w:rPr>
          <w:rFonts w:ascii="宋体" w:hAnsi="宋体" w:cs="Times New Roman"/>
          <w:color w:val="auto"/>
          <w:kern w:val="0"/>
          <w:szCs w:val="21"/>
          <w:highlight w:val="none"/>
          <w:u w:val="single"/>
        </w:rPr>
        <w:t>5</w:t>
      </w:r>
      <w:r>
        <w:rPr>
          <w:rFonts w:hint="eastAsia" w:ascii="宋体" w:hAnsi="宋体" w:cs="Times New Roman"/>
          <w:color w:val="auto"/>
          <w:kern w:val="0"/>
          <w:szCs w:val="21"/>
          <w:highlight w:val="none"/>
          <w:u w:val="single"/>
          <w:lang w:val="zh-CN"/>
        </w:rPr>
        <w:t>）</w:t>
      </w:r>
      <w:r>
        <w:rPr>
          <w:rFonts w:hint="eastAsia" w:ascii="宋体" w:hAnsi="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cs="Times New Roman"/>
          <w:bCs/>
          <w:color w:val="auto"/>
          <w:kern w:val="0"/>
          <w:szCs w:val="21"/>
          <w:highlight w:val="none"/>
          <w:lang w:val="zh-CN"/>
        </w:rPr>
      </w:pPr>
      <w:r>
        <w:rPr>
          <w:rFonts w:hint="eastAsia" w:ascii="宋体" w:hAnsi="宋体" w:cs="Times New Roman"/>
          <w:bCs/>
          <w:color w:val="auto"/>
          <w:kern w:val="0"/>
          <w:szCs w:val="21"/>
          <w:highlight w:val="none"/>
          <w:lang w:val="zh-CN"/>
        </w:rPr>
        <w:t>（</w:t>
      </w:r>
      <w:r>
        <w:rPr>
          <w:rFonts w:hint="eastAsia" w:ascii="宋体" w:hAnsi="宋体" w:cs="Times New Roman"/>
          <w:bCs/>
          <w:color w:val="auto"/>
          <w:kern w:val="0"/>
          <w:szCs w:val="21"/>
          <w:highlight w:val="none"/>
        </w:rPr>
        <w:t>6</w:t>
      </w:r>
      <w:r>
        <w:rPr>
          <w:rFonts w:hint="eastAsia" w:ascii="宋体" w:hAnsi="宋体" w:cs="Times New Roman"/>
          <w:bCs/>
          <w:color w:val="auto"/>
          <w:kern w:val="0"/>
          <w:szCs w:val="21"/>
          <w:highlight w:val="none"/>
          <w:lang w:val="zh-CN"/>
        </w:rPr>
        <w:t>）</w:t>
      </w:r>
      <w:r>
        <w:rPr>
          <w:rFonts w:hint="eastAsia" w:ascii="宋体" w:hAnsi="宋体" w:cs="Times New Roman"/>
          <w:color w:val="auto"/>
          <w:kern w:val="0"/>
          <w:szCs w:val="21"/>
          <w:highlight w:val="none"/>
        </w:rPr>
        <w:t>报价保留小数点后两位。</w:t>
      </w:r>
    </w:p>
    <w:p>
      <w:pPr>
        <w:autoSpaceDE w:val="0"/>
        <w:autoSpaceDN w:val="0"/>
        <w:adjustRightInd w:val="0"/>
        <w:spacing w:line="360" w:lineRule="auto"/>
        <w:ind w:firstLine="4960" w:firstLineChars="2362"/>
        <w:rPr>
          <w:rFonts w:ascii="宋体" w:hAnsi="宋体" w:cs="宋体"/>
          <w:color w:val="auto"/>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szCs w:val="24"/>
          <w:highlight w:val="none"/>
          <w:lang w:val="zh-CN"/>
        </w:rPr>
        <w:t>加盖投标人法人公章</w:t>
      </w:r>
      <w:r>
        <w:rPr>
          <w:rFonts w:hint="eastAsia" w:ascii="宋体" w:hAnsi="宋体" w:cs="宋体"/>
          <w:color w:val="auto"/>
          <w:szCs w:val="21"/>
          <w:highlight w:val="none"/>
          <w:lang w:val="zh-CN"/>
        </w:rPr>
        <w:t>）</w:t>
      </w:r>
    </w:p>
    <w:p>
      <w:pPr>
        <w:autoSpaceDE w:val="0"/>
        <w:autoSpaceDN w:val="0"/>
        <w:adjustRightInd w:val="0"/>
        <w:spacing w:line="360" w:lineRule="auto"/>
        <w:ind w:firstLine="4960" w:firstLineChars="2362"/>
        <w:rPr>
          <w:rFonts w:ascii="宋体" w:hAnsi="宋体" w:cs="宋体"/>
          <w:color w:val="auto"/>
          <w:szCs w:val="21"/>
          <w:highlight w:val="none"/>
          <w:lang w:val="zh-CN"/>
        </w:rPr>
      </w:pPr>
      <w:r>
        <w:rPr>
          <w:rFonts w:hint="eastAsia" w:ascii="宋体" w:hAnsi="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cs="Times New Roman"/>
          <w:color w:val="auto"/>
          <w:szCs w:val="24"/>
          <w:highlight w:val="none"/>
          <w:lang w:val="zh-CN"/>
        </w:rPr>
      </w:pPr>
      <w:r>
        <w:rPr>
          <w:rFonts w:hint="eastAsia" w:ascii="宋体" w:hAnsi="宋体" w:cs="宋体"/>
          <w:color w:val="auto"/>
          <w:szCs w:val="21"/>
          <w:highlight w:val="none"/>
          <w:lang w:val="zh-CN"/>
        </w:rPr>
        <w:t>日</w:t>
      </w:r>
      <w:r>
        <w:rPr>
          <w:rFonts w:hint="eastAsia" w:ascii="宋体" w:hAnsi="宋体" w:cs="Times New Roman"/>
          <w:color w:val="auto"/>
          <w:szCs w:val="24"/>
          <w:highlight w:val="none"/>
          <w:lang w:val="zh-CN"/>
        </w:rPr>
        <w:t>期：   年   月   日</w:t>
      </w:r>
    </w:p>
    <w:p>
      <w:pPr>
        <w:tabs>
          <w:tab w:val="left" w:pos="567"/>
        </w:tabs>
        <w:autoSpaceDE w:val="0"/>
        <w:autoSpaceDN w:val="0"/>
        <w:adjustRightInd w:val="0"/>
        <w:spacing w:line="360" w:lineRule="auto"/>
        <w:jc w:val="left"/>
        <w:outlineLvl w:val="2"/>
        <w:rPr>
          <w:rFonts w:ascii="宋体" w:hAnsi="宋体" w:cs="宋体"/>
          <w:b/>
          <w:color w:val="auto"/>
          <w:kern w:val="0"/>
          <w:sz w:val="32"/>
          <w:szCs w:val="32"/>
          <w:highlight w:val="none"/>
        </w:rPr>
      </w:pPr>
      <w:r>
        <w:rPr>
          <w:rFonts w:ascii="宋体" w:hAnsi="宋体" w:cs="Times New Roman"/>
          <w:color w:val="auto"/>
          <w:szCs w:val="24"/>
          <w:highlight w:val="none"/>
          <w:lang w:val="zh-CN"/>
        </w:rPr>
        <w:br w:type="page"/>
      </w:r>
      <w:bookmarkStart w:id="507" w:name="_Toc18828"/>
      <w:bookmarkStart w:id="508" w:name="_Toc1977725"/>
      <w:bookmarkStart w:id="509" w:name="_Toc4707"/>
      <w:bookmarkStart w:id="510" w:name="_Toc142508369"/>
      <w:bookmarkStart w:id="511" w:name="_Toc94107209"/>
      <w:bookmarkStart w:id="512" w:name="_Toc140596928"/>
      <w:bookmarkStart w:id="513" w:name="_Toc104991875"/>
      <w:bookmarkStart w:id="514" w:name="_Toc173684931"/>
      <w:bookmarkStart w:id="515" w:name="_Toc24015"/>
      <w:bookmarkStart w:id="516" w:name="_Toc102860418"/>
      <w:bookmarkStart w:id="517" w:name="_Toc102860074"/>
      <w:bookmarkStart w:id="518" w:name="_Toc486167712"/>
      <w:bookmarkStart w:id="519" w:name="_Toc533708124"/>
      <w:bookmarkStart w:id="520" w:name="_Toc20759_WPSOffice_Level2"/>
      <w:r>
        <w:rPr>
          <w:rFonts w:hint="eastAsia" w:ascii="宋体" w:hAnsi="宋体" w:cs="宋体"/>
          <w:b/>
          <w:bCs/>
          <w:color w:val="auto"/>
          <w:sz w:val="30"/>
          <w:szCs w:val="30"/>
          <w:highlight w:val="none"/>
          <w:lang w:val="en-US" w:eastAsia="zh-CN"/>
        </w:rPr>
        <w:t>五</w:t>
      </w:r>
      <w:r>
        <w:rPr>
          <w:rFonts w:hint="eastAsia" w:ascii="宋体" w:hAnsi="宋体" w:cs="宋体"/>
          <w:b/>
          <w:color w:val="auto"/>
          <w:kern w:val="0"/>
          <w:sz w:val="32"/>
          <w:szCs w:val="32"/>
          <w:highlight w:val="none"/>
        </w:rPr>
        <w:t>、投标人资格证明文件</w:t>
      </w:r>
      <w:bookmarkEnd w:id="507"/>
      <w:bookmarkEnd w:id="508"/>
      <w:bookmarkEnd w:id="509"/>
      <w:bookmarkEnd w:id="510"/>
      <w:bookmarkEnd w:id="511"/>
      <w:bookmarkEnd w:id="512"/>
      <w:bookmarkEnd w:id="513"/>
      <w:bookmarkEnd w:id="514"/>
      <w:bookmarkEnd w:id="515"/>
      <w:bookmarkEnd w:id="516"/>
      <w:bookmarkEnd w:id="517"/>
    </w:p>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bookmarkStart w:id="521" w:name="_Toc173684932"/>
      <w:bookmarkStart w:id="522" w:name="_Toc94107210"/>
      <w:bookmarkStart w:id="523" w:name="_Toc104991876"/>
      <w:bookmarkStart w:id="524" w:name="_Toc142508370"/>
      <w:bookmarkStart w:id="525" w:name="_Toc140596929"/>
      <w:bookmarkStart w:id="526" w:name="_Toc102860075"/>
      <w:bookmarkStart w:id="527" w:name="_Toc3554"/>
      <w:bookmarkStart w:id="528" w:name="_Toc31420"/>
      <w:bookmarkStart w:id="529" w:name="_Toc102860419"/>
      <w:bookmarkStart w:id="530" w:name="_Toc28382"/>
      <w:bookmarkStart w:id="531" w:name="_Toc1977726"/>
      <w:r>
        <w:rPr>
          <w:rFonts w:hint="eastAsia" w:ascii="宋体" w:hAnsi="宋体" w:cs="宋体"/>
          <w:b/>
          <w:color w:val="auto"/>
          <w:kern w:val="0"/>
          <w:sz w:val="30"/>
          <w:szCs w:val="30"/>
          <w:highlight w:val="none"/>
          <w:lang w:val="en-US" w:eastAsia="zh-CN"/>
        </w:rPr>
        <w:t>5</w:t>
      </w:r>
      <w:r>
        <w:rPr>
          <w:rFonts w:hint="eastAsia" w:ascii="宋体" w:hAnsi="宋体" w:cs="宋体"/>
          <w:b/>
          <w:color w:val="auto"/>
          <w:kern w:val="0"/>
          <w:sz w:val="30"/>
          <w:szCs w:val="30"/>
          <w:highlight w:val="none"/>
        </w:rPr>
        <w:t>.1 多证合一营业执照（或事业单位法人证书）复印件</w:t>
      </w:r>
      <w:bookmarkEnd w:id="521"/>
      <w:bookmarkEnd w:id="522"/>
      <w:bookmarkEnd w:id="523"/>
      <w:bookmarkEnd w:id="524"/>
      <w:bookmarkEnd w:id="525"/>
      <w:bookmarkEnd w:id="526"/>
      <w:bookmarkEnd w:id="527"/>
      <w:bookmarkEnd w:id="528"/>
      <w:bookmarkEnd w:id="529"/>
      <w:bookmarkEnd w:id="530"/>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cs="宋体"/>
          <w:b/>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bookmarkStart w:id="532" w:name="_Toc26345"/>
      <w:bookmarkStart w:id="533" w:name="_Toc9489"/>
      <w:bookmarkStart w:id="534" w:name="_Toc16609"/>
      <w:bookmarkStart w:id="535" w:name="_Toc173684933"/>
      <w:bookmarkStart w:id="536" w:name="_Toc140596930"/>
      <w:bookmarkStart w:id="537" w:name="_Toc142508371"/>
      <w:bookmarkStart w:id="538" w:name="_Toc102860076"/>
      <w:bookmarkStart w:id="539" w:name="_Toc104991877"/>
      <w:bookmarkStart w:id="540" w:name="_Toc102860420"/>
      <w:bookmarkStart w:id="541" w:name="_Toc94107211"/>
      <w:r>
        <w:rPr>
          <w:rFonts w:hint="eastAsia" w:ascii="宋体" w:hAnsi="宋体" w:cs="宋体"/>
          <w:b/>
          <w:color w:val="auto"/>
          <w:kern w:val="0"/>
          <w:sz w:val="30"/>
          <w:szCs w:val="30"/>
          <w:highlight w:val="none"/>
          <w:lang w:val="en-US" w:eastAsia="zh-CN"/>
        </w:rPr>
        <w:t>5</w:t>
      </w:r>
      <w:r>
        <w:rPr>
          <w:rFonts w:hint="eastAsia" w:ascii="宋体" w:hAnsi="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32"/>
      <w:bookmarkEnd w:id="533"/>
      <w:bookmarkEnd w:id="534"/>
      <w:bookmarkEnd w:id="535"/>
      <w:bookmarkEnd w:id="536"/>
      <w:bookmarkEnd w:id="537"/>
      <w:bookmarkEnd w:id="538"/>
      <w:bookmarkEnd w:id="539"/>
      <w:bookmarkEnd w:id="540"/>
      <w:bookmarkEnd w:id="541"/>
    </w:p>
    <w:p>
      <w:pPr>
        <w:tabs>
          <w:tab w:val="left" w:pos="567"/>
        </w:tabs>
        <w:autoSpaceDE w:val="0"/>
        <w:autoSpaceDN w:val="0"/>
        <w:adjustRightInd w:val="0"/>
        <w:spacing w:line="360" w:lineRule="auto"/>
        <w:jc w:val="left"/>
        <w:outlineLvl w:val="2"/>
        <w:rPr>
          <w:rFonts w:ascii="宋体" w:hAnsi="宋体" w:cs="宋体"/>
          <w:b/>
          <w:color w:val="auto"/>
          <w:kern w:val="0"/>
          <w:szCs w:val="21"/>
          <w:highlight w:val="none"/>
        </w:rPr>
      </w:pPr>
      <w:r>
        <w:rPr>
          <w:rFonts w:ascii="宋体" w:hAnsi="宋体" w:cs="宋体"/>
          <w:b/>
          <w:color w:val="auto"/>
          <w:kern w:val="0"/>
          <w:sz w:val="30"/>
          <w:szCs w:val="30"/>
          <w:highlight w:val="none"/>
        </w:rPr>
        <w:br w:type="page"/>
      </w:r>
      <w:bookmarkStart w:id="542" w:name="_Toc644"/>
      <w:bookmarkStart w:id="543" w:name="_Toc173684934"/>
      <w:bookmarkStart w:id="544" w:name="_Toc104991878"/>
      <w:bookmarkStart w:id="545" w:name="_Toc102860077"/>
      <w:bookmarkStart w:id="546" w:name="_Toc21657"/>
      <w:bookmarkStart w:id="547" w:name="_Toc102860421"/>
      <w:bookmarkStart w:id="548" w:name="_Toc14111"/>
      <w:bookmarkStart w:id="549" w:name="_Toc140596931"/>
      <w:bookmarkStart w:id="550" w:name="_Toc94107212"/>
      <w:bookmarkStart w:id="551" w:name="_Toc142508372"/>
      <w:r>
        <w:rPr>
          <w:rFonts w:hint="eastAsia" w:ascii="宋体" w:hAnsi="宋体" w:cs="宋体"/>
          <w:b/>
          <w:color w:val="auto"/>
          <w:kern w:val="0"/>
          <w:sz w:val="30"/>
          <w:szCs w:val="30"/>
          <w:highlight w:val="none"/>
          <w:lang w:val="en-US" w:eastAsia="zh-CN"/>
        </w:rPr>
        <w:t>5</w:t>
      </w:r>
      <w:r>
        <w:rPr>
          <w:rFonts w:hint="eastAsia" w:ascii="宋体" w:hAnsi="宋体" w:cs="宋体"/>
          <w:b/>
          <w:color w:val="auto"/>
          <w:kern w:val="0"/>
          <w:sz w:val="30"/>
          <w:szCs w:val="30"/>
          <w:highlight w:val="none"/>
        </w:rPr>
        <w:t>.3</w:t>
      </w:r>
      <w:r>
        <w:rPr>
          <w:rFonts w:ascii="宋体" w:hAnsi="宋体" w:cs="宋体"/>
          <w:b/>
          <w:color w:val="auto"/>
          <w:kern w:val="0"/>
          <w:sz w:val="30"/>
          <w:szCs w:val="30"/>
          <w:highlight w:val="none"/>
        </w:rPr>
        <w:t xml:space="preserve"> </w:t>
      </w:r>
      <w:r>
        <w:rPr>
          <w:rFonts w:hint="eastAsia" w:ascii="宋体" w:hAnsi="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42"/>
      <w:bookmarkEnd w:id="543"/>
      <w:bookmarkEnd w:id="544"/>
      <w:bookmarkEnd w:id="545"/>
      <w:bookmarkEnd w:id="546"/>
      <w:bookmarkEnd w:id="547"/>
      <w:bookmarkEnd w:id="548"/>
      <w:bookmarkEnd w:id="549"/>
      <w:bookmarkEnd w:id="550"/>
      <w:bookmarkEnd w:id="551"/>
    </w:p>
    <w:p>
      <w:pPr>
        <w:spacing w:before="120" w:after="120" w:line="360" w:lineRule="auto"/>
        <w:ind w:firstLine="426" w:firstLineChars="202"/>
        <w:rPr>
          <w:rFonts w:ascii="宋体" w:hAnsi="宋体" w:cs="宋体"/>
          <w:b/>
          <w:color w:val="auto"/>
          <w:szCs w:val="24"/>
          <w:highlight w:val="none"/>
        </w:rPr>
      </w:pPr>
      <w:r>
        <w:rPr>
          <w:rFonts w:hint="eastAsia" w:ascii="宋体" w:hAnsi="宋体" w:cs="宋体"/>
          <w:b/>
          <w:color w:val="auto"/>
          <w:szCs w:val="24"/>
          <w:highlight w:val="none"/>
        </w:rPr>
        <w:t>（1）法定代表人身份证明书格式</w:t>
      </w:r>
      <w:bookmarkEnd w:id="518"/>
      <w:bookmarkEnd w:id="519"/>
      <w:bookmarkEnd w:id="520"/>
      <w:bookmarkEnd w:id="531"/>
    </w:p>
    <w:p>
      <w:pPr>
        <w:spacing w:before="120" w:after="120" w:line="360" w:lineRule="auto"/>
        <w:ind w:firstLine="608" w:firstLineChars="202"/>
        <w:jc w:val="center"/>
        <w:rPr>
          <w:rFonts w:ascii="宋体" w:hAnsi="宋体" w:cs="宋体"/>
          <w:b/>
          <w:color w:val="auto"/>
          <w:sz w:val="30"/>
          <w:szCs w:val="30"/>
          <w:highlight w:val="none"/>
        </w:rPr>
      </w:pPr>
    </w:p>
    <w:p>
      <w:pPr>
        <w:spacing w:before="120" w:after="120" w:line="360" w:lineRule="auto"/>
        <w:ind w:firstLine="608" w:firstLineChars="202"/>
        <w:jc w:val="center"/>
        <w:rPr>
          <w:rFonts w:ascii="宋体" w:hAnsi="宋体" w:cs="宋体"/>
          <w:b/>
          <w:bCs/>
          <w:color w:val="auto"/>
          <w:sz w:val="30"/>
          <w:szCs w:val="30"/>
          <w:highlight w:val="none"/>
        </w:rPr>
      </w:pPr>
      <w:bookmarkStart w:id="552" w:name="_Toc11033_WPSOffice_Level3"/>
      <w:r>
        <w:rPr>
          <w:rFonts w:hint="eastAsia" w:ascii="宋体" w:hAnsi="宋体" w:cs="宋体"/>
          <w:b/>
          <w:color w:val="auto"/>
          <w:sz w:val="30"/>
          <w:szCs w:val="30"/>
          <w:highlight w:val="none"/>
        </w:rPr>
        <w:t>法定代</w:t>
      </w:r>
      <w:bookmarkStart w:id="553" w:name="_Toc45995270"/>
      <w:bookmarkStart w:id="554" w:name="_Toc36971359"/>
      <w:r>
        <w:rPr>
          <w:rFonts w:hint="eastAsia" w:ascii="宋体" w:hAnsi="宋体" w:cs="宋体"/>
          <w:b/>
          <w:color w:val="auto"/>
          <w:sz w:val="30"/>
          <w:szCs w:val="30"/>
          <w:highlight w:val="none"/>
        </w:rPr>
        <w:t>表人身份证明书</w:t>
      </w:r>
      <w:bookmarkEnd w:id="552"/>
    </w:p>
    <w:bookmarkEnd w:id="553"/>
    <w:bookmarkEnd w:id="554"/>
    <w:p>
      <w:pPr>
        <w:spacing w:before="120" w:after="120"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先生／女士：现任我单位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职务，为法定代表人，特此证明。</w:t>
      </w:r>
    </w:p>
    <w:p>
      <w:pPr>
        <w:spacing w:before="120" w:after="120"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有效日期：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签发日期：</w:t>
      </w:r>
      <w:r>
        <w:rPr>
          <w:rFonts w:hint="eastAsia" w:ascii="宋体" w:hAnsi="宋体" w:cs="宋体"/>
          <w:color w:val="auto"/>
          <w:szCs w:val="24"/>
          <w:highlight w:val="none"/>
          <w:u w:val="single"/>
        </w:rPr>
        <w:t xml:space="preserve">           </w:t>
      </w:r>
    </w:p>
    <w:p>
      <w:pPr>
        <w:spacing w:before="120" w:after="120" w:line="360" w:lineRule="auto"/>
        <w:ind w:firstLine="424" w:firstLineChars="202"/>
        <w:rPr>
          <w:rFonts w:ascii="宋体" w:hAnsi="宋体" w:cs="宋体"/>
          <w:color w:val="auto"/>
          <w:szCs w:val="24"/>
          <w:highlight w:val="none"/>
          <w:u w:val="single"/>
        </w:rPr>
      </w:pPr>
      <w:r>
        <w:rPr>
          <w:rFonts w:hint="eastAsia" w:ascii="宋体" w:hAnsi="宋体" w:cs="宋体"/>
          <w:color w:val="auto"/>
          <w:szCs w:val="24"/>
          <w:highlight w:val="none"/>
        </w:rPr>
        <w:t>附：代表人性别：</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年龄：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身份证号码：</w:t>
      </w:r>
      <w:r>
        <w:rPr>
          <w:rFonts w:hint="eastAsia" w:ascii="宋体" w:hAnsi="宋体" w:cs="宋体"/>
          <w:color w:val="auto"/>
          <w:szCs w:val="24"/>
          <w:highlight w:val="none"/>
          <w:u w:val="single"/>
        </w:rPr>
        <w:t xml:space="preserve">            </w:t>
      </w:r>
    </w:p>
    <w:p>
      <w:pPr>
        <w:spacing w:before="120" w:after="120"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营业执照号码：</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经济性质： </w:t>
      </w:r>
    </w:p>
    <w:p>
      <w:pPr>
        <w:spacing w:before="120" w:after="120" w:line="360" w:lineRule="auto"/>
        <w:ind w:firstLine="424" w:firstLineChars="202"/>
        <w:rPr>
          <w:rFonts w:ascii="宋体" w:hAnsi="宋体" w:cs="宋体"/>
          <w:color w:val="auto"/>
          <w:szCs w:val="24"/>
          <w:highlight w:val="none"/>
          <w:u w:val="single"/>
        </w:rPr>
      </w:pPr>
      <w:r>
        <w:rPr>
          <w:rFonts w:hint="eastAsia" w:ascii="宋体" w:hAnsi="宋体" w:cs="宋体"/>
          <w:color w:val="auto"/>
          <w:szCs w:val="24"/>
          <w:highlight w:val="none"/>
        </w:rPr>
        <w:t>主营（产）：</w:t>
      </w:r>
    </w:p>
    <w:p>
      <w:pPr>
        <w:spacing w:before="120" w:after="120" w:line="360" w:lineRule="auto"/>
        <w:ind w:firstLine="424" w:firstLineChars="202"/>
        <w:rPr>
          <w:rFonts w:ascii="宋体" w:hAnsi="宋体" w:cs="宋体"/>
          <w:color w:val="auto"/>
          <w:szCs w:val="24"/>
          <w:highlight w:val="none"/>
          <w:u w:val="single"/>
        </w:rPr>
      </w:pPr>
      <w:r>
        <w:rPr>
          <w:rFonts w:hint="eastAsia" w:ascii="宋体" w:hAnsi="宋体" w:cs="宋体"/>
          <w:color w:val="auto"/>
          <w:szCs w:val="24"/>
          <w:highlight w:val="none"/>
        </w:rPr>
        <w:t>兼营（产）：</w:t>
      </w:r>
    </w:p>
    <w:p>
      <w:pPr>
        <w:spacing w:before="120" w:after="120"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cs="宋体"/>
          <w:color w:val="auto"/>
          <w:szCs w:val="21"/>
          <w:highlight w:val="none"/>
        </w:rPr>
      </w:pPr>
      <w:r>
        <w:rPr>
          <w:rFonts w:hint="eastAsia" w:ascii="宋体" w:hAnsi="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pPr>
        <w:autoSpaceDE w:val="0"/>
        <w:autoSpaceDN w:val="0"/>
        <w:adjustRightInd w:val="0"/>
        <w:jc w:val="left"/>
        <w:rPr>
          <w:rFonts w:ascii="宋体" w:hAnsi="宋体" w:cs="宋体"/>
          <w:color w:val="auto"/>
          <w:kern w:val="0"/>
          <w:sz w:val="24"/>
          <w:szCs w:val="24"/>
          <w:highlight w:val="none"/>
        </w:rPr>
      </w:pPr>
      <w:r>
        <w:rPr>
          <w:rFonts w:ascii="宋体" w:hAnsi="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color w:val="auto"/>
          <w:kern w:val="0"/>
          <w:sz w:val="24"/>
          <w:szCs w:val="24"/>
          <w:highlight w:val="none"/>
        </w:rPr>
      </w:pPr>
    </w:p>
    <w:p>
      <w:pPr>
        <w:autoSpaceDE w:val="0"/>
        <w:autoSpaceDN w:val="0"/>
        <w:adjustRightInd w:val="0"/>
        <w:jc w:val="left"/>
        <w:rPr>
          <w:rFonts w:ascii="宋体" w:hAnsi="宋体" w:cs="宋体"/>
          <w:b/>
          <w:color w:val="auto"/>
          <w:kern w:val="0"/>
          <w:szCs w:val="21"/>
          <w:highlight w:val="none"/>
        </w:rPr>
      </w:pPr>
    </w:p>
    <w:p>
      <w:pPr>
        <w:autoSpaceDE w:val="0"/>
        <w:autoSpaceDN w:val="0"/>
        <w:adjustRightInd w:val="0"/>
        <w:jc w:val="left"/>
        <w:rPr>
          <w:rFonts w:ascii="宋体" w:hAnsi="宋体" w:cs="宋体"/>
          <w:b/>
          <w:color w:val="auto"/>
          <w:kern w:val="0"/>
          <w:szCs w:val="21"/>
          <w:highlight w:val="none"/>
        </w:rPr>
      </w:pPr>
      <w:r>
        <w:rPr>
          <w:rFonts w:hint="eastAsia" w:ascii="宋体" w:hAnsi="宋体" w:cs="宋体"/>
          <w:b/>
          <w:color w:val="auto"/>
          <w:kern w:val="0"/>
          <w:szCs w:val="21"/>
          <w:highlight w:val="none"/>
        </w:rPr>
        <w:t>注：法定代表人身份证须在有效期限内。</w:t>
      </w:r>
    </w:p>
    <w:p>
      <w:pPr>
        <w:autoSpaceDE w:val="0"/>
        <w:autoSpaceDN w:val="0"/>
        <w:adjustRightInd w:val="0"/>
        <w:jc w:val="left"/>
        <w:rPr>
          <w:rFonts w:ascii="宋体" w:hAnsi="宋体" w:cs="宋体"/>
          <w:color w:val="auto"/>
          <w:kern w:val="0"/>
          <w:szCs w:val="21"/>
          <w:highlight w:val="none"/>
        </w:rPr>
      </w:pPr>
    </w:p>
    <w:p>
      <w:pPr>
        <w:spacing w:before="120" w:after="120" w:line="360" w:lineRule="auto"/>
        <w:ind w:firstLine="424" w:firstLineChars="202"/>
        <w:rPr>
          <w:rFonts w:ascii="宋体" w:hAnsi="宋体" w:cs="宋体"/>
          <w:b/>
          <w:color w:val="auto"/>
          <w:kern w:val="0"/>
          <w:szCs w:val="21"/>
          <w:highlight w:val="none"/>
        </w:rPr>
      </w:pPr>
      <w:r>
        <w:rPr>
          <w:rFonts w:hint="eastAsia" w:ascii="宋体" w:hAnsi="宋体" w:cs="宋体"/>
          <w:color w:val="auto"/>
          <w:szCs w:val="24"/>
          <w:highlight w:val="none"/>
          <w:lang w:val="zh-CN"/>
        </w:rPr>
        <w:br w:type="page"/>
      </w:r>
      <w:bookmarkEnd w:id="470"/>
      <w:bookmarkEnd w:id="471"/>
      <w:bookmarkEnd w:id="472"/>
      <w:bookmarkStart w:id="555" w:name="_Toc1977727"/>
      <w:bookmarkStart w:id="556" w:name="_Toc6240_WPSOffice_Level2"/>
      <w:bookmarkStart w:id="557" w:name="_Toc533708125"/>
      <w:bookmarkStart w:id="558" w:name="_Toc486167713"/>
      <w:r>
        <w:rPr>
          <w:rFonts w:hint="eastAsia" w:ascii="宋体" w:hAnsi="宋体" w:cs="宋体"/>
          <w:b/>
          <w:color w:val="auto"/>
          <w:szCs w:val="24"/>
          <w:highlight w:val="none"/>
        </w:rPr>
        <w:t>（2）法定代表人授权书格式</w:t>
      </w:r>
      <w:bookmarkEnd w:id="555"/>
      <w:bookmarkEnd w:id="556"/>
      <w:bookmarkEnd w:id="557"/>
      <w:bookmarkEnd w:id="558"/>
    </w:p>
    <w:p>
      <w:pPr>
        <w:autoSpaceDE w:val="0"/>
        <w:autoSpaceDN w:val="0"/>
        <w:adjustRightInd w:val="0"/>
        <w:spacing w:line="360" w:lineRule="auto"/>
        <w:jc w:val="center"/>
        <w:rPr>
          <w:rFonts w:ascii="宋体" w:hAnsi="宋体" w:cs="宋体"/>
          <w:b/>
          <w:bCs/>
          <w:color w:val="auto"/>
          <w:sz w:val="30"/>
          <w:szCs w:val="30"/>
          <w:highlight w:val="none"/>
          <w:lang w:val="zh-CN"/>
        </w:rPr>
      </w:pPr>
    </w:p>
    <w:p>
      <w:pPr>
        <w:autoSpaceDE w:val="0"/>
        <w:autoSpaceDN w:val="0"/>
        <w:adjustRightInd w:val="0"/>
        <w:spacing w:line="360" w:lineRule="auto"/>
        <w:jc w:val="center"/>
        <w:rPr>
          <w:rFonts w:ascii="宋体" w:hAnsi="宋体" w:cs="宋体"/>
          <w:b/>
          <w:bCs/>
          <w:color w:val="auto"/>
          <w:sz w:val="30"/>
          <w:szCs w:val="30"/>
          <w:highlight w:val="none"/>
          <w:lang w:val="zh-CN"/>
        </w:rPr>
      </w:pPr>
      <w:bookmarkStart w:id="559" w:name="_Toc29146_WPSOffice_Level3"/>
      <w:r>
        <w:rPr>
          <w:rFonts w:hint="eastAsia" w:ascii="宋体" w:hAnsi="宋体" w:cs="宋体"/>
          <w:b/>
          <w:bCs/>
          <w:color w:val="auto"/>
          <w:sz w:val="30"/>
          <w:szCs w:val="30"/>
          <w:highlight w:val="none"/>
          <w:lang w:val="zh-CN"/>
        </w:rPr>
        <w:t>法定代表人授权书</w:t>
      </w:r>
      <w:bookmarkEnd w:id="559"/>
    </w:p>
    <w:p>
      <w:pPr>
        <w:autoSpaceDE w:val="0"/>
        <w:autoSpaceDN w:val="0"/>
        <w:adjustRightInd w:val="0"/>
        <w:spacing w:line="360" w:lineRule="auto"/>
        <w:jc w:val="center"/>
        <w:rPr>
          <w:rFonts w:ascii="宋体" w:hAnsi="宋体" w:cs="宋体"/>
          <w:color w:val="auto"/>
          <w:szCs w:val="28"/>
          <w:highlight w:val="none"/>
          <w:lang w:val="zh-CN"/>
        </w:rPr>
      </w:pPr>
    </w:p>
    <w:p>
      <w:pPr>
        <w:spacing w:before="120" w:after="120" w:line="360" w:lineRule="auto"/>
        <w:rPr>
          <w:rFonts w:ascii="宋体" w:hAnsi="宋体" w:cs="宋体"/>
          <w:color w:val="auto"/>
          <w:szCs w:val="24"/>
          <w:highlight w:val="none"/>
          <w:lang w:val="zh-CN"/>
        </w:rPr>
      </w:pPr>
      <w:r>
        <w:rPr>
          <w:rFonts w:hint="eastAsia" w:ascii="宋体" w:hAnsi="宋体" w:cs="宋体"/>
          <w:color w:val="auto"/>
          <w:szCs w:val="24"/>
          <w:highlight w:val="none"/>
          <w:lang w:val="zh-CN"/>
        </w:rPr>
        <w:t>致：东莞市众源环境投资有限公司</w:t>
      </w:r>
    </w:p>
    <w:p>
      <w:pPr>
        <w:spacing w:before="120" w:after="120" w:line="360" w:lineRule="auto"/>
        <w:ind w:firstLine="630" w:firstLineChars="300"/>
        <w:rPr>
          <w:rFonts w:ascii="宋体" w:hAnsi="宋体" w:cs="宋体"/>
          <w:color w:val="auto"/>
          <w:szCs w:val="21"/>
          <w:highlight w:val="none"/>
        </w:rPr>
      </w:pPr>
      <w:r>
        <w:rPr>
          <w:rFonts w:hint="eastAsia" w:ascii="宋体" w:hAnsi="宋体" w:cs="宋体"/>
          <w:color w:val="auto"/>
          <w:szCs w:val="24"/>
          <w:highlight w:val="none"/>
          <w:lang w:val="zh-CN"/>
        </w:rPr>
        <w:t>本授权书声明：注册于</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（投标人地址）的</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（投标人名称）在下面签字或盖私章的</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（法定代表人姓名、职务、身份证号码）代表本公司授权在下面签字或盖私章的</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（被授权人的姓名、职务、身份证号码）为本公司的合法代表人，签署</w:t>
      </w:r>
      <w:r>
        <w:rPr>
          <w:rFonts w:hint="eastAsia" w:ascii="宋体" w:hAnsi="宋体" w:cs="宋体"/>
          <w:color w:val="auto"/>
          <w:szCs w:val="21"/>
          <w:highlight w:val="none"/>
          <w:u w:val="single"/>
          <w:lang w:eastAsia="zh-CN"/>
        </w:rPr>
        <w:t>东莞市众源环境投资有限公司2025年污泥处理用聚丙烯酰胺采购项目</w:t>
      </w:r>
      <w:r>
        <w:rPr>
          <w:rFonts w:hint="eastAsia" w:ascii="宋体" w:hAnsi="宋体" w:cs="宋体"/>
          <w:color w:val="auto"/>
          <w:szCs w:val="21"/>
          <w:highlight w:val="none"/>
          <w:lang w:val="zh-CN"/>
        </w:rPr>
        <w:t>（招标编号：</w:t>
      </w:r>
      <w:r>
        <w:rPr>
          <w:rFonts w:hint="eastAsia" w:ascii="宋体" w:hAnsi="宋体" w:cs="宋体"/>
          <w:color w:val="auto"/>
          <w:szCs w:val="21"/>
          <w:highlight w:val="none"/>
          <w:u w:val="single"/>
          <w:lang w:val="zh-CN"/>
        </w:rPr>
        <w:t>0832-SFCX25DG020A</w:t>
      </w:r>
      <w:r>
        <w:rPr>
          <w:rFonts w:hint="eastAsia" w:ascii="宋体" w:hAnsi="宋体" w:cs="宋体"/>
          <w:color w:val="auto"/>
          <w:szCs w:val="21"/>
          <w:highlight w:val="none"/>
          <w:lang w:val="zh-CN"/>
        </w:rPr>
        <w:t>）的投标文件，</w:t>
      </w:r>
      <w:r>
        <w:rPr>
          <w:rFonts w:hint="eastAsia" w:ascii="宋体" w:hAnsi="宋体" w:cs="宋体"/>
          <w:color w:val="auto"/>
          <w:szCs w:val="21"/>
          <w:highlight w:val="none"/>
        </w:rPr>
        <w:t>代表我公司</w:t>
      </w:r>
      <w:r>
        <w:rPr>
          <w:rFonts w:hint="eastAsia" w:ascii="宋体" w:hAnsi="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cs="宋体"/>
          <w:color w:val="auto"/>
          <w:szCs w:val="21"/>
          <w:highlight w:val="none"/>
        </w:rPr>
        <w:t>我承认代理人全权代表我所签署的本项目投标文件的内容及</w:t>
      </w:r>
      <w:r>
        <w:rPr>
          <w:rFonts w:hint="eastAsia" w:ascii="宋体" w:hAnsi="宋体" w:cs="宋体"/>
          <w:color w:val="auto"/>
          <w:szCs w:val="24"/>
          <w:highlight w:val="none"/>
          <w:lang w:val="zh-CN"/>
        </w:rPr>
        <w:t>所进行的上述活动。</w:t>
      </w:r>
    </w:p>
    <w:p>
      <w:pPr>
        <w:spacing w:before="120" w:after="120" w:line="360" w:lineRule="auto"/>
        <w:ind w:firstLine="420" w:firstLineChars="200"/>
        <w:rPr>
          <w:rFonts w:ascii="宋体" w:hAnsi="宋体" w:cs="宋体"/>
          <w:color w:val="auto"/>
          <w:szCs w:val="21"/>
          <w:highlight w:val="none"/>
        </w:rPr>
      </w:pPr>
      <w:r>
        <w:rPr>
          <w:rFonts w:hint="eastAsia" w:ascii="宋体" w:hAnsi="宋体" w:cs="宋体"/>
          <w:color w:val="auto"/>
          <w:szCs w:val="24"/>
          <w:highlight w:val="none"/>
          <w:lang w:val="zh-CN"/>
        </w:rPr>
        <w:t>本授权书于</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日签字生效，有效期至投标文件失效期止，</w:t>
      </w:r>
      <w:r>
        <w:rPr>
          <w:rFonts w:hint="eastAsia" w:ascii="宋体" w:hAnsi="宋体" w:cs="宋体"/>
          <w:color w:val="auto"/>
          <w:szCs w:val="21"/>
          <w:highlight w:val="none"/>
        </w:rPr>
        <w:t>代理人无转委托权，</w:t>
      </w:r>
      <w:r>
        <w:rPr>
          <w:rFonts w:hint="eastAsia" w:ascii="宋体" w:hAnsi="宋体" w:cs="宋体"/>
          <w:color w:val="auto"/>
          <w:szCs w:val="24"/>
          <w:highlight w:val="none"/>
          <w:lang w:val="zh-CN"/>
        </w:rPr>
        <w:t>特此声明。</w:t>
      </w:r>
    </w:p>
    <w:p>
      <w:pPr>
        <w:spacing w:before="120" w:after="120" w:line="360" w:lineRule="auto"/>
        <w:ind w:left="348" w:leftChars="136" w:hanging="62"/>
        <w:rPr>
          <w:rFonts w:ascii="宋体" w:hAnsi="宋体" w:cs="宋体"/>
          <w:color w:val="auto"/>
          <w:szCs w:val="24"/>
          <w:highlight w:val="none"/>
        </w:rPr>
      </w:pP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投标人地址：</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法定代表人（签名或盖私章）：</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职　　　务：</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被授权人（签名或盖私章）：</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职　　　务：</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被授权人联系手机：</w:t>
      </w:r>
    </w:p>
    <w:p>
      <w:pPr>
        <w:spacing w:before="120" w:after="120" w:line="360" w:lineRule="auto"/>
        <w:ind w:left="4200" w:leftChars="2000" w:firstLine="425"/>
        <w:rPr>
          <w:rFonts w:ascii="宋体" w:hAnsi="宋体" w:cs="宋体"/>
          <w:color w:val="auto"/>
          <w:szCs w:val="24"/>
          <w:highlight w:val="none"/>
          <w:lang w:val="zh-CN"/>
        </w:rPr>
      </w:pPr>
      <w:r>
        <w:rPr>
          <w:rFonts w:hint="eastAsia" w:ascii="宋体" w:hAnsi="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r>
        <w:rPr>
          <w:rFonts w:hint="eastAsia" w:ascii="宋体" w:hAnsi="宋体" w:cs="宋体"/>
          <w:color w:val="auto"/>
          <w:szCs w:val="24"/>
          <w:highlight w:val="none"/>
          <w:lang w:val="zh-CN"/>
        </w:rPr>
        <w:br w:type="page"/>
      </w:r>
      <w:r>
        <w:rPr>
          <w:rFonts w:hint="eastAsia" w:ascii="宋体" w:hAnsi="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r>
        <w:rPr>
          <w:rFonts w:ascii="宋体" w:hAnsi="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r>
        <w:rPr>
          <w:rFonts w:ascii="宋体" w:hAnsi="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cs="宋体"/>
          <w:b/>
          <w:color w:val="auto"/>
          <w:szCs w:val="24"/>
          <w:highlight w:val="none"/>
        </w:rPr>
        <w:t>注：上述所附身份证应在有效期限内。</w:t>
      </w:r>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bookmarkStart w:id="560" w:name="_Toc173684935"/>
      <w:bookmarkStart w:id="561" w:name="_Toc26531"/>
      <w:bookmarkStart w:id="562" w:name="_Toc30070"/>
      <w:bookmarkStart w:id="563" w:name="_Toc8338"/>
      <w:bookmarkStart w:id="564" w:name="_Toc140596933"/>
      <w:bookmarkStart w:id="565" w:name="_Toc142508373"/>
      <w:bookmarkStart w:id="566" w:name="_Toc104991880"/>
      <w:bookmarkStart w:id="567" w:name="_Toc1977730"/>
      <w:bookmarkStart w:id="568" w:name="_Toc94107214"/>
      <w:r>
        <w:rPr>
          <w:rFonts w:hint="eastAsia" w:ascii="宋体" w:hAnsi="宋体" w:cs="宋体"/>
          <w:b/>
          <w:color w:val="auto"/>
          <w:kern w:val="0"/>
          <w:sz w:val="30"/>
          <w:szCs w:val="30"/>
          <w:highlight w:val="none"/>
          <w:lang w:val="en-US" w:eastAsia="zh-CN"/>
        </w:rPr>
        <w:t>5.4 制造商资格声明和授权销售及售后服务承诺函</w:t>
      </w:r>
      <w:bookmarkEnd w:id="560"/>
      <w:bookmarkEnd w:id="561"/>
    </w:p>
    <w:p>
      <w:pPr>
        <w:pStyle w:val="4"/>
        <w:spacing w:line="360" w:lineRule="auto"/>
        <w:rPr>
          <w:rFonts w:hAnsi="宋体"/>
          <w:color w:val="auto"/>
          <w:highlight w:val="none"/>
        </w:rPr>
      </w:pPr>
      <w:bookmarkStart w:id="569" w:name="_Toc6542"/>
      <w:r>
        <w:rPr>
          <w:rFonts w:hint="eastAsia" w:hAnsi="宋体"/>
          <w:color w:val="auto"/>
          <w:highlight w:val="none"/>
        </w:rPr>
        <w:t>（若投标人为制造商，必须提供制造商资格声明原件；若投标人为经销商，必须同时提供制造商资格声明原件和投标产品制造商就本次投标出具的授权销售及售后服务承诺函原件）</w:t>
      </w:r>
      <w:bookmarkEnd w:id="569"/>
    </w:p>
    <w:p>
      <w:pPr>
        <w:autoSpaceDE w:val="0"/>
        <w:autoSpaceDN w:val="0"/>
        <w:adjustRightInd w:val="0"/>
        <w:spacing w:line="360" w:lineRule="auto"/>
        <w:jc w:val="center"/>
        <w:rPr>
          <w:rFonts w:ascii="宋体" w:hAnsi="宋体" w:cs="Times New Roman"/>
          <w:b/>
          <w:bCs/>
          <w:color w:val="auto"/>
          <w:sz w:val="30"/>
          <w:szCs w:val="30"/>
          <w:highlight w:val="none"/>
        </w:rPr>
      </w:pPr>
      <w:r>
        <w:rPr>
          <w:rFonts w:hint="eastAsia" w:ascii="宋体" w:hAnsi="宋体" w:cs="宋体"/>
          <w:b/>
          <w:bCs/>
          <w:color w:val="auto"/>
          <w:sz w:val="30"/>
          <w:szCs w:val="30"/>
          <w:highlight w:val="none"/>
          <w:lang w:bidi="ar"/>
        </w:rPr>
        <w:t>（</w:t>
      </w:r>
      <w:r>
        <w:rPr>
          <w:rFonts w:ascii="宋体" w:hAnsi="宋体" w:cs="Times New Roman"/>
          <w:b/>
          <w:bCs/>
          <w:color w:val="auto"/>
          <w:sz w:val="30"/>
          <w:szCs w:val="30"/>
          <w:highlight w:val="none"/>
          <w:lang w:bidi="ar"/>
        </w:rPr>
        <w:t>1</w:t>
      </w:r>
      <w:r>
        <w:rPr>
          <w:rFonts w:hint="eastAsia" w:ascii="宋体" w:hAnsi="宋体" w:cs="宋体"/>
          <w:b/>
          <w:bCs/>
          <w:color w:val="auto"/>
          <w:sz w:val="30"/>
          <w:szCs w:val="30"/>
          <w:highlight w:val="none"/>
          <w:lang w:bidi="ar"/>
        </w:rPr>
        <w:t>）制造商资格声明</w:t>
      </w:r>
    </w:p>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1、名称及概况：</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（1）制造商名称：</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（2）总部地址：</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邮政编码：</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（3）电话号码：</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传真：</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（4）成立和/或注册日期：</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u w:val="single"/>
        </w:rPr>
      </w:pPr>
      <w:r>
        <w:rPr>
          <w:rFonts w:hint="eastAsia" w:ascii="宋体" w:hAnsi="宋体" w:cs="宋体"/>
          <w:color w:val="auto"/>
          <w:kern w:val="0"/>
          <w:szCs w:val="21"/>
          <w:highlight w:val="none"/>
          <w:lang w:bidi="ar"/>
        </w:rPr>
        <w:t>（5）实收资本：</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（6）法定代表人姓名：</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u w:val="single"/>
        </w:rPr>
      </w:pPr>
      <w:r>
        <w:rPr>
          <w:rFonts w:hint="eastAsia" w:ascii="宋体" w:hAnsi="宋体" w:cs="宋体"/>
          <w:color w:val="auto"/>
          <w:kern w:val="0"/>
          <w:szCs w:val="21"/>
          <w:highlight w:val="none"/>
          <w:lang w:bidi="ar"/>
        </w:rPr>
        <w:t>（7）制造商代表姓名、联系电话和地址：</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kern w:val="0"/>
          <w:szCs w:val="21"/>
          <w:highlight w:val="none"/>
          <w:lang w:bidi="ar"/>
        </w:rPr>
        <w:t>（8）投标产品名称及品牌：</w:t>
      </w:r>
      <w:r>
        <w:rPr>
          <w:rFonts w:hint="eastAsia" w:ascii="宋体" w:hAnsi="宋体" w:cs="宋体"/>
          <w:color w:val="auto"/>
          <w:kern w:val="0"/>
          <w:szCs w:val="21"/>
          <w:highlight w:val="none"/>
          <w:u w:val="single"/>
          <w:lang w:bidi="ar"/>
        </w:rPr>
        <w:t xml:space="preserve">                                    </w:t>
      </w:r>
    </w:p>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2、制造投标货物的主要设备、设施及有关情况：</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bl>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3、投标货物中本制造商不生产，而需从其它制造商购买的主要材料：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firstLine="1050" w:firstLineChars="500"/>
              <w:rPr>
                <w:rFonts w:ascii="宋体" w:hAnsi="宋体" w:cs="等线 Light"/>
                <w:color w:val="auto"/>
                <w:szCs w:val="21"/>
                <w:highlight w:val="none"/>
              </w:rPr>
            </w:pPr>
            <w:r>
              <w:rPr>
                <w:rFonts w:hint="eastAsia" w:ascii="宋体" w:hAnsi="宋体" w:cs="宋体"/>
                <w:color w:val="auto"/>
                <w:szCs w:val="21"/>
                <w:highlight w:val="none"/>
                <w:lang w:bidi="ar"/>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bl>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4、近三年该货物主要销售给国内、外主要客户的名称地址：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cs="等线 Light"/>
                <w:color w:val="auto"/>
                <w:szCs w:val="21"/>
                <w:highlight w:val="none"/>
              </w:rPr>
            </w:pPr>
            <w:r>
              <w:rPr>
                <w:rFonts w:hint="eastAsia" w:ascii="宋体" w:hAnsi="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cs="等线 Light"/>
                <w:color w:val="auto"/>
                <w:szCs w:val="21"/>
                <w:highlight w:val="none"/>
              </w:rPr>
            </w:pPr>
            <w:r>
              <w:rPr>
                <w:rFonts w:hint="eastAsia" w:ascii="宋体" w:hAnsi="宋体" w:cs="宋体"/>
                <w:color w:val="auto"/>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42"/>
              <w:jc w:val="center"/>
              <w:rPr>
                <w:rFonts w:ascii="宋体" w:hAnsi="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57"/>
              <w:jc w:val="center"/>
              <w:rPr>
                <w:rFonts w:ascii="宋体" w:hAnsi="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ind w:left="357"/>
              <w:jc w:val="center"/>
              <w:rPr>
                <w:rFonts w:ascii="宋体" w:hAnsi="宋体" w:cs="等线 Light"/>
                <w:color w:val="auto"/>
                <w:szCs w:val="21"/>
                <w:highlight w:val="none"/>
              </w:rPr>
            </w:pPr>
          </w:p>
        </w:tc>
      </w:tr>
    </w:tbl>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5、生产及管理人员</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left"/>
              <w:rPr>
                <w:rFonts w:ascii="宋体" w:hAnsi="宋体" w:cs="等线 Light"/>
                <w:color w:val="auto"/>
                <w:szCs w:val="21"/>
                <w:highlight w:val="none"/>
              </w:rPr>
            </w:pPr>
            <w:r>
              <w:rPr>
                <w:rFonts w:hint="eastAsia" w:ascii="宋体" w:hAnsi="宋体" w:cs="宋体"/>
                <w:color w:val="auto"/>
                <w:szCs w:val="21"/>
                <w:highlight w:val="none"/>
                <w:lang w:bidi="ar"/>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r>
              <w:rPr>
                <w:rFonts w:hint="eastAsia" w:ascii="宋体" w:hAnsi="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jc w:val="center"/>
              <w:rPr>
                <w:rFonts w:ascii="宋体" w:hAnsi="宋体" w:cs="等线 Light"/>
                <w:color w:val="auto"/>
                <w:szCs w:val="21"/>
                <w:highlight w:val="none"/>
              </w:rPr>
            </w:pPr>
          </w:p>
        </w:tc>
      </w:tr>
    </w:tbl>
    <w:p>
      <w:p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6、其他情况：(公司简介、技术力量、本制造商生产投标货物的经验等)</w:t>
      </w:r>
    </w:p>
    <w:p>
      <w:pPr>
        <w:autoSpaceDE w:val="0"/>
        <w:adjustRightInd w:val="0"/>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autoSpaceDE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兹证明上述声明是真实的、正确的，并提供了全部能提供的资料和数据，我们同意遵照贵方要求出示有关证明文件。</w:t>
      </w:r>
    </w:p>
    <w:p>
      <w:pPr>
        <w:autoSpaceDE w:val="0"/>
        <w:adjustRightInd w:val="0"/>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制造商名称：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（同时加盖制造商法人公章）</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lang w:bidi="ar"/>
        </w:rPr>
        <w:t>制造商</w:t>
      </w:r>
      <w:r>
        <w:rPr>
          <w:rFonts w:hint="eastAsia" w:ascii="宋体" w:hAnsi="宋体" w:cs="宋体"/>
          <w:color w:val="auto"/>
          <w:kern w:val="0"/>
          <w:szCs w:val="21"/>
          <w:highlight w:val="none"/>
          <w:lang w:bidi="ar"/>
        </w:rPr>
        <w:t>法定代表人或被授权人：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（打印名字，并签名或盖私章）</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签署人职务：</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kern w:val="0"/>
          <w:szCs w:val="21"/>
          <w:highlight w:val="none"/>
          <w:lang w:bidi="ar"/>
        </w:rPr>
        <w:t>传真：</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电话：</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网址：</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电子邮箱：</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联系地址：</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日期：</w:t>
      </w:r>
      <w:r>
        <w:rPr>
          <w:rFonts w:hint="eastAsia" w:ascii="宋体" w:hAnsi="宋体" w:cs="宋体"/>
          <w:color w:val="auto"/>
          <w:kern w:val="0"/>
          <w:szCs w:val="21"/>
          <w:highlight w:val="none"/>
          <w:u w:val="single"/>
          <w:lang w:bidi="ar"/>
        </w:rPr>
        <w:t xml:space="preserve">                                           </w:t>
      </w:r>
    </w:p>
    <w:p>
      <w:pPr>
        <w:autoSpaceDE w:val="0"/>
        <w:autoSpaceDN w:val="0"/>
        <w:adjustRightInd w:val="0"/>
        <w:spacing w:line="360" w:lineRule="auto"/>
        <w:jc w:val="center"/>
        <w:rPr>
          <w:rFonts w:ascii="宋体" w:hAnsi="宋体" w:cs="宋体"/>
          <w:b/>
          <w:bCs/>
          <w:color w:val="auto"/>
          <w:sz w:val="30"/>
          <w:szCs w:val="30"/>
          <w:highlight w:val="none"/>
        </w:rPr>
      </w:pPr>
      <w:r>
        <w:rPr>
          <w:rFonts w:ascii="宋体" w:hAnsi="宋体" w:cs="Times New Roman"/>
          <w:b/>
          <w:bCs/>
          <w:color w:val="auto"/>
          <w:sz w:val="30"/>
          <w:szCs w:val="30"/>
          <w:highlight w:val="none"/>
          <w:lang w:bidi="ar"/>
        </w:rPr>
        <w:br w:type="page"/>
      </w:r>
      <w:r>
        <w:rPr>
          <w:rFonts w:hint="eastAsia" w:ascii="宋体" w:hAnsi="宋体" w:cs="宋体"/>
          <w:b/>
          <w:bCs/>
          <w:color w:val="auto"/>
          <w:sz w:val="30"/>
          <w:szCs w:val="30"/>
          <w:highlight w:val="none"/>
          <w:lang w:bidi="ar"/>
        </w:rPr>
        <w:t>（</w:t>
      </w:r>
      <w:r>
        <w:rPr>
          <w:rFonts w:ascii="宋体" w:hAnsi="宋体" w:cs="Times New Roman"/>
          <w:b/>
          <w:bCs/>
          <w:color w:val="auto"/>
          <w:sz w:val="30"/>
          <w:szCs w:val="30"/>
          <w:highlight w:val="none"/>
          <w:lang w:bidi="ar"/>
        </w:rPr>
        <w:t>2</w:t>
      </w:r>
      <w:r>
        <w:rPr>
          <w:rFonts w:hint="eastAsia" w:ascii="宋体" w:hAnsi="宋体" w:cs="宋体"/>
          <w:b/>
          <w:bCs/>
          <w:color w:val="auto"/>
          <w:sz w:val="30"/>
          <w:szCs w:val="30"/>
          <w:highlight w:val="none"/>
          <w:lang w:bidi="ar"/>
        </w:rPr>
        <w:t>）独家授权销售及售后服务承诺函</w:t>
      </w:r>
    </w:p>
    <w:p>
      <w:pPr>
        <w:autoSpaceDE w:val="0"/>
        <w:adjustRightInd w:val="0"/>
        <w:spacing w:line="360" w:lineRule="auto"/>
        <w:ind w:firstLine="1054" w:firstLineChars="500"/>
        <w:jc w:val="center"/>
        <w:rPr>
          <w:rFonts w:ascii="宋体" w:hAnsi="宋体" w:cs="宋体"/>
          <w:b/>
          <w:color w:val="auto"/>
          <w:szCs w:val="21"/>
          <w:highlight w:val="none"/>
          <w:u w:val="single"/>
        </w:rPr>
      </w:pPr>
      <w:r>
        <w:rPr>
          <w:rFonts w:hint="eastAsia" w:ascii="宋体" w:hAnsi="宋体" w:cs="宋体"/>
          <w:b/>
          <w:color w:val="auto"/>
          <w:szCs w:val="21"/>
          <w:highlight w:val="none"/>
          <w:lang w:bidi="ar"/>
        </w:rPr>
        <w:t>（备注说明：</w:t>
      </w:r>
      <w:r>
        <w:rPr>
          <w:rFonts w:ascii="宋体" w:hAnsi="宋体" w:cs="宋体"/>
          <w:b/>
          <w:color w:val="auto"/>
          <w:szCs w:val="21"/>
          <w:highlight w:val="none"/>
          <w:lang w:bidi="ar"/>
        </w:rPr>
        <w:t>若投标人为经销商，必须同时提供制造商资格声明原件和投标产品制造商就本次投标出具的</w:t>
      </w:r>
      <w:r>
        <w:rPr>
          <w:rFonts w:hint="eastAsia" w:ascii="宋体" w:hAnsi="宋体" w:cs="宋体"/>
          <w:b/>
          <w:color w:val="auto"/>
          <w:szCs w:val="21"/>
          <w:highlight w:val="none"/>
          <w:lang w:bidi="ar"/>
        </w:rPr>
        <w:t>独家</w:t>
      </w:r>
      <w:r>
        <w:rPr>
          <w:rFonts w:ascii="宋体" w:hAnsi="宋体" w:cs="宋体"/>
          <w:b/>
          <w:color w:val="auto"/>
          <w:szCs w:val="21"/>
          <w:highlight w:val="none"/>
          <w:lang w:bidi="ar"/>
        </w:rPr>
        <w:t>授权销售及售后服务承诺函原件。</w:t>
      </w:r>
      <w:r>
        <w:rPr>
          <w:rFonts w:hint="eastAsia" w:ascii="宋体" w:hAnsi="宋体" w:cs="宋体"/>
          <w:b/>
          <w:color w:val="auto"/>
          <w:szCs w:val="21"/>
          <w:highlight w:val="none"/>
          <w:lang w:bidi="ar"/>
        </w:rPr>
        <w:t>）</w:t>
      </w:r>
    </w:p>
    <w:p>
      <w:pPr>
        <w:autoSpaceDE w:val="0"/>
        <w:adjustRightIn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致：东莞市众源环境投资有限公司</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我方</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投标产品制造商名称</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lang w:bidi="ar"/>
        </w:rPr>
        <w:t>是按</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国家名称</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lang w:bidi="ar"/>
        </w:rPr>
        <w:t>法律成立的一家公司，主要营业地址设在</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兹证明参加贵方</w:t>
      </w:r>
      <w:r>
        <w:rPr>
          <w:rFonts w:hint="eastAsia" w:ascii="宋体" w:hAnsi="宋体" w:cs="宋体"/>
          <w:color w:val="auto"/>
          <w:kern w:val="0"/>
          <w:szCs w:val="21"/>
          <w:highlight w:val="none"/>
          <w:lang w:eastAsia="zh-CN" w:bidi="ar"/>
        </w:rPr>
        <w:t>东莞市众源环境投资有限公司2025年污泥处理用聚丙烯酰胺采购项目</w:t>
      </w:r>
      <w:r>
        <w:rPr>
          <w:rFonts w:ascii="宋体" w:hAnsi="宋体" w:cs="宋体"/>
          <w:color w:val="auto"/>
          <w:kern w:val="0"/>
          <w:szCs w:val="21"/>
          <w:highlight w:val="none"/>
          <w:lang w:bidi="ar"/>
        </w:rPr>
        <w:t>的按</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国家名称</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lang w:bidi="ar"/>
        </w:rPr>
        <w:t>法律成立的、主要营业地址在</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下称“投标人”</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作为我方合法</w:t>
      </w:r>
      <w:r>
        <w:rPr>
          <w:rFonts w:hint="eastAsia" w:ascii="宋体" w:hAnsi="宋体" w:eastAsia="宋体" w:cs="宋体"/>
          <w:color w:val="auto"/>
          <w:szCs w:val="21"/>
          <w:highlight w:val="none"/>
        </w:rPr>
        <w:t>、唯一</w:t>
      </w:r>
      <w:r>
        <w:rPr>
          <w:rFonts w:ascii="宋体" w:hAnsi="宋体" w:cs="宋体"/>
          <w:color w:val="auto"/>
          <w:kern w:val="0"/>
          <w:szCs w:val="21"/>
          <w:highlight w:val="none"/>
          <w:lang w:bidi="ar"/>
        </w:rPr>
        <w:t>的授权参与本次投标的经销商</w:t>
      </w:r>
      <w:r>
        <w:rPr>
          <w:rFonts w:hint="eastAsia" w:ascii="宋体" w:hAnsi="宋体" w:cs="宋体"/>
          <w:color w:val="auto"/>
          <w:kern w:val="0"/>
          <w:szCs w:val="21"/>
          <w:highlight w:val="none"/>
          <w:lang w:bidi="ar"/>
        </w:rPr>
        <w:t>：</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1、我方确认，投标人就</w:t>
      </w:r>
      <w:r>
        <w:rPr>
          <w:rFonts w:hint="eastAsia" w:ascii="宋体" w:hAnsi="宋体" w:cs="宋体"/>
          <w:color w:val="auto"/>
          <w:kern w:val="0"/>
          <w:szCs w:val="21"/>
          <w:highlight w:val="none"/>
          <w:lang w:eastAsia="zh-CN" w:bidi="ar"/>
        </w:rPr>
        <w:t>东莞市众源环境投资有限公司2025年污泥处理用聚丙烯酰胺采购项目</w:t>
      </w:r>
      <w:r>
        <w:rPr>
          <w:rFonts w:ascii="宋体" w:hAnsi="宋体" w:cs="宋体"/>
          <w:color w:val="auto"/>
          <w:kern w:val="0"/>
          <w:szCs w:val="21"/>
          <w:highlight w:val="none"/>
          <w:lang w:bidi="ar"/>
        </w:rPr>
        <w:t>提供货物时附带的出厂质量标准、售后服务承诺等合法有效，并对我方具有约束力。</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2、质保期期间，质保服务包括但不限于对货物出现不符合招标文件要求或投标文件承诺或我方出厂质量标准的、有问题货物按招标文件要求及时进行免费更换。</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3、我方保证</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我方提供的产品既非试验产品也非积压产品</w:t>
      </w:r>
      <w:r>
        <w:rPr>
          <w:rFonts w:hint="eastAsia" w:ascii="宋体" w:hAnsi="宋体" w:cs="宋体"/>
          <w:color w:val="auto"/>
          <w:kern w:val="0"/>
          <w:szCs w:val="21"/>
          <w:highlight w:val="none"/>
          <w:lang w:bidi="ar"/>
        </w:rPr>
        <w:t>。</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4、我方承诺将及时提醒贵方关注</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相关产品的生产、供货、售后服务以及性能等方面的重大</w:t>
      </w:r>
      <w:r>
        <w:rPr>
          <w:rFonts w:hint="eastAsia" w:ascii="宋体" w:hAnsi="宋体" w:cs="宋体"/>
          <w:color w:val="auto"/>
          <w:kern w:val="0"/>
          <w:szCs w:val="21"/>
          <w:highlight w:val="none"/>
          <w:lang w:bidi="ar"/>
        </w:rPr>
        <w:t>变更</w:t>
      </w:r>
      <w:r>
        <w:rPr>
          <w:rFonts w:ascii="宋体" w:hAnsi="宋体" w:cs="宋体"/>
          <w:color w:val="auto"/>
          <w:kern w:val="0"/>
          <w:szCs w:val="21"/>
          <w:highlight w:val="none"/>
          <w:lang w:bidi="ar"/>
        </w:rPr>
        <w:t>。</w:t>
      </w:r>
    </w:p>
    <w:p>
      <w:pPr>
        <w:autoSpaceDE w:val="0"/>
        <w:adjustRightInd w:val="0"/>
        <w:spacing w:line="360" w:lineRule="auto"/>
        <w:ind w:firstLine="420" w:firstLineChars="200"/>
        <w:jc w:val="left"/>
        <w:rPr>
          <w:rFonts w:ascii="宋体" w:hAnsi="宋体" w:cs="宋体"/>
          <w:color w:val="auto"/>
          <w:kern w:val="0"/>
          <w:szCs w:val="21"/>
          <w:highlight w:val="none"/>
          <w:lang w:bidi="ar"/>
        </w:rPr>
      </w:pPr>
      <w:r>
        <w:rPr>
          <w:rFonts w:ascii="宋体" w:hAnsi="宋体" w:cs="宋体"/>
          <w:color w:val="auto"/>
          <w:kern w:val="0"/>
          <w:szCs w:val="21"/>
          <w:highlight w:val="none"/>
          <w:lang w:bidi="ar"/>
        </w:rPr>
        <w:t>5、本授权函不得进行二次授权或转授权，否则无效。</w:t>
      </w:r>
    </w:p>
    <w:p>
      <w:pPr>
        <w:autoSpaceDE w:val="0"/>
        <w:adjustRightInd w:val="0"/>
        <w:spacing w:line="360" w:lineRule="auto"/>
        <w:ind w:firstLine="420" w:firstLineChars="200"/>
        <w:jc w:val="left"/>
        <w:rPr>
          <w:rFonts w:ascii="宋体" w:hAnsi="宋体" w:cs="宋体"/>
          <w:color w:val="auto"/>
          <w:kern w:val="0"/>
          <w:szCs w:val="21"/>
          <w:highlight w:val="none"/>
          <w:lang w:bidi="ar"/>
        </w:rPr>
      </w:pP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投标产品制造商名称：</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（同时加盖制造商法人公章）</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lang w:bidi="ar"/>
        </w:rPr>
        <w:t>制造商</w:t>
      </w:r>
      <w:r>
        <w:rPr>
          <w:rFonts w:hint="eastAsia" w:ascii="宋体" w:hAnsi="宋体" w:cs="宋体"/>
          <w:color w:val="auto"/>
          <w:kern w:val="0"/>
          <w:szCs w:val="21"/>
          <w:highlight w:val="none"/>
          <w:lang w:bidi="ar"/>
        </w:rPr>
        <w:t>法定代表人或被授权人：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（打印名字，并签名或盖私章）</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签署人职务：</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kern w:val="0"/>
          <w:szCs w:val="21"/>
          <w:highlight w:val="none"/>
          <w:lang w:bidi="ar"/>
        </w:rPr>
        <w:t>传真：</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电话：</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网址：</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电子邮箱：</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kern w:val="0"/>
          <w:szCs w:val="21"/>
          <w:highlight w:val="none"/>
          <w:lang w:bidi="ar"/>
        </w:rPr>
        <w:t>联系地址：</w:t>
      </w:r>
      <w:r>
        <w:rPr>
          <w:rFonts w:hint="eastAsia" w:ascii="宋体" w:hAnsi="宋体" w:cs="宋体"/>
          <w:color w:val="auto"/>
          <w:kern w:val="0"/>
          <w:szCs w:val="21"/>
          <w:highlight w:val="none"/>
          <w:u w:val="single"/>
          <w:lang w:bidi="ar"/>
        </w:rPr>
        <w:t xml:space="preserve">                                       </w:t>
      </w:r>
    </w:p>
    <w:p>
      <w:pPr>
        <w:autoSpaceDE w:val="0"/>
        <w:adjustRightInd w:val="0"/>
        <w:snapToGrid w:val="0"/>
        <w:spacing w:line="360" w:lineRule="auto"/>
        <w:ind w:firstLine="525" w:firstLineChars="250"/>
        <w:rPr>
          <w:rFonts w:ascii="宋体" w:hAnsi="宋体" w:cs="宋体"/>
          <w:b/>
          <w:color w:val="auto"/>
          <w:szCs w:val="21"/>
          <w:highlight w:val="none"/>
        </w:rPr>
      </w:pPr>
      <w:r>
        <w:rPr>
          <w:rFonts w:hint="eastAsia" w:ascii="宋体" w:hAnsi="宋体" w:cs="宋体"/>
          <w:color w:val="auto"/>
          <w:kern w:val="0"/>
          <w:szCs w:val="21"/>
          <w:highlight w:val="none"/>
          <w:lang w:bidi="ar"/>
        </w:rPr>
        <w:t>日期：</w:t>
      </w:r>
      <w:r>
        <w:rPr>
          <w:rFonts w:hint="eastAsia" w:ascii="宋体" w:hAnsi="宋体" w:cs="宋体"/>
          <w:color w:val="auto"/>
          <w:kern w:val="0"/>
          <w:szCs w:val="21"/>
          <w:highlight w:val="none"/>
          <w:u w:val="single"/>
          <w:lang w:bidi="ar"/>
        </w:rPr>
        <w:t xml:space="preserve">                                           </w:t>
      </w:r>
    </w:p>
    <w:p>
      <w:pPr>
        <w:autoSpaceDE w:val="0"/>
        <w:autoSpaceDN w:val="0"/>
        <w:adjustRightInd w:val="0"/>
        <w:snapToGrid w:val="0"/>
        <w:spacing w:before="120" w:beforeLines="50" w:after="120" w:afterLines="50" w:line="360" w:lineRule="auto"/>
        <w:ind w:firstLine="602" w:firstLineChars="200"/>
        <w:jc w:val="left"/>
        <w:rPr>
          <w:rFonts w:ascii="宋体" w:hAnsi="宋体" w:cs="宋体"/>
          <w:b/>
          <w:color w:val="auto"/>
          <w:sz w:val="30"/>
          <w:szCs w:val="30"/>
          <w:highlight w:val="none"/>
        </w:rPr>
      </w:pPr>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bookmarkStart w:id="570" w:name="_Toc473"/>
      <w:bookmarkStart w:id="571" w:name="_Toc173684936"/>
    </w:p>
    <w:p>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5.5 投标产品制造商产品生产项目已取得的生态环境主管部门环境影响评价文件（生产产品包含投标产品）的批复复印件</w:t>
      </w:r>
      <w:bookmarkEnd w:id="570"/>
      <w:bookmarkEnd w:id="571"/>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bookmarkStart w:id="572" w:name="_Toc173684937"/>
      <w:bookmarkStart w:id="573" w:name="_Toc13705"/>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p>
    <w:p>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5.6 投标产品制造商产品生产项目已取得生态环境主管部门的环保验收批复文件复印件，或者该项目环境保护设施自主验收合格证明材料</w:t>
      </w:r>
      <w:bookmarkEnd w:id="572"/>
      <w:bookmarkEnd w:id="573"/>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bookmarkStart w:id="574" w:name="_Toc173684938"/>
      <w:bookmarkStart w:id="575" w:name="_Toc24752"/>
    </w:p>
    <w:p>
      <w:pPr>
        <w:tabs>
          <w:tab w:val="left" w:pos="567"/>
        </w:tabs>
        <w:autoSpaceDE w:val="0"/>
        <w:autoSpaceDN w:val="0"/>
        <w:adjustRightInd w:val="0"/>
        <w:spacing w:line="360" w:lineRule="auto"/>
        <w:jc w:val="left"/>
        <w:outlineLvl w:val="2"/>
        <w:rPr>
          <w:rFonts w:hint="eastAsia" w:ascii="宋体" w:hAnsi="宋体" w:cs="宋体"/>
          <w:b/>
          <w:color w:val="auto"/>
          <w:kern w:val="0"/>
          <w:sz w:val="30"/>
          <w:szCs w:val="30"/>
          <w:highlight w:val="none"/>
          <w:lang w:val="en-US" w:eastAsia="zh-CN"/>
        </w:rPr>
      </w:pPr>
    </w:p>
    <w:p>
      <w:pPr>
        <w:rPr>
          <w:rFonts w:hint="eastAsia" w:ascii="宋体" w:hAnsi="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br w:type="page"/>
      </w:r>
    </w:p>
    <w:p>
      <w:pPr>
        <w:tabs>
          <w:tab w:val="left" w:pos="567"/>
        </w:tabs>
        <w:autoSpaceDE w:val="0"/>
        <w:autoSpaceDN w:val="0"/>
        <w:adjustRightInd w:val="0"/>
        <w:spacing w:line="360" w:lineRule="auto"/>
        <w:jc w:val="left"/>
        <w:outlineLvl w:val="2"/>
        <w:rPr>
          <w:rFonts w:hAnsi="宋体"/>
          <w:b/>
          <w:color w:val="auto"/>
          <w:sz w:val="30"/>
          <w:szCs w:val="30"/>
          <w:highlight w:val="none"/>
          <w:lang w:val="zh-CN"/>
        </w:rPr>
      </w:pPr>
      <w:r>
        <w:rPr>
          <w:rFonts w:hint="eastAsia" w:ascii="宋体" w:hAnsi="宋体" w:cs="宋体"/>
          <w:b/>
          <w:color w:val="auto"/>
          <w:kern w:val="0"/>
          <w:sz w:val="30"/>
          <w:szCs w:val="30"/>
          <w:highlight w:val="none"/>
          <w:lang w:val="en-US" w:eastAsia="zh-CN"/>
        </w:rPr>
        <w:t>5.7 资格</w:t>
      </w:r>
      <w:r>
        <w:rPr>
          <w:rFonts w:hint="eastAsia" w:hAnsi="宋体"/>
          <w:b/>
          <w:bCs/>
          <w:color w:val="auto"/>
          <w:kern w:val="2"/>
          <w:sz w:val="32"/>
          <w:szCs w:val="32"/>
          <w:highlight w:val="none"/>
        </w:rPr>
        <w:t>业绩</w:t>
      </w:r>
      <w:r>
        <w:rPr>
          <w:rFonts w:hint="eastAsia" w:hAnsi="宋体"/>
          <w:b/>
          <w:bCs/>
          <w:color w:val="auto"/>
          <w:sz w:val="32"/>
          <w:szCs w:val="32"/>
          <w:highlight w:val="none"/>
        </w:rPr>
        <w:t>【</w:t>
      </w:r>
      <w:r>
        <w:rPr>
          <w:rFonts w:hint="eastAsia" w:ascii="宋体" w:hAnsi="宋体" w:eastAsia="宋体" w:cs="宋体"/>
          <w:b/>
          <w:bCs/>
          <w:color w:val="auto"/>
          <w:sz w:val="32"/>
          <w:szCs w:val="32"/>
          <w:highlight w:val="none"/>
        </w:rPr>
        <w:t>投标人自2022年1月1日以来至少具有一份投标品牌阳离子聚丙烯酰胺供货业绩</w:t>
      </w:r>
      <w:r>
        <w:rPr>
          <w:rFonts w:hint="eastAsia" w:ascii="宋体" w:hAnsi="宋体" w:cs="宋体"/>
          <w:b/>
          <w:bCs/>
          <w:color w:val="auto"/>
          <w:sz w:val="32"/>
          <w:szCs w:val="32"/>
          <w:highlight w:val="none"/>
        </w:rPr>
        <w:t>（合同签订日期为2022年1月1日或以后）</w:t>
      </w:r>
      <w:bookmarkEnd w:id="562"/>
      <w:bookmarkEnd w:id="563"/>
      <w:bookmarkEnd w:id="574"/>
      <w:r>
        <w:rPr>
          <w:rFonts w:hint="eastAsia" w:hAnsi="宋体"/>
          <w:b/>
          <w:bCs/>
          <w:color w:val="auto"/>
          <w:sz w:val="32"/>
          <w:szCs w:val="32"/>
          <w:highlight w:val="none"/>
        </w:rPr>
        <w:t>】</w:t>
      </w:r>
      <w:bookmarkEnd w:id="575"/>
    </w:p>
    <w:tbl>
      <w:tblPr>
        <w:tblStyle w:val="38"/>
        <w:tblW w:w="491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6"/>
        <w:gridCol w:w="1749"/>
        <w:gridCol w:w="1500"/>
        <w:gridCol w:w="1240"/>
        <w:gridCol w:w="1050"/>
        <w:gridCol w:w="832"/>
        <w:gridCol w:w="1310"/>
        <w:gridCol w:w="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8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5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71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color w:val="auto"/>
                <w:kern w:val="0"/>
                <w:szCs w:val="21"/>
                <w:highlight w:val="none"/>
              </w:rPr>
            </w:pPr>
          </w:p>
        </w:tc>
      </w:tr>
    </w:tbl>
    <w:p>
      <w:pPr>
        <w:spacing w:line="360" w:lineRule="auto"/>
        <w:rPr>
          <w:rFonts w:ascii="宋体" w:hAnsi="宋体" w:cs="宋体"/>
          <w:color w:val="auto"/>
          <w:szCs w:val="21"/>
          <w:highlight w:val="none"/>
          <w:lang w:val="zh-CN"/>
        </w:rPr>
      </w:pPr>
    </w:p>
    <w:p>
      <w:pPr>
        <w:spacing w:line="360" w:lineRule="auto"/>
        <w:rPr>
          <w:rFonts w:ascii="宋体" w:hAnsi="宋体" w:cs="宋体"/>
          <w:color w:val="auto"/>
          <w:szCs w:val="21"/>
          <w:highlight w:val="none"/>
          <w:lang w:val="zh-CN"/>
        </w:rPr>
      </w:pPr>
      <w:r>
        <w:rPr>
          <w:rFonts w:hint="eastAsia" w:ascii="宋体" w:hAnsi="宋体" w:cs="宋体"/>
          <w:b/>
          <w:bCs/>
          <w:color w:val="auto"/>
          <w:szCs w:val="21"/>
          <w:highlight w:val="none"/>
        </w:rPr>
        <w:t>资格业绩证明材料提交要求</w:t>
      </w:r>
      <w:r>
        <w:rPr>
          <w:rFonts w:hint="eastAsia" w:ascii="宋体" w:hAnsi="宋体" w:cs="宋体"/>
          <w:b/>
          <w:bCs/>
          <w:color w:val="auto"/>
          <w:szCs w:val="21"/>
          <w:highlight w:val="none"/>
          <w:lang w:val="zh-CN"/>
        </w:rPr>
        <w:t>：</w:t>
      </w:r>
    </w:p>
    <w:p>
      <w:pPr>
        <w:spacing w:line="360" w:lineRule="auto"/>
        <w:ind w:left="420" w:hanging="420" w:hanging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作为投标人资格条件证明的业绩放置在此处；</w:t>
      </w:r>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）业绩</w:t>
      </w:r>
      <w:r>
        <w:rPr>
          <w:rFonts w:hint="eastAsia" w:ascii="宋体" w:hAnsi="宋体" w:cs="宋体"/>
          <w:color w:val="auto"/>
          <w:szCs w:val="21"/>
          <w:highlight w:val="none"/>
        </w:rPr>
        <w:t>须附合同复印件；</w:t>
      </w:r>
    </w:p>
    <w:p>
      <w:pPr>
        <w:spacing w:line="360" w:lineRule="auto"/>
        <w:ind w:left="420" w:hanging="420" w:hangingChars="20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）若合同法反映</w:t>
      </w:r>
      <w:r>
        <w:rPr>
          <w:rFonts w:hint="eastAsia" w:ascii="宋体" w:hAnsi="宋体" w:cs="宋体"/>
          <w:color w:val="auto"/>
          <w:szCs w:val="21"/>
          <w:highlight w:val="none"/>
        </w:rPr>
        <w:t>资格业绩</w:t>
      </w:r>
      <w:r>
        <w:rPr>
          <w:rFonts w:hint="eastAsia" w:ascii="宋体" w:hAnsi="宋体" w:cs="宋体"/>
          <w:color w:val="auto"/>
          <w:szCs w:val="21"/>
          <w:highlight w:val="none"/>
          <w:lang w:val="zh-CN"/>
        </w:rPr>
        <w:t>条件</w:t>
      </w:r>
      <w:r>
        <w:rPr>
          <w:rFonts w:hint="eastAsia" w:ascii="宋体" w:hAnsi="宋体" w:eastAsia="宋体" w:cs="宋体"/>
          <w:color w:val="auto"/>
          <w:szCs w:val="21"/>
          <w:highlight w:val="none"/>
          <w:lang w:val="zh-CN"/>
        </w:rPr>
        <w:t>（卖方为投标人、合同签订日期为2022年1月1日或以后、合同标的必须包含投标品牌</w:t>
      </w:r>
      <w:r>
        <w:rPr>
          <w:rFonts w:hint="eastAsia" w:ascii="宋体" w:hAnsi="宋体" w:cs="宋体"/>
          <w:color w:val="auto"/>
          <w:szCs w:val="21"/>
          <w:highlight w:val="none"/>
          <w:lang w:val="zh-CN"/>
        </w:rPr>
        <w:t>阳离子聚丙烯酰胺</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zh-CN"/>
        </w:rPr>
        <w:t>，还需提供</w:t>
      </w:r>
      <w:r>
        <w:rPr>
          <w:rFonts w:hint="eastAsia" w:ascii="宋体" w:hAnsi="宋体" w:cs="宋体"/>
          <w:color w:val="auto"/>
          <w:szCs w:val="21"/>
          <w:highlight w:val="none"/>
        </w:rPr>
        <w:t>合同产品购买方</w:t>
      </w:r>
      <w:r>
        <w:rPr>
          <w:rFonts w:hint="eastAsia" w:ascii="宋体" w:hAnsi="宋体" w:cs="宋体"/>
          <w:color w:val="auto"/>
          <w:szCs w:val="21"/>
          <w:highlight w:val="none"/>
          <w:lang w:val="zh-CN"/>
        </w:rPr>
        <w:t>出具的书面补充情况说明文件</w:t>
      </w:r>
      <w:r>
        <w:rPr>
          <w:rFonts w:hint="eastAsia" w:ascii="宋体" w:hAnsi="宋体" w:cs="宋体"/>
          <w:color w:val="auto"/>
          <w:szCs w:val="21"/>
          <w:highlight w:val="none"/>
        </w:rPr>
        <w:t>复印件</w:t>
      </w:r>
      <w:r>
        <w:rPr>
          <w:rFonts w:hint="eastAsia" w:ascii="宋体" w:hAnsi="宋体" w:cs="宋体"/>
          <w:color w:val="auto"/>
          <w:szCs w:val="21"/>
          <w:highlight w:val="none"/>
          <w:lang w:val="zh-CN"/>
        </w:rPr>
        <w:t>作为辅助证明（</w:t>
      </w:r>
      <w:r>
        <w:rPr>
          <w:rFonts w:hint="eastAsia" w:ascii="宋体" w:hAnsi="宋体" w:eastAsia="宋体" w:cs="宋体"/>
          <w:color w:val="auto"/>
          <w:szCs w:val="21"/>
          <w:highlight w:val="none"/>
          <w:lang w:val="zh-CN"/>
        </w:rPr>
        <w:t>补充说明文件复印件能显示购买方公章</w:t>
      </w:r>
      <w:r>
        <w:rPr>
          <w:rFonts w:hint="eastAsia" w:ascii="宋体" w:hAnsi="宋体" w:cs="宋体"/>
          <w:color w:val="auto"/>
          <w:szCs w:val="21"/>
          <w:highlight w:val="none"/>
          <w:lang w:val="zh-CN"/>
        </w:rPr>
        <w:t>）；</w:t>
      </w:r>
    </w:p>
    <w:p>
      <w:pPr>
        <w:spacing w:line="360" w:lineRule="auto"/>
        <w:ind w:left="420" w:hanging="420" w:hangingChars="20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cs="宋体"/>
          <w:b/>
          <w:color w:val="auto"/>
          <w:szCs w:val="21"/>
          <w:highlight w:val="none"/>
          <w:u w:val="single"/>
          <w:lang w:val="zh-CN"/>
        </w:rPr>
        <w:t>未按上述要求提供证明材料的</w:t>
      </w:r>
      <w:r>
        <w:rPr>
          <w:rFonts w:hint="eastAsia" w:ascii="宋体" w:hAnsi="宋体" w:cs="宋体"/>
          <w:b/>
          <w:color w:val="auto"/>
          <w:szCs w:val="21"/>
          <w:highlight w:val="none"/>
          <w:u w:val="single"/>
        </w:rPr>
        <w:t>资格</w:t>
      </w:r>
      <w:r>
        <w:rPr>
          <w:rFonts w:hint="eastAsia" w:ascii="宋体" w:hAnsi="宋体" w:cs="宋体"/>
          <w:b/>
          <w:color w:val="auto"/>
          <w:szCs w:val="21"/>
          <w:highlight w:val="none"/>
          <w:u w:val="single"/>
          <w:lang w:val="zh-CN"/>
        </w:rPr>
        <w:t>业绩，或所附材料无法证明符合资格要求的业绩，按无效投标文件处理</w:t>
      </w:r>
      <w:r>
        <w:rPr>
          <w:rFonts w:hint="eastAsia" w:ascii="宋体" w:hAnsi="宋体" w:cs="宋体"/>
          <w:b/>
          <w:color w:val="auto"/>
          <w:szCs w:val="21"/>
          <w:highlight w:val="none"/>
          <w:lang w:val="zh-CN"/>
        </w:rPr>
        <w:t>。</w:t>
      </w:r>
    </w:p>
    <w:p>
      <w:pPr>
        <w:spacing w:line="360" w:lineRule="auto"/>
        <w:rPr>
          <w:rFonts w:ascii="宋体" w:hAnsi="宋体" w:cs="宋体"/>
          <w:color w:val="auto"/>
          <w:szCs w:val="21"/>
          <w:highlight w:val="none"/>
          <w:lang w:val="zh-CN"/>
        </w:rPr>
      </w:pPr>
    </w:p>
    <w:p>
      <w:pPr>
        <w:rPr>
          <w:rFonts w:ascii="宋体" w:hAnsi="宋体" w:cs="宋体"/>
          <w:b/>
          <w:color w:val="auto"/>
          <w:kern w:val="0"/>
          <w:sz w:val="30"/>
          <w:szCs w:val="30"/>
          <w:highlight w:val="none"/>
        </w:rPr>
      </w:pPr>
      <w:r>
        <w:rPr>
          <w:rFonts w:ascii="宋体" w:hAnsi="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cs="Times New Roman"/>
          <w:b/>
          <w:bCs/>
          <w:color w:val="auto"/>
          <w:sz w:val="32"/>
          <w:szCs w:val="32"/>
          <w:highlight w:val="none"/>
          <w:lang w:val="zh-CN"/>
        </w:rPr>
      </w:pPr>
      <w:bookmarkStart w:id="576" w:name="_Toc8979"/>
      <w:bookmarkStart w:id="577" w:name="_Toc24438"/>
      <w:bookmarkStart w:id="578" w:name="_Toc31879"/>
      <w:bookmarkStart w:id="579" w:name="_Toc173684940"/>
      <w:r>
        <w:rPr>
          <w:rFonts w:hint="eastAsia" w:ascii="宋体" w:hAnsi="宋体" w:cs="宋体"/>
          <w:b/>
          <w:color w:val="auto"/>
          <w:kern w:val="0"/>
          <w:sz w:val="30"/>
          <w:szCs w:val="30"/>
          <w:highlight w:val="none"/>
          <w:lang w:val="en-US" w:eastAsia="zh-CN"/>
        </w:rPr>
        <w:t>5</w:t>
      </w:r>
      <w:r>
        <w:rPr>
          <w:rFonts w:hint="eastAsia" w:ascii="宋体" w:hAnsi="宋体" w:cs="宋体"/>
          <w:b/>
          <w:color w:val="auto"/>
          <w:kern w:val="0"/>
          <w:sz w:val="30"/>
          <w:szCs w:val="30"/>
          <w:highlight w:val="none"/>
        </w:rPr>
        <w:t>.8 最近3年投标人牵涉的其他（失信和违法）处罚说明格式</w:t>
      </w:r>
      <w:bookmarkEnd w:id="564"/>
      <w:bookmarkEnd w:id="565"/>
      <w:bookmarkEnd w:id="566"/>
      <w:bookmarkEnd w:id="567"/>
      <w:bookmarkEnd w:id="568"/>
      <w:bookmarkEnd w:id="576"/>
      <w:bookmarkEnd w:id="577"/>
      <w:bookmarkEnd w:id="578"/>
      <w:bookmarkEnd w:id="579"/>
    </w:p>
    <w:p>
      <w:pPr>
        <w:autoSpaceDE w:val="0"/>
        <w:autoSpaceDN w:val="0"/>
        <w:adjustRightInd w:val="0"/>
        <w:spacing w:line="360" w:lineRule="auto"/>
        <w:jc w:val="center"/>
        <w:rPr>
          <w:rFonts w:ascii="宋体" w:hAnsi="宋体" w:cs="宋体"/>
          <w:color w:val="auto"/>
          <w:kern w:val="0"/>
          <w:sz w:val="24"/>
          <w:szCs w:val="24"/>
          <w:highlight w:val="none"/>
        </w:rPr>
      </w:pPr>
      <w:r>
        <w:rPr>
          <w:rFonts w:hint="eastAsia" w:ascii="宋体" w:hAnsi="宋体" w:cs="宋体"/>
          <w:b/>
          <w:color w:val="auto"/>
          <w:kern w:val="0"/>
          <w:sz w:val="30"/>
          <w:szCs w:val="30"/>
          <w:highlight w:val="none"/>
        </w:rPr>
        <w:t>最近3年投标人牵涉的其他（失信和违法）</w:t>
      </w:r>
      <w:r>
        <w:rPr>
          <w:rFonts w:hint="eastAsia" w:ascii="宋体" w:hAnsi="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是否被认定为政府采购严重违法失信行为记录名单</w:t>
            </w:r>
          </w:p>
        </w:tc>
        <w:tc>
          <w:tcPr>
            <w:tcW w:w="1417"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bl>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cs="宋体"/>
          <w:color w:val="auto"/>
          <w:szCs w:val="21"/>
          <w:highlight w:val="none"/>
          <w:lang w:val="zh-CN"/>
        </w:rPr>
        <w:t>。</w:t>
      </w:r>
    </w:p>
    <w:p>
      <w:pPr>
        <w:autoSpaceDE w:val="0"/>
        <w:autoSpaceDN w:val="0"/>
        <w:adjustRightInd w:val="0"/>
        <w:ind w:right="-23" w:rightChars="-11"/>
        <w:jc w:val="left"/>
        <w:rPr>
          <w:rFonts w:ascii="宋体" w:hAnsi="宋体" w:cs="Times New Roman"/>
          <w:b/>
          <w:bCs/>
          <w:color w:val="auto"/>
          <w:kern w:val="0"/>
          <w:szCs w:val="21"/>
          <w:highlight w:val="none"/>
          <w:lang w:val="zh-CN"/>
        </w:rPr>
      </w:pPr>
    </w:p>
    <w:p>
      <w:pPr>
        <w:autoSpaceDE w:val="0"/>
        <w:autoSpaceDN w:val="0"/>
        <w:adjustRightInd w:val="0"/>
        <w:spacing w:line="360" w:lineRule="auto"/>
        <w:jc w:val="center"/>
        <w:rPr>
          <w:rFonts w:ascii="宋体" w:hAnsi="宋体" w:cs="宋体"/>
          <w:color w:val="auto"/>
          <w:kern w:val="0"/>
          <w:sz w:val="24"/>
          <w:szCs w:val="24"/>
          <w:highlight w:val="none"/>
        </w:rPr>
      </w:pPr>
    </w:p>
    <w:p>
      <w:pPr>
        <w:spacing w:line="360" w:lineRule="auto"/>
        <w:ind w:firstLine="494" w:firstLineChars="206"/>
        <w:rPr>
          <w:rFonts w:ascii="宋体" w:hAnsi="宋体" w:cs="宋体"/>
          <w:color w:val="auto"/>
          <w:kern w:val="0"/>
          <w:sz w:val="24"/>
          <w:szCs w:val="24"/>
          <w:highlight w:val="none"/>
        </w:rPr>
      </w:pPr>
    </w:p>
    <w:p>
      <w:pPr>
        <w:spacing w:line="360" w:lineRule="auto"/>
        <w:ind w:firstLine="494" w:firstLineChars="206"/>
        <w:rPr>
          <w:rFonts w:ascii="宋体" w:hAnsi="宋体" w:cs="宋体"/>
          <w:color w:val="auto"/>
          <w:kern w:val="0"/>
          <w:sz w:val="24"/>
          <w:szCs w:val="24"/>
          <w:highlight w:val="none"/>
        </w:rPr>
      </w:pPr>
    </w:p>
    <w:p>
      <w:pPr>
        <w:spacing w:line="360" w:lineRule="auto"/>
        <w:ind w:firstLine="494" w:firstLineChars="206"/>
        <w:rPr>
          <w:rFonts w:ascii="宋体" w:hAnsi="宋体" w:cs="宋体"/>
          <w:color w:val="auto"/>
          <w:kern w:val="0"/>
          <w:sz w:val="24"/>
          <w:szCs w:val="24"/>
          <w:highlight w:val="none"/>
        </w:rPr>
      </w:pPr>
    </w:p>
    <w:p>
      <w:pPr>
        <w:spacing w:line="360" w:lineRule="auto"/>
        <w:ind w:right="368" w:rightChars="175" w:firstLine="5460" w:firstLineChars="2600"/>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ascii="宋体" w:hAnsi="宋体" w:cs="宋体"/>
          <w:color w:val="auto"/>
          <w:szCs w:val="24"/>
          <w:highlight w:val="none"/>
          <w:lang w:val="zh-CN"/>
        </w:rPr>
        <w:t xml:space="preserve">            </w:t>
      </w:r>
      <w:r>
        <w:rPr>
          <w:rFonts w:hint="eastAsia" w:ascii="宋体" w:hAnsi="宋体" w:cs="宋体"/>
          <w:color w:val="auto"/>
          <w:szCs w:val="24"/>
          <w:highlight w:val="none"/>
          <w:lang w:val="zh-CN"/>
        </w:rPr>
        <w:t>日  期：   年  月  日</w:t>
      </w:r>
    </w:p>
    <w:p>
      <w:pPr>
        <w:rPr>
          <w:rFonts w:ascii="宋体" w:hAnsi="宋体" w:cs="宋体"/>
          <w:color w:val="auto"/>
          <w:szCs w:val="24"/>
          <w:highlight w:val="none"/>
          <w:lang w:val="zh-CN"/>
        </w:rPr>
      </w:pPr>
      <w:r>
        <w:rPr>
          <w:rFonts w:ascii="宋体" w:hAnsi="宋体" w:cs="宋体"/>
          <w:color w:val="auto"/>
          <w:szCs w:val="24"/>
          <w:highlight w:val="none"/>
          <w:lang w:val="zh-CN"/>
        </w:rPr>
        <w:br w:type="page"/>
      </w:r>
      <w:bookmarkStart w:id="580" w:name="_Toc486167714"/>
      <w:bookmarkStart w:id="581" w:name="_Toc104991881"/>
      <w:bookmarkStart w:id="582" w:name="_Toc1977731"/>
      <w:bookmarkStart w:id="583" w:name="_Toc2031_WPSOffice_Level2"/>
      <w:bookmarkStart w:id="584" w:name="_Toc94107215"/>
      <w:bookmarkStart w:id="585" w:name="_Toc102860079"/>
      <w:bookmarkStart w:id="586" w:name="_Toc533708126"/>
      <w:bookmarkStart w:id="587" w:name="_Toc142508374"/>
      <w:bookmarkStart w:id="588" w:name="_Toc13237"/>
      <w:bookmarkStart w:id="589" w:name="_Toc102860423"/>
      <w:bookmarkStart w:id="590" w:name="_Toc140596934"/>
    </w:p>
    <w:p>
      <w:pPr>
        <w:tabs>
          <w:tab w:val="left" w:pos="567"/>
        </w:tabs>
        <w:autoSpaceDE w:val="0"/>
        <w:autoSpaceDN w:val="0"/>
        <w:adjustRightInd w:val="0"/>
        <w:spacing w:line="360" w:lineRule="auto"/>
        <w:jc w:val="left"/>
        <w:outlineLvl w:val="2"/>
        <w:rPr>
          <w:rFonts w:ascii="宋体" w:hAnsi="宋体" w:cs="Times New Roman"/>
          <w:color w:val="auto"/>
          <w:kern w:val="0"/>
          <w:szCs w:val="21"/>
          <w:highlight w:val="none"/>
          <w:u w:val="single"/>
        </w:rPr>
      </w:pPr>
      <w:bookmarkStart w:id="591" w:name="_Toc173684941"/>
      <w:bookmarkStart w:id="592" w:name="_Toc3160"/>
      <w:bookmarkStart w:id="593" w:name="_Toc11148"/>
      <w:r>
        <w:rPr>
          <w:rFonts w:hint="eastAsia" w:ascii="宋体" w:hAnsi="宋体" w:cs="宋体"/>
          <w:b/>
          <w:color w:val="auto"/>
          <w:sz w:val="32"/>
          <w:szCs w:val="32"/>
          <w:highlight w:val="none"/>
          <w:lang w:val="en-US" w:eastAsia="zh-CN"/>
        </w:rPr>
        <w:t>六</w:t>
      </w:r>
      <w:r>
        <w:rPr>
          <w:rFonts w:hint="eastAsia" w:ascii="宋体" w:hAnsi="宋体" w:cs="宋体"/>
          <w:b/>
          <w:color w:val="auto"/>
          <w:kern w:val="0"/>
          <w:sz w:val="32"/>
          <w:szCs w:val="32"/>
          <w:highlight w:val="none"/>
        </w:rPr>
        <w:t>、投标人基本情况一览表</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autoSpaceDE w:val="0"/>
        <w:autoSpaceDN w:val="0"/>
        <w:adjustRightInd w:val="0"/>
        <w:spacing w:line="360" w:lineRule="auto"/>
        <w:jc w:val="center"/>
        <w:rPr>
          <w:rFonts w:ascii="宋体" w:hAnsi="宋体" w:cs="宋体"/>
          <w:b/>
          <w:bCs/>
          <w:color w:val="auto"/>
          <w:sz w:val="30"/>
          <w:szCs w:val="30"/>
          <w:highlight w:val="none"/>
        </w:rPr>
      </w:pPr>
      <w:bookmarkStart w:id="594" w:name="_Toc2773_WPSOffice_Level3"/>
      <w:r>
        <w:rPr>
          <w:rFonts w:hint="eastAsia" w:ascii="宋体" w:hAnsi="宋体" w:cs="宋体"/>
          <w:b/>
          <w:bCs/>
          <w:color w:val="auto"/>
          <w:sz w:val="30"/>
          <w:szCs w:val="30"/>
          <w:highlight w:val="none"/>
          <w:lang w:val="zh-CN"/>
        </w:rPr>
        <w:t>投标人基本情况一览表</w:t>
      </w:r>
      <w:bookmarkEnd w:id="594"/>
    </w:p>
    <w:p>
      <w:pPr>
        <w:autoSpaceDE w:val="0"/>
        <w:autoSpaceDN w:val="0"/>
        <w:adjustRightIn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zh-CN"/>
        </w:rPr>
        <w:t>1．名称及概况：</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cs="宋体"/>
          <w:color w:val="auto"/>
          <w:szCs w:val="24"/>
          <w:highlight w:val="none"/>
          <w:lang w:val="zh-CN"/>
        </w:rPr>
      </w:pPr>
      <w:r>
        <w:rPr>
          <w:rFonts w:hint="eastAsia" w:ascii="宋体" w:hAnsi="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cs="宋体"/>
          <w:color w:val="auto"/>
          <w:szCs w:val="24"/>
          <w:highlight w:val="none"/>
          <w:lang w:val="zh-CN"/>
        </w:rPr>
      </w:pPr>
      <w:r>
        <w:rPr>
          <w:rFonts w:hint="eastAsia" w:ascii="宋体" w:hAnsi="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cs="宋体"/>
          <w:color w:val="auto"/>
          <w:szCs w:val="24"/>
          <w:highlight w:val="none"/>
        </w:rPr>
      </w:pPr>
      <w:r>
        <w:rPr>
          <w:rFonts w:hint="eastAsia" w:ascii="宋体" w:hAnsi="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cs="宋体"/>
          <w:color w:val="auto"/>
          <w:szCs w:val="24"/>
          <w:highlight w:val="none"/>
          <w:lang w:val="zh-CN"/>
        </w:rPr>
      </w:pPr>
      <w:r>
        <w:rPr>
          <w:rFonts w:hint="eastAsia" w:ascii="宋体" w:hAnsi="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cs="宋体"/>
          <w:color w:val="auto"/>
          <w:szCs w:val="24"/>
          <w:highlight w:val="none"/>
          <w:lang w:val="zh-CN"/>
        </w:rPr>
      </w:pPr>
      <w:r>
        <w:rPr>
          <w:rFonts w:hint="eastAsia" w:ascii="宋体" w:hAnsi="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cs="宋体"/>
          <w:color w:val="auto"/>
          <w:szCs w:val="24"/>
          <w:highlight w:val="none"/>
          <w:lang w:val="zh-CN"/>
        </w:rPr>
      </w:pPr>
      <w:r>
        <w:rPr>
          <w:rFonts w:hint="eastAsia" w:ascii="宋体" w:hAnsi="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cs="宋体"/>
          <w:color w:val="auto"/>
          <w:szCs w:val="24"/>
          <w:highlight w:val="none"/>
          <w:lang w:val="zh-CN"/>
        </w:rPr>
      </w:pPr>
      <w:r>
        <w:rPr>
          <w:rFonts w:hint="eastAsia" w:ascii="宋体" w:hAnsi="宋体" w:cs="宋体"/>
          <w:color w:val="auto"/>
          <w:szCs w:val="24"/>
          <w:highlight w:val="none"/>
          <w:lang w:val="zh-CN"/>
        </w:rPr>
        <w:t>_______________________________________________</w:t>
      </w:r>
      <w:r>
        <w:rPr>
          <w:rFonts w:hint="eastAsia" w:ascii="宋体" w:hAnsi="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cs="宋体"/>
          <w:color w:val="auto"/>
          <w:szCs w:val="24"/>
          <w:highlight w:val="none"/>
          <w:lang w:val="zh-CN"/>
        </w:rPr>
      </w:pPr>
      <w:r>
        <w:rPr>
          <w:rFonts w:hint="eastAsia" w:ascii="宋体" w:hAnsi="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cs="宋体"/>
          <w:color w:val="auto"/>
          <w:szCs w:val="24"/>
          <w:highlight w:val="none"/>
          <w:lang w:val="zh-CN"/>
        </w:rPr>
      </w:pPr>
      <w:r>
        <w:rPr>
          <w:rFonts w:hint="eastAsia" w:ascii="宋体" w:hAnsi="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cs="宋体"/>
          <w:color w:val="auto"/>
          <w:szCs w:val="24"/>
          <w:highlight w:val="none"/>
        </w:rPr>
      </w:pPr>
    </w:p>
    <w:p>
      <w:pPr>
        <w:autoSpaceDE w:val="0"/>
        <w:autoSpaceDN w:val="0"/>
        <w:adjustRightInd w:val="0"/>
        <w:spacing w:line="360" w:lineRule="auto"/>
        <w:ind w:right="368" w:rightChars="175"/>
        <w:jc w:val="right"/>
        <w:rPr>
          <w:rFonts w:ascii="宋体" w:hAnsi="宋体" w:cs="宋体"/>
          <w:color w:val="auto"/>
          <w:szCs w:val="24"/>
          <w:highlight w:val="none"/>
        </w:rPr>
      </w:pPr>
      <w:r>
        <w:rPr>
          <w:rFonts w:hint="eastAsia" w:ascii="宋体" w:hAnsi="宋体" w:cs="宋体"/>
          <w:color w:val="auto"/>
          <w:szCs w:val="24"/>
          <w:highlight w:val="none"/>
          <w:lang w:val="zh-CN"/>
        </w:rPr>
        <w:t>投标人</w:t>
      </w:r>
      <w:r>
        <w:rPr>
          <w:rFonts w:hint="eastAsia" w:ascii="宋体" w:hAnsi="宋体" w:cs="宋体"/>
          <w:color w:val="auto"/>
          <w:szCs w:val="21"/>
          <w:highlight w:val="none"/>
          <w:lang w:val="zh-CN"/>
        </w:rPr>
        <w:t>：</w:t>
      </w:r>
      <w:r>
        <w:rPr>
          <w:rFonts w:hint="eastAsia" w:ascii="宋体" w:hAnsi="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cs="宋体"/>
          <w:color w:val="auto"/>
          <w:szCs w:val="24"/>
          <w:highlight w:val="none"/>
          <w:lang w:val="zh-CN"/>
        </w:rPr>
      </w:pPr>
      <w:r>
        <w:rPr>
          <w:rFonts w:hint="eastAsia" w:ascii="宋体" w:hAnsi="宋体" w:cs="宋体"/>
          <w:color w:val="auto"/>
          <w:szCs w:val="24"/>
          <w:highlight w:val="none"/>
          <w:lang w:val="zh-CN"/>
        </w:rPr>
        <w:t>日  期：　年  月  日</w:t>
      </w:r>
    </w:p>
    <w:p>
      <w:pPr>
        <w:tabs>
          <w:tab w:val="left" w:pos="567"/>
        </w:tabs>
        <w:autoSpaceDE w:val="0"/>
        <w:autoSpaceDN w:val="0"/>
        <w:adjustRightInd w:val="0"/>
        <w:spacing w:line="360" w:lineRule="auto"/>
        <w:ind w:left="550" w:leftChars="0" w:hanging="550" w:hangingChars="262"/>
        <w:jc w:val="left"/>
        <w:outlineLvl w:val="2"/>
        <w:rPr>
          <w:rFonts w:ascii="宋体" w:hAnsi="宋体" w:cs="宋体"/>
          <w:b/>
          <w:color w:val="auto"/>
          <w:kern w:val="0"/>
          <w:sz w:val="32"/>
          <w:szCs w:val="32"/>
          <w:highlight w:val="none"/>
        </w:rPr>
      </w:pPr>
      <w:r>
        <w:rPr>
          <w:rFonts w:hint="eastAsia" w:ascii="宋体" w:hAnsi="宋体" w:cs="宋体"/>
          <w:color w:val="auto"/>
          <w:szCs w:val="24"/>
          <w:highlight w:val="none"/>
          <w:lang w:val="zh-CN"/>
        </w:rPr>
        <w:br w:type="page"/>
      </w:r>
      <w:bookmarkStart w:id="595" w:name="_Toc22930"/>
      <w:bookmarkStart w:id="596" w:name="_Toc173684942"/>
      <w:bookmarkStart w:id="597" w:name="_Toc102860424"/>
      <w:bookmarkStart w:id="598" w:name="_Toc4495"/>
      <w:bookmarkStart w:id="599" w:name="_Toc140596935"/>
      <w:bookmarkStart w:id="600" w:name="_Toc142508375"/>
      <w:bookmarkStart w:id="601" w:name="_Toc3711"/>
      <w:bookmarkStart w:id="602" w:name="_Toc104991882"/>
      <w:bookmarkStart w:id="603" w:name="_Toc94107216"/>
      <w:bookmarkStart w:id="604" w:name="_Toc102860080"/>
      <w:bookmarkStart w:id="605" w:name="_Toc9051_WPSOffice_Level2"/>
      <w:bookmarkStart w:id="606" w:name="_Toc533708128"/>
      <w:bookmarkStart w:id="607" w:name="_Toc1977733"/>
      <w:bookmarkStart w:id="608" w:name="_Toc486167715"/>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lang w:val="zh-CN"/>
        </w:rPr>
        <w:t>、投标人财务状况表格式</w:t>
      </w:r>
      <w:bookmarkEnd w:id="595"/>
      <w:bookmarkEnd w:id="596"/>
      <w:bookmarkEnd w:id="597"/>
      <w:bookmarkEnd w:id="598"/>
      <w:bookmarkEnd w:id="599"/>
      <w:bookmarkEnd w:id="600"/>
      <w:bookmarkEnd w:id="601"/>
      <w:bookmarkEnd w:id="602"/>
      <w:bookmarkEnd w:id="603"/>
      <w:bookmarkEnd w:id="604"/>
    </w:p>
    <w:p>
      <w:pPr>
        <w:autoSpaceDE w:val="0"/>
        <w:autoSpaceDN w:val="0"/>
        <w:adjustRightInd w:val="0"/>
        <w:spacing w:line="360" w:lineRule="auto"/>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2021</w:t>
            </w:r>
          </w:p>
        </w:tc>
        <w:tc>
          <w:tcPr>
            <w:tcW w:w="194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2022</w:t>
            </w:r>
          </w:p>
        </w:tc>
        <w:tc>
          <w:tcPr>
            <w:tcW w:w="194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2023</w:t>
            </w:r>
          </w:p>
        </w:tc>
        <w:tc>
          <w:tcPr>
            <w:tcW w:w="1944"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cs="宋体"/>
                <w:color w:val="auto"/>
                <w:kern w:val="0"/>
                <w:szCs w:val="21"/>
                <w:highlight w:val="none"/>
              </w:rPr>
            </w:pPr>
          </w:p>
        </w:tc>
      </w:tr>
    </w:tbl>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cs="宋体"/>
          <w:color w:val="auto"/>
          <w:szCs w:val="24"/>
          <w:highlight w:val="none"/>
          <w:lang w:val="zh-CN"/>
        </w:rPr>
      </w:pPr>
    </w:p>
    <w:p>
      <w:pPr>
        <w:autoSpaceDE w:val="0"/>
        <w:autoSpaceDN w:val="0"/>
        <w:adjustRightInd w:val="0"/>
        <w:spacing w:line="360" w:lineRule="auto"/>
        <w:ind w:firstLine="5409" w:firstLineChars="2576"/>
        <w:rPr>
          <w:rFonts w:ascii="宋体" w:hAnsi="宋体" w:cs="宋体"/>
          <w:color w:val="auto"/>
          <w:szCs w:val="24"/>
          <w:highlight w:val="none"/>
          <w:lang w:val="zh-CN"/>
        </w:rPr>
      </w:pPr>
    </w:p>
    <w:p>
      <w:pPr>
        <w:autoSpaceDE w:val="0"/>
        <w:autoSpaceDN w:val="0"/>
        <w:adjustRightInd w:val="0"/>
        <w:spacing w:line="360" w:lineRule="auto"/>
        <w:ind w:firstLine="5409" w:firstLineChars="2576"/>
        <w:rPr>
          <w:rFonts w:ascii="宋体" w:hAnsi="宋体" w:cs="宋体"/>
          <w:color w:val="auto"/>
          <w:szCs w:val="24"/>
          <w:highlight w:val="none"/>
          <w:u w:val="single"/>
        </w:rPr>
      </w:pPr>
      <w:r>
        <w:rPr>
          <w:rFonts w:hint="eastAsia" w:ascii="宋体" w:hAnsi="宋体" w:cs="宋体"/>
          <w:color w:val="auto"/>
          <w:szCs w:val="24"/>
          <w:highlight w:val="none"/>
          <w:lang w:val="zh-CN"/>
        </w:rPr>
        <w:t>投标人：（加盖投标人</w:t>
      </w:r>
      <w:r>
        <w:rPr>
          <w:rFonts w:hint="eastAsia" w:ascii="宋体" w:hAnsi="宋体" w:cs="宋体"/>
          <w:color w:val="auto"/>
          <w:szCs w:val="24"/>
          <w:highlight w:val="none"/>
        </w:rPr>
        <w:t>法人</w:t>
      </w:r>
      <w:r>
        <w:rPr>
          <w:rFonts w:hint="eastAsia" w:ascii="宋体" w:hAnsi="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cs="宋体"/>
          <w:color w:val="auto"/>
          <w:szCs w:val="24"/>
          <w:highlight w:val="none"/>
          <w:lang w:val="zh-CN"/>
        </w:rPr>
        <w:t>日期：</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u w:val="single"/>
        </w:rPr>
        <w:t>日</w:t>
      </w:r>
    </w:p>
    <w:bookmarkEnd w:id="605"/>
    <w:bookmarkEnd w:id="606"/>
    <w:bookmarkEnd w:id="607"/>
    <w:bookmarkEnd w:id="608"/>
    <w:p>
      <w:pPr>
        <w:tabs>
          <w:tab w:val="left" w:pos="567"/>
        </w:tabs>
        <w:autoSpaceDE w:val="0"/>
        <w:autoSpaceDN w:val="0"/>
        <w:adjustRightInd w:val="0"/>
        <w:spacing w:line="360" w:lineRule="auto"/>
        <w:jc w:val="left"/>
        <w:outlineLvl w:val="2"/>
        <w:rPr>
          <w:rFonts w:ascii="宋体" w:hAnsi="宋体" w:cs="宋体"/>
          <w:b/>
          <w:color w:val="auto"/>
          <w:kern w:val="0"/>
          <w:sz w:val="32"/>
          <w:szCs w:val="32"/>
          <w:highlight w:val="none"/>
          <w:lang w:val="zh-CN"/>
        </w:rPr>
      </w:pPr>
      <w:bookmarkStart w:id="609" w:name="_Toc173684943"/>
      <w:bookmarkStart w:id="610" w:name="_Toc24946"/>
      <w:bookmarkStart w:id="611" w:name="_Toc142508376"/>
      <w:bookmarkStart w:id="612" w:name="_Toc102860425"/>
      <w:bookmarkStart w:id="613" w:name="_Toc1977736"/>
      <w:bookmarkStart w:id="614" w:name="_Toc94107217"/>
      <w:bookmarkStart w:id="615" w:name="_Toc140596936"/>
      <w:bookmarkStart w:id="616" w:name="_Toc486167716"/>
      <w:bookmarkStart w:id="617" w:name="_Toc102860081"/>
      <w:bookmarkStart w:id="618" w:name="_Toc104991883"/>
      <w:bookmarkStart w:id="619" w:name="_Toc533708130"/>
      <w:bookmarkStart w:id="620" w:name="_Toc739_WPSOffice_Level2"/>
      <w:bookmarkStart w:id="621" w:name="_Toc20034"/>
      <w:bookmarkStart w:id="622" w:name="_Toc15551"/>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lang w:val="zh-CN"/>
        </w:rPr>
        <w:t>、标准化体系认证</w:t>
      </w:r>
      <w:bookmarkEnd w:id="609"/>
      <w:bookmarkEnd w:id="610"/>
    </w:p>
    <w:p>
      <w:pPr>
        <w:autoSpaceDE w:val="0"/>
        <w:autoSpaceDN w:val="0"/>
        <w:adjustRightIn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pPr>
        <w:autoSpaceDE w:val="0"/>
        <w:autoSpaceDN w:val="0"/>
        <w:adjustRightInd w:val="0"/>
        <w:spacing w:line="360" w:lineRule="auto"/>
        <w:ind w:firstLine="643" w:firstLineChars="200"/>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tabs>
          <w:tab w:val="left" w:pos="567"/>
        </w:tabs>
        <w:autoSpaceDE w:val="0"/>
        <w:autoSpaceDN w:val="0"/>
        <w:adjustRightInd w:val="0"/>
        <w:spacing w:line="360" w:lineRule="auto"/>
        <w:jc w:val="left"/>
        <w:outlineLvl w:val="2"/>
        <w:rPr>
          <w:rFonts w:ascii="宋体" w:hAnsi="宋体" w:cs="宋体"/>
          <w:b/>
          <w:color w:val="auto"/>
          <w:kern w:val="0"/>
          <w:sz w:val="32"/>
          <w:szCs w:val="32"/>
          <w:highlight w:val="none"/>
          <w:lang w:val="zh-CN"/>
        </w:rPr>
      </w:pPr>
      <w:bookmarkStart w:id="623" w:name="_Toc31130"/>
      <w:bookmarkStart w:id="624" w:name="_Toc173684944"/>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lang w:val="zh-CN"/>
        </w:rPr>
        <w:t>、合同条款偏离表格式</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autoSpaceDE w:val="0"/>
        <w:autoSpaceDN w:val="0"/>
        <w:adjustRightInd w:val="0"/>
        <w:spacing w:line="360" w:lineRule="auto"/>
        <w:jc w:val="center"/>
        <w:rPr>
          <w:rFonts w:ascii="宋体" w:hAnsi="宋体" w:cs="宋体"/>
          <w:b/>
          <w:bCs/>
          <w:color w:val="auto"/>
          <w:kern w:val="0"/>
          <w:sz w:val="28"/>
          <w:szCs w:val="30"/>
          <w:highlight w:val="none"/>
          <w:lang w:val="zh-CN"/>
        </w:rPr>
      </w:pPr>
      <w:bookmarkStart w:id="625" w:name="_Toc26412_WPSOffice_Level3"/>
      <w:r>
        <w:rPr>
          <w:rFonts w:hint="eastAsia" w:ascii="宋体" w:hAnsi="宋体" w:cs="宋体"/>
          <w:b/>
          <w:bCs/>
          <w:color w:val="auto"/>
          <w:kern w:val="0"/>
          <w:sz w:val="28"/>
          <w:szCs w:val="30"/>
          <w:highlight w:val="none"/>
          <w:lang w:val="zh-CN"/>
        </w:rPr>
        <w:t>东莞市众源环境投资有限公司2025年污泥处理用聚丙烯酰胺采购项目合同条款偏离表</w:t>
      </w:r>
      <w:bookmarkEnd w:id="625"/>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第一条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合同项目</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第二条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合同价款及销项税价</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第三条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合同组成</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第四条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技术要求及质量要求</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第五条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包装及运输要求</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第六条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货物的交付</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第七条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储存</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第八条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验收</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第九条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权利保证</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第十条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质量保证及售后服务</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第十一条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履约担保</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第十二条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付款方式</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Times New Roman"/>
                <w:color w:val="auto"/>
                <w:kern w:val="0"/>
                <w:szCs w:val="21"/>
                <w:highlight w:val="none"/>
              </w:rPr>
              <w:t>第十三条</w:t>
            </w:r>
          </w:p>
        </w:tc>
        <w:tc>
          <w:tcPr>
            <w:tcW w:w="3055" w:type="dxa"/>
            <w:vAlign w:val="center"/>
          </w:tcPr>
          <w:p>
            <w:pPr>
              <w:autoSpaceDE w:val="0"/>
              <w:autoSpaceDN w:val="0"/>
              <w:adjustRightInd w:val="0"/>
              <w:spacing w:line="400" w:lineRule="exact"/>
              <w:jc w:val="center"/>
              <w:rPr>
                <w:rFonts w:ascii="宋体" w:hAnsi="宋体" w:cs="Times New Roman"/>
                <w:color w:val="auto"/>
                <w:kern w:val="0"/>
                <w:szCs w:val="21"/>
                <w:highlight w:val="none"/>
              </w:rPr>
            </w:pPr>
            <w:r>
              <w:rPr>
                <w:rFonts w:ascii="宋体" w:hAnsi="宋体" w:cs="Times New Roman"/>
                <w:color w:val="auto"/>
                <w:kern w:val="0"/>
                <w:szCs w:val="21"/>
                <w:highlight w:val="none"/>
              </w:rPr>
              <w:t>技术资料</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第十四条</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不可抗力</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第十五条</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违约责任</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第十六条</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争议解决</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第十七条</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其他</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ascii="宋体" w:hAnsi="宋体" w:cs="宋体"/>
                <w:color w:val="auto"/>
                <w:kern w:val="0"/>
                <w:szCs w:val="21"/>
                <w:highlight w:val="none"/>
              </w:rPr>
              <w:t>1</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供应商履约评价表</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ascii="宋体" w:hAnsi="宋体" w:cs="宋体"/>
                <w:color w:val="auto"/>
                <w:kern w:val="0"/>
                <w:szCs w:val="21"/>
                <w:highlight w:val="none"/>
              </w:rPr>
              <w:t>2</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不可撤销银行履约保函格式</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履约保证保险凭证格式</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p>
        </w:tc>
        <w:tc>
          <w:tcPr>
            <w:tcW w:w="142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三</w:t>
            </w:r>
          </w:p>
        </w:tc>
        <w:tc>
          <w:tcPr>
            <w:tcW w:w="3055" w:type="dxa"/>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担保公司履约担保书格式</w:t>
            </w:r>
          </w:p>
        </w:tc>
        <w:tc>
          <w:tcPr>
            <w:tcW w:w="1346"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cs="Times New Roman"/>
          <w:color w:val="auto"/>
          <w:szCs w:val="24"/>
          <w:highlight w:val="none"/>
          <w:lang w:val="zh-CN"/>
        </w:rPr>
      </w:pPr>
      <w:r>
        <w:rPr>
          <w:rFonts w:hint="eastAsia" w:ascii="宋体" w:hAnsi="宋体" w:cs="Times New Roman"/>
          <w:color w:val="auto"/>
          <w:szCs w:val="24"/>
          <w:highlight w:val="none"/>
          <w:lang w:val="zh-CN"/>
        </w:rPr>
        <w:t>备注：</w:t>
      </w:r>
    </w:p>
    <w:p>
      <w:pPr>
        <w:spacing w:line="360" w:lineRule="auto"/>
        <w:ind w:left="605" w:leftChars="18" w:hanging="567" w:hangingChars="27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cs="Times New Roman"/>
          <w:b/>
          <w:color w:val="auto"/>
          <w:kern w:val="0"/>
          <w:szCs w:val="21"/>
          <w:highlight w:val="none"/>
        </w:rPr>
        <w:t>。</w:t>
      </w:r>
    </w:p>
    <w:p>
      <w:pPr>
        <w:spacing w:line="360" w:lineRule="auto"/>
        <w:ind w:left="605" w:leftChars="18" w:hanging="567" w:hangingChars="270"/>
        <w:rPr>
          <w:rFonts w:ascii="宋体" w:hAnsi="宋体" w:cs="宋体"/>
          <w:color w:val="auto"/>
          <w:szCs w:val="21"/>
          <w:highlight w:val="none"/>
        </w:rPr>
      </w:pPr>
      <w:r>
        <w:rPr>
          <w:rFonts w:hint="eastAsia" w:ascii="宋体" w:hAnsi="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pPr>
        <w:spacing w:line="360" w:lineRule="auto"/>
        <w:ind w:left="605" w:leftChars="18" w:hanging="567" w:hangingChars="27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cs="宋体"/>
          <w:color w:val="auto"/>
          <w:szCs w:val="21"/>
          <w:highlight w:val="none"/>
        </w:rPr>
      </w:pPr>
    </w:p>
    <w:p>
      <w:pPr>
        <w:spacing w:line="360" w:lineRule="auto"/>
        <w:ind w:left="357" w:leftChars="-100" w:hanging="567" w:hangingChars="270"/>
        <w:rPr>
          <w:rFonts w:ascii="宋体" w:hAnsi="宋体" w:cs="宋体"/>
          <w:color w:val="auto"/>
          <w:szCs w:val="21"/>
          <w:highlight w:val="none"/>
        </w:rPr>
      </w:pPr>
    </w:p>
    <w:p>
      <w:pPr>
        <w:spacing w:line="360" w:lineRule="auto"/>
        <w:ind w:left="357" w:leftChars="-100" w:hanging="567" w:hangingChars="270"/>
        <w:rPr>
          <w:rFonts w:ascii="宋体" w:hAnsi="宋体" w:cs="宋体"/>
          <w:color w:val="auto"/>
          <w:szCs w:val="21"/>
          <w:highlight w:val="none"/>
        </w:rPr>
      </w:pPr>
    </w:p>
    <w:p>
      <w:pPr>
        <w:spacing w:line="360" w:lineRule="auto"/>
        <w:ind w:right="368" w:rightChars="175" w:firstLine="5355" w:firstLineChars="2550"/>
        <w:jc w:val="left"/>
        <w:rPr>
          <w:rFonts w:ascii="宋体" w:hAnsi="宋体" w:cs="宋体"/>
          <w:color w:val="auto"/>
          <w:kern w:val="0"/>
          <w:szCs w:val="21"/>
          <w:highlight w:val="none"/>
          <w:lang w:val="zh-CN"/>
        </w:rPr>
      </w:pPr>
      <w:r>
        <w:rPr>
          <w:rFonts w:hint="eastAsia" w:ascii="宋体" w:hAnsi="宋体" w:cs="宋体"/>
          <w:color w:val="auto"/>
          <w:szCs w:val="21"/>
          <w:highlight w:val="none"/>
          <w:lang w:val="zh-CN"/>
        </w:rPr>
        <w:t>投标人：</w:t>
      </w:r>
      <w:r>
        <w:rPr>
          <w:rFonts w:hint="eastAsia" w:ascii="宋体" w:hAnsi="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cs="宋体"/>
          <w:color w:val="auto"/>
          <w:szCs w:val="24"/>
          <w:highlight w:val="none"/>
          <w:lang w:val="zh-CN"/>
        </w:rPr>
      </w:pPr>
      <w:r>
        <w:rPr>
          <w:rFonts w:hint="eastAsia" w:ascii="宋体" w:hAnsi="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cs="宋体"/>
          <w:b/>
          <w:color w:val="auto"/>
          <w:kern w:val="0"/>
          <w:sz w:val="32"/>
          <w:szCs w:val="32"/>
          <w:highlight w:val="none"/>
        </w:rPr>
      </w:pPr>
      <w:r>
        <w:rPr>
          <w:rFonts w:hint="eastAsia" w:ascii="宋体" w:hAnsi="宋体" w:cs="宋体"/>
          <w:b/>
          <w:bCs/>
          <w:color w:val="auto"/>
          <w:kern w:val="0"/>
          <w:sz w:val="30"/>
          <w:szCs w:val="30"/>
          <w:highlight w:val="none"/>
          <w:lang w:val="zh-CN"/>
        </w:rPr>
        <w:br w:type="page"/>
      </w:r>
      <w:bookmarkStart w:id="626" w:name="_Toc102860426"/>
      <w:bookmarkStart w:id="627" w:name="_Toc26231"/>
      <w:bookmarkStart w:id="628" w:name="_Toc13348"/>
      <w:bookmarkStart w:id="629" w:name="_Toc94107218"/>
      <w:bookmarkStart w:id="630" w:name="_Toc104991884"/>
      <w:bookmarkStart w:id="631" w:name="_Toc102860082"/>
      <w:bookmarkStart w:id="632" w:name="_Toc173684945"/>
      <w:bookmarkStart w:id="633" w:name="_Toc140596937"/>
      <w:bookmarkStart w:id="634" w:name="_Toc142508377"/>
      <w:bookmarkStart w:id="635" w:name="_Toc2075"/>
      <w:bookmarkStart w:id="636" w:name="_Toc27980_WPSOffice_Level2"/>
      <w:bookmarkStart w:id="637" w:name="_Toc486167717"/>
      <w:r>
        <w:rPr>
          <w:rFonts w:hint="eastAsia" w:ascii="宋体" w:hAnsi="宋体" w:cs="宋体"/>
          <w:b/>
          <w:color w:val="auto"/>
          <w:kern w:val="0"/>
          <w:sz w:val="32"/>
          <w:szCs w:val="32"/>
          <w:highlight w:val="none"/>
        </w:rPr>
        <w:t>十、业绩表格式</w:t>
      </w:r>
      <w:bookmarkEnd w:id="626"/>
      <w:bookmarkEnd w:id="627"/>
      <w:bookmarkEnd w:id="628"/>
      <w:bookmarkEnd w:id="629"/>
      <w:bookmarkEnd w:id="630"/>
      <w:bookmarkEnd w:id="631"/>
      <w:bookmarkEnd w:id="632"/>
      <w:bookmarkEnd w:id="633"/>
      <w:bookmarkEnd w:id="634"/>
      <w:bookmarkEnd w:id="635"/>
    </w:p>
    <w:p>
      <w:pPr>
        <w:autoSpaceDE w:val="0"/>
        <w:autoSpaceDN w:val="0"/>
        <w:adjustRightInd w:val="0"/>
        <w:spacing w:line="360" w:lineRule="auto"/>
        <w:ind w:firstLine="602"/>
        <w:jc w:val="center"/>
        <w:rPr>
          <w:rFonts w:hint="eastAsia" w:ascii="宋体" w:hAnsi="宋体" w:cs="Times New Roman"/>
          <w:b/>
          <w:bCs/>
          <w:color w:val="auto"/>
          <w:sz w:val="30"/>
          <w:szCs w:val="30"/>
          <w:highlight w:val="none"/>
          <w:lang w:val="zh-CN"/>
        </w:rPr>
      </w:pPr>
      <w:r>
        <w:rPr>
          <w:rFonts w:hint="eastAsia" w:ascii="宋体" w:hAnsi="宋体" w:cs="Times New Roman"/>
          <w:b/>
          <w:bCs/>
          <w:color w:val="auto"/>
          <w:sz w:val="30"/>
          <w:szCs w:val="30"/>
          <w:highlight w:val="none"/>
          <w:lang w:val="zh-CN"/>
        </w:rPr>
        <w:t>投标人自2022年1月1日以来具有的投标品牌阳离子聚丙烯酰胺</w:t>
      </w:r>
    </w:p>
    <w:p>
      <w:pPr>
        <w:autoSpaceDE w:val="0"/>
        <w:autoSpaceDN w:val="0"/>
        <w:adjustRightInd w:val="0"/>
        <w:spacing w:line="360" w:lineRule="auto"/>
        <w:ind w:firstLine="602"/>
        <w:jc w:val="center"/>
        <w:rPr>
          <w:rFonts w:ascii="宋体" w:hAnsi="宋体" w:cs="Times New Roman"/>
          <w:b/>
          <w:bCs/>
          <w:color w:val="auto"/>
          <w:sz w:val="30"/>
          <w:szCs w:val="30"/>
          <w:highlight w:val="none"/>
          <w:lang w:val="zh-CN"/>
        </w:rPr>
      </w:pPr>
      <w:r>
        <w:rPr>
          <w:rFonts w:hint="eastAsia" w:ascii="宋体" w:hAnsi="宋体" w:cs="Times New Roman"/>
          <w:b/>
          <w:bCs/>
          <w:color w:val="auto"/>
          <w:sz w:val="30"/>
          <w:szCs w:val="30"/>
          <w:highlight w:val="none"/>
          <w:lang w:val="zh-CN"/>
        </w:rPr>
        <w:t>供货业绩表</w:t>
      </w:r>
    </w:p>
    <w:p>
      <w:pPr>
        <w:spacing w:line="360" w:lineRule="auto"/>
        <w:ind w:firstLine="424" w:firstLineChars="202"/>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本项业绩必须为：投标人</w:t>
      </w:r>
      <w:r>
        <w:rPr>
          <w:rFonts w:ascii="宋体" w:hAnsi="宋体" w:cs="宋体"/>
          <w:color w:val="auto"/>
          <w:szCs w:val="21"/>
          <w:highlight w:val="none"/>
          <w:lang w:val="zh-CN"/>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w:t>
      </w:r>
      <w:r>
        <w:rPr>
          <w:rFonts w:ascii="宋体" w:hAnsi="宋体" w:cs="宋体"/>
          <w:color w:val="auto"/>
          <w:szCs w:val="21"/>
          <w:highlight w:val="none"/>
          <w:lang w:val="zh-CN"/>
        </w:rPr>
        <w:t>1月1日以来</w:t>
      </w:r>
      <w:r>
        <w:rPr>
          <w:rFonts w:hint="eastAsia" w:ascii="宋体" w:hAnsi="宋体" w:cs="宋体"/>
          <w:color w:val="auto"/>
          <w:szCs w:val="21"/>
          <w:highlight w:val="none"/>
          <w:lang w:val="zh-CN"/>
        </w:rPr>
        <w:t>具有</w:t>
      </w:r>
      <w:r>
        <w:rPr>
          <w:rFonts w:ascii="宋体" w:hAnsi="宋体" w:cs="宋体"/>
          <w:color w:val="auto"/>
          <w:szCs w:val="21"/>
          <w:highlight w:val="none"/>
          <w:lang w:val="zh-CN"/>
        </w:rPr>
        <w:t>的投标品牌</w:t>
      </w:r>
      <w:r>
        <w:rPr>
          <w:rFonts w:hint="eastAsia" w:ascii="宋体" w:hAnsi="宋体" w:cs="宋体"/>
          <w:color w:val="auto"/>
          <w:szCs w:val="21"/>
          <w:highlight w:val="none"/>
          <w:lang w:val="zh-CN"/>
        </w:rPr>
        <w:t>阳离子聚丙烯酰胺</w:t>
      </w:r>
      <w:r>
        <w:rPr>
          <w:rFonts w:ascii="宋体" w:hAnsi="宋体" w:cs="宋体"/>
          <w:color w:val="auto"/>
          <w:szCs w:val="21"/>
          <w:highlight w:val="none"/>
          <w:lang w:val="zh-CN"/>
        </w:rPr>
        <w:t>供货业绩(签订合同的时间为202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w:t>
      </w:r>
      <w:r>
        <w:rPr>
          <w:rFonts w:ascii="宋体" w:hAnsi="宋体" w:cs="宋体"/>
          <w:color w:val="auto"/>
          <w:szCs w:val="21"/>
          <w:highlight w:val="none"/>
          <w:lang w:val="zh-CN"/>
        </w:rPr>
        <w:t>1月1日或以后)。</w:t>
      </w:r>
    </w:p>
    <w:tbl>
      <w:tblPr>
        <w:tblStyle w:val="38"/>
        <w:tblW w:w="460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4"/>
        <w:gridCol w:w="929"/>
        <w:gridCol w:w="1781"/>
        <w:gridCol w:w="1851"/>
        <w:gridCol w:w="1125"/>
        <w:gridCol w:w="987"/>
        <w:gridCol w:w="1341"/>
        <w:gridCol w:w="1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序号</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项目</w:t>
            </w:r>
          </w:p>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 xml:space="preserve">名称 </w:t>
            </w:r>
          </w:p>
        </w:tc>
        <w:tc>
          <w:tcPr>
            <w:tcW w:w="9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rPr>
              <w:t>合同标的货物名称、品牌、数量</w:t>
            </w:r>
          </w:p>
        </w:tc>
        <w:tc>
          <w:tcPr>
            <w:tcW w:w="9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heme="minorEastAsia"/>
                <w:color w:val="auto"/>
                <w:szCs w:val="21"/>
                <w:highlight w:val="none"/>
                <w:lang w:val="zh-CN"/>
              </w:rPr>
            </w:pPr>
            <w:r>
              <w:rPr>
                <w:rFonts w:hint="eastAsia" w:ascii="宋体" w:hAnsi="宋体" w:cstheme="minorEastAsia"/>
                <w:color w:val="auto"/>
                <w:szCs w:val="21"/>
                <w:highlight w:val="none"/>
                <w:lang w:val="zh-CN"/>
              </w:rPr>
              <w:t>单项合同金额</w:t>
            </w:r>
          </w:p>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（单位：万元）</w:t>
            </w:r>
          </w:p>
        </w:tc>
        <w:tc>
          <w:tcPr>
            <w:tcW w:w="5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签约</w:t>
            </w:r>
          </w:p>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日期</w:t>
            </w:r>
          </w:p>
        </w:tc>
        <w:tc>
          <w:tcPr>
            <w:tcW w:w="5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完成</w:t>
            </w:r>
          </w:p>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情况</w:t>
            </w: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r>
              <w:rPr>
                <w:rFonts w:hint="eastAsia" w:ascii="宋体" w:hAnsi="宋体" w:eastAsia="宋体" w:cs="宋体"/>
                <w:color w:val="auto"/>
                <w:szCs w:val="21"/>
                <w:highlight w:val="none"/>
                <w:lang w:val="zh-CN"/>
              </w:rPr>
              <w:t>买方单位联系人及电话</w:t>
            </w:r>
          </w:p>
        </w:tc>
        <w:tc>
          <w:tcPr>
            <w:tcW w:w="5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1</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2</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lang w:val="zh-CN"/>
              </w:rPr>
            </w:pPr>
            <w:r>
              <w:rPr>
                <w:rFonts w:hint="eastAsia" w:ascii="宋体" w:hAnsi="宋体" w:cstheme="minorEastAsia"/>
                <w:color w:val="auto"/>
                <w:szCs w:val="21"/>
                <w:highlight w:val="none"/>
                <w:lang w:val="zh-CN"/>
              </w:rPr>
              <w:t>3</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r>
              <w:rPr>
                <w:rFonts w:hint="eastAsia" w:ascii="宋体" w:hAnsi="宋体" w:cstheme="minorEastAsia"/>
                <w:color w:val="auto"/>
                <w:szCs w:val="21"/>
                <w:highlight w:val="none"/>
              </w:rPr>
              <w:t>…</w:t>
            </w:r>
          </w:p>
        </w:tc>
        <w:tc>
          <w:tcPr>
            <w:tcW w:w="4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9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c>
          <w:tcPr>
            <w:tcW w:w="5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color w:val="auto"/>
                <w:szCs w:val="21"/>
                <w:highlight w:val="none"/>
              </w:rPr>
            </w:pPr>
          </w:p>
        </w:tc>
      </w:tr>
    </w:tbl>
    <w:p>
      <w:pPr>
        <w:autoSpaceDE w:val="0"/>
        <w:autoSpaceDN w:val="0"/>
        <w:adjustRightInd w:val="0"/>
        <w:snapToGrid w:val="0"/>
        <w:spacing w:line="360" w:lineRule="auto"/>
        <w:ind w:left="481" w:leftChars="-41" w:hanging="567" w:hangingChars="270"/>
        <w:jc w:val="left"/>
        <w:rPr>
          <w:rFonts w:ascii="宋体" w:hAnsi="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cs="Times New Roman"/>
          <w:color w:val="auto"/>
          <w:szCs w:val="24"/>
          <w:highlight w:val="none"/>
          <w:lang w:val="zh-CN"/>
        </w:rPr>
      </w:pPr>
      <w:r>
        <w:rPr>
          <w:rFonts w:hint="eastAsia" w:ascii="宋体" w:hAnsi="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cs="Times New Roman"/>
          <w:color w:val="auto"/>
          <w:szCs w:val="24"/>
          <w:highlight w:val="none"/>
          <w:lang w:val="zh-CN"/>
        </w:rPr>
      </w:pPr>
      <w:r>
        <w:rPr>
          <w:rFonts w:hint="eastAsia" w:ascii="宋体" w:hAnsi="宋体" w:cs="Times New Roman"/>
          <w:color w:val="auto"/>
          <w:szCs w:val="24"/>
          <w:highlight w:val="none"/>
          <w:lang w:val="zh-CN"/>
        </w:rPr>
        <w:t>（1）项目业绩按单项合同内已完成投标品牌阳离子聚丙烯酰胺供货金额从高到低的方式排列，</w:t>
      </w:r>
      <w:r>
        <w:rPr>
          <w:rFonts w:hint="eastAsia" w:ascii="宋体" w:hAnsi="宋体" w:eastAsia="宋体" w:cs="宋体"/>
          <w:b/>
          <w:bCs/>
          <w:color w:val="auto"/>
          <w:szCs w:val="21"/>
          <w:highlight w:val="none"/>
        </w:rPr>
        <w:t>同一个单项合同的业绩可以同时在资格业绩和评分业绩重复放置</w:t>
      </w:r>
      <w:r>
        <w:rPr>
          <w:rFonts w:hint="eastAsia" w:ascii="宋体" w:hAnsi="宋体" w:cs="Times New Roman"/>
          <w:color w:val="auto"/>
          <w:szCs w:val="24"/>
          <w:highlight w:val="none"/>
          <w:lang w:val="zh-CN"/>
        </w:rPr>
        <w:t>；</w:t>
      </w:r>
    </w:p>
    <w:p>
      <w:pPr>
        <w:snapToGrid w:val="0"/>
        <w:spacing w:line="360" w:lineRule="auto"/>
        <w:ind w:left="396" w:leftChars="-58" w:hanging="518" w:hangingChars="247"/>
        <w:rPr>
          <w:rFonts w:hint="eastAsia" w:ascii="宋体" w:hAnsi="宋体" w:eastAsia="宋体" w:cs="宋体"/>
          <w:color w:val="auto"/>
          <w:szCs w:val="21"/>
          <w:highlight w:val="none"/>
        </w:rPr>
      </w:pPr>
      <w:r>
        <w:rPr>
          <w:rFonts w:hint="eastAsia" w:ascii="宋体" w:hAnsi="宋体" w:cs="Times New Roman"/>
          <w:color w:val="auto"/>
          <w:szCs w:val="24"/>
          <w:highlight w:val="none"/>
          <w:lang w:val="zh-CN"/>
        </w:rPr>
        <w:t>（</w:t>
      </w:r>
      <w:r>
        <w:rPr>
          <w:rFonts w:ascii="宋体" w:hAnsi="宋体" w:cs="Times New Roman"/>
          <w:color w:val="auto"/>
          <w:szCs w:val="24"/>
          <w:highlight w:val="none"/>
        </w:rPr>
        <w:t>2</w:t>
      </w:r>
      <w:r>
        <w:rPr>
          <w:rFonts w:hint="eastAsia" w:ascii="宋体" w:hAnsi="宋体" w:cs="Times New Roman"/>
          <w:color w:val="auto"/>
          <w:szCs w:val="24"/>
          <w:highlight w:val="none"/>
          <w:lang w:val="zh-CN"/>
        </w:rPr>
        <w:t>）</w:t>
      </w:r>
      <w:bookmarkStart w:id="638" w:name="_Toc11061"/>
      <w:r>
        <w:rPr>
          <w:rFonts w:hint="eastAsia" w:ascii="宋体" w:hAnsi="宋体" w:eastAsia="宋体" w:cs="宋体"/>
          <w:color w:val="auto"/>
          <w:szCs w:val="21"/>
          <w:highlight w:val="none"/>
        </w:rPr>
        <w:t>业绩按以下条款作为考评依据：</w:t>
      </w:r>
      <w:bookmarkEnd w:id="638"/>
    </w:p>
    <w:p>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1）须附合同复印件，否则不得分；</w:t>
      </w:r>
    </w:p>
    <w:p>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2）若业绩为框架式协议或资格入围无明确金额的合同，必须同时提供合同期限内已供货产品发票金额统计表和供货发票复印件，否则，视为无效业绩；</w:t>
      </w:r>
    </w:p>
    <w:p>
      <w:pPr>
        <w:snapToGrid w:val="0"/>
        <w:spacing w:line="360" w:lineRule="auto"/>
        <w:ind w:left="655" w:leftChars="178" w:hanging="281" w:hangingChars="13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3）若合同无法反映评分条件（卖方为投标人、合同签订日期为2022年1月1日或以后、金额、合同标的必须包含投标品牌</w:t>
      </w:r>
      <w:r>
        <w:rPr>
          <w:rFonts w:hint="eastAsia" w:ascii="宋体" w:hAnsi="宋体" w:cs="Times New Roman"/>
          <w:color w:val="auto"/>
          <w:szCs w:val="24"/>
          <w:highlight w:val="none"/>
          <w:lang w:val="zh-CN"/>
        </w:rPr>
        <w:t>阳离子聚丙烯酰胺</w:t>
      </w:r>
      <w:r>
        <w:rPr>
          <w:rFonts w:hint="eastAsia" w:ascii="宋体" w:hAnsi="宋体" w:eastAsia="宋体" w:cs="宋体"/>
          <w:color w:val="auto"/>
          <w:szCs w:val="21"/>
          <w:highlight w:val="none"/>
        </w:rPr>
        <w:t>）的，还需提供产品购买方出具的书面补充说明文件复印件作为辅助证明（补充说明文件复印件能显示购买方公章），否则不得分；</w:t>
      </w:r>
    </w:p>
    <w:p>
      <w:pPr>
        <w:autoSpaceDE w:val="0"/>
        <w:autoSpaceDN w:val="0"/>
        <w:adjustRightInd w:val="0"/>
        <w:snapToGrid w:val="0"/>
        <w:spacing w:line="360" w:lineRule="auto"/>
        <w:ind w:left="481" w:leftChars="-41" w:hanging="567" w:hangingChars="270"/>
        <w:jc w:val="left"/>
        <w:rPr>
          <w:rFonts w:ascii="宋体" w:hAnsi="宋体" w:cs="Times New Roman"/>
          <w:color w:val="auto"/>
          <w:szCs w:val="24"/>
          <w:highlight w:val="none"/>
          <w:lang w:val="zh-CN"/>
        </w:rPr>
      </w:pPr>
      <w:r>
        <w:rPr>
          <w:rFonts w:hint="eastAsia" w:ascii="宋体" w:hAnsi="宋体" w:cs="Times New Roman"/>
          <w:color w:val="auto"/>
          <w:szCs w:val="24"/>
          <w:highlight w:val="none"/>
        </w:rPr>
        <w:t>（</w:t>
      </w:r>
      <w:r>
        <w:rPr>
          <w:rFonts w:hint="eastAsia" w:ascii="宋体" w:hAnsi="宋体" w:cs="Times New Roman"/>
          <w:color w:val="auto"/>
          <w:szCs w:val="24"/>
          <w:highlight w:val="none"/>
          <w:lang w:val="en-US" w:eastAsia="zh-CN"/>
        </w:rPr>
        <w:t>3</w:t>
      </w:r>
      <w:r>
        <w:rPr>
          <w:rFonts w:hint="eastAsia" w:ascii="宋体" w:hAnsi="宋体" w:cs="Times New Roman"/>
          <w:color w:val="auto"/>
          <w:szCs w:val="24"/>
          <w:highlight w:val="none"/>
        </w:rPr>
        <w:t>）</w:t>
      </w:r>
      <w:r>
        <w:rPr>
          <w:rFonts w:hint="eastAsia" w:ascii="宋体" w:hAnsi="宋体" w:cs="Times New Roman"/>
          <w:color w:val="auto"/>
          <w:szCs w:val="24"/>
          <w:highlight w:val="none"/>
          <w:lang w:val="zh-CN"/>
        </w:rPr>
        <w:t>未按上述要求提供证明材料的业绩，或所附材料无法证明填报项目属投标人完成的或符合本项评分要求的业绩，在评标时将不予考虑。</w:t>
      </w:r>
    </w:p>
    <w:p>
      <w:pPr>
        <w:autoSpaceDE w:val="0"/>
        <w:autoSpaceDN w:val="0"/>
        <w:adjustRightInd w:val="0"/>
        <w:snapToGrid w:val="0"/>
        <w:spacing w:line="360" w:lineRule="auto"/>
        <w:ind w:left="481" w:leftChars="-41" w:hanging="567" w:hangingChars="270"/>
        <w:jc w:val="left"/>
        <w:rPr>
          <w:rFonts w:ascii="宋体" w:hAnsi="宋体" w:cs="宋体"/>
          <w:color w:val="auto"/>
          <w:kern w:val="0"/>
          <w:szCs w:val="21"/>
          <w:highlight w:val="none"/>
        </w:rPr>
      </w:pPr>
    </w:p>
    <w:p>
      <w:pPr>
        <w:autoSpaceDE w:val="0"/>
        <w:autoSpaceDN w:val="0"/>
        <w:adjustRightInd w:val="0"/>
        <w:spacing w:line="360" w:lineRule="auto"/>
        <w:ind w:firstLine="5040" w:firstLineChars="2400"/>
        <w:jc w:val="left"/>
        <w:rPr>
          <w:rFonts w:ascii="宋体" w:hAnsi="宋体" w:cs="Times New Roman"/>
          <w:color w:val="auto"/>
          <w:kern w:val="0"/>
          <w:szCs w:val="21"/>
          <w:highlight w:val="none"/>
        </w:rPr>
      </w:pPr>
      <w:r>
        <w:rPr>
          <w:rFonts w:hint="eastAsia" w:ascii="宋体" w:hAnsi="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cs="Times New Roman"/>
          <w:color w:val="auto"/>
          <w:szCs w:val="24"/>
          <w:highlight w:val="none"/>
          <w:lang w:val="zh-CN"/>
        </w:rPr>
      </w:pPr>
      <w:r>
        <w:rPr>
          <w:rFonts w:hint="eastAsia" w:ascii="宋体" w:hAnsi="宋体" w:cs="Times New Roman"/>
          <w:color w:val="auto"/>
          <w:szCs w:val="24"/>
          <w:highlight w:val="none"/>
          <w:lang w:val="zh-CN"/>
        </w:rPr>
        <w:t>日期：   年   月   日</w:t>
      </w:r>
    </w:p>
    <w:p>
      <w:pPr>
        <w:tabs>
          <w:tab w:val="left" w:pos="567"/>
        </w:tabs>
        <w:autoSpaceDE w:val="0"/>
        <w:autoSpaceDN w:val="0"/>
        <w:adjustRightInd w:val="0"/>
        <w:spacing w:line="360" w:lineRule="auto"/>
        <w:jc w:val="left"/>
        <w:outlineLvl w:val="2"/>
        <w:rPr>
          <w:rFonts w:hint="eastAsia" w:hAnsi="宋体" w:cs="宋体"/>
          <w:b/>
          <w:color w:val="auto"/>
          <w:sz w:val="30"/>
          <w:szCs w:val="30"/>
          <w:highlight w:val="none"/>
        </w:rPr>
      </w:pPr>
      <w:bookmarkStart w:id="639" w:name="_Toc29140"/>
      <w:bookmarkStart w:id="640" w:name="_Toc173684946"/>
    </w:p>
    <w:p>
      <w:pPr>
        <w:rPr>
          <w:rFonts w:hint="eastAsia" w:hAnsi="宋体" w:cs="宋体"/>
          <w:b/>
          <w:color w:val="auto"/>
          <w:sz w:val="30"/>
          <w:szCs w:val="30"/>
          <w:highlight w:val="none"/>
        </w:rPr>
      </w:pPr>
      <w:r>
        <w:rPr>
          <w:rFonts w:hint="eastAsia" w:hAnsi="宋体" w:cs="宋体"/>
          <w:b/>
          <w:color w:val="auto"/>
          <w:sz w:val="30"/>
          <w:szCs w:val="30"/>
          <w:highlight w:val="none"/>
        </w:rPr>
        <w:br w:type="page"/>
      </w:r>
    </w:p>
    <w:p>
      <w:pPr>
        <w:tabs>
          <w:tab w:val="left" w:pos="567"/>
        </w:tabs>
        <w:autoSpaceDE w:val="0"/>
        <w:autoSpaceDN w:val="0"/>
        <w:adjustRightInd w:val="0"/>
        <w:spacing w:line="360" w:lineRule="auto"/>
        <w:jc w:val="left"/>
        <w:outlineLvl w:val="2"/>
        <w:rPr>
          <w:rFonts w:hAnsi="宋体"/>
          <w:b/>
          <w:color w:val="auto"/>
          <w:sz w:val="30"/>
          <w:szCs w:val="30"/>
          <w:highlight w:val="none"/>
          <w:lang w:val="zh-CN"/>
        </w:rPr>
      </w:pPr>
      <w:r>
        <w:rPr>
          <w:rFonts w:hint="eastAsia" w:hAnsi="宋体" w:cs="宋体"/>
          <w:b/>
          <w:color w:val="auto"/>
          <w:sz w:val="30"/>
          <w:szCs w:val="30"/>
          <w:highlight w:val="none"/>
        </w:rPr>
        <w:t>附表：单项合同期限内已完成投标品牌</w:t>
      </w:r>
      <w:r>
        <w:rPr>
          <w:rFonts w:hint="eastAsia" w:hAnsi="宋体" w:cs="宋体"/>
          <w:b/>
          <w:color w:val="auto"/>
          <w:sz w:val="30"/>
          <w:szCs w:val="30"/>
          <w:highlight w:val="none"/>
          <w:lang w:eastAsia="zh-CN"/>
        </w:rPr>
        <w:t>阳离子聚丙烯酰胺</w:t>
      </w:r>
      <w:r>
        <w:rPr>
          <w:rFonts w:hint="eastAsia" w:hAnsi="宋体" w:cs="宋体"/>
          <w:b/>
          <w:color w:val="auto"/>
          <w:sz w:val="30"/>
          <w:szCs w:val="30"/>
          <w:highlight w:val="none"/>
        </w:rPr>
        <w:t>供货产品发票金额统计表</w:t>
      </w:r>
      <w:bookmarkEnd w:id="639"/>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607"/>
        <w:gridCol w:w="1727"/>
        <w:gridCol w:w="1727"/>
        <w:gridCol w:w="172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gridSpan w:val="2"/>
            <w:vAlign w:val="center"/>
          </w:tcPr>
          <w:p>
            <w:pPr>
              <w:pStyle w:val="15"/>
              <w:jc w:val="center"/>
              <w:rPr>
                <w:rFonts w:ascii="宋体" w:hAnsi="宋体" w:cs="宋体"/>
                <w:color w:val="auto"/>
                <w:szCs w:val="21"/>
                <w:highlight w:val="none"/>
                <w:lang w:val="zh-CN"/>
              </w:rPr>
            </w:pPr>
            <w:r>
              <w:rPr>
                <w:rFonts w:hint="eastAsia" w:ascii="宋体" w:hAnsi="宋体" w:cs="宋体"/>
                <w:color w:val="auto"/>
                <w:szCs w:val="21"/>
                <w:highlight w:val="none"/>
              </w:rPr>
              <w:t>项目名称</w:t>
            </w:r>
          </w:p>
        </w:tc>
        <w:tc>
          <w:tcPr>
            <w:tcW w:w="3333" w:type="pct"/>
            <w:gridSpan w:val="4"/>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合同约定的供货期</w:t>
            </w:r>
          </w:p>
        </w:tc>
        <w:tc>
          <w:tcPr>
            <w:tcW w:w="3333" w:type="pct"/>
            <w:gridSpan w:val="4"/>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发票抬头（合同买方）</w:t>
            </w:r>
          </w:p>
        </w:tc>
        <w:tc>
          <w:tcPr>
            <w:tcW w:w="3333" w:type="pct"/>
            <w:gridSpan w:val="4"/>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6"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发票名目</w:t>
            </w:r>
          </w:p>
        </w:tc>
        <w:tc>
          <w:tcPr>
            <w:tcW w:w="833"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发票金额（单位：万元）</w:t>
            </w:r>
          </w:p>
        </w:tc>
        <w:tc>
          <w:tcPr>
            <w:tcW w:w="833"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发票号码</w:t>
            </w:r>
          </w:p>
        </w:tc>
        <w:tc>
          <w:tcPr>
            <w:tcW w:w="833"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发票所属时期</w:t>
            </w:r>
          </w:p>
        </w:tc>
        <w:tc>
          <w:tcPr>
            <w:tcW w:w="834"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6"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4" w:type="pct"/>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6"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4" w:type="pct"/>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6"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4" w:type="pct"/>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w:t>
            </w:r>
          </w:p>
        </w:tc>
        <w:tc>
          <w:tcPr>
            <w:tcW w:w="1256"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4" w:type="pct"/>
            <w:vAlign w:val="center"/>
          </w:tcPr>
          <w:p>
            <w:pPr>
              <w:pStyle w:val="15"/>
              <w:jc w:val="center"/>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pPr>
              <w:pStyle w:val="15"/>
              <w:jc w:val="center"/>
              <w:rPr>
                <w:rFonts w:ascii="宋体" w:hAnsi="宋体" w:cs="宋体"/>
                <w:color w:val="auto"/>
                <w:szCs w:val="21"/>
                <w:highlight w:val="none"/>
              </w:rPr>
            </w:pPr>
            <w:r>
              <w:rPr>
                <w:rFonts w:hint="eastAsia" w:ascii="宋体" w:hAnsi="宋体" w:cs="宋体"/>
                <w:color w:val="auto"/>
                <w:szCs w:val="21"/>
                <w:highlight w:val="none"/>
              </w:rPr>
              <w:t>发票金额合计（单位：万元）</w:t>
            </w: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3" w:type="pct"/>
            <w:vAlign w:val="center"/>
          </w:tcPr>
          <w:p>
            <w:pPr>
              <w:pStyle w:val="15"/>
              <w:jc w:val="center"/>
              <w:rPr>
                <w:rFonts w:ascii="宋体" w:hAnsi="宋体" w:cs="宋体"/>
                <w:color w:val="auto"/>
                <w:szCs w:val="21"/>
                <w:highlight w:val="none"/>
                <w:lang w:val="zh-CN"/>
              </w:rPr>
            </w:pPr>
          </w:p>
        </w:tc>
        <w:tc>
          <w:tcPr>
            <w:tcW w:w="834" w:type="pct"/>
            <w:vAlign w:val="center"/>
          </w:tcPr>
          <w:p>
            <w:pPr>
              <w:pStyle w:val="15"/>
              <w:jc w:val="center"/>
              <w:rPr>
                <w:rFonts w:ascii="宋体" w:hAnsi="宋体" w:cs="宋体"/>
                <w:color w:val="auto"/>
                <w:szCs w:val="21"/>
                <w:highlight w:val="none"/>
                <w:lang w:val="zh-CN"/>
              </w:rPr>
            </w:pPr>
          </w:p>
        </w:tc>
      </w:tr>
    </w:tbl>
    <w:p>
      <w:pPr>
        <w:rPr>
          <w:rFonts w:ascii="宋体" w:hAnsi="宋体" w:cs="宋体"/>
          <w:color w:val="auto"/>
          <w:szCs w:val="21"/>
          <w:highlight w:val="none"/>
          <w:lang w:val="zh-CN"/>
        </w:rPr>
      </w:pP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备注:</w:t>
      </w:r>
    </w:p>
    <w:p>
      <w:pPr>
        <w:spacing w:line="360" w:lineRule="auto"/>
        <w:ind w:left="420" w:hanging="420" w:hanging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eastAsia="宋体" w:cs="宋体"/>
          <w:color w:val="auto"/>
          <w:szCs w:val="21"/>
          <w:highlight w:val="none"/>
          <w:lang w:bidi="ar"/>
        </w:rPr>
        <w:t>投标人提供框架式协议或资格入围无明确金额的合同时，须同时提供本统计表及供货发票复印件，本统计表及供货发票复印件应后附于合同复印件</w:t>
      </w:r>
      <w:r>
        <w:rPr>
          <w:rFonts w:hint="eastAsia" w:ascii="宋体" w:hAnsi="宋体" w:cs="宋体"/>
          <w:color w:val="auto"/>
          <w:szCs w:val="21"/>
          <w:highlight w:val="none"/>
          <w:lang w:val="zh-CN"/>
        </w:rPr>
        <w:t>；</w:t>
      </w:r>
    </w:p>
    <w:p>
      <w:pPr>
        <w:spacing w:line="360" w:lineRule="auto"/>
        <w:ind w:left="420" w:hanging="420" w:hanging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（2）发票抬头应为</w:t>
      </w:r>
      <w:r>
        <w:rPr>
          <w:rFonts w:hint="eastAsia" w:ascii="宋体" w:hAnsi="宋体" w:cs="宋体"/>
          <w:color w:val="auto"/>
          <w:szCs w:val="21"/>
          <w:highlight w:val="none"/>
        </w:rPr>
        <w:t>合同产品购买方</w:t>
      </w:r>
      <w:r>
        <w:rPr>
          <w:rFonts w:hint="eastAsia" w:ascii="宋体" w:hAnsi="宋体" w:cs="宋体"/>
          <w:color w:val="auto"/>
          <w:szCs w:val="21"/>
          <w:highlight w:val="none"/>
          <w:lang w:val="zh-CN"/>
        </w:rPr>
        <w:t>，收款人应为投标人，且发票名目、所属时期应与合同约定内容一致</w:t>
      </w:r>
      <w:r>
        <w:rPr>
          <w:rFonts w:hint="eastAsia" w:ascii="宋体" w:hAnsi="宋体" w:eastAsia="宋体" w:cs="宋体"/>
          <w:color w:val="auto"/>
          <w:szCs w:val="21"/>
          <w:highlight w:val="none"/>
          <w:lang w:eastAsia="zh-CN" w:bidi="ar"/>
        </w:rPr>
        <w:t>（开票时间为合同期结束后</w:t>
      </w:r>
      <w:r>
        <w:rPr>
          <w:rFonts w:hint="eastAsia" w:ascii="宋体" w:hAnsi="宋体" w:eastAsia="宋体" w:cs="宋体"/>
          <w:color w:val="auto"/>
          <w:szCs w:val="21"/>
          <w:highlight w:val="none"/>
          <w:lang w:val="en-US" w:eastAsia="zh-CN" w:bidi="ar"/>
        </w:rPr>
        <w:t>3个月内，视为一致</w:t>
      </w:r>
      <w:r>
        <w:rPr>
          <w:rFonts w:hint="eastAsia" w:ascii="宋体" w:hAnsi="宋体" w:eastAsia="宋体" w:cs="宋体"/>
          <w:color w:val="auto"/>
          <w:szCs w:val="21"/>
          <w:highlight w:val="none"/>
          <w:lang w:eastAsia="zh-CN" w:bidi="ar"/>
        </w:rPr>
        <w:t>）</w:t>
      </w:r>
      <w:r>
        <w:rPr>
          <w:rFonts w:hint="eastAsia" w:ascii="宋体" w:hAnsi="宋体" w:cs="宋体"/>
          <w:color w:val="auto"/>
          <w:szCs w:val="21"/>
          <w:highlight w:val="none"/>
          <w:lang w:val="zh-CN"/>
        </w:rPr>
        <w:t>，否则</w:t>
      </w:r>
      <w:r>
        <w:rPr>
          <w:rFonts w:ascii="宋体" w:hAnsi="宋体" w:cs="宋体"/>
          <w:color w:val="auto"/>
          <w:szCs w:val="21"/>
          <w:highlight w:val="none"/>
          <w:lang w:val="zh-CN"/>
        </w:rPr>
        <w:t>该合同业绩按无效业绩处理</w:t>
      </w:r>
      <w:r>
        <w:rPr>
          <w:rFonts w:hint="eastAsia" w:ascii="宋体" w:hAnsi="宋体" w:cs="宋体"/>
          <w:color w:val="auto"/>
          <w:szCs w:val="21"/>
          <w:highlight w:val="none"/>
          <w:lang w:val="zh-CN"/>
        </w:rPr>
        <w:t>；</w:t>
      </w:r>
    </w:p>
    <w:p>
      <w:pPr>
        <w:spacing w:line="360" w:lineRule="auto"/>
        <w:ind w:left="420" w:hanging="420" w:hangingChars="20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ascii="宋体" w:hAnsi="宋体" w:eastAsia="宋体" w:cs="Times New Roman"/>
          <w:color w:val="auto"/>
          <w:highlight w:val="none"/>
        </w:rPr>
        <w:t>发票合计金额视为投标人所提供该项供货业绩的供货金额，并按此金额进行评审</w:t>
      </w:r>
      <w:r>
        <w:rPr>
          <w:rFonts w:hint="eastAsia" w:ascii="宋体" w:hAnsi="宋体" w:cs="宋体"/>
          <w:color w:val="auto"/>
          <w:szCs w:val="21"/>
          <w:highlight w:val="none"/>
          <w:lang w:val="zh-CN"/>
        </w:rPr>
        <w:t>。</w:t>
      </w:r>
      <w:bookmarkEnd w:id="640"/>
    </w:p>
    <w:p>
      <w:pPr>
        <w:spacing w:line="360" w:lineRule="auto"/>
        <w:rPr>
          <w:rFonts w:ascii="宋体" w:hAnsi="宋体" w:cs="宋体"/>
          <w:color w:val="auto"/>
          <w:szCs w:val="21"/>
          <w:highlight w:val="none"/>
          <w:lang w:val="zh-CN"/>
        </w:rPr>
      </w:pPr>
    </w:p>
    <w:p>
      <w:pPr>
        <w:autoSpaceDE w:val="0"/>
        <w:autoSpaceDN w:val="0"/>
        <w:adjustRightInd w:val="0"/>
        <w:spacing w:line="360" w:lineRule="auto"/>
        <w:ind w:firstLine="602"/>
        <w:rPr>
          <w:rFonts w:ascii="宋体" w:hAnsi="宋体" w:cs="Times New Roman"/>
          <w:b/>
          <w:bCs/>
          <w:color w:val="auto"/>
          <w:sz w:val="30"/>
          <w:szCs w:val="30"/>
          <w:highlight w:val="none"/>
          <w:lang w:val="zh-CN"/>
        </w:rPr>
      </w:pPr>
    </w:p>
    <w:bookmarkEnd w:id="636"/>
    <w:bookmarkEnd w:id="637"/>
    <w:p>
      <w:pPr>
        <w:tabs>
          <w:tab w:val="left" w:pos="567"/>
        </w:tabs>
        <w:autoSpaceDE w:val="0"/>
        <w:autoSpaceDN w:val="0"/>
        <w:adjustRightInd w:val="0"/>
        <w:spacing w:line="360" w:lineRule="auto"/>
        <w:jc w:val="left"/>
        <w:outlineLvl w:val="2"/>
        <w:rPr>
          <w:rFonts w:hint="eastAsia" w:ascii="宋体" w:hAnsi="宋体" w:cs="宋体"/>
          <w:b/>
          <w:bCs/>
          <w:color w:val="auto"/>
          <w:kern w:val="0"/>
          <w:sz w:val="32"/>
          <w:szCs w:val="32"/>
          <w:highlight w:val="none"/>
          <w:lang w:val="zh-CN"/>
        </w:rPr>
      </w:pPr>
      <w:bookmarkStart w:id="641" w:name="_Toc486167719"/>
      <w:bookmarkStart w:id="642" w:name="_Toc17424"/>
      <w:bookmarkStart w:id="643" w:name="_Toc173684947"/>
      <w:bookmarkStart w:id="644" w:name="_Toc1977737"/>
      <w:bookmarkStart w:id="645" w:name="_Toc11745"/>
      <w:bookmarkStart w:id="646" w:name="_Toc102860083"/>
      <w:bookmarkStart w:id="647" w:name="_Toc94107220"/>
      <w:bookmarkStart w:id="648" w:name="_Toc142508378"/>
      <w:bookmarkStart w:id="649" w:name="_Toc102860427"/>
      <w:bookmarkStart w:id="650" w:name="_Toc13822"/>
      <w:bookmarkStart w:id="651" w:name="_Toc533708132"/>
      <w:bookmarkStart w:id="652" w:name="_Toc140596938"/>
      <w:bookmarkStart w:id="653" w:name="_Toc18175_WPSOffice_Level2"/>
      <w:bookmarkStart w:id="654" w:name="_Toc104991885"/>
    </w:p>
    <w:p>
      <w:pPr>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br w:type="page"/>
      </w:r>
    </w:p>
    <w:p>
      <w:pPr>
        <w:tabs>
          <w:tab w:val="left" w:pos="567"/>
        </w:tabs>
        <w:autoSpaceDE w:val="0"/>
        <w:autoSpaceDN w:val="0"/>
        <w:adjustRightInd w:val="0"/>
        <w:spacing w:line="360" w:lineRule="auto"/>
        <w:jc w:val="left"/>
        <w:outlineLvl w:val="2"/>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十</w:t>
      </w:r>
      <w:r>
        <w:rPr>
          <w:rFonts w:hint="eastAsia" w:ascii="宋体" w:hAnsi="宋体" w:cs="宋体"/>
          <w:b/>
          <w:bCs/>
          <w:color w:val="auto"/>
          <w:kern w:val="0"/>
          <w:sz w:val="32"/>
          <w:szCs w:val="32"/>
          <w:highlight w:val="none"/>
          <w:lang w:val="en-US" w:eastAsia="zh-CN"/>
        </w:rPr>
        <w:t>一</w:t>
      </w:r>
      <w:r>
        <w:rPr>
          <w:rFonts w:hint="eastAsia" w:ascii="宋体" w:hAnsi="宋体" w:cs="宋体"/>
          <w:b/>
          <w:bCs/>
          <w:color w:val="auto"/>
          <w:kern w:val="0"/>
          <w:sz w:val="32"/>
          <w:szCs w:val="32"/>
          <w:highlight w:val="none"/>
          <w:lang w:val="zh-CN"/>
        </w:rPr>
        <w:t>、</w:t>
      </w:r>
      <w:r>
        <w:rPr>
          <w:rFonts w:hint="eastAsia" w:hAnsi="宋体" w:cs="宋体"/>
          <w:b/>
          <w:color w:val="auto"/>
          <w:sz w:val="30"/>
          <w:szCs w:val="30"/>
          <w:highlight w:val="none"/>
          <w:lang w:val="zh-CN"/>
        </w:rPr>
        <w:t>投标</w:t>
      </w:r>
      <w:r>
        <w:rPr>
          <w:rFonts w:hint="eastAsia" w:ascii="宋体" w:hAnsi="宋体" w:cs="宋体"/>
          <w:b/>
          <w:bCs/>
          <w:color w:val="auto"/>
          <w:kern w:val="0"/>
          <w:sz w:val="32"/>
          <w:szCs w:val="32"/>
          <w:highlight w:val="none"/>
          <w:lang w:val="zh-CN"/>
        </w:rPr>
        <w:t>保证金汇入情况说明</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autoSpaceDE w:val="0"/>
        <w:autoSpaceDN w:val="0"/>
        <w:adjustRightInd w:val="0"/>
        <w:spacing w:line="360" w:lineRule="auto"/>
        <w:jc w:val="left"/>
        <w:rPr>
          <w:rFonts w:ascii="宋体" w:hAnsi="宋体" w:cs="宋体"/>
          <w:color w:val="auto"/>
          <w:szCs w:val="24"/>
          <w:highlight w:val="none"/>
        </w:rPr>
      </w:pPr>
    </w:p>
    <w:p>
      <w:pPr>
        <w:autoSpaceDE w:val="0"/>
        <w:autoSpaceDN w:val="0"/>
        <w:adjustRightInd w:val="0"/>
        <w:spacing w:line="360" w:lineRule="auto"/>
        <w:jc w:val="center"/>
        <w:rPr>
          <w:rFonts w:ascii="宋体" w:hAnsi="宋体" w:cs="宋体"/>
          <w:b/>
          <w:bCs/>
          <w:color w:val="auto"/>
          <w:kern w:val="0"/>
          <w:sz w:val="24"/>
          <w:szCs w:val="24"/>
          <w:highlight w:val="none"/>
        </w:rPr>
      </w:pPr>
      <w:bookmarkStart w:id="655" w:name="_Toc31832_WPSOffice_Level3"/>
      <w:r>
        <w:rPr>
          <w:rFonts w:hint="eastAsia" w:ascii="宋体" w:hAnsi="宋体" w:cs="宋体"/>
          <w:b/>
          <w:bCs/>
          <w:color w:val="auto"/>
          <w:kern w:val="0"/>
          <w:sz w:val="24"/>
          <w:szCs w:val="24"/>
          <w:highlight w:val="none"/>
        </w:rPr>
        <w:t>投标保证金汇入情况说明</w:t>
      </w:r>
      <w:bookmarkEnd w:id="655"/>
    </w:p>
    <w:p>
      <w:pPr>
        <w:autoSpaceDE w:val="0"/>
        <w:autoSpaceDN w:val="0"/>
        <w:adjustRightInd w:val="0"/>
        <w:spacing w:line="360" w:lineRule="auto"/>
        <w:jc w:val="center"/>
        <w:rPr>
          <w:rFonts w:ascii="宋体" w:hAnsi="宋体" w:cs="宋体"/>
          <w:b/>
          <w:bCs/>
          <w:color w:val="auto"/>
          <w:kern w:val="0"/>
          <w:szCs w:val="24"/>
          <w:highlight w:val="none"/>
        </w:rPr>
      </w:pP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东莞市众源环境投资有限公司：</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kern w:val="0"/>
          <w:szCs w:val="21"/>
          <w:highlight w:val="none"/>
          <w:u w:val="single"/>
          <w:lang w:eastAsia="zh-CN"/>
        </w:rPr>
        <w:t>东莞市众源环境投资有限公司2025年污泥处理用聚丙烯酰胺采购项目</w:t>
      </w:r>
      <w:r>
        <w:rPr>
          <w:rFonts w:hint="eastAsia" w:ascii="宋体" w:hAnsi="宋体" w:cs="宋体"/>
          <w:color w:val="auto"/>
          <w:szCs w:val="21"/>
          <w:highlight w:val="none"/>
        </w:rPr>
        <w:t>（招标编号：</w:t>
      </w:r>
      <w:r>
        <w:rPr>
          <w:rFonts w:hint="eastAsia" w:ascii="宋体" w:hAnsi="宋体" w:cs="宋体"/>
          <w:color w:val="auto"/>
          <w:szCs w:val="21"/>
          <w:highlight w:val="none"/>
          <w:u w:val="single"/>
          <w:lang w:eastAsia="zh-CN"/>
        </w:rPr>
        <w:t>0832-SFCX25DG020A</w:t>
      </w:r>
      <w:r>
        <w:rPr>
          <w:rFonts w:hint="eastAsia" w:ascii="宋体" w:hAnsi="宋体" w:cs="宋体"/>
          <w:color w:val="auto"/>
          <w:szCs w:val="21"/>
          <w:highlight w:val="none"/>
        </w:rPr>
        <w:t>）的招标文件要求，于</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日前以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付款形式）方式汇入指定账户（账户名称：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lang w:val="zh-CN"/>
        </w:rPr>
        <w:t xml:space="preserve">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rPr>
        <w:t>）。</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本单位投标保证金的汇款情况：（详见附件－投标保证金进账单）</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年   月    日</w:t>
      </w:r>
    </w:p>
    <w:p>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rPr>
        <w:t>汇款金额：</w:t>
      </w:r>
      <w:r>
        <w:rPr>
          <w:rFonts w:hint="eastAsia" w:ascii="宋体" w:hAnsi="宋体" w:cs="宋体"/>
          <w:color w:val="auto"/>
          <w:szCs w:val="21"/>
          <w:highlight w:val="none"/>
          <w:u w:val="single"/>
        </w:rPr>
        <w:t>（大写）人民币      元（小写：¥      元）</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汇款账户名称：</w:t>
      </w:r>
      <w:r>
        <w:rPr>
          <w:rFonts w:hint="eastAsia" w:ascii="宋体" w:hAnsi="宋体" w:cs="宋体"/>
          <w:color w:val="auto"/>
          <w:szCs w:val="21"/>
          <w:highlight w:val="none"/>
          <w:u w:val="single"/>
        </w:rPr>
        <w:t>（必须是投标时使用的账户名）</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（必须是投标时使用的账号）</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省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市         </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pPr>
        <w:spacing w:line="360" w:lineRule="auto"/>
        <w:ind w:right="844" w:rightChars="402" w:firstLine="424" w:firstLineChars="202"/>
        <w:jc w:val="right"/>
        <w:rPr>
          <w:rFonts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bCs/>
          <w:color w:val="auto"/>
          <w:szCs w:val="24"/>
          <w:highlight w:val="none"/>
        </w:rPr>
        <w:t>投标人法人公章</w:t>
      </w:r>
      <w:r>
        <w:rPr>
          <w:rFonts w:hint="eastAsia" w:ascii="宋体" w:hAnsi="宋体" w:cs="宋体"/>
          <w:color w:val="auto"/>
          <w:szCs w:val="24"/>
          <w:highlight w:val="none"/>
        </w:rPr>
        <w:t>）</w:t>
      </w:r>
    </w:p>
    <w:p>
      <w:pPr>
        <w:spacing w:line="360" w:lineRule="auto"/>
        <w:ind w:right="628" w:rightChars="299" w:firstLine="7774" w:firstLineChars="3702"/>
        <w:jc w:val="left"/>
        <w:rPr>
          <w:rFonts w:ascii="宋体" w:hAnsi="宋体" w:cs="宋体"/>
          <w:color w:val="auto"/>
          <w:szCs w:val="24"/>
          <w:highlight w:val="none"/>
        </w:rPr>
      </w:pPr>
      <w:r>
        <w:rPr>
          <w:rFonts w:hint="eastAsia" w:ascii="宋体" w:hAnsi="宋体" w:cs="宋体"/>
          <w:color w:val="auto"/>
          <w:szCs w:val="24"/>
          <w:highlight w:val="none"/>
        </w:rPr>
        <w:t>年   月   日</w:t>
      </w:r>
    </w:p>
    <w:p>
      <w:pPr>
        <w:spacing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单位名称：</w:t>
      </w:r>
    </w:p>
    <w:p>
      <w:pPr>
        <w:spacing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单位地址：</w:t>
      </w:r>
    </w:p>
    <w:p>
      <w:pPr>
        <w:spacing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联系人：</w:t>
      </w:r>
    </w:p>
    <w:p>
      <w:pPr>
        <w:spacing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 xml:space="preserve">单位电话：                    </w:t>
      </w:r>
    </w:p>
    <w:p>
      <w:pPr>
        <w:spacing w:line="360" w:lineRule="auto"/>
        <w:ind w:firstLine="424" w:firstLineChars="202"/>
        <w:rPr>
          <w:rFonts w:ascii="宋体" w:hAnsi="宋体" w:cs="宋体"/>
          <w:color w:val="auto"/>
          <w:szCs w:val="24"/>
          <w:highlight w:val="none"/>
        </w:rPr>
      </w:pPr>
      <w:r>
        <w:rPr>
          <w:rFonts w:hint="eastAsia" w:ascii="宋体" w:hAnsi="宋体" w:cs="宋体"/>
          <w:color w:val="auto"/>
          <w:szCs w:val="24"/>
          <w:highlight w:val="none"/>
        </w:rPr>
        <w:t>联系人手机：</w:t>
      </w:r>
    </w:p>
    <w:p>
      <w:pPr>
        <w:spacing w:line="360" w:lineRule="auto"/>
        <w:ind w:left="340" w:leftChars="162" w:firstLine="425"/>
        <w:rPr>
          <w:rFonts w:ascii="宋体" w:hAnsi="宋体" w:cs="宋体"/>
          <w:b/>
          <w:bCs/>
          <w:color w:val="auto"/>
          <w:szCs w:val="21"/>
          <w:highlight w:val="none"/>
        </w:rPr>
      </w:pPr>
      <w:bookmarkStart w:id="656" w:name="_Toc26208_WPSOffice_Level3"/>
      <w:r>
        <w:rPr>
          <w:rFonts w:hint="eastAsia" w:ascii="宋体" w:hAnsi="宋体" w:cs="宋体"/>
          <w:b/>
          <w:bCs/>
          <w:color w:val="auto"/>
          <w:szCs w:val="21"/>
          <w:highlight w:val="none"/>
        </w:rPr>
        <w:t>附：1、我方投标保证金汇款凭证（复印件）</w:t>
      </w:r>
      <w:bookmarkEnd w:id="656"/>
    </w:p>
    <w:p>
      <w:pPr>
        <w:spacing w:line="360" w:lineRule="auto"/>
        <w:ind w:left="340" w:leftChars="162" w:firstLine="839" w:firstLineChars="398"/>
        <w:rPr>
          <w:rFonts w:ascii="宋体" w:hAnsi="宋体" w:cs="宋体"/>
          <w:b/>
          <w:bCs/>
          <w:color w:val="auto"/>
          <w:szCs w:val="21"/>
          <w:highlight w:val="none"/>
        </w:rPr>
      </w:pPr>
      <w:bookmarkStart w:id="657" w:name="_Toc12992_WPSOffice_Level3"/>
      <w:r>
        <w:rPr>
          <w:rFonts w:hint="eastAsia" w:ascii="宋体" w:hAnsi="宋体" w:cs="宋体"/>
          <w:b/>
          <w:bCs/>
          <w:color w:val="auto"/>
          <w:szCs w:val="21"/>
          <w:highlight w:val="none"/>
        </w:rPr>
        <w:t>2、我方基本账户开户许可证（复印件）</w:t>
      </w:r>
      <w:bookmarkEnd w:id="657"/>
    </w:p>
    <w:p>
      <w:pPr>
        <w:spacing w:line="360" w:lineRule="auto"/>
        <w:ind w:left="340" w:leftChars="162" w:firstLine="736" w:firstLineChars="349"/>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cs="宋体"/>
          <w:color w:val="auto"/>
          <w:szCs w:val="24"/>
          <w:highlight w:val="none"/>
          <w:lang w:val="zh-CN"/>
        </w:rPr>
      </w:pPr>
    </w:p>
    <w:p>
      <w:pPr>
        <w:spacing w:line="360" w:lineRule="auto"/>
        <w:ind w:firstLine="424" w:firstLineChars="202"/>
        <w:rPr>
          <w:rFonts w:ascii="宋体" w:hAnsi="宋体" w:cs="宋体"/>
          <w:color w:val="auto"/>
          <w:szCs w:val="24"/>
          <w:highlight w:val="none"/>
        </w:rPr>
      </w:pPr>
      <w:bookmarkStart w:id="658" w:name="_Toc486167721"/>
    </w:p>
    <w:p>
      <w:pPr>
        <w:spacing w:line="360" w:lineRule="auto"/>
        <w:ind w:firstLine="424" w:firstLineChars="202"/>
        <w:rPr>
          <w:rFonts w:ascii="宋体" w:hAnsi="宋体" w:cs="宋体"/>
          <w:color w:val="auto"/>
          <w:szCs w:val="24"/>
          <w:highlight w:val="none"/>
        </w:rPr>
      </w:pPr>
      <w:bookmarkStart w:id="659" w:name="_Toc533708134"/>
    </w:p>
    <w:p>
      <w:pPr>
        <w:widowControl/>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tabs>
          <w:tab w:val="left" w:pos="567"/>
        </w:tabs>
        <w:autoSpaceDE w:val="0"/>
        <w:autoSpaceDN w:val="0"/>
        <w:adjustRightInd w:val="0"/>
        <w:spacing w:line="360" w:lineRule="auto"/>
        <w:ind w:left="842" w:leftChars="0" w:hanging="842" w:hangingChars="262"/>
        <w:jc w:val="left"/>
        <w:outlineLvl w:val="2"/>
        <w:rPr>
          <w:rFonts w:ascii="宋体" w:hAnsi="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60" w:name="_Toc16292"/>
      <w:bookmarkStart w:id="661" w:name="_Toc173684948"/>
      <w:bookmarkStart w:id="662" w:name="_Toc94107221"/>
      <w:bookmarkStart w:id="663" w:name="_Toc104991886"/>
      <w:bookmarkStart w:id="664" w:name="_Toc1977738"/>
      <w:bookmarkStart w:id="665" w:name="_Toc18032"/>
      <w:bookmarkStart w:id="666" w:name="_Toc142508379"/>
      <w:bookmarkStart w:id="667" w:name="_Toc29141"/>
      <w:bookmarkStart w:id="668" w:name="_Toc140596939"/>
      <w:bookmarkStart w:id="669" w:name="_Toc102860428"/>
      <w:bookmarkStart w:id="670" w:name="_Toc102860084"/>
      <w:r>
        <w:rPr>
          <w:rFonts w:hint="eastAsia" w:ascii="宋体" w:hAnsi="宋体" w:cs="宋体"/>
          <w:b/>
          <w:bCs/>
          <w:color w:val="auto"/>
          <w:kern w:val="0"/>
          <w:sz w:val="32"/>
          <w:szCs w:val="32"/>
          <w:highlight w:val="none"/>
          <w:lang w:val="zh-CN"/>
        </w:rPr>
        <w:t>十</w:t>
      </w:r>
      <w:r>
        <w:rPr>
          <w:rFonts w:hint="eastAsia" w:ascii="宋体" w:hAnsi="宋体" w:cs="宋体"/>
          <w:b/>
          <w:bCs/>
          <w:color w:val="auto"/>
          <w:kern w:val="0"/>
          <w:sz w:val="32"/>
          <w:szCs w:val="32"/>
          <w:highlight w:val="none"/>
          <w:lang w:val="en-US" w:eastAsia="zh-CN"/>
        </w:rPr>
        <w:t>二</w:t>
      </w:r>
      <w:r>
        <w:rPr>
          <w:rFonts w:hint="eastAsia" w:ascii="宋体" w:hAnsi="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cs="宋体"/>
          <w:b/>
          <w:bCs/>
          <w:color w:val="auto"/>
          <w:kern w:val="0"/>
          <w:sz w:val="32"/>
          <w:szCs w:val="32"/>
          <w:highlight w:val="none"/>
        </w:rPr>
        <w:t>及有关</w:t>
      </w:r>
      <w:r>
        <w:rPr>
          <w:rFonts w:hint="eastAsia" w:ascii="宋体" w:hAnsi="宋体" w:cs="宋体"/>
          <w:b/>
          <w:bCs/>
          <w:color w:val="auto"/>
          <w:kern w:val="0"/>
          <w:sz w:val="32"/>
          <w:szCs w:val="32"/>
          <w:highlight w:val="none"/>
          <w:lang w:val="zh-CN"/>
        </w:rPr>
        <w:t>服务能力的有关其它商务文件（不做强制要求）</w:t>
      </w:r>
      <w:bookmarkEnd w:id="660"/>
      <w:bookmarkEnd w:id="661"/>
      <w:bookmarkEnd w:id="662"/>
      <w:bookmarkEnd w:id="663"/>
      <w:bookmarkEnd w:id="664"/>
      <w:bookmarkEnd w:id="665"/>
      <w:bookmarkEnd w:id="666"/>
      <w:bookmarkEnd w:id="667"/>
      <w:bookmarkEnd w:id="668"/>
      <w:bookmarkEnd w:id="669"/>
      <w:bookmarkEnd w:id="670"/>
    </w:p>
    <w:p>
      <w:pPr>
        <w:tabs>
          <w:tab w:val="left" w:pos="567"/>
        </w:tabs>
        <w:autoSpaceDE w:val="0"/>
        <w:autoSpaceDN w:val="0"/>
        <w:adjustRightInd w:val="0"/>
        <w:spacing w:line="360" w:lineRule="auto"/>
        <w:ind w:left="842" w:leftChars="0" w:hanging="842" w:hangingChars="262"/>
        <w:jc w:val="left"/>
        <w:outlineLvl w:val="2"/>
        <w:rPr>
          <w:rFonts w:ascii="宋体" w:hAnsi="宋体" w:cs="宋体"/>
          <w:b/>
          <w:color w:val="auto"/>
          <w:kern w:val="0"/>
          <w:sz w:val="32"/>
          <w:szCs w:val="32"/>
          <w:highlight w:val="none"/>
        </w:rPr>
      </w:pPr>
      <w:bookmarkStart w:id="671" w:name="_Toc102860085"/>
      <w:bookmarkStart w:id="672" w:name="_Toc15051"/>
      <w:bookmarkStart w:id="673" w:name="_Toc104991887"/>
      <w:bookmarkStart w:id="674" w:name="_Toc14341"/>
      <w:bookmarkStart w:id="675" w:name="_Toc173684949"/>
      <w:bookmarkStart w:id="676" w:name="_Toc1977739"/>
      <w:bookmarkStart w:id="677" w:name="_Toc94107222"/>
      <w:bookmarkStart w:id="678" w:name="_Toc102860429"/>
      <w:bookmarkStart w:id="679" w:name="_Toc140596940"/>
      <w:bookmarkStart w:id="680" w:name="_Toc14020"/>
      <w:bookmarkStart w:id="681" w:name="_Toc142508380"/>
      <w:r>
        <w:rPr>
          <w:rFonts w:hint="eastAsia" w:ascii="宋体" w:hAnsi="宋体" w:cs="宋体"/>
          <w:b/>
          <w:color w:val="auto"/>
          <w:kern w:val="0"/>
          <w:sz w:val="32"/>
          <w:szCs w:val="32"/>
          <w:highlight w:val="none"/>
        </w:rPr>
        <w:t>十</w:t>
      </w: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、技术响应文件格式</w:t>
      </w:r>
      <w:bookmarkEnd w:id="659"/>
      <w:bookmarkEnd w:id="671"/>
      <w:bookmarkEnd w:id="672"/>
      <w:bookmarkEnd w:id="673"/>
      <w:bookmarkEnd w:id="674"/>
      <w:bookmarkEnd w:id="675"/>
      <w:bookmarkEnd w:id="676"/>
      <w:bookmarkEnd w:id="677"/>
      <w:bookmarkEnd w:id="678"/>
      <w:bookmarkEnd w:id="679"/>
      <w:bookmarkEnd w:id="680"/>
      <w:bookmarkEnd w:id="681"/>
    </w:p>
    <w:p>
      <w:pPr>
        <w:tabs>
          <w:tab w:val="left" w:pos="864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rPr>
        <w:t>1、用户需求响应程度（用户需求偏离表格式）；</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rPr>
        <w:t>2、投标产品技术指标承诺书；</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rPr>
        <w:t>3、第三方检测机构出具的检验报告复印件；</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eastAsia="宋体" w:cs="宋体"/>
          <w:color w:val="auto"/>
          <w:szCs w:val="21"/>
          <w:highlight w:val="none"/>
          <w:lang w:val="zh-CN"/>
        </w:rPr>
        <w:t>生产</w:t>
      </w:r>
      <w:r>
        <w:rPr>
          <w:rFonts w:hint="eastAsia" w:ascii="宋体" w:hAnsi="宋体" w:eastAsia="宋体" w:cs="宋体"/>
          <w:color w:val="auto"/>
          <w:szCs w:val="21"/>
          <w:highlight w:val="none"/>
        </w:rPr>
        <w:t>规模</w:t>
      </w:r>
      <w:r>
        <w:rPr>
          <w:rFonts w:hint="eastAsia" w:ascii="宋体" w:hAnsi="宋体" w:cs="宋体"/>
          <w:color w:val="auto"/>
          <w:kern w:val="0"/>
          <w:szCs w:val="21"/>
          <w:highlight w:val="none"/>
        </w:rPr>
        <w:t>；</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eastAsia="宋体" w:cs="宋体"/>
          <w:color w:val="auto"/>
          <w:szCs w:val="21"/>
          <w:highlight w:val="none"/>
          <w:lang w:val="zh-CN"/>
        </w:rPr>
        <w:t>供货</w:t>
      </w:r>
      <w:r>
        <w:rPr>
          <w:rFonts w:hint="eastAsia" w:ascii="宋体" w:hAnsi="宋体" w:eastAsia="宋体" w:cs="宋体"/>
          <w:color w:val="auto"/>
          <w:szCs w:val="21"/>
          <w:highlight w:val="none"/>
        </w:rPr>
        <w:t>运输</w:t>
      </w:r>
      <w:r>
        <w:rPr>
          <w:rFonts w:hint="eastAsia" w:ascii="宋体" w:hAnsi="宋体" w:eastAsia="宋体" w:cs="宋体"/>
          <w:color w:val="auto"/>
          <w:szCs w:val="21"/>
          <w:highlight w:val="none"/>
          <w:lang w:val="zh-CN"/>
        </w:rPr>
        <w:t>保障</w:t>
      </w:r>
      <w:r>
        <w:rPr>
          <w:rFonts w:hint="eastAsia" w:ascii="宋体" w:hAnsi="宋体" w:cs="宋体"/>
          <w:color w:val="auto"/>
          <w:kern w:val="0"/>
          <w:szCs w:val="21"/>
          <w:highlight w:val="none"/>
        </w:rPr>
        <w:t>；</w:t>
      </w:r>
    </w:p>
    <w:p>
      <w:pPr>
        <w:spacing w:line="360" w:lineRule="auto"/>
        <w:ind w:left="443" w:leftChars="77" w:hanging="281" w:hangingChars="134"/>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、投标人认为有必要提供的其它材料（不做强制要求）。</w:t>
      </w: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pStyle w:val="19"/>
        <w:spacing w:line="360" w:lineRule="auto"/>
        <w:jc w:val="center"/>
        <w:rPr>
          <w:rFonts w:ascii="宋体" w:hAnsi="宋体" w:cs="宋体"/>
          <w:color w:val="auto"/>
          <w:sz w:val="84"/>
          <w:highlight w:val="none"/>
        </w:rPr>
      </w:pPr>
    </w:p>
    <w:p>
      <w:pPr>
        <w:pStyle w:val="19"/>
        <w:spacing w:line="360" w:lineRule="auto"/>
        <w:jc w:val="center"/>
        <w:rPr>
          <w:rFonts w:ascii="宋体" w:hAnsi="宋体" w:cs="宋体"/>
          <w:color w:val="auto"/>
          <w:sz w:val="84"/>
          <w:highlight w:val="none"/>
        </w:rPr>
      </w:pPr>
    </w:p>
    <w:p>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pPr>
        <w:pStyle w:val="19"/>
        <w:spacing w:line="360" w:lineRule="auto"/>
        <w:rPr>
          <w:rFonts w:ascii="宋体" w:hAnsi="宋体" w:cs="宋体"/>
          <w:color w:val="auto"/>
          <w:highlight w:val="none"/>
        </w:rPr>
      </w:pPr>
    </w:p>
    <w:p>
      <w:pPr>
        <w:pStyle w:val="19"/>
        <w:spacing w:line="360" w:lineRule="auto"/>
        <w:rPr>
          <w:rFonts w:ascii="宋体" w:hAnsi="宋体" w:cs="宋体"/>
          <w:color w:val="auto"/>
          <w:highlight w:val="none"/>
        </w:rPr>
      </w:pPr>
      <w:r>
        <w:rPr>
          <w:rFonts w:hint="eastAsia" w:ascii="宋体" w:hAnsi="宋体" w:cs="宋体"/>
          <w:color w:val="auto"/>
          <w:highlight w:val="none"/>
        </w:rPr>
        <w:br w:type="page"/>
      </w:r>
    </w:p>
    <w:p>
      <w:pPr>
        <w:pStyle w:val="19"/>
        <w:spacing w:line="360" w:lineRule="auto"/>
        <w:rPr>
          <w:rFonts w:ascii="宋体" w:hAnsi="宋体" w:cs="宋体"/>
          <w:color w:val="auto"/>
          <w:highlight w:val="none"/>
        </w:rPr>
      </w:pPr>
    </w:p>
    <w:p>
      <w:pPr>
        <w:pBdr>
          <w:bottom w:val="single" w:color="auto" w:sz="6" w:space="0"/>
        </w:pBdr>
        <w:spacing w:line="480" w:lineRule="auto"/>
        <w:ind w:firstLine="472" w:firstLineChars="224"/>
        <w:jc w:val="center"/>
        <w:rPr>
          <w:rFonts w:ascii="宋体" w:hAnsi="宋体" w:cs="宋体"/>
          <w:b/>
          <w:bCs/>
          <w:color w:val="auto"/>
          <w:szCs w:val="21"/>
          <w:highlight w:val="none"/>
        </w:rPr>
      </w:pPr>
      <w:r>
        <w:rPr>
          <w:rFonts w:hint="eastAsia" w:ascii="宋体" w:hAnsi="宋体" w:cs="宋体"/>
          <w:b/>
          <w:bCs/>
          <w:color w:val="auto"/>
          <w:szCs w:val="21"/>
          <w:highlight w:val="none"/>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337"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评标项目</w:t>
            </w:r>
          </w:p>
        </w:tc>
        <w:tc>
          <w:tcPr>
            <w:tcW w:w="861" w:type="pct"/>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招标文件上的满分值</w:t>
            </w:r>
          </w:p>
        </w:tc>
        <w:tc>
          <w:tcPr>
            <w:tcW w:w="2136" w:type="pct"/>
            <w:tcBorders>
              <w:left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p>
        </w:tc>
        <w:tc>
          <w:tcPr>
            <w:tcW w:w="1337" w:type="pct"/>
            <w:vAlign w:val="center"/>
          </w:tcPr>
          <w:p>
            <w:pPr>
              <w:adjustRightInd w:val="0"/>
              <w:snapToGrid w:val="0"/>
              <w:spacing w:line="360" w:lineRule="auto"/>
              <w:jc w:val="center"/>
              <w:rPr>
                <w:rFonts w:ascii="宋体" w:hAnsi="宋体" w:cs="宋体"/>
                <w:bCs/>
                <w:color w:val="auto"/>
                <w:szCs w:val="21"/>
                <w:highlight w:val="none"/>
              </w:rPr>
            </w:pPr>
          </w:p>
        </w:tc>
        <w:tc>
          <w:tcPr>
            <w:tcW w:w="861" w:type="pct"/>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ascii="宋体" w:hAnsi="宋体" w:cs="宋体"/>
                <w:bCs/>
                <w:color w:val="auto"/>
                <w:szCs w:val="21"/>
                <w:highlight w:val="none"/>
              </w:rPr>
            </w:pPr>
          </w:p>
        </w:tc>
        <w:tc>
          <w:tcPr>
            <w:tcW w:w="1337" w:type="pct"/>
            <w:vAlign w:val="center"/>
          </w:tcPr>
          <w:p>
            <w:pPr>
              <w:rPr>
                <w:rFonts w:ascii="宋体" w:hAnsi="宋体" w:cs="宋体"/>
                <w:bCs/>
                <w:color w:val="auto"/>
                <w:szCs w:val="21"/>
                <w:highlight w:val="none"/>
              </w:rPr>
            </w:pPr>
          </w:p>
        </w:tc>
        <w:tc>
          <w:tcPr>
            <w:tcW w:w="861" w:type="pct"/>
            <w:vAlign w:val="center"/>
          </w:tcPr>
          <w:p>
            <w:pPr>
              <w:rPr>
                <w:rFonts w:ascii="宋体" w:hAnsi="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ascii="宋体" w:hAnsi="宋体" w:cs="宋体"/>
                <w:bCs/>
                <w:color w:val="auto"/>
                <w:szCs w:val="21"/>
                <w:highlight w:val="none"/>
              </w:rPr>
            </w:pPr>
          </w:p>
        </w:tc>
        <w:tc>
          <w:tcPr>
            <w:tcW w:w="1337" w:type="pct"/>
            <w:vAlign w:val="center"/>
          </w:tcPr>
          <w:p>
            <w:pPr>
              <w:adjustRightInd w:val="0"/>
              <w:snapToGrid w:val="0"/>
              <w:spacing w:line="360" w:lineRule="auto"/>
              <w:rPr>
                <w:rFonts w:ascii="宋体" w:hAnsi="宋体" w:cs="宋体"/>
                <w:bCs/>
                <w:color w:val="auto"/>
                <w:szCs w:val="21"/>
                <w:highlight w:val="none"/>
              </w:rPr>
            </w:pPr>
          </w:p>
        </w:tc>
        <w:tc>
          <w:tcPr>
            <w:tcW w:w="861" w:type="pct"/>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ascii="宋体" w:hAnsi="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ascii="宋体" w:hAnsi="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r>
        <w:rPr>
          <w:rFonts w:hint="eastAsia" w:ascii="宋体" w:hAnsi="宋体" w:cs="宋体"/>
          <w:b/>
          <w:color w:val="auto"/>
          <w:kern w:val="0"/>
          <w:szCs w:val="21"/>
          <w:highlight w:val="none"/>
        </w:rPr>
        <w:br w:type="page"/>
      </w:r>
      <w:bookmarkEnd w:id="658"/>
      <w:bookmarkStart w:id="682" w:name="_Toc1558"/>
      <w:bookmarkStart w:id="683" w:name="_Toc104991888"/>
      <w:bookmarkStart w:id="684" w:name="_Toc94107223"/>
      <w:bookmarkStart w:id="685" w:name="_Toc20630"/>
      <w:bookmarkStart w:id="686" w:name="_Toc102860086"/>
      <w:bookmarkStart w:id="687" w:name="_Toc142508381"/>
      <w:bookmarkStart w:id="688" w:name="_Toc140596941"/>
      <w:bookmarkStart w:id="689" w:name="_Toc173684950"/>
      <w:bookmarkStart w:id="690" w:name="_Toc2604"/>
      <w:bookmarkStart w:id="691" w:name="_Toc1977740"/>
      <w:bookmarkStart w:id="692" w:name="_Toc102860430"/>
      <w:bookmarkStart w:id="693" w:name="_Toc533708135"/>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.1 用户需求偏离表格式</w:t>
      </w:r>
      <w:bookmarkEnd w:id="682"/>
      <w:bookmarkEnd w:id="683"/>
      <w:bookmarkEnd w:id="684"/>
      <w:bookmarkEnd w:id="685"/>
      <w:bookmarkEnd w:id="686"/>
      <w:bookmarkEnd w:id="687"/>
      <w:bookmarkEnd w:id="688"/>
      <w:bookmarkEnd w:id="689"/>
      <w:bookmarkEnd w:id="690"/>
      <w:bookmarkEnd w:id="691"/>
      <w:bookmarkEnd w:id="692"/>
      <w:bookmarkEnd w:id="693"/>
    </w:p>
    <w:p>
      <w:pPr>
        <w:spacing w:before="120" w:after="120" w:line="360" w:lineRule="auto"/>
        <w:jc w:val="center"/>
        <w:rPr>
          <w:rFonts w:ascii="宋体" w:hAnsi="宋体" w:cs="Times New Roman"/>
          <w:color w:val="auto"/>
          <w:kern w:val="0"/>
          <w:szCs w:val="21"/>
          <w:highlight w:val="none"/>
        </w:rPr>
      </w:pPr>
      <w:bookmarkStart w:id="694" w:name="_Toc17449_WPSOffice_Level3"/>
      <w:r>
        <w:rPr>
          <w:rFonts w:hint="eastAsia" w:ascii="宋体" w:hAnsi="宋体" w:cs="宋体"/>
          <w:b/>
          <w:color w:val="auto"/>
          <w:kern w:val="0"/>
          <w:sz w:val="30"/>
          <w:szCs w:val="30"/>
          <w:highlight w:val="none"/>
          <w:lang w:val="zh-CN"/>
        </w:rPr>
        <w:t>用户需求偏离表</w:t>
      </w:r>
      <w:bookmarkEnd w:id="69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860"/>
        <w:gridCol w:w="4992"/>
        <w:gridCol w:w="914"/>
        <w:gridCol w:w="224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2644" w:type="pct"/>
            <w:gridSpan w:val="2"/>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招标文件要求</w:t>
            </w:r>
          </w:p>
        </w:tc>
        <w:tc>
          <w:tcPr>
            <w:tcW w:w="2074" w:type="pct"/>
            <w:gridSpan w:val="3"/>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pPr>
              <w:keepNext/>
              <w:keepLines/>
              <w:snapToGrid w:val="0"/>
              <w:spacing w:line="360" w:lineRule="auto"/>
              <w:jc w:val="center"/>
              <w:outlineLvl w:val="0"/>
              <w:rPr>
                <w:rFonts w:ascii="宋体" w:hAnsi="宋体" w:cs="宋体"/>
                <w:color w:val="auto"/>
                <w:kern w:val="0"/>
                <w:sz w:val="18"/>
                <w:szCs w:val="18"/>
                <w:highlight w:val="none"/>
              </w:rPr>
            </w:pPr>
          </w:p>
        </w:tc>
        <w:tc>
          <w:tcPr>
            <w:tcW w:w="459"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条款号</w:t>
            </w:r>
          </w:p>
        </w:tc>
        <w:tc>
          <w:tcPr>
            <w:tcW w:w="2185"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简要内容</w:t>
            </w:r>
          </w:p>
        </w:tc>
        <w:tc>
          <w:tcPr>
            <w:tcW w:w="485"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偏离情况</w:t>
            </w:r>
          </w:p>
        </w:tc>
        <w:tc>
          <w:tcPr>
            <w:tcW w:w="1126"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实质性响应的具体内容</w:t>
            </w:r>
          </w:p>
        </w:tc>
        <w:tc>
          <w:tcPr>
            <w:tcW w:w="462"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二</w:t>
            </w:r>
          </w:p>
        </w:tc>
        <w:tc>
          <w:tcPr>
            <w:tcW w:w="2185" w:type="pct"/>
            <w:vAlign w:val="center"/>
          </w:tcPr>
          <w:p>
            <w:pPr>
              <w:pageBreakBefore w:val="0"/>
              <w:widowControl w:val="0"/>
              <w:kinsoku/>
              <w:wordWrap/>
              <w:overflowPunct/>
              <w:topLinePunct w:val="0"/>
              <w:autoSpaceDE w:val="0"/>
              <w:autoSpaceDN w:val="0"/>
              <w:bidi w:val="0"/>
              <w:adjustRightInd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标的物</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sz w:val="18"/>
                <w:szCs w:val="18"/>
                <w:highlight w:val="none"/>
              </w:rPr>
              <w:t>三</w:t>
            </w:r>
          </w:p>
        </w:tc>
        <w:tc>
          <w:tcPr>
            <w:tcW w:w="2185" w:type="pct"/>
            <w:vAlign w:val="center"/>
          </w:tcPr>
          <w:p>
            <w:pPr>
              <w:pageBreakBefore w:val="0"/>
              <w:widowControl w:val="0"/>
              <w:kinsoku/>
              <w:wordWrap/>
              <w:overflowPunct/>
              <w:topLinePunct w:val="0"/>
              <w:bidi w:val="0"/>
              <w:adjustRightInd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质量要求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四</w:t>
            </w:r>
          </w:p>
        </w:tc>
        <w:tc>
          <w:tcPr>
            <w:tcW w:w="2185"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包装及运输要求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五</w:t>
            </w:r>
          </w:p>
        </w:tc>
        <w:tc>
          <w:tcPr>
            <w:tcW w:w="2185"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交货要求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sz w:val="18"/>
                <w:szCs w:val="18"/>
                <w:highlight w:val="none"/>
              </w:rPr>
              <w:t>六</w:t>
            </w:r>
          </w:p>
        </w:tc>
        <w:tc>
          <w:tcPr>
            <w:tcW w:w="2185"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价款要求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sz w:val="18"/>
                <w:szCs w:val="18"/>
                <w:highlight w:val="none"/>
              </w:rPr>
              <w:t>七</w:t>
            </w:r>
          </w:p>
        </w:tc>
        <w:tc>
          <w:tcPr>
            <w:tcW w:w="2185"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售后要求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59"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kern w:val="0"/>
                <w:sz w:val="18"/>
                <w:szCs w:val="18"/>
                <w:highlight w:val="none"/>
              </w:rPr>
            </w:pPr>
            <w:r>
              <w:rPr>
                <w:rFonts w:hint="eastAsia" w:ascii="宋体" w:hAnsi="宋体" w:cs="宋体"/>
                <w:bCs/>
                <w:color w:val="auto"/>
                <w:sz w:val="18"/>
                <w:szCs w:val="18"/>
                <w:highlight w:val="none"/>
              </w:rPr>
              <w:t>八</w:t>
            </w:r>
          </w:p>
        </w:tc>
        <w:tc>
          <w:tcPr>
            <w:tcW w:w="2185" w:type="pct"/>
            <w:vAlign w:val="center"/>
          </w:tcPr>
          <w:p>
            <w:pPr>
              <w:pageBreakBefore w:val="0"/>
              <w:widowControl w:val="0"/>
              <w:kinsoku/>
              <w:wordWrap/>
              <w:overflowPunct/>
              <w:topLinePunct w:val="0"/>
              <w:bidi w:val="0"/>
              <w:snapToGrid w:val="0"/>
              <w:spacing w:before="100"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其它要求</w:t>
            </w:r>
          </w:p>
        </w:tc>
        <w:tc>
          <w:tcPr>
            <w:tcW w:w="485"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1126"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c>
          <w:tcPr>
            <w:tcW w:w="462" w:type="pct"/>
            <w:vAlign w:val="center"/>
          </w:tcPr>
          <w:p>
            <w:pPr>
              <w:keepNext/>
              <w:keepLines/>
              <w:pageBreakBefore w:val="0"/>
              <w:widowControl w:val="0"/>
              <w:kinsoku/>
              <w:wordWrap/>
              <w:overflowPunct/>
              <w:topLinePunct w:val="0"/>
              <w:bidi w:val="0"/>
              <w:snapToGrid w:val="0"/>
              <w:spacing w:before="100" w:line="360" w:lineRule="auto"/>
              <w:jc w:val="center"/>
              <w:textAlignment w:val="auto"/>
              <w:outlineLvl w:val="2"/>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keepNext/>
              <w:keepLines/>
              <w:snapToGrid w:val="0"/>
              <w:spacing w:line="360" w:lineRule="auto"/>
              <w:outlineLvl w:val="2"/>
              <w:rPr>
                <w:rFonts w:ascii="宋体" w:hAnsi="宋体" w:cs="宋体"/>
                <w:color w:val="auto"/>
                <w:kern w:val="0"/>
                <w:sz w:val="18"/>
                <w:szCs w:val="18"/>
                <w:highlight w:val="none"/>
              </w:rPr>
            </w:pPr>
            <w:bookmarkStart w:id="695" w:name="_Toc17032"/>
            <w:r>
              <w:rPr>
                <w:rFonts w:hint="eastAsia" w:ascii="宋体" w:hAnsi="宋体" w:cs="宋体"/>
                <w:color w:val="auto"/>
                <w:kern w:val="0"/>
                <w:sz w:val="18"/>
                <w:szCs w:val="18"/>
                <w:highlight w:val="none"/>
              </w:rPr>
              <w:t>用户需求书“★”条款汇总：</w:t>
            </w:r>
            <w:bookmarkEnd w:id="6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p>
        </w:tc>
        <w:tc>
          <w:tcPr>
            <w:tcW w:w="459" w:type="pct"/>
            <w:vAlign w:val="center"/>
          </w:tcPr>
          <w:p>
            <w:pPr>
              <w:snapToGrid w:val="0"/>
              <w:spacing w:line="360" w:lineRule="auto"/>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二</w:t>
            </w:r>
          </w:p>
        </w:tc>
        <w:tc>
          <w:tcPr>
            <w:tcW w:w="2185" w:type="pct"/>
            <w:vAlign w:val="center"/>
          </w:tcPr>
          <w:p>
            <w:pPr>
              <w:keepNext w:val="0"/>
              <w:keepLines w:val="0"/>
              <w:pageBreakBefore w:val="0"/>
              <w:kinsoku/>
              <w:wordWrap/>
              <w:overflowPunct/>
              <w:topLinePunct w:val="0"/>
              <w:autoSpaceDE/>
              <w:autoSpaceDN/>
              <w:bidi w:val="0"/>
              <w:adjustRightInd/>
              <w:snapToGrid/>
              <w:spacing w:line="360" w:lineRule="auto"/>
              <w:ind w:firstLine="36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18"/>
                <w:szCs w:val="18"/>
                <w:highlight w:val="none"/>
                <w:lang w:val="en-US" w:eastAsia="zh-CN"/>
              </w:rPr>
              <w:t xml:space="preserve">2.3.2 </w:t>
            </w:r>
            <w:r>
              <w:rPr>
                <w:rFonts w:hint="eastAsia" w:ascii="宋体" w:hAnsi="宋体" w:eastAsia="宋体" w:cs="宋体"/>
                <w:color w:val="auto"/>
                <w:sz w:val="21"/>
                <w:szCs w:val="21"/>
                <w:highlight w:val="none"/>
              </w:rPr>
              <w:t>阳离子聚丙烯酰胺固体产品</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符合《水处理剂 阳离子型聚丙烯酰胺的技术条件和试验方法》（GB/T 31246-2014）质量及检测标准</w:t>
            </w:r>
            <w:r>
              <w:rPr>
                <w:rFonts w:hint="eastAsia" w:ascii="宋体" w:hAnsi="宋体" w:cs="宋体"/>
                <w:color w:val="auto"/>
                <w:sz w:val="21"/>
                <w:szCs w:val="21"/>
                <w:highlight w:val="none"/>
                <w:lang w:val="en-US" w:eastAsia="zh-CN"/>
              </w:rPr>
              <w:t>并且达到以下标准要求：</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表1  阳离子聚丙烯酰胺主要技术指标</w:t>
            </w:r>
          </w:p>
          <w:tbl>
            <w:tblPr>
              <w:tblStyle w:val="39"/>
              <w:tblW w:w="4766"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3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指标项目</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37"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阳离子度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w/%</w:t>
                  </w:r>
                </w:p>
              </w:tc>
              <w:tc>
                <w:tcPr>
                  <w:tcW w:w="152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40%≥w≥5%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固含量</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1</w:t>
                  </w:r>
                  <w:r>
                    <w:rPr>
                      <w:rFonts w:hint="eastAsia" w:ascii="宋体" w:hAnsi="宋体" w:eastAsia="宋体" w:cs="宋体"/>
                      <w:color w:val="auto"/>
                      <w:sz w:val="20"/>
                      <w:szCs w:val="20"/>
                      <w:highlight w:val="none"/>
                      <w:lang w:val="en-US" w:eastAsia="zh-CN"/>
                    </w:rPr>
                    <w:t>/%</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1</w:t>
                  </w:r>
                  <w:r>
                    <w:rPr>
                      <w:rFonts w:hint="eastAsia" w:ascii="宋体" w:hAnsi="宋体" w:eastAsia="宋体" w:cs="宋体"/>
                      <w:color w:val="auto"/>
                      <w:sz w:val="20"/>
                      <w:szCs w:val="20"/>
                      <w:highlight w:val="none"/>
                    </w:rPr>
                    <w:t>≥88</w:t>
                  </w: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相对分子质量，M</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M≥100×10</w:t>
                  </w:r>
                  <w:r>
                    <w:rPr>
                      <w:rFonts w:hint="eastAsia" w:ascii="宋体" w:hAnsi="宋体" w:eastAsia="宋体" w:cs="宋体"/>
                      <w:color w:val="auto"/>
                      <w:sz w:val="20"/>
                      <w:szCs w:val="20"/>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丙烯酰胺单体含量（干基），w</w:t>
                  </w:r>
                  <w:r>
                    <w:rPr>
                      <w:rFonts w:hint="eastAsia" w:ascii="宋体" w:hAnsi="宋体" w:eastAsia="宋体" w:cs="宋体"/>
                      <w:color w:val="auto"/>
                      <w:sz w:val="20"/>
                      <w:szCs w:val="20"/>
                      <w:highlight w:val="none"/>
                      <w:vertAlign w:val="subscript"/>
                      <w:lang w:val="en-US" w:eastAsia="zh-CN"/>
                    </w:rPr>
                    <w:t>2</w:t>
                  </w:r>
                  <w:r>
                    <w:rPr>
                      <w:rFonts w:hint="eastAsia" w:ascii="宋体" w:hAnsi="宋体" w:eastAsia="宋体" w:cs="宋体"/>
                      <w:color w:val="auto"/>
                      <w:sz w:val="20"/>
                      <w:szCs w:val="20"/>
                      <w:highlight w:val="none"/>
                      <w:lang w:val="en-US" w:eastAsia="zh-CN"/>
                    </w:rPr>
                    <w:t>/%</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2</w:t>
                  </w:r>
                  <w:r>
                    <w:rPr>
                      <w:rFonts w:hint="eastAsia" w:ascii="宋体" w:hAnsi="宋体" w:eastAsia="宋体" w:cs="宋体"/>
                      <w:color w:val="auto"/>
                      <w:sz w:val="20"/>
                      <w:szCs w:val="20"/>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溶解时间（1g/L），t/min</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水不溶物，w</w:t>
                  </w:r>
                  <w:r>
                    <w:rPr>
                      <w:rFonts w:hint="eastAsia" w:ascii="宋体" w:hAnsi="宋体" w:eastAsia="宋体" w:cs="宋体"/>
                      <w:color w:val="auto"/>
                      <w:sz w:val="20"/>
                      <w:szCs w:val="20"/>
                      <w:highlight w:val="none"/>
                      <w:vertAlign w:val="subscript"/>
                      <w:lang w:val="en-US" w:eastAsia="zh-CN"/>
                    </w:rPr>
                    <w:t>3</w:t>
                  </w:r>
                  <w:r>
                    <w:rPr>
                      <w:rFonts w:hint="eastAsia" w:ascii="宋体" w:hAnsi="宋体" w:eastAsia="宋体" w:cs="宋体"/>
                      <w:color w:val="auto"/>
                      <w:sz w:val="20"/>
                      <w:szCs w:val="20"/>
                      <w:highlight w:val="none"/>
                      <w:lang w:val="en-US" w:eastAsia="zh-CN"/>
                    </w:rPr>
                    <w:t>/%</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3</w:t>
                  </w:r>
                  <w:r>
                    <w:rPr>
                      <w:rFonts w:hint="eastAsia" w:ascii="宋体" w:hAnsi="宋体" w:eastAsia="宋体" w:cs="宋体"/>
                      <w:color w:val="auto"/>
                      <w:sz w:val="20"/>
                      <w:szCs w:val="20"/>
                      <w:highlight w:val="no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筛余物（1.4mm筛网），w</w:t>
                  </w:r>
                  <w:r>
                    <w:rPr>
                      <w:rFonts w:hint="eastAsia" w:ascii="宋体" w:hAnsi="宋体" w:eastAsia="宋体" w:cs="宋体"/>
                      <w:color w:val="auto"/>
                      <w:sz w:val="20"/>
                      <w:szCs w:val="20"/>
                      <w:highlight w:val="none"/>
                      <w:vertAlign w:val="subscript"/>
                      <w:lang w:val="en-US" w:eastAsia="zh-CN"/>
                    </w:rPr>
                    <w:t>4</w:t>
                  </w:r>
                  <w:r>
                    <w:rPr>
                      <w:rFonts w:hint="eastAsia" w:ascii="宋体" w:hAnsi="宋体" w:eastAsia="宋体" w:cs="宋体"/>
                      <w:color w:val="auto"/>
                      <w:sz w:val="20"/>
                      <w:szCs w:val="20"/>
                      <w:highlight w:val="none"/>
                      <w:lang w:val="en-US" w:eastAsia="zh-CN"/>
                    </w:rPr>
                    <w:t>/%</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4</w:t>
                  </w:r>
                  <w:r>
                    <w:rPr>
                      <w:rFonts w:hint="eastAsia" w:ascii="宋体" w:hAnsi="宋体" w:eastAsia="宋体" w:cs="宋体"/>
                      <w:color w:val="auto"/>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筛余物（180μm筛网），w</w:t>
                  </w:r>
                  <w:r>
                    <w:rPr>
                      <w:rFonts w:hint="eastAsia" w:ascii="宋体" w:hAnsi="宋体" w:eastAsia="宋体" w:cs="宋体"/>
                      <w:color w:val="auto"/>
                      <w:sz w:val="20"/>
                      <w:szCs w:val="20"/>
                      <w:highlight w:val="none"/>
                      <w:vertAlign w:val="subscript"/>
                      <w:lang w:val="en-US" w:eastAsia="zh-CN"/>
                    </w:rPr>
                    <w:t>5</w:t>
                  </w:r>
                  <w:r>
                    <w:rPr>
                      <w:rFonts w:hint="eastAsia" w:ascii="宋体" w:hAnsi="宋体" w:eastAsia="宋体" w:cs="宋体"/>
                      <w:color w:val="auto"/>
                      <w:sz w:val="20"/>
                      <w:szCs w:val="20"/>
                      <w:highlight w:val="none"/>
                      <w:lang w:val="en-US" w:eastAsia="zh-CN"/>
                    </w:rPr>
                    <w:t>/%</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5</w:t>
                  </w:r>
                  <w:r>
                    <w:rPr>
                      <w:rFonts w:hint="eastAsia" w:ascii="宋体" w:hAnsi="宋体" w:eastAsia="宋体" w:cs="宋体"/>
                      <w:color w:val="auto"/>
                      <w:sz w:val="20"/>
                      <w:szCs w:val="20"/>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硫酸盐（SO4）含量，w</w:t>
                  </w:r>
                  <w:r>
                    <w:rPr>
                      <w:rFonts w:hint="eastAsia" w:ascii="宋体" w:hAnsi="宋体" w:eastAsia="宋体" w:cs="宋体"/>
                      <w:color w:val="auto"/>
                      <w:sz w:val="20"/>
                      <w:szCs w:val="20"/>
                      <w:highlight w:val="none"/>
                      <w:vertAlign w:val="subscript"/>
                      <w:lang w:val="en-US" w:eastAsia="zh-CN"/>
                    </w:rPr>
                    <w:t>6</w:t>
                  </w:r>
                  <w:r>
                    <w:rPr>
                      <w:rFonts w:hint="eastAsia" w:ascii="宋体" w:hAnsi="宋体" w:eastAsia="宋体" w:cs="宋体"/>
                      <w:color w:val="auto"/>
                      <w:sz w:val="20"/>
                      <w:szCs w:val="20"/>
                      <w:highlight w:val="none"/>
                      <w:lang w:val="en-US" w:eastAsia="zh-CN"/>
                    </w:rPr>
                    <w:t>/（g/g)</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6</w:t>
                  </w:r>
                  <w:r>
                    <w:rPr>
                      <w:rFonts w:hint="eastAsia" w:ascii="宋体" w:hAnsi="宋体" w:eastAsia="宋体" w:cs="宋体"/>
                      <w:color w:val="auto"/>
                      <w:sz w:val="20"/>
                      <w:szCs w:val="20"/>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center"/>
                </w:tcPr>
                <w:p>
                  <w:pPr>
                    <w:keepNext w:val="0"/>
                    <w:keepLines w:val="0"/>
                    <w:pageBreakBefore w:val="0"/>
                    <w:kinsoku/>
                    <w:wordWrap/>
                    <w:overflowPunct/>
                    <w:topLinePunct w:val="0"/>
                    <w:autoSpaceDE/>
                    <w:autoSpaceDN/>
                    <w:bidi w:val="0"/>
                    <w:adjustRightInd/>
                    <w:snapToGrid/>
                    <w:spacing w:line="360" w:lineRule="auto"/>
                    <w:ind w:right="42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氯化物（Cl）含量，w</w:t>
                  </w:r>
                  <w:r>
                    <w:rPr>
                      <w:rFonts w:hint="eastAsia" w:ascii="宋体" w:hAnsi="宋体" w:eastAsia="宋体" w:cs="宋体"/>
                      <w:color w:val="auto"/>
                      <w:sz w:val="20"/>
                      <w:szCs w:val="20"/>
                      <w:highlight w:val="none"/>
                      <w:vertAlign w:val="subscript"/>
                      <w:lang w:val="en-US" w:eastAsia="zh-CN"/>
                    </w:rPr>
                    <w:t>7</w:t>
                  </w:r>
                  <w:r>
                    <w:rPr>
                      <w:rFonts w:hint="eastAsia" w:ascii="宋体" w:hAnsi="宋体" w:eastAsia="宋体" w:cs="宋体"/>
                      <w:color w:val="auto"/>
                      <w:sz w:val="20"/>
                      <w:szCs w:val="20"/>
                      <w:highlight w:val="none"/>
                      <w:lang w:val="en-US" w:eastAsia="zh-CN"/>
                    </w:rPr>
                    <w:t>/（g/g）</w:t>
                  </w:r>
                </w:p>
              </w:tc>
              <w:tc>
                <w:tcPr>
                  <w:tcW w:w="152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w:t>
                  </w:r>
                  <w:r>
                    <w:rPr>
                      <w:rFonts w:hint="eastAsia" w:ascii="宋体" w:hAnsi="宋体" w:eastAsia="宋体" w:cs="宋体"/>
                      <w:color w:val="auto"/>
                      <w:sz w:val="20"/>
                      <w:szCs w:val="20"/>
                      <w:highlight w:val="none"/>
                      <w:vertAlign w:val="subscript"/>
                      <w:lang w:val="en-US" w:eastAsia="zh-CN"/>
                    </w:rPr>
                    <w:t>7</w:t>
                  </w:r>
                  <w:r>
                    <w:rPr>
                      <w:rFonts w:hint="eastAsia" w:ascii="宋体" w:hAnsi="宋体" w:eastAsia="宋体" w:cs="宋体"/>
                      <w:color w:val="auto"/>
                      <w:sz w:val="20"/>
                      <w:szCs w:val="20"/>
                      <w:highlight w:val="none"/>
                      <w:lang w:val="en-US" w:eastAsia="zh-CN"/>
                    </w:rPr>
                    <w:t>≤0.05</w:t>
                  </w:r>
                </w:p>
              </w:tc>
            </w:tr>
          </w:tbl>
          <w:p>
            <w:pPr>
              <w:snapToGrid w:val="0"/>
              <w:spacing w:line="360" w:lineRule="auto"/>
              <w:jc w:val="center"/>
              <w:rPr>
                <w:rFonts w:hint="default" w:ascii="宋体" w:hAnsi="宋体" w:eastAsia="宋体" w:cs="宋体"/>
                <w:color w:val="auto"/>
                <w:sz w:val="18"/>
                <w:szCs w:val="18"/>
                <w:highlight w:val="none"/>
                <w:lang w:val="en-US" w:eastAsia="zh-CN"/>
              </w:rPr>
            </w:pPr>
          </w:p>
        </w:tc>
        <w:tc>
          <w:tcPr>
            <w:tcW w:w="485" w:type="pct"/>
            <w:vAlign w:val="center"/>
          </w:tcPr>
          <w:p>
            <w:pPr>
              <w:keepNext/>
              <w:keepLines/>
              <w:snapToGrid w:val="0"/>
              <w:spacing w:line="360" w:lineRule="auto"/>
              <w:jc w:val="center"/>
              <w:outlineLvl w:val="2"/>
              <w:rPr>
                <w:rFonts w:ascii="宋体" w:hAnsi="宋体" w:cs="宋体"/>
                <w:color w:val="auto"/>
                <w:kern w:val="0"/>
                <w:sz w:val="18"/>
                <w:szCs w:val="18"/>
                <w:highlight w:val="none"/>
              </w:rPr>
            </w:pPr>
          </w:p>
        </w:tc>
        <w:tc>
          <w:tcPr>
            <w:tcW w:w="1126" w:type="pct"/>
            <w:vAlign w:val="center"/>
          </w:tcPr>
          <w:p>
            <w:pPr>
              <w:keepNext/>
              <w:keepLines/>
              <w:snapToGrid w:val="0"/>
              <w:spacing w:line="360" w:lineRule="auto"/>
              <w:jc w:val="center"/>
              <w:outlineLvl w:val="2"/>
              <w:rPr>
                <w:rFonts w:ascii="宋体" w:hAnsi="宋体" w:cs="宋体"/>
                <w:color w:val="auto"/>
                <w:kern w:val="0"/>
                <w:sz w:val="18"/>
                <w:szCs w:val="18"/>
                <w:highlight w:val="none"/>
              </w:rPr>
            </w:pPr>
          </w:p>
        </w:tc>
        <w:tc>
          <w:tcPr>
            <w:tcW w:w="462" w:type="pct"/>
            <w:vAlign w:val="center"/>
          </w:tcPr>
          <w:p>
            <w:pPr>
              <w:keepNext/>
              <w:keepLines/>
              <w:snapToGrid w:val="0"/>
              <w:spacing w:line="360" w:lineRule="auto"/>
              <w:jc w:val="center"/>
              <w:outlineLvl w:val="2"/>
              <w:rPr>
                <w:rFonts w:ascii="宋体" w:hAnsi="宋体" w:cs="宋体"/>
                <w:color w:val="auto"/>
                <w:kern w:val="0"/>
                <w:sz w:val="18"/>
                <w:szCs w:val="18"/>
                <w:highlight w:val="none"/>
              </w:rPr>
            </w:pPr>
          </w:p>
        </w:tc>
      </w:tr>
    </w:tbl>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ind w:left="605" w:leftChars="18" w:hanging="567" w:hangingChars="270"/>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b/>
          <w:color w:val="auto"/>
          <w:szCs w:val="21"/>
          <w:highlight w:val="none"/>
          <w:u w:val="single"/>
        </w:rPr>
        <w:t>投标人应对照招标文件用户需求书的响应，逐条逐项、如实地填写“偏离情况”，</w:t>
      </w:r>
      <w:r>
        <w:rPr>
          <w:rFonts w:hint="eastAsia" w:ascii="宋体" w:hAnsi="宋体" w:cs="Times New Roman"/>
          <w:b/>
          <w:color w:val="auto"/>
          <w:kern w:val="0"/>
          <w:szCs w:val="21"/>
          <w:highlight w:val="none"/>
          <w:u w:val="single"/>
        </w:rPr>
        <w:t>若发现未填写本表，或虚假填写本表，或伪造、变造证明材料的，按无效投标文件处理</w:t>
      </w:r>
      <w:r>
        <w:rPr>
          <w:rFonts w:hint="eastAsia" w:ascii="宋体" w:hAnsi="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cs="宋体"/>
          <w:color w:val="auto"/>
          <w:szCs w:val="21"/>
          <w:highlight w:val="none"/>
        </w:rPr>
      </w:pPr>
      <w:r>
        <w:rPr>
          <w:rFonts w:hint="eastAsia" w:ascii="宋体" w:hAnsi="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cs="Times New Roman"/>
          <w:b/>
          <w:color w:val="auto"/>
          <w:kern w:val="0"/>
          <w:szCs w:val="21"/>
          <w:highlight w:val="none"/>
          <w:u w:val="single"/>
        </w:rPr>
      </w:pPr>
      <w:r>
        <w:rPr>
          <w:rFonts w:hint="eastAsia" w:ascii="宋体" w:hAnsi="宋体" w:cs="宋体"/>
          <w:b/>
          <w:color w:val="auto"/>
          <w:szCs w:val="21"/>
          <w:highlight w:val="none"/>
        </w:rPr>
        <w:t>（3）</w:t>
      </w:r>
      <w:r>
        <w:rPr>
          <w:rFonts w:hint="eastAsia" w:ascii="宋体" w:hAnsi="宋体" w:cs="Times New Roman"/>
          <w:b/>
          <w:color w:val="auto"/>
          <w:kern w:val="0"/>
          <w:szCs w:val="21"/>
          <w:highlight w:val="none"/>
          <w:u w:val="single"/>
        </w:rPr>
        <w:t>应逐条</w:t>
      </w:r>
      <w:r>
        <w:rPr>
          <w:rFonts w:hint="eastAsia" w:ascii="宋体" w:hAnsi="宋体" w:cs="宋体"/>
          <w:b/>
          <w:color w:val="auto"/>
          <w:szCs w:val="21"/>
          <w:highlight w:val="none"/>
          <w:u w:val="single"/>
        </w:rPr>
        <w:t>逐项</w:t>
      </w:r>
      <w:r>
        <w:rPr>
          <w:rFonts w:hint="eastAsia" w:ascii="宋体" w:hAnsi="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cs="Times New Roman"/>
          <w:b/>
          <w:color w:val="auto"/>
          <w:kern w:val="0"/>
          <w:szCs w:val="21"/>
          <w:highlight w:val="none"/>
          <w:u w:val="single"/>
        </w:rPr>
      </w:pPr>
      <w:r>
        <w:rPr>
          <w:rFonts w:hint="eastAsia" w:ascii="宋体" w:hAnsi="宋体" w:cs="宋体"/>
          <w:b/>
          <w:color w:val="auto"/>
          <w:szCs w:val="21"/>
          <w:highlight w:val="none"/>
        </w:rPr>
        <w:t>（4）</w:t>
      </w:r>
      <w:r>
        <w:rPr>
          <w:rFonts w:ascii="宋体" w:hAnsi="宋体" w:cs="Times New Roman"/>
          <w:b/>
          <w:color w:val="auto"/>
          <w:kern w:val="0"/>
          <w:szCs w:val="21"/>
          <w:highlight w:val="none"/>
          <w:u w:val="single"/>
        </w:rPr>
        <w:t>凡标有“</w:t>
      </w:r>
      <w:r>
        <w:rPr>
          <w:rFonts w:hint="eastAsia" w:ascii="宋体" w:hAnsi="宋体" w:cs="Times New Roman"/>
          <w:b/>
          <w:color w:val="auto"/>
          <w:kern w:val="0"/>
          <w:szCs w:val="21"/>
          <w:highlight w:val="none"/>
          <w:u w:val="single"/>
        </w:rPr>
        <w:t>★</w:t>
      </w:r>
      <w:r>
        <w:rPr>
          <w:rFonts w:ascii="宋体" w:hAnsi="宋体" w:cs="Times New Roman"/>
          <w:b/>
          <w:color w:val="auto"/>
          <w:kern w:val="0"/>
          <w:szCs w:val="21"/>
          <w:highlight w:val="none"/>
          <w:u w:val="single"/>
        </w:rPr>
        <w:t>”的地方均被视为重要的技术指标要求或性能要求。投标</w:t>
      </w:r>
      <w:r>
        <w:rPr>
          <w:rFonts w:hint="eastAsia" w:ascii="宋体" w:hAnsi="宋体" w:cs="Times New Roman"/>
          <w:b/>
          <w:color w:val="auto"/>
          <w:kern w:val="0"/>
          <w:szCs w:val="21"/>
          <w:highlight w:val="none"/>
          <w:u w:val="single"/>
        </w:rPr>
        <w:t>人</w:t>
      </w:r>
      <w:r>
        <w:rPr>
          <w:rFonts w:ascii="宋体" w:hAnsi="宋体" w:cs="Times New Roman"/>
          <w:b/>
          <w:color w:val="auto"/>
          <w:kern w:val="0"/>
          <w:szCs w:val="21"/>
          <w:highlight w:val="none"/>
          <w:u w:val="single"/>
        </w:rPr>
        <w:t>要特别加以注意，必须对此回答并完全满足这些要求</w:t>
      </w:r>
      <w:r>
        <w:rPr>
          <w:rFonts w:hint="eastAsia" w:ascii="宋体" w:hAnsi="宋体" w:cs="Times New Roman"/>
          <w:b/>
          <w:color w:val="auto"/>
          <w:kern w:val="0"/>
          <w:szCs w:val="21"/>
          <w:highlight w:val="none"/>
          <w:u w:val="single"/>
        </w:rPr>
        <w:t>，</w:t>
      </w:r>
      <w:r>
        <w:rPr>
          <w:rFonts w:ascii="宋体" w:hAnsi="宋体" w:cs="Times New Roman"/>
          <w:b/>
          <w:color w:val="auto"/>
          <w:kern w:val="0"/>
          <w:szCs w:val="21"/>
          <w:highlight w:val="none"/>
          <w:u w:val="single"/>
        </w:rPr>
        <w:t>否则若有一项带“</w:t>
      </w:r>
      <w:r>
        <w:rPr>
          <w:rFonts w:hint="eastAsia" w:ascii="宋体" w:hAnsi="宋体" w:cs="Times New Roman"/>
          <w:b/>
          <w:color w:val="auto"/>
          <w:kern w:val="0"/>
          <w:szCs w:val="21"/>
          <w:highlight w:val="none"/>
          <w:u w:val="single"/>
        </w:rPr>
        <w:t>★</w:t>
      </w:r>
      <w:r>
        <w:rPr>
          <w:rFonts w:ascii="宋体" w:hAnsi="宋体" w:cs="Times New Roman"/>
          <w:b/>
          <w:color w:val="auto"/>
          <w:kern w:val="0"/>
          <w:szCs w:val="21"/>
          <w:highlight w:val="none"/>
          <w:u w:val="single"/>
        </w:rPr>
        <w:t>”的指标未响应或不满足，将按</w:t>
      </w:r>
      <w:r>
        <w:rPr>
          <w:rFonts w:hint="eastAsia" w:ascii="宋体" w:hAnsi="宋体" w:cs="Times New Roman"/>
          <w:b/>
          <w:color w:val="auto"/>
          <w:kern w:val="0"/>
          <w:szCs w:val="21"/>
          <w:highlight w:val="none"/>
          <w:u w:val="single"/>
        </w:rPr>
        <w:t>无效投标</w:t>
      </w:r>
      <w:r>
        <w:rPr>
          <w:rFonts w:ascii="宋体" w:hAnsi="宋体" w:cs="Times New Roman"/>
          <w:b/>
          <w:color w:val="auto"/>
          <w:kern w:val="0"/>
          <w:szCs w:val="21"/>
          <w:highlight w:val="none"/>
          <w:u w:val="single"/>
        </w:rPr>
        <w:t>处理</w:t>
      </w:r>
      <w:r>
        <w:rPr>
          <w:rFonts w:ascii="宋体" w:hAnsi="宋体" w:cs="Times New Roman"/>
          <w:b/>
          <w:color w:val="auto"/>
          <w:kern w:val="0"/>
          <w:sz w:val="24"/>
          <w:szCs w:val="21"/>
          <w:highlight w:val="none"/>
          <w:u w:val="single"/>
          <w:lang w:val="zh-CN"/>
        </w:rPr>
        <w:t>。</w:t>
      </w:r>
    </w:p>
    <w:p>
      <w:pPr>
        <w:spacing w:line="360" w:lineRule="auto"/>
        <w:rPr>
          <w:rFonts w:ascii="宋体" w:hAnsi="宋体" w:cs="宋体"/>
          <w:color w:val="auto"/>
          <w:szCs w:val="21"/>
          <w:highlight w:val="none"/>
        </w:rPr>
      </w:pP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投标人：（</w:t>
      </w:r>
      <w:r>
        <w:rPr>
          <w:rFonts w:hint="eastAsia" w:ascii="宋体" w:hAnsi="宋体" w:cs="宋体"/>
          <w:color w:val="auto"/>
          <w:szCs w:val="21"/>
          <w:highlight w:val="none"/>
          <w:lang w:val="zh-CN"/>
        </w:rPr>
        <w:t>加盖投标人法人公章</w:t>
      </w:r>
      <w:r>
        <w:rPr>
          <w:rFonts w:hint="eastAsia" w:ascii="宋体" w:hAnsi="宋体" w:cs="宋体"/>
          <w:color w:val="auto"/>
          <w:kern w:val="0"/>
          <w:szCs w:val="21"/>
          <w:highlight w:val="none"/>
        </w:rPr>
        <w:t>）</w:t>
      </w:r>
    </w:p>
    <w:p>
      <w:pPr>
        <w:autoSpaceDE w:val="0"/>
        <w:autoSpaceDN w:val="0"/>
        <w:adjustRightInd w:val="0"/>
        <w:ind w:left="15" w:leftChars="-50" w:hanging="12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cs="Times New Roman"/>
          <w:b/>
          <w:color w:val="auto"/>
          <w:kern w:val="0"/>
          <w:sz w:val="30"/>
          <w:szCs w:val="30"/>
          <w:highlight w:val="none"/>
        </w:rPr>
      </w:pPr>
      <w:r>
        <w:rPr>
          <w:rFonts w:hint="eastAsia" w:ascii="宋体" w:hAnsi="宋体" w:cs="宋体"/>
          <w:b/>
          <w:color w:val="auto"/>
          <w:kern w:val="0"/>
          <w:sz w:val="30"/>
          <w:szCs w:val="30"/>
          <w:highlight w:val="none"/>
        </w:rPr>
        <w:br w:type="page"/>
      </w:r>
      <w:bookmarkStart w:id="696" w:name="_Toc102860431"/>
      <w:bookmarkStart w:id="697" w:name="_Toc20665"/>
      <w:bookmarkStart w:id="698" w:name="_Toc173684951"/>
      <w:bookmarkStart w:id="699" w:name="_Toc142508382"/>
      <w:bookmarkStart w:id="700" w:name="_Toc140596942"/>
      <w:bookmarkStart w:id="701" w:name="_Toc94107224"/>
      <w:bookmarkStart w:id="702" w:name="_Toc28623"/>
      <w:bookmarkStart w:id="703" w:name="_Toc102860087"/>
      <w:bookmarkStart w:id="704" w:name="_Toc104991889"/>
      <w:bookmarkStart w:id="705" w:name="_Toc30253"/>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.2</w:t>
      </w:r>
      <w:r>
        <w:rPr>
          <w:rFonts w:ascii="宋体" w:hAnsi="宋体" w:cs="宋体"/>
          <w:b/>
          <w:color w:val="auto"/>
          <w:kern w:val="0"/>
          <w:sz w:val="30"/>
          <w:szCs w:val="30"/>
          <w:highlight w:val="none"/>
        </w:rPr>
        <w:t xml:space="preserve"> </w:t>
      </w:r>
      <w:bookmarkEnd w:id="696"/>
      <w:bookmarkEnd w:id="697"/>
      <w:bookmarkEnd w:id="698"/>
      <w:bookmarkEnd w:id="699"/>
      <w:bookmarkEnd w:id="700"/>
      <w:bookmarkEnd w:id="701"/>
      <w:bookmarkEnd w:id="702"/>
      <w:bookmarkEnd w:id="703"/>
      <w:bookmarkEnd w:id="704"/>
      <w:r>
        <w:rPr>
          <w:rFonts w:hint="eastAsia" w:ascii="宋体" w:hAnsi="宋体" w:cs="Times New Roman"/>
          <w:b/>
          <w:color w:val="auto"/>
          <w:kern w:val="0"/>
          <w:sz w:val="30"/>
          <w:szCs w:val="30"/>
          <w:highlight w:val="none"/>
        </w:rPr>
        <w:t>投标产品技术指标承诺书</w:t>
      </w:r>
      <w:bookmarkEnd w:id="705"/>
    </w:p>
    <w:p>
      <w:pPr>
        <w:spacing w:line="360" w:lineRule="auto"/>
        <w:jc w:val="center"/>
        <w:rPr>
          <w:rFonts w:ascii="宋体" w:hAnsi="宋体" w:cs="宋体"/>
          <w:b/>
          <w:bCs/>
          <w:color w:val="auto"/>
          <w:sz w:val="30"/>
          <w:szCs w:val="30"/>
          <w:highlight w:val="none"/>
          <w:lang w:val="zh-CN"/>
        </w:rPr>
      </w:pPr>
      <w:r>
        <w:rPr>
          <w:rFonts w:hint="eastAsia" w:ascii="宋体" w:hAnsi="宋体" w:cs="宋体"/>
          <w:b/>
          <w:bCs/>
          <w:color w:val="auto"/>
          <w:sz w:val="32"/>
          <w:szCs w:val="32"/>
          <w:highlight w:val="none"/>
          <w:lang w:val="zh-CN"/>
        </w:rPr>
        <w:t>投标产品</w:t>
      </w:r>
      <w:r>
        <w:rPr>
          <w:rFonts w:hint="eastAsia" w:ascii="宋体" w:hAnsi="宋体" w:cs="宋体"/>
          <w:b/>
          <w:bCs/>
          <w:color w:val="auto"/>
          <w:sz w:val="30"/>
          <w:szCs w:val="30"/>
          <w:highlight w:val="none"/>
          <w:lang w:val="zh-CN"/>
        </w:rPr>
        <w:t>技术指标承诺书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致：东莞市众源环境投资有限公司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我方已详细研究了本项目招标文件</w:t>
      </w:r>
      <w:r>
        <w:rPr>
          <w:rFonts w:hint="eastAsia" w:ascii="宋体" w:hAnsi="宋体" w:cs="宋体"/>
          <w:b/>
          <w:color w:val="auto"/>
          <w:szCs w:val="21"/>
          <w:highlight w:val="none"/>
        </w:rPr>
        <w:t>用户需求书主要技术指标</w:t>
      </w:r>
      <w:r>
        <w:rPr>
          <w:rFonts w:hint="eastAsia" w:ascii="宋体" w:hAnsi="宋体" w:cs="宋体"/>
          <w:color w:val="auto"/>
          <w:szCs w:val="21"/>
          <w:highlight w:val="none"/>
        </w:rPr>
        <w:t>的所有内容包括相关资料及修正文（如有），完全</w:t>
      </w:r>
      <w:r>
        <w:rPr>
          <w:rFonts w:ascii="宋体" w:hAnsi="宋体" w:cs="宋体"/>
          <w:color w:val="auto"/>
          <w:szCs w:val="21"/>
          <w:highlight w:val="none"/>
        </w:rPr>
        <w:t>理解</w:t>
      </w:r>
      <w:r>
        <w:rPr>
          <w:rFonts w:hint="eastAsia" w:ascii="宋体" w:hAnsi="宋体" w:cs="宋体"/>
          <w:color w:val="auto"/>
          <w:szCs w:val="21"/>
          <w:highlight w:val="none"/>
        </w:rPr>
        <w:t>并接受上述内容所有条款及要求。</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我方承诺在履行合同过程中按</w:t>
      </w:r>
      <w:r>
        <w:rPr>
          <w:rFonts w:hint="eastAsia" w:ascii="宋体" w:hAnsi="宋体" w:cs="宋体"/>
          <w:color w:val="auto"/>
          <w:szCs w:val="21"/>
          <w:highlight w:val="none"/>
        </w:rPr>
        <w:t>本项目招标文件</w:t>
      </w:r>
      <w:r>
        <w:rPr>
          <w:rFonts w:hint="eastAsia" w:ascii="宋体" w:hAnsi="宋体" w:cs="宋体"/>
          <w:b/>
          <w:color w:val="auto"/>
          <w:szCs w:val="21"/>
          <w:highlight w:val="none"/>
        </w:rPr>
        <w:t>用户需求书主要技术指标</w:t>
      </w:r>
      <w:r>
        <w:rPr>
          <w:rFonts w:hint="eastAsia" w:ascii="宋体" w:hAnsi="宋体" w:cs="宋体"/>
          <w:color w:val="auto"/>
          <w:szCs w:val="21"/>
          <w:highlight w:val="none"/>
        </w:rPr>
        <w:t>的所有内容包括相关资料及修正文（如有）的条款和要求提供货物和相关的服务。</w:t>
      </w:r>
    </w:p>
    <w:p>
      <w:pPr>
        <w:snapToGrid w:val="0"/>
        <w:spacing w:line="360" w:lineRule="auto"/>
        <w:ind w:left="399" w:leftChars="-58" w:hanging="521" w:hangingChars="247"/>
        <w:rPr>
          <w:rFonts w:ascii="宋体" w:hAnsi="宋体"/>
          <w:b/>
          <w:color w:val="auto"/>
          <w:szCs w:val="21"/>
          <w:highlight w:val="none"/>
        </w:rPr>
      </w:pPr>
    </w:p>
    <w:p>
      <w:pPr>
        <w:snapToGrid w:val="0"/>
        <w:spacing w:line="360" w:lineRule="auto"/>
        <w:ind w:left="380" w:firstLine="46"/>
        <w:rPr>
          <w:rFonts w:ascii="宋体" w:hAnsi="宋体"/>
          <w:b/>
          <w:color w:val="auto"/>
          <w:szCs w:val="21"/>
          <w:highlight w:val="none"/>
        </w:rPr>
      </w:pPr>
    </w:p>
    <w:p>
      <w:pPr>
        <w:snapToGrid w:val="0"/>
        <w:spacing w:line="360" w:lineRule="auto"/>
        <w:ind w:left="380" w:hanging="519"/>
        <w:rPr>
          <w:rFonts w:ascii="宋体" w:hAnsi="宋体" w:cs="宋体"/>
          <w:b/>
          <w:color w:val="auto"/>
          <w:szCs w:val="21"/>
          <w:highlight w:val="none"/>
        </w:rPr>
      </w:pPr>
    </w:p>
    <w:p>
      <w:pPr>
        <w:autoSpaceDE w:val="0"/>
        <w:autoSpaceDN w:val="0"/>
        <w:adjustRightInd w:val="0"/>
        <w:snapToGrid w:val="0"/>
        <w:spacing w:line="360" w:lineRule="auto"/>
        <w:ind w:left="852" w:leftChars="194" w:hanging="445" w:hangingChars="212"/>
        <w:jc w:val="left"/>
        <w:rPr>
          <w:rFonts w:ascii="宋体" w:hAnsi="宋体" w:cs="Times New Roman"/>
          <w:color w:val="auto"/>
          <w:kern w:val="0"/>
          <w:szCs w:val="21"/>
          <w:highlight w:val="none"/>
          <w:lang w:val="zh-CN"/>
        </w:rPr>
      </w:pPr>
    </w:p>
    <w:p>
      <w:pPr>
        <w:autoSpaceDE w:val="0"/>
        <w:autoSpaceDN w:val="0"/>
        <w:adjustRightInd w:val="0"/>
        <w:spacing w:line="360" w:lineRule="auto"/>
        <w:ind w:firstLine="4200" w:firstLineChars="2000"/>
        <w:jc w:val="left"/>
        <w:rPr>
          <w:rFonts w:ascii="宋体" w:hAnsi="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cs="Times New Roman"/>
          <w:color w:val="auto"/>
          <w:kern w:val="0"/>
          <w:szCs w:val="21"/>
          <w:highlight w:val="none"/>
        </w:rPr>
      </w:pPr>
      <w:r>
        <w:rPr>
          <w:rFonts w:ascii="宋体" w:hAnsi="宋体" w:cs="Times New Roman"/>
          <w:color w:val="auto"/>
          <w:kern w:val="3"/>
          <w:szCs w:val="21"/>
          <w:highlight w:val="none"/>
        </w:rPr>
        <w:t xml:space="preserve">投 标 人（加盖投标人法人公章）：              </w:t>
      </w:r>
    </w:p>
    <w:p>
      <w:pPr>
        <w:spacing w:line="360" w:lineRule="auto"/>
        <w:ind w:firstLine="4200" w:firstLineChars="2000"/>
        <w:rPr>
          <w:rFonts w:ascii="宋体" w:hAnsi="宋体" w:cs="Times New Roman"/>
          <w:color w:val="auto"/>
          <w:kern w:val="0"/>
          <w:szCs w:val="21"/>
          <w:highlight w:val="none"/>
        </w:rPr>
      </w:pPr>
      <w:r>
        <w:rPr>
          <w:rFonts w:ascii="宋体" w:hAnsi="宋体" w:cs="Times New Roman"/>
          <w:color w:val="auto"/>
          <w:kern w:val="0"/>
          <w:szCs w:val="21"/>
          <w:highlight w:val="none"/>
        </w:rPr>
        <w:t>日  期：        年     月     日</w:t>
      </w:r>
    </w:p>
    <w:p>
      <w:pPr>
        <w:widowControl/>
        <w:jc w:val="left"/>
        <w:rPr>
          <w:rFonts w:ascii="宋体" w:hAnsi="宋体" w:cs="Times New Roman"/>
          <w:color w:val="auto"/>
          <w:kern w:val="0"/>
          <w:szCs w:val="21"/>
          <w:highlight w:val="none"/>
        </w:rPr>
      </w:pPr>
      <w:bookmarkStart w:id="706" w:name="_Toc94107225"/>
      <w:r>
        <w:rPr>
          <w:rFonts w:ascii="宋体" w:hAnsi="宋体" w:cs="Times New Roman"/>
          <w:color w:val="auto"/>
          <w:kern w:val="0"/>
          <w:szCs w:val="21"/>
          <w:highlight w:val="none"/>
        </w:rPr>
        <w:br w:type="page"/>
      </w:r>
    </w:p>
    <w:bookmarkEnd w:id="706"/>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bookmarkStart w:id="707" w:name="_Toc173684952"/>
      <w:bookmarkStart w:id="708" w:name="_Toc10180"/>
      <w:bookmarkStart w:id="709" w:name="_Toc142508389"/>
      <w:bookmarkStart w:id="710" w:name="_Toc140596949"/>
      <w:bookmarkStart w:id="711" w:name="_Toc102860438"/>
      <w:bookmarkStart w:id="712" w:name="_Toc104991896"/>
      <w:bookmarkStart w:id="713" w:name="_Toc102860094"/>
      <w:bookmarkStart w:id="714" w:name="_Toc533708139"/>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.3 第三方检测机构出具的检验报告复印件</w:t>
      </w:r>
      <w:bookmarkEnd w:id="707"/>
      <w:r>
        <w:rPr>
          <w:rFonts w:hint="eastAsia" w:ascii="宋体" w:hAnsi="宋体" w:cs="宋体"/>
          <w:b/>
          <w:color w:val="auto"/>
          <w:kern w:val="0"/>
          <w:sz w:val="30"/>
          <w:szCs w:val="30"/>
          <w:highlight w:val="none"/>
        </w:rPr>
        <w:t>（须为202</w:t>
      </w:r>
      <w:r>
        <w:rPr>
          <w:rFonts w:ascii="宋体" w:hAnsi="宋体" w:cs="宋体"/>
          <w:b/>
          <w:color w:val="auto"/>
          <w:kern w:val="0"/>
          <w:sz w:val="30"/>
          <w:szCs w:val="30"/>
          <w:highlight w:val="none"/>
        </w:rPr>
        <w:t>4</w:t>
      </w:r>
      <w:r>
        <w:rPr>
          <w:rFonts w:hint="eastAsia" w:ascii="宋体" w:hAnsi="宋体" w:cs="宋体"/>
          <w:b/>
          <w:color w:val="auto"/>
          <w:kern w:val="0"/>
          <w:sz w:val="30"/>
          <w:szCs w:val="30"/>
          <w:highlight w:val="none"/>
        </w:rPr>
        <w:t>年</w:t>
      </w:r>
      <w:r>
        <w:rPr>
          <w:rFonts w:ascii="宋体" w:hAnsi="宋体" w:cs="宋体"/>
          <w:b/>
          <w:color w:val="auto"/>
          <w:kern w:val="0"/>
          <w:sz w:val="30"/>
          <w:szCs w:val="30"/>
          <w:highlight w:val="none"/>
        </w:rPr>
        <w:t>1月1日</w:t>
      </w:r>
      <w:r>
        <w:rPr>
          <w:rFonts w:hint="eastAsia" w:ascii="宋体" w:hAnsi="宋体" w:cs="宋体"/>
          <w:b/>
          <w:color w:val="auto"/>
          <w:kern w:val="0"/>
          <w:sz w:val="30"/>
          <w:szCs w:val="30"/>
          <w:highlight w:val="none"/>
        </w:rPr>
        <w:t>以后出具的投标产品检验报告）</w:t>
      </w:r>
      <w:r>
        <w:rPr>
          <w:rFonts w:hint="eastAsia" w:ascii="宋体" w:hAnsi="宋体" w:cs="宋体"/>
          <w:b/>
          <w:color w:val="auto"/>
          <w:kern w:val="0"/>
          <w:sz w:val="30"/>
          <w:szCs w:val="30"/>
          <w:highlight w:val="none"/>
        </w:rPr>
        <w:br w:type="page"/>
      </w:r>
      <w:bookmarkEnd w:id="708"/>
    </w:p>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bookmarkStart w:id="715" w:name="_Toc17758"/>
      <w:bookmarkStart w:id="716" w:name="_Toc173684953"/>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.4 生产规模</w:t>
      </w:r>
      <w:bookmarkEnd w:id="715"/>
      <w:bookmarkEnd w:id="716"/>
    </w:p>
    <w:p>
      <w:pPr>
        <w:autoSpaceDE w:val="0"/>
        <w:autoSpaceDN w:val="0"/>
        <w:adjustRightInd w:val="0"/>
        <w:snapToGrid w:val="0"/>
        <w:spacing w:line="360" w:lineRule="auto"/>
        <w:ind w:firstLine="210" w:firstLineChars="100"/>
        <w:jc w:val="left"/>
        <w:rPr>
          <w:rFonts w:ascii="宋体" w:hAnsi="宋体" w:cs="Times New Roman"/>
          <w:color w:val="auto"/>
          <w:kern w:val="0"/>
          <w:szCs w:val="21"/>
          <w:highlight w:val="none"/>
        </w:rPr>
      </w:pPr>
      <w:r>
        <w:rPr>
          <w:rFonts w:hint="eastAsia" w:ascii="宋体" w:hAnsi="宋体" w:cs="Times New Roman"/>
          <w:color w:val="auto"/>
          <w:kern w:val="0"/>
          <w:szCs w:val="21"/>
          <w:highlight w:val="none"/>
        </w:rPr>
        <w:t>说明：投标人自行编写。</w:t>
      </w:r>
    </w:p>
    <w:p>
      <w:pP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cs="宋体"/>
          <w:b/>
          <w:color w:val="auto"/>
          <w:kern w:val="0"/>
          <w:sz w:val="30"/>
          <w:szCs w:val="30"/>
          <w:highlight w:val="none"/>
        </w:rPr>
      </w:pPr>
      <w:bookmarkStart w:id="717" w:name="_Toc173684954"/>
      <w:bookmarkStart w:id="718" w:name="_Toc19873"/>
      <w:bookmarkStart w:id="719" w:name="_Toc770"/>
      <w:bookmarkStart w:id="720" w:name="_Toc1222"/>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.5 供货运输保障</w:t>
      </w:r>
      <w:bookmarkEnd w:id="709"/>
      <w:bookmarkEnd w:id="710"/>
      <w:bookmarkEnd w:id="711"/>
      <w:bookmarkEnd w:id="712"/>
      <w:bookmarkEnd w:id="713"/>
      <w:bookmarkEnd w:id="717"/>
      <w:bookmarkEnd w:id="718"/>
      <w:bookmarkEnd w:id="719"/>
      <w:bookmarkEnd w:id="720"/>
    </w:p>
    <w:p>
      <w:pPr>
        <w:autoSpaceDE w:val="0"/>
        <w:autoSpaceDN w:val="0"/>
        <w:adjustRightInd w:val="0"/>
        <w:jc w:val="left"/>
        <w:rPr>
          <w:rFonts w:ascii="宋体" w:hAnsi="宋体" w:cs="Times New Roman"/>
          <w:color w:val="auto"/>
          <w:kern w:val="0"/>
          <w:sz w:val="24"/>
          <w:szCs w:val="24"/>
          <w:highlight w:val="none"/>
        </w:rPr>
      </w:pPr>
      <w:r>
        <w:rPr>
          <w:rFonts w:hint="eastAsia" w:ascii="宋体" w:hAnsi="宋体" w:cs="Times New Roman"/>
          <w:color w:val="auto"/>
          <w:kern w:val="0"/>
          <w:szCs w:val="21"/>
          <w:highlight w:val="none"/>
        </w:rPr>
        <w:t>说明：投标人自行编写。</w:t>
      </w:r>
    </w:p>
    <w:p>
      <w:pPr>
        <w:autoSpaceDE w:val="0"/>
        <w:autoSpaceDN w:val="0"/>
        <w:adjustRightInd w:val="0"/>
        <w:jc w:val="left"/>
        <w:rPr>
          <w:rFonts w:ascii="宋体" w:hAnsi="宋体" w:cs="Times New Roman"/>
          <w:color w:val="auto"/>
          <w:kern w:val="0"/>
          <w:sz w:val="24"/>
          <w:szCs w:val="24"/>
          <w:highlight w:val="none"/>
        </w:rPr>
      </w:pPr>
    </w:p>
    <w:p>
      <w:pPr>
        <w:autoSpaceDE w:val="0"/>
        <w:autoSpaceDN w:val="0"/>
        <w:adjustRightInd w:val="0"/>
        <w:jc w:val="left"/>
        <w:rPr>
          <w:rFonts w:ascii="宋体" w:hAnsi="宋体" w:cs="Times New Roman"/>
          <w:color w:val="auto"/>
          <w:kern w:val="0"/>
          <w:sz w:val="24"/>
          <w:szCs w:val="24"/>
          <w:highlight w:val="none"/>
        </w:rPr>
      </w:pPr>
    </w:p>
    <w:p>
      <w:pPr>
        <w:autoSpaceDE w:val="0"/>
        <w:autoSpaceDN w:val="0"/>
        <w:adjustRightInd w:val="0"/>
        <w:jc w:val="left"/>
        <w:rPr>
          <w:rFonts w:ascii="宋体" w:hAnsi="宋体" w:cs="Times New Roman"/>
          <w:color w:val="auto"/>
          <w:kern w:val="0"/>
          <w:sz w:val="24"/>
          <w:szCs w:val="24"/>
          <w:highlight w:val="none"/>
        </w:rPr>
      </w:pPr>
    </w:p>
    <w:p>
      <w:pPr>
        <w:autoSpaceDE w:val="0"/>
        <w:autoSpaceDN w:val="0"/>
        <w:adjustRightInd w:val="0"/>
        <w:jc w:val="left"/>
        <w:rPr>
          <w:rFonts w:ascii="宋体" w:hAnsi="宋体" w:cs="Times New Roman"/>
          <w:color w:val="auto"/>
          <w:kern w:val="0"/>
          <w:sz w:val="24"/>
          <w:szCs w:val="24"/>
          <w:highlight w:val="none"/>
        </w:rPr>
      </w:pPr>
    </w:p>
    <w:p>
      <w:pPr>
        <w:autoSpaceDE w:val="0"/>
        <w:autoSpaceDN w:val="0"/>
        <w:adjustRightInd w:val="0"/>
        <w:jc w:val="left"/>
        <w:rPr>
          <w:rFonts w:ascii="宋体" w:hAnsi="宋体" w:cs="Times New Roman"/>
          <w:color w:val="auto"/>
          <w:kern w:val="0"/>
          <w:sz w:val="24"/>
          <w:szCs w:val="24"/>
          <w:highlight w:val="none"/>
        </w:rPr>
      </w:pPr>
    </w:p>
    <w:p>
      <w:pPr>
        <w:autoSpaceDE/>
        <w:autoSpaceDN/>
        <w:adjustRightInd/>
        <w:spacing w:line="240" w:lineRule="auto"/>
        <w:jc w:val="left"/>
        <w:outlineLvl w:val="9"/>
        <w:rPr>
          <w:rFonts w:ascii="宋体" w:hAnsi="宋体" w:cs="宋体"/>
          <w:b/>
          <w:color w:val="auto"/>
          <w:kern w:val="0"/>
          <w:sz w:val="30"/>
          <w:szCs w:val="30"/>
          <w:highlight w:val="none"/>
        </w:rPr>
      </w:pPr>
      <w:r>
        <w:rPr>
          <w:rFonts w:ascii="宋体" w:hAnsi="宋体" w:cs="Times New Roman"/>
          <w:color w:val="auto"/>
          <w:kern w:val="0"/>
          <w:sz w:val="24"/>
          <w:szCs w:val="24"/>
          <w:highlight w:val="none"/>
        </w:rPr>
        <w:br w:type="page"/>
      </w:r>
      <w:bookmarkStart w:id="721" w:name="_Toc173684957"/>
      <w:bookmarkStart w:id="722" w:name="_Toc19157"/>
      <w:r>
        <w:rPr>
          <w:rFonts w:hint="eastAsia" w:ascii="宋体" w:hAnsi="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3</w:t>
      </w:r>
      <w:r>
        <w:rPr>
          <w:rFonts w:hint="eastAsia" w:ascii="宋体" w:hAnsi="宋体" w:cs="宋体"/>
          <w:b/>
          <w:color w:val="auto"/>
          <w:kern w:val="0"/>
          <w:sz w:val="30"/>
          <w:szCs w:val="30"/>
          <w:highlight w:val="none"/>
        </w:rPr>
        <w:t>.</w:t>
      </w:r>
      <w:r>
        <w:rPr>
          <w:rFonts w:hint="eastAsia" w:ascii="宋体" w:hAnsi="宋体" w:cs="宋体"/>
          <w:b/>
          <w:color w:val="auto"/>
          <w:kern w:val="0"/>
          <w:sz w:val="30"/>
          <w:szCs w:val="30"/>
          <w:highlight w:val="none"/>
          <w:lang w:val="en-US" w:eastAsia="zh-CN"/>
        </w:rPr>
        <w:t>6</w:t>
      </w:r>
      <w:r>
        <w:rPr>
          <w:rFonts w:hint="eastAsia" w:ascii="宋体" w:hAnsi="宋体" w:cs="宋体"/>
          <w:b/>
          <w:color w:val="auto"/>
          <w:kern w:val="0"/>
          <w:sz w:val="30"/>
          <w:szCs w:val="30"/>
          <w:highlight w:val="none"/>
        </w:rPr>
        <w:t xml:space="preserve"> 投标人认为有必要提供的其它材料</w:t>
      </w:r>
      <w:bookmarkEnd w:id="721"/>
      <w:bookmarkEnd w:id="722"/>
    </w:p>
    <w:p>
      <w:pPr>
        <w:autoSpaceDE w:val="0"/>
        <w:autoSpaceDN w:val="0"/>
        <w:adjustRightInd w:val="0"/>
        <w:jc w:val="left"/>
        <w:rPr>
          <w:rFonts w:ascii="宋体" w:hAnsi="宋体" w:cs="Times New Roman"/>
          <w:color w:val="auto"/>
          <w:kern w:val="0"/>
          <w:sz w:val="24"/>
          <w:szCs w:val="24"/>
          <w:highlight w:val="none"/>
        </w:rPr>
      </w:pPr>
      <w:r>
        <w:rPr>
          <w:rFonts w:hint="eastAsia" w:ascii="宋体" w:hAnsi="宋体" w:cs="Times New Roman"/>
          <w:color w:val="auto"/>
          <w:kern w:val="0"/>
          <w:szCs w:val="21"/>
          <w:highlight w:val="none"/>
        </w:rPr>
        <w:t>说明：不做强制要求。</w:t>
      </w:r>
    </w:p>
    <w:p>
      <w:pPr>
        <w:pStyle w:val="15"/>
        <w:rPr>
          <w:rFonts w:ascii="宋体" w:hAnsi="宋体"/>
          <w:color w:val="auto"/>
          <w:highlight w:val="none"/>
        </w:rPr>
      </w:pPr>
    </w:p>
    <w:p>
      <w:pPr>
        <w:rPr>
          <w:rFonts w:ascii="宋体" w:hAnsi="宋体"/>
          <w:color w:val="auto"/>
          <w:highlight w:val="none"/>
        </w:rPr>
      </w:pPr>
    </w:p>
    <w:p>
      <w:pPr>
        <w:jc w:val="left"/>
        <w:rPr>
          <w:rFonts w:ascii="宋体" w:hAnsi="宋体" w:cs="宋体"/>
          <w:b/>
          <w:bCs/>
          <w:color w:val="auto"/>
          <w:kern w:val="44"/>
          <w:sz w:val="32"/>
          <w:szCs w:val="32"/>
          <w:highlight w:val="none"/>
          <w:lang w:val="zh-CN"/>
        </w:rPr>
      </w:pPr>
      <w:bookmarkStart w:id="723" w:name="_Toc28845"/>
      <w:bookmarkStart w:id="724" w:name="_Toc142508390"/>
      <w:bookmarkStart w:id="725" w:name="_Toc521918141"/>
      <w:bookmarkStart w:id="726" w:name="_Toc22601_WPSOffice_Level1"/>
      <w:bookmarkStart w:id="727" w:name="_Toc522047402"/>
      <w:r>
        <w:rPr>
          <w:rFonts w:hint="eastAsia" w:ascii="宋体" w:hAnsi="宋体" w:cs="宋体"/>
          <w:b/>
          <w:bCs/>
          <w:color w:val="auto"/>
          <w:kern w:val="44"/>
          <w:sz w:val="32"/>
          <w:szCs w:val="32"/>
          <w:highlight w:val="none"/>
          <w:lang w:val="zh-CN"/>
        </w:rPr>
        <w:br w:type="page"/>
      </w:r>
    </w:p>
    <w:p>
      <w:pPr>
        <w:tabs>
          <w:tab w:val="left" w:pos="1080"/>
        </w:tabs>
        <w:autoSpaceDE w:val="0"/>
        <w:autoSpaceDN w:val="0"/>
        <w:adjustRightInd w:val="0"/>
        <w:spacing w:line="360" w:lineRule="auto"/>
        <w:jc w:val="left"/>
        <w:outlineLvl w:val="0"/>
        <w:rPr>
          <w:rFonts w:ascii="宋体" w:hAnsi="宋体" w:cs="宋体"/>
          <w:b/>
          <w:bCs/>
          <w:color w:val="auto"/>
          <w:kern w:val="44"/>
          <w:sz w:val="32"/>
          <w:szCs w:val="32"/>
          <w:highlight w:val="none"/>
          <w:lang w:val="zh-CN"/>
        </w:rPr>
      </w:pPr>
      <w:bookmarkStart w:id="728" w:name="_Toc30756"/>
      <w:bookmarkStart w:id="729" w:name="_Toc173684958"/>
      <w:r>
        <w:rPr>
          <w:rFonts w:hint="eastAsia" w:ascii="宋体" w:hAnsi="宋体" w:cs="宋体"/>
          <w:b/>
          <w:bCs/>
          <w:color w:val="auto"/>
          <w:kern w:val="44"/>
          <w:sz w:val="32"/>
          <w:szCs w:val="32"/>
          <w:highlight w:val="none"/>
          <w:lang w:val="zh-CN"/>
        </w:rPr>
        <w:t>附件一：评标工作大纲</w:t>
      </w:r>
      <w:bookmarkEnd w:id="723"/>
      <w:bookmarkEnd w:id="724"/>
      <w:bookmarkEnd w:id="728"/>
      <w:bookmarkEnd w:id="729"/>
    </w:p>
    <w:p>
      <w:pPr>
        <w:autoSpaceDE w:val="0"/>
        <w:autoSpaceDN w:val="0"/>
        <w:adjustRightInd w:val="0"/>
        <w:spacing w:line="400" w:lineRule="atLeast"/>
        <w:jc w:val="center"/>
        <w:rPr>
          <w:rFonts w:ascii="宋体" w:hAnsi="宋体" w:cs="宋体"/>
          <w:b/>
          <w:bCs/>
          <w:color w:val="auto"/>
          <w:szCs w:val="21"/>
          <w:highlight w:val="none"/>
        </w:rPr>
      </w:pPr>
    </w:p>
    <w:p>
      <w:pPr>
        <w:autoSpaceDE w:val="0"/>
        <w:autoSpaceDN w:val="0"/>
        <w:adjustRightInd w:val="0"/>
        <w:spacing w:line="400" w:lineRule="atLeast"/>
        <w:jc w:val="center"/>
        <w:rPr>
          <w:rFonts w:ascii="宋体" w:hAnsi="宋体" w:cs="宋体"/>
          <w:b/>
          <w:bCs/>
          <w:color w:val="auto"/>
          <w:szCs w:val="21"/>
          <w:highlight w:val="none"/>
        </w:rPr>
      </w:pPr>
    </w:p>
    <w:p>
      <w:pPr>
        <w:autoSpaceDE w:val="0"/>
        <w:autoSpaceDN w:val="0"/>
        <w:adjustRightInd w:val="0"/>
        <w:spacing w:line="400" w:lineRule="atLeast"/>
        <w:jc w:val="center"/>
        <w:rPr>
          <w:rFonts w:ascii="宋体" w:hAnsi="宋体" w:cs="宋体"/>
          <w:b/>
          <w:bCs/>
          <w:color w:val="auto"/>
          <w:szCs w:val="21"/>
          <w:highlight w:val="none"/>
        </w:rPr>
      </w:pPr>
    </w:p>
    <w:p>
      <w:pPr>
        <w:autoSpaceDE w:val="0"/>
        <w:autoSpaceDN w:val="0"/>
        <w:adjustRightInd w:val="0"/>
        <w:spacing w:line="400" w:lineRule="atLeast"/>
        <w:jc w:val="center"/>
        <w:rPr>
          <w:rFonts w:ascii="宋体" w:hAnsi="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cs="宋体"/>
          <w:b/>
          <w:bCs/>
          <w:color w:val="auto"/>
          <w:sz w:val="40"/>
          <w:szCs w:val="36"/>
          <w:highlight w:val="none"/>
          <w:lang w:eastAsia="zh-CN"/>
        </w:rPr>
        <w:t>东莞市众源环境投资有限公司2025年污泥处理用聚丙烯酰胺采购项目</w:t>
      </w:r>
    </w:p>
    <w:p>
      <w:pPr>
        <w:autoSpaceDE w:val="0"/>
        <w:autoSpaceDN w:val="0"/>
        <w:adjustRightInd w:val="0"/>
        <w:spacing w:line="360" w:lineRule="auto"/>
        <w:jc w:val="center"/>
        <w:rPr>
          <w:rFonts w:ascii="宋体" w:hAnsi="宋体" w:cs="宋体"/>
          <w:b/>
          <w:bCs/>
          <w:color w:val="auto"/>
          <w:sz w:val="36"/>
          <w:szCs w:val="36"/>
          <w:highlight w:val="none"/>
        </w:rPr>
      </w:pPr>
      <w:bookmarkStart w:id="730" w:name="_Toc14752_WPSOffice_Level1"/>
      <w:r>
        <w:rPr>
          <w:rFonts w:hint="eastAsia" w:ascii="宋体" w:hAnsi="宋体" w:cs="宋体"/>
          <w:b/>
          <w:bCs/>
          <w:color w:val="auto"/>
          <w:sz w:val="36"/>
          <w:szCs w:val="36"/>
          <w:highlight w:val="none"/>
          <w:lang w:val="zh-CN"/>
        </w:rPr>
        <w:t>（招标编号：0832-SFCX25DG020A）</w:t>
      </w:r>
      <w:bookmarkEnd w:id="730"/>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72"/>
          <w:szCs w:val="72"/>
          <w:highlight w:val="none"/>
          <w:lang w:val="zh-CN"/>
        </w:rPr>
      </w:pPr>
      <w:bookmarkStart w:id="731" w:name="_Toc18947_WPSOffice_Level2"/>
      <w:r>
        <w:rPr>
          <w:rFonts w:hint="eastAsia" w:ascii="宋体" w:hAnsi="宋体" w:cs="宋体"/>
          <w:b/>
          <w:bCs/>
          <w:color w:val="auto"/>
          <w:sz w:val="72"/>
          <w:szCs w:val="72"/>
          <w:highlight w:val="none"/>
          <w:lang w:val="zh-CN"/>
        </w:rPr>
        <w:t>评标工作大纲</w:t>
      </w:r>
      <w:bookmarkEnd w:id="731"/>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cs="宋体"/>
          <w:b/>
          <w:bCs/>
          <w:color w:val="auto"/>
          <w:sz w:val="36"/>
          <w:szCs w:val="36"/>
          <w:highlight w:val="none"/>
        </w:rPr>
      </w:pPr>
    </w:p>
    <w:p>
      <w:pPr>
        <w:autoSpaceDE w:val="0"/>
        <w:autoSpaceDN w:val="0"/>
        <w:adjustRightInd w:val="0"/>
        <w:spacing w:line="400" w:lineRule="atLeast"/>
        <w:jc w:val="center"/>
        <w:rPr>
          <w:rFonts w:ascii="宋体" w:hAnsi="宋体" w:cs="宋体"/>
          <w:b/>
          <w:bCs/>
          <w:color w:val="auto"/>
          <w:sz w:val="36"/>
          <w:szCs w:val="36"/>
          <w:highlight w:val="none"/>
        </w:rPr>
      </w:pPr>
      <w:r>
        <w:rPr>
          <w:rFonts w:hint="eastAsia" w:ascii="宋体" w:hAnsi="宋体" w:cs="宋体"/>
          <w:color w:val="auto"/>
          <w:sz w:val="44"/>
          <w:szCs w:val="44"/>
          <w:highlight w:val="none"/>
        </w:rPr>
        <w:br w:type="page"/>
      </w:r>
      <w:bookmarkStart w:id="732" w:name="_Toc32395_WPSOffice_Level1"/>
      <w:r>
        <w:rPr>
          <w:rFonts w:hint="eastAsia" w:ascii="宋体" w:hAnsi="宋体" w:cs="宋体"/>
          <w:b/>
          <w:bCs/>
          <w:color w:val="auto"/>
          <w:sz w:val="36"/>
          <w:szCs w:val="36"/>
          <w:highlight w:val="none"/>
          <w:lang w:val="zh-CN"/>
        </w:rPr>
        <w:t>目录</w:t>
      </w:r>
      <w:bookmarkEnd w:id="732"/>
    </w:p>
    <w:p>
      <w:pPr>
        <w:autoSpaceDE w:val="0"/>
        <w:autoSpaceDN w:val="0"/>
        <w:adjustRightInd w:val="0"/>
        <w:spacing w:line="400" w:lineRule="atLeast"/>
        <w:jc w:val="center"/>
        <w:rPr>
          <w:rFonts w:ascii="宋体" w:hAnsi="宋体" w:cs="宋体"/>
          <w:color w:val="auto"/>
          <w:sz w:val="44"/>
          <w:szCs w:val="44"/>
          <w:highlight w:val="none"/>
        </w:rPr>
      </w:pPr>
    </w:p>
    <w:p>
      <w:pPr>
        <w:autoSpaceDE w:val="0"/>
        <w:autoSpaceDN w:val="0"/>
        <w:adjustRightInd w:val="0"/>
        <w:spacing w:line="360" w:lineRule="auto"/>
        <w:ind w:left="567" w:hanging="567"/>
        <w:rPr>
          <w:rFonts w:ascii="宋体" w:hAnsi="宋体" w:cs="宋体"/>
          <w:color w:val="auto"/>
          <w:szCs w:val="30"/>
          <w:highlight w:val="none"/>
        </w:rPr>
      </w:pPr>
      <w:bookmarkStart w:id="733" w:name="_Toc21604_WPSOffice_Level1"/>
      <w:r>
        <w:rPr>
          <w:rFonts w:hint="eastAsia" w:ascii="宋体" w:hAnsi="宋体" w:cs="宋体"/>
          <w:color w:val="auto"/>
          <w:szCs w:val="30"/>
          <w:highlight w:val="none"/>
          <w:lang w:val="zh-CN"/>
        </w:rPr>
        <w:t>一、</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总则</w:t>
      </w:r>
      <w:bookmarkEnd w:id="733"/>
    </w:p>
    <w:p>
      <w:pPr>
        <w:autoSpaceDE w:val="0"/>
        <w:autoSpaceDN w:val="0"/>
        <w:adjustRightInd w:val="0"/>
        <w:spacing w:line="360" w:lineRule="auto"/>
        <w:ind w:left="567" w:hanging="567"/>
        <w:rPr>
          <w:rFonts w:ascii="宋体" w:hAnsi="宋体" w:cs="宋体"/>
          <w:color w:val="auto"/>
          <w:szCs w:val="30"/>
          <w:highlight w:val="none"/>
        </w:rPr>
      </w:pPr>
      <w:bookmarkStart w:id="734" w:name="_Toc1387_WPSOffice_Level1"/>
      <w:r>
        <w:rPr>
          <w:rFonts w:hint="eastAsia" w:ascii="宋体" w:hAnsi="宋体" w:cs="宋体"/>
          <w:color w:val="auto"/>
          <w:szCs w:val="30"/>
          <w:highlight w:val="none"/>
          <w:lang w:val="zh-CN"/>
        </w:rPr>
        <w:t>二、</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投标文件的初审</w:t>
      </w:r>
      <w:bookmarkEnd w:id="734"/>
    </w:p>
    <w:p>
      <w:pPr>
        <w:autoSpaceDE w:val="0"/>
        <w:autoSpaceDN w:val="0"/>
        <w:adjustRightInd w:val="0"/>
        <w:spacing w:line="360" w:lineRule="auto"/>
        <w:ind w:left="567" w:hanging="567"/>
        <w:rPr>
          <w:rFonts w:ascii="宋体" w:hAnsi="宋体" w:cs="宋体"/>
          <w:color w:val="auto"/>
          <w:szCs w:val="30"/>
          <w:highlight w:val="none"/>
        </w:rPr>
      </w:pPr>
      <w:bookmarkStart w:id="735" w:name="_Toc30284_WPSOffice_Level1"/>
      <w:r>
        <w:rPr>
          <w:rFonts w:hint="eastAsia" w:ascii="宋体" w:hAnsi="宋体" w:cs="宋体"/>
          <w:color w:val="auto"/>
          <w:szCs w:val="30"/>
          <w:highlight w:val="none"/>
          <w:lang w:val="zh-CN"/>
        </w:rPr>
        <w:t>三、</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澄清有关问题</w:t>
      </w:r>
      <w:bookmarkEnd w:id="735"/>
    </w:p>
    <w:p>
      <w:pPr>
        <w:autoSpaceDE w:val="0"/>
        <w:autoSpaceDN w:val="0"/>
        <w:adjustRightInd w:val="0"/>
        <w:spacing w:line="360" w:lineRule="auto"/>
        <w:ind w:left="567" w:hanging="567"/>
        <w:rPr>
          <w:rFonts w:ascii="宋体" w:hAnsi="宋体" w:cs="宋体"/>
          <w:color w:val="auto"/>
          <w:szCs w:val="30"/>
          <w:highlight w:val="none"/>
        </w:rPr>
      </w:pPr>
      <w:bookmarkStart w:id="736" w:name="_Toc1206_WPSOffice_Level1"/>
      <w:r>
        <w:rPr>
          <w:rFonts w:hint="eastAsia" w:ascii="宋体" w:hAnsi="宋体" w:cs="宋体"/>
          <w:color w:val="auto"/>
          <w:szCs w:val="30"/>
          <w:highlight w:val="none"/>
        </w:rPr>
        <w:t>四、 比较和评价</w:t>
      </w:r>
      <w:bookmarkEnd w:id="736"/>
    </w:p>
    <w:p>
      <w:pPr>
        <w:autoSpaceDE w:val="0"/>
        <w:autoSpaceDN w:val="0"/>
        <w:adjustRightInd w:val="0"/>
        <w:spacing w:line="360" w:lineRule="auto"/>
        <w:ind w:left="567" w:hanging="567"/>
        <w:rPr>
          <w:rFonts w:ascii="宋体" w:hAnsi="宋体" w:cs="宋体"/>
          <w:color w:val="auto"/>
          <w:szCs w:val="30"/>
          <w:highlight w:val="none"/>
        </w:rPr>
      </w:pPr>
      <w:bookmarkStart w:id="737" w:name="_Toc12163_WPSOffice_Level1"/>
      <w:r>
        <w:rPr>
          <w:rFonts w:hint="eastAsia" w:ascii="宋体" w:hAnsi="宋体" w:cs="宋体"/>
          <w:color w:val="auto"/>
          <w:szCs w:val="30"/>
          <w:highlight w:val="none"/>
          <w:lang w:val="zh-CN"/>
        </w:rPr>
        <w:t>五、</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推荐中标候选人名单</w:t>
      </w:r>
      <w:bookmarkEnd w:id="737"/>
    </w:p>
    <w:p>
      <w:pPr>
        <w:autoSpaceDE w:val="0"/>
        <w:autoSpaceDN w:val="0"/>
        <w:adjustRightInd w:val="0"/>
        <w:spacing w:line="360" w:lineRule="auto"/>
        <w:ind w:left="567" w:hanging="567"/>
        <w:rPr>
          <w:rFonts w:ascii="宋体" w:hAnsi="宋体" w:cs="宋体"/>
          <w:color w:val="auto"/>
          <w:szCs w:val="30"/>
          <w:highlight w:val="none"/>
        </w:rPr>
      </w:pPr>
      <w:bookmarkStart w:id="738" w:name="_Toc366_WPSOffice_Level1"/>
      <w:r>
        <w:rPr>
          <w:rFonts w:hint="eastAsia" w:ascii="宋体" w:hAnsi="宋体" w:cs="宋体"/>
          <w:color w:val="auto"/>
          <w:szCs w:val="30"/>
          <w:highlight w:val="none"/>
          <w:lang w:val="zh-CN"/>
        </w:rPr>
        <w:t>六、</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编写评标报告</w:t>
      </w:r>
      <w:bookmarkEnd w:id="738"/>
    </w:p>
    <w:p>
      <w:pPr>
        <w:autoSpaceDE w:val="0"/>
        <w:autoSpaceDN w:val="0"/>
        <w:adjustRightInd w:val="0"/>
        <w:spacing w:line="360" w:lineRule="auto"/>
        <w:ind w:left="567" w:hanging="567"/>
        <w:rPr>
          <w:rFonts w:ascii="宋体" w:hAnsi="宋体" w:cs="宋体"/>
          <w:color w:val="auto"/>
          <w:szCs w:val="30"/>
          <w:highlight w:val="none"/>
        </w:rPr>
      </w:pPr>
      <w:bookmarkStart w:id="739" w:name="_Toc22378_WPSOffice_Level1"/>
      <w:r>
        <w:rPr>
          <w:rFonts w:hint="eastAsia" w:ascii="宋体" w:hAnsi="宋体" w:cs="宋体"/>
          <w:color w:val="auto"/>
          <w:szCs w:val="30"/>
          <w:highlight w:val="none"/>
          <w:lang w:val="zh-CN"/>
        </w:rPr>
        <w:t>七、</w:t>
      </w:r>
      <w:r>
        <w:rPr>
          <w:rFonts w:hint="eastAsia" w:ascii="宋体" w:hAnsi="宋体" w:cs="宋体"/>
          <w:color w:val="auto"/>
          <w:szCs w:val="30"/>
          <w:highlight w:val="none"/>
          <w:lang w:val="zh-CN"/>
        </w:rPr>
        <w:tab/>
      </w:r>
      <w:r>
        <w:rPr>
          <w:rFonts w:hint="eastAsia" w:ascii="宋体" w:hAnsi="宋体" w:cs="宋体"/>
          <w:color w:val="auto"/>
          <w:szCs w:val="30"/>
          <w:highlight w:val="none"/>
          <w:lang w:val="zh-CN"/>
        </w:rPr>
        <w:t>注意事项</w:t>
      </w:r>
      <w:bookmarkEnd w:id="739"/>
    </w:p>
    <w:p>
      <w:pPr>
        <w:tabs>
          <w:tab w:val="right" w:pos="7320"/>
        </w:tabs>
        <w:autoSpaceDE w:val="0"/>
        <w:autoSpaceDN w:val="0"/>
        <w:adjustRightInd w:val="0"/>
        <w:spacing w:line="360" w:lineRule="auto"/>
        <w:ind w:left="720" w:hanging="720"/>
        <w:rPr>
          <w:rFonts w:ascii="宋体" w:hAnsi="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cs="宋体"/>
          <w:color w:val="auto"/>
          <w:szCs w:val="30"/>
          <w:highlight w:val="none"/>
        </w:rPr>
      </w:pPr>
    </w:p>
    <w:p>
      <w:pPr>
        <w:tabs>
          <w:tab w:val="left" w:pos="1140"/>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color w:val="auto"/>
          <w:sz w:val="30"/>
          <w:szCs w:val="30"/>
          <w:highlight w:val="none"/>
        </w:rPr>
        <w:br w:type="page"/>
      </w:r>
      <w:bookmarkStart w:id="740" w:name="_Toc27181_WPSOffice_Level1"/>
      <w:r>
        <w:rPr>
          <w:rFonts w:hint="eastAsia" w:ascii="宋体" w:hAnsi="宋体" w:cs="宋体"/>
          <w:color w:val="auto"/>
          <w:sz w:val="28"/>
          <w:szCs w:val="28"/>
          <w:highlight w:val="none"/>
          <w:lang w:val="zh-CN"/>
        </w:rPr>
        <w:t>一、</w:t>
      </w:r>
      <w:r>
        <w:rPr>
          <w:rFonts w:hint="eastAsia" w:ascii="宋体" w:hAnsi="宋体" w:cs="宋体"/>
          <w:b/>
          <w:bCs/>
          <w:color w:val="auto"/>
          <w:sz w:val="28"/>
          <w:szCs w:val="28"/>
          <w:highlight w:val="none"/>
          <w:lang w:val="zh-CN"/>
        </w:rPr>
        <w:t>总则</w:t>
      </w:r>
      <w:bookmarkEnd w:id="740"/>
    </w:p>
    <w:p>
      <w:pPr>
        <w:tabs>
          <w:tab w:val="left" w:pos="567"/>
          <w:tab w:val="left" w:pos="600"/>
        </w:tabs>
        <w:autoSpaceDE w:val="0"/>
        <w:autoSpaceDN w:val="0"/>
        <w:adjustRightInd w:val="0"/>
        <w:spacing w:line="360" w:lineRule="auto"/>
        <w:ind w:left="600" w:hanging="600"/>
        <w:rPr>
          <w:rFonts w:ascii="宋体" w:hAnsi="宋体" w:cs="宋体"/>
          <w:b/>
          <w:bCs/>
          <w:color w:val="auto"/>
          <w:szCs w:val="24"/>
          <w:highlight w:val="none"/>
          <w:lang w:val="zh-CN"/>
        </w:rPr>
      </w:pPr>
      <w:r>
        <w:rPr>
          <w:rFonts w:hint="eastAsia" w:ascii="宋体" w:hAnsi="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cs="宋体"/>
          <w:color w:val="auto"/>
          <w:kern w:val="0"/>
          <w:szCs w:val="32"/>
          <w:highlight w:val="none"/>
        </w:rPr>
      </w:pPr>
      <w:r>
        <w:rPr>
          <w:rFonts w:hint="eastAsia" w:ascii="宋体" w:hAnsi="宋体" w:cs="宋体"/>
          <w:color w:val="auto"/>
          <w:szCs w:val="21"/>
          <w:highlight w:val="none"/>
          <w:lang w:val="zh-CN"/>
        </w:rPr>
        <w:t>1.1</w:t>
      </w:r>
      <w:r>
        <w:rPr>
          <w:rFonts w:hint="eastAsia" w:ascii="宋体" w:hAnsi="宋体" w:cs="宋体"/>
          <w:color w:val="auto"/>
          <w:szCs w:val="21"/>
          <w:highlight w:val="none"/>
          <w:lang w:val="zh-CN"/>
        </w:rPr>
        <w:tab/>
      </w:r>
      <w:r>
        <w:rPr>
          <w:rFonts w:hint="eastAsia" w:ascii="宋体" w:hAnsi="宋体" w:cs="宋体"/>
          <w:color w:val="auto"/>
          <w:kern w:val="0"/>
          <w:szCs w:val="21"/>
          <w:highlight w:val="none"/>
          <w:lang w:eastAsia="zh-CN"/>
        </w:rPr>
        <w:t>东莞市众源环境投资有限公司2025年污泥处理用聚丙烯酰胺采购项目</w:t>
      </w:r>
      <w:r>
        <w:rPr>
          <w:rFonts w:hint="eastAsia" w:ascii="宋体" w:hAnsi="宋体" w:cs="宋体"/>
          <w:color w:val="auto"/>
          <w:szCs w:val="21"/>
          <w:highlight w:val="none"/>
          <w:lang w:val="zh-CN"/>
        </w:rPr>
        <w:t>(招标编号：0832-SFCX25DG020A</w:t>
      </w:r>
      <w:r>
        <w:rPr>
          <w:rFonts w:hint="eastAsia" w:ascii="宋体" w:hAnsi="宋体" w:cs="宋体"/>
          <w:color w:val="auto"/>
          <w:kern w:val="0"/>
          <w:szCs w:val="32"/>
          <w:highlight w:val="none"/>
        </w:rPr>
        <w:t>)的</w:t>
      </w:r>
      <w:r>
        <w:rPr>
          <w:rFonts w:hint="eastAsia" w:ascii="宋体" w:hAnsi="宋体" w:cs="宋体"/>
          <w:color w:val="auto"/>
          <w:szCs w:val="21"/>
          <w:highlight w:val="none"/>
          <w:lang w:val="zh-CN"/>
        </w:rPr>
        <w:t>招标</w:t>
      </w:r>
      <w:r>
        <w:rPr>
          <w:rFonts w:hint="eastAsia" w:ascii="宋体" w:hAnsi="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cs="宋体"/>
          <w:color w:val="auto"/>
          <w:szCs w:val="24"/>
          <w:highlight w:val="none"/>
          <w:lang w:val="zh-CN"/>
        </w:rPr>
      </w:pPr>
      <w:r>
        <w:rPr>
          <w:rFonts w:hint="eastAsia" w:ascii="宋体" w:hAnsi="宋体" w:cs="宋体"/>
          <w:color w:val="auto"/>
          <w:szCs w:val="24"/>
          <w:highlight w:val="none"/>
          <w:lang w:val="zh-CN"/>
        </w:rPr>
        <w:t>1.2</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cs="宋体"/>
          <w:color w:val="auto"/>
          <w:szCs w:val="24"/>
          <w:highlight w:val="none"/>
          <w:lang w:val="zh-CN"/>
        </w:rPr>
      </w:pPr>
      <w:r>
        <w:rPr>
          <w:rFonts w:hint="eastAsia" w:ascii="宋体" w:hAnsi="宋体" w:cs="宋体"/>
          <w:color w:val="auto"/>
          <w:szCs w:val="24"/>
          <w:highlight w:val="none"/>
          <w:lang w:val="zh-CN"/>
        </w:rPr>
        <w:t>1.3</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招标代理机构</w:t>
      </w:r>
      <w:r>
        <w:rPr>
          <w:rFonts w:hint="eastAsia" w:ascii="宋体" w:hAnsi="宋体" w:cs="宋体"/>
          <w:color w:val="auto"/>
          <w:kern w:val="0"/>
          <w:szCs w:val="32"/>
          <w:highlight w:val="none"/>
        </w:rPr>
        <w:t>(</w:t>
      </w:r>
      <w:r>
        <w:rPr>
          <w:rFonts w:hint="eastAsia" w:ascii="宋体" w:hAnsi="宋体" w:cs="宋体"/>
          <w:color w:val="auto"/>
          <w:kern w:val="0"/>
          <w:szCs w:val="32"/>
          <w:highlight w:val="none"/>
          <w:lang w:eastAsia="zh-CN"/>
        </w:rPr>
        <w:t>三方诚信招标有限公司</w:t>
      </w:r>
      <w:r>
        <w:rPr>
          <w:rFonts w:hint="eastAsia" w:ascii="宋体" w:hAnsi="宋体" w:cs="宋体"/>
          <w:color w:val="auto"/>
          <w:kern w:val="0"/>
          <w:szCs w:val="32"/>
          <w:highlight w:val="none"/>
        </w:rPr>
        <w:t>）组</w:t>
      </w:r>
      <w:r>
        <w:rPr>
          <w:rFonts w:hint="eastAsia" w:ascii="宋体" w:hAnsi="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cs="宋体"/>
          <w:color w:val="auto"/>
          <w:szCs w:val="24"/>
          <w:highlight w:val="none"/>
          <w:lang w:val="zh-CN"/>
        </w:rPr>
      </w:pPr>
      <w:r>
        <w:rPr>
          <w:rFonts w:hint="eastAsia" w:ascii="宋体" w:hAnsi="宋体" w:cs="宋体"/>
          <w:color w:val="auto"/>
          <w:szCs w:val="24"/>
          <w:highlight w:val="none"/>
          <w:lang w:val="zh-CN"/>
        </w:rPr>
        <w:t>1.4</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评标按照招标文件规定的内容进行，采取综合评分</w:t>
      </w:r>
      <w:r>
        <w:rPr>
          <w:rFonts w:hint="eastAsia" w:ascii="宋体" w:hAnsi="宋体" w:cs="宋体"/>
          <w:color w:val="auto"/>
          <w:szCs w:val="21"/>
          <w:highlight w:val="none"/>
        </w:rPr>
        <w:t>法进行评审</w:t>
      </w:r>
      <w:r>
        <w:rPr>
          <w:rFonts w:hint="eastAsia" w:ascii="宋体" w:hAnsi="宋体" w:cs="宋体"/>
          <w:color w:val="auto"/>
          <w:szCs w:val="24"/>
          <w:highlight w:val="none"/>
          <w:lang w:val="zh-CN"/>
        </w:rPr>
        <w:t>。</w:t>
      </w:r>
    </w:p>
    <w:p>
      <w:pPr>
        <w:numPr>
          <w:ilvl w:val="1"/>
          <w:numId w:val="2"/>
        </w:numPr>
        <w:autoSpaceDE w:val="0"/>
        <w:autoSpaceDN w:val="0"/>
        <w:adjustRightInd w:val="0"/>
        <w:spacing w:line="360" w:lineRule="auto"/>
        <w:ind w:left="565" w:hanging="564" w:hangingChars="269"/>
        <w:jc w:val="left"/>
        <w:rPr>
          <w:rFonts w:ascii="宋体" w:hAnsi="宋体" w:cs="宋体"/>
          <w:color w:val="auto"/>
          <w:szCs w:val="24"/>
          <w:highlight w:val="none"/>
          <w:lang w:val="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cs="宋体"/>
          <w:b/>
          <w:bCs/>
          <w:color w:val="auto"/>
          <w:szCs w:val="24"/>
          <w:highlight w:val="none"/>
          <w:lang w:val="zh-CN"/>
        </w:rPr>
      </w:pPr>
      <w:r>
        <w:rPr>
          <w:rFonts w:hint="eastAsia" w:ascii="宋体" w:hAnsi="宋体" w:cs="宋体"/>
          <w:b/>
          <w:bCs/>
          <w:color w:val="auto"/>
          <w:szCs w:val="24"/>
          <w:highlight w:val="none"/>
          <w:lang w:val="zh-CN"/>
        </w:rPr>
        <w:t>2、</w:t>
      </w:r>
      <w:r>
        <w:rPr>
          <w:rFonts w:hint="eastAsia" w:ascii="宋体" w:hAnsi="宋体" w:cs="宋体"/>
          <w:b/>
          <w:bCs/>
          <w:color w:val="auto"/>
          <w:szCs w:val="24"/>
          <w:highlight w:val="none"/>
          <w:lang w:val="zh-CN"/>
        </w:rPr>
        <w:tab/>
      </w:r>
      <w:r>
        <w:rPr>
          <w:rFonts w:hint="eastAsia" w:ascii="宋体" w:hAnsi="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cs="宋体"/>
          <w:color w:val="auto"/>
          <w:szCs w:val="24"/>
          <w:highlight w:val="none"/>
          <w:lang w:val="zh-CN"/>
        </w:rPr>
      </w:pPr>
      <w:r>
        <w:rPr>
          <w:rFonts w:hint="eastAsia" w:ascii="宋体" w:hAnsi="宋体" w:cs="宋体"/>
          <w:color w:val="auto"/>
          <w:szCs w:val="24"/>
          <w:highlight w:val="none"/>
          <w:lang w:val="zh-CN"/>
        </w:rPr>
        <w:t>2.1</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评标委员会</w:t>
      </w:r>
      <w:r>
        <w:rPr>
          <w:rFonts w:hint="eastAsia" w:ascii="宋体" w:hAnsi="宋体" w:cs="宋体"/>
          <w:color w:val="auto"/>
          <w:kern w:val="0"/>
          <w:szCs w:val="24"/>
          <w:highlight w:val="none"/>
        </w:rPr>
        <w:t>由招标人和技术、经济等方面的专家组成，成员为</w:t>
      </w:r>
      <w:r>
        <w:rPr>
          <w:rFonts w:ascii="宋体" w:hAnsi="宋体" w:cs="宋体"/>
          <w:b/>
          <w:bCs/>
          <w:color w:val="auto"/>
          <w:kern w:val="0"/>
          <w:szCs w:val="24"/>
          <w:highlight w:val="none"/>
        </w:rPr>
        <w:t>5人以上（含5人）单数</w:t>
      </w:r>
      <w:r>
        <w:rPr>
          <w:rFonts w:hint="eastAsia" w:ascii="宋体" w:hAnsi="宋体" w:cs="宋体"/>
          <w:color w:val="auto"/>
          <w:kern w:val="0"/>
          <w:szCs w:val="24"/>
          <w:highlight w:val="none"/>
        </w:rPr>
        <w:t>，其中技术、经济等方面的专家不少于成员总数的三分之二。</w:t>
      </w:r>
      <w:r>
        <w:rPr>
          <w:rFonts w:hint="eastAsia" w:ascii="宋体" w:hAnsi="宋体" w:cs="宋体"/>
          <w:color w:val="auto"/>
          <w:szCs w:val="24"/>
          <w:highlight w:val="none"/>
          <w:lang w:val="zh-CN"/>
        </w:rPr>
        <w:t>专家依法从</w:t>
      </w:r>
      <w:r>
        <w:rPr>
          <w:rFonts w:hint="eastAsia" w:ascii="宋体" w:hAnsi="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cs="宋体"/>
          <w:color w:val="auto"/>
          <w:szCs w:val="24"/>
          <w:highlight w:val="none"/>
          <w:lang w:val="zh-CN"/>
        </w:rPr>
      </w:pPr>
      <w:r>
        <w:rPr>
          <w:rFonts w:hint="eastAsia" w:ascii="宋体" w:hAnsi="宋体" w:cs="宋体"/>
          <w:color w:val="auto"/>
          <w:szCs w:val="24"/>
          <w:highlight w:val="none"/>
          <w:lang w:val="zh-CN"/>
        </w:rPr>
        <w:t>2.2</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cs="宋体"/>
          <w:color w:val="auto"/>
          <w:szCs w:val="24"/>
          <w:highlight w:val="none"/>
          <w:lang w:val="zh-CN"/>
        </w:rPr>
      </w:pPr>
      <w:r>
        <w:rPr>
          <w:rFonts w:hint="eastAsia" w:ascii="宋体" w:hAnsi="宋体" w:cs="宋体"/>
          <w:color w:val="auto"/>
          <w:szCs w:val="24"/>
          <w:highlight w:val="none"/>
          <w:lang w:val="zh-CN"/>
        </w:rPr>
        <w:t>2.3</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cs="宋体"/>
          <w:color w:val="auto"/>
          <w:szCs w:val="24"/>
          <w:highlight w:val="none"/>
          <w:lang w:val="zh-CN"/>
        </w:rPr>
      </w:pPr>
      <w:r>
        <w:rPr>
          <w:rFonts w:hint="eastAsia" w:ascii="宋体" w:hAnsi="宋体" w:cs="宋体"/>
          <w:color w:val="auto"/>
          <w:szCs w:val="24"/>
          <w:highlight w:val="none"/>
          <w:lang w:val="zh-CN"/>
        </w:rPr>
        <w:t>2.4</w:t>
      </w:r>
      <w:r>
        <w:rPr>
          <w:rFonts w:hint="eastAsia" w:ascii="宋体" w:hAnsi="宋体" w:cs="宋体"/>
          <w:color w:val="auto"/>
          <w:szCs w:val="24"/>
          <w:highlight w:val="none"/>
          <w:lang w:val="zh-CN"/>
        </w:rPr>
        <w:tab/>
      </w:r>
      <w:r>
        <w:rPr>
          <w:rFonts w:hint="eastAsia" w:ascii="宋体" w:hAnsi="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cs="宋体"/>
          <w:color w:val="auto"/>
          <w:sz w:val="24"/>
          <w:szCs w:val="24"/>
          <w:highlight w:val="none"/>
          <w:lang w:val="zh-CN"/>
        </w:rPr>
      </w:pPr>
    </w:p>
    <w:p>
      <w:pPr>
        <w:autoSpaceDE w:val="0"/>
        <w:autoSpaceDN w:val="0"/>
        <w:adjustRightInd w:val="0"/>
        <w:spacing w:line="360" w:lineRule="auto"/>
        <w:rPr>
          <w:rFonts w:ascii="宋体" w:hAnsi="宋体" w:cs="宋体"/>
          <w:color w:val="auto"/>
          <w:sz w:val="24"/>
          <w:szCs w:val="24"/>
          <w:highlight w:val="none"/>
          <w:lang w:val="zh-CN"/>
        </w:rPr>
      </w:pPr>
      <w:r>
        <w:rPr>
          <w:rFonts w:hint="eastAsia" w:ascii="宋体" w:hAnsi="宋体" w:cs="宋体"/>
          <w:b/>
          <w:color w:val="auto"/>
          <w:szCs w:val="21"/>
          <w:highlight w:val="none"/>
          <w:lang w:val="zh-CN"/>
        </w:rPr>
        <w:t>3、</w:t>
      </w:r>
      <w:r>
        <w:rPr>
          <w:rFonts w:hint="eastAsia" w:ascii="宋体" w:hAnsi="宋体" w:cs="宋体"/>
          <w:b/>
          <w:bCs/>
          <w:color w:val="auto"/>
          <w:szCs w:val="21"/>
          <w:highlight w:val="none"/>
          <w:lang w:val="zh-CN"/>
        </w:rPr>
        <w:t>评标</w:t>
      </w:r>
      <w:r>
        <w:rPr>
          <w:rFonts w:hint="eastAsia" w:ascii="宋体" w:hAnsi="宋体" w:cs="宋体"/>
          <w:b/>
          <w:bCs/>
          <w:color w:val="auto"/>
          <w:szCs w:val="24"/>
          <w:highlight w:val="none"/>
          <w:lang w:val="zh-CN"/>
        </w:rPr>
        <w:t>委员会职责</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3.3</w:t>
      </w:r>
      <w:r>
        <w:rPr>
          <w:rFonts w:hint="eastAsia" w:ascii="宋体" w:hAnsi="宋体" w:cs="宋体"/>
          <w:color w:val="auto"/>
          <w:kern w:val="0"/>
          <w:szCs w:val="24"/>
          <w:highlight w:val="none"/>
          <w:lang w:val="zh-CN"/>
        </w:rPr>
        <w:tab/>
      </w:r>
      <w:r>
        <w:rPr>
          <w:rFonts w:hint="eastAsia" w:ascii="宋体" w:hAnsi="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3.4</w:t>
      </w:r>
      <w:r>
        <w:rPr>
          <w:rFonts w:hint="eastAsia" w:ascii="宋体" w:hAnsi="宋体" w:cs="宋体"/>
          <w:color w:val="auto"/>
          <w:kern w:val="0"/>
          <w:szCs w:val="24"/>
          <w:highlight w:val="none"/>
          <w:lang w:val="zh-CN"/>
        </w:rPr>
        <w:tab/>
      </w:r>
      <w:r>
        <w:rPr>
          <w:rFonts w:hint="eastAsia" w:ascii="宋体" w:hAnsi="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cs="Times New Roman"/>
          <w:b/>
          <w:color w:val="auto"/>
          <w:szCs w:val="24"/>
          <w:highlight w:val="none"/>
          <w:lang w:val="zh-CN"/>
        </w:rPr>
      </w:pPr>
      <w:r>
        <w:rPr>
          <w:rFonts w:hint="eastAsia" w:ascii="宋体" w:hAnsi="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cs="Times New Roman"/>
          <w:b/>
          <w:color w:val="auto"/>
          <w:szCs w:val="24"/>
          <w:highlight w:val="none"/>
          <w:lang w:val="zh-CN"/>
        </w:rPr>
      </w:pPr>
      <w:r>
        <w:rPr>
          <w:rFonts w:hint="eastAsia" w:ascii="宋体" w:hAnsi="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cs="Times New Roman"/>
          <w:bCs/>
          <w:color w:val="auto"/>
          <w:szCs w:val="24"/>
          <w:highlight w:val="none"/>
          <w:lang w:val="zh-CN"/>
        </w:rPr>
      </w:pPr>
      <w:r>
        <w:rPr>
          <w:rFonts w:ascii="宋体" w:hAnsi="宋体" w:cs="Times New Roman"/>
          <w:color w:val="auto"/>
          <w:szCs w:val="24"/>
          <w:highlight w:val="none"/>
          <w:lang w:val="zh-CN"/>
        </w:rPr>
        <w:t>5.</w:t>
      </w:r>
      <w:r>
        <w:rPr>
          <w:rFonts w:hint="eastAsia" w:ascii="宋体" w:hAnsi="宋体" w:cs="Times New Roman"/>
          <w:color w:val="auto"/>
          <w:szCs w:val="24"/>
          <w:highlight w:val="none"/>
          <w:lang w:val="zh-CN"/>
        </w:rPr>
        <w:t>1</w:t>
      </w:r>
      <w:r>
        <w:rPr>
          <w:rFonts w:ascii="宋体" w:hAnsi="宋体" w:cs="Times New Roman"/>
          <w:color w:val="auto"/>
          <w:szCs w:val="24"/>
          <w:highlight w:val="none"/>
          <w:lang w:val="zh-CN"/>
        </w:rPr>
        <w:tab/>
      </w:r>
      <w:r>
        <w:rPr>
          <w:rFonts w:hint="eastAsia" w:ascii="宋体" w:hAnsi="宋体" w:cs="Times New Roman"/>
          <w:bCs/>
          <w:color w:val="auto"/>
          <w:szCs w:val="24"/>
          <w:highlight w:val="none"/>
          <w:lang w:val="zh-CN"/>
        </w:rPr>
        <w:t>评审首先由评标委员会对投标人的</w:t>
      </w:r>
      <w:r>
        <w:rPr>
          <w:rFonts w:hint="eastAsia" w:ascii="宋体" w:hAnsi="宋体" w:cs="Times New Roman"/>
          <w:color w:val="auto"/>
          <w:szCs w:val="24"/>
          <w:highlight w:val="none"/>
          <w:lang w:val="zh-CN"/>
        </w:rPr>
        <w:t>投标</w:t>
      </w:r>
      <w:r>
        <w:rPr>
          <w:rFonts w:hint="eastAsia" w:ascii="宋体" w:hAnsi="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cs="Times New Roman"/>
          <w:color w:val="auto"/>
          <w:szCs w:val="24"/>
          <w:highlight w:val="none"/>
          <w:lang w:val="zh-CN"/>
        </w:rPr>
      </w:pPr>
      <w:r>
        <w:rPr>
          <w:rFonts w:ascii="宋体" w:hAnsi="宋体" w:cs="Times New Roman"/>
          <w:color w:val="auto"/>
          <w:szCs w:val="24"/>
          <w:highlight w:val="none"/>
          <w:lang w:val="zh-CN"/>
        </w:rPr>
        <w:t>5.</w:t>
      </w:r>
      <w:r>
        <w:rPr>
          <w:rFonts w:hint="eastAsia" w:ascii="宋体" w:hAnsi="宋体" w:cs="Times New Roman"/>
          <w:color w:val="auto"/>
          <w:szCs w:val="24"/>
          <w:highlight w:val="none"/>
          <w:lang w:val="zh-CN"/>
        </w:rPr>
        <w:t>2</w:t>
      </w:r>
      <w:r>
        <w:rPr>
          <w:rFonts w:ascii="宋体" w:hAnsi="宋体" w:cs="Times New Roman"/>
          <w:color w:val="auto"/>
          <w:szCs w:val="24"/>
          <w:highlight w:val="none"/>
          <w:lang w:val="zh-CN"/>
        </w:rPr>
        <w:tab/>
      </w:r>
      <w:r>
        <w:rPr>
          <w:rFonts w:hint="eastAsia" w:ascii="宋体" w:hAnsi="宋体" w:cs="Times New Roman"/>
          <w:bCs/>
          <w:color w:val="auto"/>
          <w:szCs w:val="24"/>
          <w:highlight w:val="none"/>
          <w:lang w:val="zh-CN"/>
        </w:rPr>
        <w:t>评标</w:t>
      </w:r>
      <w:r>
        <w:rPr>
          <w:rFonts w:hint="eastAsia" w:ascii="宋体" w:hAnsi="宋体" w:cs="Arial"/>
          <w:color w:val="auto"/>
          <w:szCs w:val="24"/>
          <w:highlight w:val="none"/>
          <w:lang w:val="zh-CN"/>
        </w:rPr>
        <w:t>委员会</w:t>
      </w:r>
      <w:r>
        <w:rPr>
          <w:rFonts w:hint="eastAsia" w:ascii="宋体" w:hAnsi="宋体" w:cs="Times New Roman"/>
          <w:color w:val="auto"/>
          <w:szCs w:val="24"/>
          <w:highlight w:val="none"/>
          <w:lang w:val="zh-CN"/>
        </w:rPr>
        <w:t>对</w:t>
      </w:r>
      <w:r>
        <w:rPr>
          <w:rFonts w:hint="eastAsia" w:ascii="宋体" w:hAnsi="宋体" w:cs="Arial"/>
          <w:color w:val="auto"/>
          <w:szCs w:val="24"/>
          <w:highlight w:val="none"/>
          <w:lang w:val="zh-CN"/>
        </w:rPr>
        <w:t>通过初审的</w:t>
      </w:r>
      <w:r>
        <w:rPr>
          <w:rFonts w:hint="eastAsia" w:ascii="宋体" w:hAnsi="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cs="Times New Roman"/>
          <w:color w:val="auto"/>
          <w:szCs w:val="24"/>
          <w:highlight w:val="none"/>
          <w:lang w:val="zh-CN"/>
        </w:rPr>
      </w:pPr>
      <w:r>
        <w:rPr>
          <w:rFonts w:ascii="宋体" w:hAnsi="宋体" w:cs="Times New Roman"/>
          <w:color w:val="auto"/>
          <w:szCs w:val="24"/>
          <w:highlight w:val="none"/>
          <w:lang w:val="zh-CN"/>
        </w:rPr>
        <w:t>5.</w:t>
      </w:r>
      <w:r>
        <w:rPr>
          <w:rFonts w:hint="eastAsia" w:ascii="宋体" w:hAnsi="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cs="Times New Roman"/>
          <w:color w:val="auto"/>
          <w:szCs w:val="24"/>
          <w:highlight w:val="none"/>
          <w:lang w:val="zh-CN"/>
        </w:rPr>
      </w:pPr>
      <w:r>
        <w:rPr>
          <w:rFonts w:hint="eastAsia" w:ascii="宋体" w:hAnsi="宋体" w:cs="Times New Roman"/>
          <w:color w:val="auto"/>
          <w:szCs w:val="24"/>
          <w:highlight w:val="none"/>
          <w:lang w:val="zh-CN"/>
        </w:rPr>
        <w:t>5.4</w:t>
      </w:r>
      <w:r>
        <w:rPr>
          <w:rFonts w:ascii="宋体" w:hAnsi="宋体" w:cs="Times New Roman"/>
          <w:color w:val="auto"/>
          <w:szCs w:val="24"/>
          <w:highlight w:val="none"/>
          <w:lang w:val="zh-CN"/>
        </w:rPr>
        <w:tab/>
      </w:r>
      <w:r>
        <w:rPr>
          <w:rFonts w:hint="eastAsia" w:ascii="宋体" w:hAnsi="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cs="Times New Roman"/>
          <w:color w:val="auto"/>
          <w:kern w:val="0"/>
          <w:szCs w:val="24"/>
          <w:highlight w:val="none"/>
          <w:lang w:val="zh-CN"/>
        </w:rPr>
      </w:pPr>
      <w:r>
        <w:rPr>
          <w:rFonts w:hint="eastAsia" w:ascii="宋体" w:hAnsi="宋体" w:cs="Times New Roman"/>
          <w:color w:val="auto"/>
          <w:kern w:val="0"/>
          <w:szCs w:val="24"/>
          <w:highlight w:val="none"/>
          <w:lang w:val="zh-CN"/>
        </w:rPr>
        <w:t>5.5  将各</w:t>
      </w:r>
      <w:r>
        <w:rPr>
          <w:rFonts w:hint="eastAsia" w:ascii="宋体" w:hAnsi="宋体" w:cs="Times New Roman"/>
          <w:color w:val="auto"/>
          <w:szCs w:val="24"/>
          <w:highlight w:val="none"/>
          <w:lang w:val="zh-CN"/>
        </w:rPr>
        <w:t>评委对</w:t>
      </w:r>
      <w:r>
        <w:rPr>
          <w:rFonts w:hint="eastAsia" w:ascii="宋体" w:hAnsi="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cs="Times New Roman"/>
          <w:color w:val="auto"/>
          <w:kern w:val="0"/>
          <w:szCs w:val="21"/>
          <w:highlight w:val="none"/>
        </w:rPr>
      </w:pPr>
      <w:r>
        <w:rPr>
          <w:rFonts w:hint="eastAsia" w:ascii="宋体" w:hAnsi="宋体" w:cs="Times New Roman"/>
          <w:bCs/>
          <w:color w:val="auto"/>
          <w:kern w:val="0"/>
          <w:szCs w:val="24"/>
          <w:highlight w:val="none"/>
        </w:rPr>
        <w:t xml:space="preserve">5.6  </w:t>
      </w:r>
      <w:r>
        <w:rPr>
          <w:rFonts w:hint="eastAsia" w:ascii="宋体" w:hAnsi="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cs="Times New Roman"/>
          <w:color w:val="auto"/>
          <w:szCs w:val="24"/>
          <w:highlight w:val="none"/>
          <w:lang w:val="zh-CN"/>
        </w:rPr>
      </w:pPr>
      <w:r>
        <w:rPr>
          <w:rFonts w:hint="eastAsia" w:ascii="宋体" w:hAnsi="宋体" w:cs="Times New Roman"/>
          <w:color w:val="auto"/>
          <w:kern w:val="0"/>
          <w:szCs w:val="24"/>
          <w:highlight w:val="none"/>
          <w:lang w:val="zh-CN"/>
        </w:rPr>
        <w:t>5.</w:t>
      </w:r>
      <w:r>
        <w:rPr>
          <w:rFonts w:hint="eastAsia" w:ascii="宋体" w:hAnsi="宋体" w:cs="Times New Roman"/>
          <w:color w:val="auto"/>
          <w:szCs w:val="24"/>
          <w:highlight w:val="none"/>
          <w:lang w:val="zh-CN"/>
        </w:rPr>
        <w:t>7</w:t>
      </w:r>
      <w:r>
        <w:rPr>
          <w:rFonts w:ascii="宋体" w:hAnsi="宋体" w:cs="Times New Roman"/>
          <w:color w:val="auto"/>
          <w:szCs w:val="24"/>
          <w:highlight w:val="none"/>
          <w:lang w:val="zh-CN"/>
        </w:rPr>
        <w:tab/>
      </w:r>
      <w:r>
        <w:rPr>
          <w:rFonts w:hint="eastAsia" w:ascii="宋体" w:hAnsi="宋体" w:cs="Times New Roman"/>
          <w:color w:val="auto"/>
          <w:kern w:val="0"/>
          <w:szCs w:val="24"/>
          <w:highlight w:val="none"/>
          <w:lang w:val="zh-CN"/>
        </w:rPr>
        <w:t>评标委员会</w:t>
      </w:r>
      <w:r>
        <w:rPr>
          <w:rFonts w:hint="eastAsia" w:ascii="宋体" w:hAnsi="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hint="default" w:ascii="宋体" w:hAnsi="宋体" w:eastAsia="宋体" w:cs="Times New Roman"/>
          <w:color w:val="auto"/>
          <w:szCs w:val="24"/>
          <w:highlight w:val="none"/>
          <w:lang w:val="en-US" w:eastAsia="zh-CN"/>
        </w:rPr>
      </w:pPr>
    </w:p>
    <w:p>
      <w:pPr>
        <w:tabs>
          <w:tab w:val="left" w:pos="1140"/>
        </w:tabs>
        <w:autoSpaceDE w:val="0"/>
        <w:autoSpaceDN w:val="0"/>
        <w:adjustRightInd w:val="0"/>
        <w:spacing w:line="360" w:lineRule="auto"/>
        <w:jc w:val="center"/>
        <w:rPr>
          <w:rFonts w:ascii="宋体" w:hAnsi="宋体" w:cs="宋体"/>
          <w:b/>
          <w:bCs/>
          <w:color w:val="auto"/>
          <w:sz w:val="28"/>
          <w:szCs w:val="28"/>
          <w:highlight w:val="none"/>
        </w:rPr>
      </w:pPr>
      <w:bookmarkStart w:id="741" w:name="_Toc19435_WPSOffice_Level1"/>
      <w:r>
        <w:rPr>
          <w:rFonts w:hint="eastAsia" w:ascii="宋体" w:hAnsi="宋体" w:cs="宋体"/>
          <w:b/>
          <w:bCs/>
          <w:color w:val="auto"/>
          <w:sz w:val="28"/>
          <w:szCs w:val="28"/>
          <w:highlight w:val="none"/>
          <w:lang w:val="zh-CN"/>
        </w:rPr>
        <w:t>二、投标文件的初审</w:t>
      </w:r>
      <w:bookmarkEnd w:id="741"/>
    </w:p>
    <w:p>
      <w:pPr>
        <w:autoSpaceDE w:val="0"/>
        <w:autoSpaceDN w:val="0"/>
        <w:adjustRightInd w:val="0"/>
        <w:spacing w:line="360" w:lineRule="auto"/>
        <w:rPr>
          <w:rFonts w:ascii="宋体" w:hAnsi="宋体" w:cs="宋体"/>
          <w:b/>
          <w:color w:val="auto"/>
          <w:szCs w:val="24"/>
          <w:highlight w:val="none"/>
          <w:lang w:val="zh-CN"/>
        </w:rPr>
      </w:pPr>
      <w:r>
        <w:rPr>
          <w:rFonts w:hint="eastAsia" w:ascii="宋体" w:hAnsi="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cs="宋体"/>
          <w:color w:val="auto"/>
          <w:szCs w:val="24"/>
          <w:highlight w:val="none"/>
          <w:lang w:val="zh-CN"/>
        </w:rPr>
      </w:pPr>
      <w:r>
        <w:rPr>
          <w:rFonts w:hint="eastAsia" w:ascii="宋体" w:hAnsi="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cs="宋体"/>
          <w:color w:val="auto"/>
          <w:szCs w:val="24"/>
          <w:highlight w:val="none"/>
          <w:lang w:val="zh-CN"/>
        </w:rPr>
      </w:pPr>
      <w:r>
        <w:rPr>
          <w:rFonts w:hint="eastAsia" w:ascii="宋体" w:hAnsi="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cs="宋体"/>
          <w:color w:val="auto"/>
          <w:szCs w:val="24"/>
          <w:highlight w:val="none"/>
        </w:rPr>
        <w:t>供货及</w:t>
      </w:r>
      <w:r>
        <w:rPr>
          <w:rFonts w:hint="eastAsia" w:ascii="宋体" w:hAnsi="宋体" w:cs="宋体"/>
          <w:color w:val="auto"/>
          <w:szCs w:val="24"/>
          <w:highlight w:val="none"/>
          <w:lang w:val="zh-CN"/>
        </w:rPr>
        <w:t>服务范围、质量</w:t>
      </w:r>
      <w:r>
        <w:rPr>
          <w:rFonts w:hint="eastAsia" w:ascii="宋体" w:hAnsi="宋体" w:cs="宋体"/>
          <w:color w:val="auto"/>
          <w:szCs w:val="24"/>
          <w:highlight w:val="none"/>
        </w:rPr>
        <w:t>和性能</w:t>
      </w:r>
      <w:r>
        <w:rPr>
          <w:rFonts w:hint="eastAsia" w:ascii="宋体" w:hAnsi="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cs="宋体"/>
          <w:color w:val="auto"/>
          <w:szCs w:val="24"/>
          <w:highlight w:val="none"/>
          <w:lang w:val="zh-CN"/>
        </w:rPr>
      </w:pPr>
      <w:r>
        <w:rPr>
          <w:rFonts w:hint="eastAsia" w:ascii="宋体" w:hAnsi="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cs="宋体"/>
          <w:b/>
          <w:color w:val="auto"/>
          <w:szCs w:val="24"/>
          <w:highlight w:val="none"/>
          <w:lang w:val="zh-CN"/>
        </w:rPr>
      </w:pPr>
      <w:r>
        <w:rPr>
          <w:rFonts w:hint="eastAsia" w:ascii="宋体" w:hAnsi="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cs="宋体"/>
          <w:b/>
          <w:color w:val="auto"/>
          <w:szCs w:val="24"/>
          <w:highlight w:val="none"/>
          <w:u w:val="single"/>
        </w:rPr>
        <w:t>从</w:t>
      </w:r>
      <w:r>
        <w:rPr>
          <w:rFonts w:hint="eastAsia" w:ascii="宋体" w:hAnsi="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cs="宋体"/>
          <w:b/>
          <w:color w:val="auto"/>
          <w:szCs w:val="24"/>
          <w:highlight w:val="none"/>
          <w:lang w:val="zh-CN"/>
        </w:rPr>
        <w:t>。</w:t>
      </w:r>
    </w:p>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7、</w:t>
      </w:r>
      <w:r>
        <w:rPr>
          <w:rFonts w:hint="eastAsia" w:ascii="宋体" w:hAnsi="宋体" w:cs="宋体"/>
          <w:b/>
          <w:color w:val="auto"/>
          <w:szCs w:val="21"/>
          <w:highlight w:val="none"/>
          <w:u w:val="single"/>
          <w:lang w:val="zh-CN"/>
        </w:rPr>
        <w:t>投标文件出现下列情况之一的，被认定为无效投标</w:t>
      </w:r>
      <w:r>
        <w:rPr>
          <w:rFonts w:hint="eastAsia" w:ascii="宋体" w:hAnsi="宋体" w:cs="宋体"/>
          <w:b/>
          <w:color w:val="auto"/>
          <w:szCs w:val="21"/>
          <w:highlight w:val="none"/>
          <w:lang w:val="zh-CN"/>
        </w:rPr>
        <w:t>：</w:t>
      </w:r>
    </w:p>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7</w:t>
      </w:r>
      <w:r>
        <w:rPr>
          <w:rFonts w:ascii="宋体" w:hAnsi="宋体" w:cs="宋体"/>
          <w:b/>
          <w:color w:val="auto"/>
          <w:szCs w:val="21"/>
          <w:highlight w:val="none"/>
          <w:lang w:val="zh-CN"/>
        </w:rPr>
        <w:t xml:space="preserve">.1  </w:t>
      </w:r>
      <w:r>
        <w:rPr>
          <w:rFonts w:hint="eastAsia" w:ascii="宋体" w:hAnsi="宋体" w:cs="宋体"/>
          <w:b/>
          <w:bCs/>
          <w:color w:val="auto"/>
          <w:kern w:val="0"/>
          <w:szCs w:val="21"/>
          <w:highlight w:val="none"/>
          <w:u w:val="single"/>
        </w:rPr>
        <w:t>投标人未按招标文件要求交纳投标保证金的</w:t>
      </w:r>
      <w:r>
        <w:rPr>
          <w:rFonts w:hint="eastAsia" w:ascii="宋体" w:hAnsi="宋体" w:cs="宋体"/>
          <w:b/>
          <w:bCs/>
          <w:color w:val="auto"/>
          <w:kern w:val="0"/>
          <w:szCs w:val="21"/>
          <w:highlight w:val="none"/>
        </w:rPr>
        <w:t>；</w:t>
      </w:r>
    </w:p>
    <w:p>
      <w:pPr>
        <w:tabs>
          <w:tab w:val="left" w:pos="567"/>
        </w:tabs>
        <w:spacing w:line="360" w:lineRule="auto"/>
        <w:ind w:left="632" w:hanging="632" w:hangingChars="3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7.2  </w:t>
      </w:r>
      <w:r>
        <w:rPr>
          <w:rFonts w:hint="eastAsia" w:ascii="宋体" w:hAnsi="宋体" w:cs="宋体"/>
          <w:b/>
          <w:color w:val="auto"/>
          <w:kern w:val="0"/>
          <w:szCs w:val="21"/>
          <w:highlight w:val="none"/>
          <w:u w:val="single"/>
        </w:rPr>
        <w:t>投标文件中的投标报价高于最高投标限价的</w:t>
      </w:r>
      <w:r>
        <w:rPr>
          <w:rFonts w:hint="eastAsia" w:ascii="宋体" w:hAnsi="宋体" w:cs="宋体"/>
          <w:b/>
          <w:bCs/>
          <w:color w:val="auto"/>
          <w:kern w:val="0"/>
          <w:szCs w:val="21"/>
          <w:highlight w:val="none"/>
        </w:rPr>
        <w:t>；</w:t>
      </w:r>
    </w:p>
    <w:p>
      <w:pPr>
        <w:tabs>
          <w:tab w:val="left" w:pos="567"/>
        </w:tabs>
        <w:spacing w:line="360" w:lineRule="auto"/>
        <w:ind w:left="632" w:hanging="632" w:hangingChars="3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single"/>
        </w:rPr>
        <w:t>投标人以低于企业成本价报价，且投标人不能合理说明或不能提供相关证明材料</w:t>
      </w:r>
      <w:r>
        <w:rPr>
          <w:rFonts w:hint="eastAsia" w:ascii="宋体" w:hAnsi="宋体" w:cs="宋体"/>
          <w:b/>
          <w:color w:val="auto"/>
          <w:kern w:val="0"/>
          <w:szCs w:val="21"/>
          <w:highlight w:val="none"/>
        </w:rPr>
        <w:t>；</w:t>
      </w:r>
    </w:p>
    <w:p>
      <w:pPr>
        <w:tabs>
          <w:tab w:val="left" w:pos="567"/>
        </w:tabs>
        <w:spacing w:line="360" w:lineRule="auto"/>
        <w:ind w:left="632" w:hanging="632" w:hangingChars="3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single"/>
        </w:rPr>
        <w:t>投标人递交两份或多份内容不同的投标文件，或在一份投标文件中报有两个或多个报价，且未书面声明哪一个有效</w:t>
      </w:r>
      <w:r>
        <w:rPr>
          <w:rFonts w:hint="eastAsia" w:ascii="宋体" w:hAnsi="宋体" w:cs="宋体"/>
          <w:b/>
          <w:color w:val="auto"/>
          <w:kern w:val="0"/>
          <w:szCs w:val="21"/>
          <w:highlight w:val="none"/>
        </w:rPr>
        <w:t>；</w:t>
      </w:r>
    </w:p>
    <w:p>
      <w:pPr>
        <w:tabs>
          <w:tab w:val="left" w:pos="567"/>
        </w:tabs>
        <w:spacing w:line="360" w:lineRule="auto"/>
        <w:ind w:left="632" w:hanging="632" w:hangingChars="3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7.5  </w:t>
      </w:r>
      <w:r>
        <w:rPr>
          <w:rFonts w:hint="eastAsia" w:ascii="宋体" w:hAnsi="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r>
        <w:rPr>
          <w:rFonts w:hint="eastAsia" w:ascii="宋体" w:hAnsi="宋体" w:cs="宋体"/>
          <w:b/>
          <w:color w:val="auto"/>
          <w:kern w:val="0"/>
          <w:szCs w:val="21"/>
          <w:highlight w:val="none"/>
        </w:rPr>
        <w:t>；</w:t>
      </w:r>
    </w:p>
    <w:p>
      <w:pPr>
        <w:spacing w:line="360" w:lineRule="auto"/>
        <w:ind w:left="527" w:hanging="527" w:hangingChars="25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7.6  </w:t>
      </w:r>
      <w:r>
        <w:rPr>
          <w:rFonts w:hint="eastAsia" w:ascii="宋体" w:hAnsi="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cs="宋体"/>
          <w:b/>
          <w:bCs/>
          <w:color w:val="auto"/>
          <w:kern w:val="0"/>
          <w:szCs w:val="21"/>
          <w:highlight w:val="none"/>
        </w:rPr>
        <w:t xml:space="preserve">； </w:t>
      </w:r>
    </w:p>
    <w:p>
      <w:pPr>
        <w:spacing w:line="360" w:lineRule="auto"/>
        <w:ind w:left="527" w:hanging="527" w:hangingChars="250"/>
        <w:rPr>
          <w:rFonts w:ascii="宋体" w:hAnsi="宋体" w:cs="宋体"/>
          <w:b/>
          <w:bCs/>
          <w:color w:val="auto"/>
          <w:kern w:val="0"/>
          <w:szCs w:val="21"/>
          <w:highlight w:val="none"/>
        </w:rPr>
      </w:pPr>
      <w:r>
        <w:rPr>
          <w:rFonts w:ascii="宋体" w:hAnsi="宋体" w:cs="宋体"/>
          <w:b/>
          <w:bCs/>
          <w:color w:val="auto"/>
          <w:kern w:val="0"/>
          <w:szCs w:val="21"/>
          <w:highlight w:val="none"/>
        </w:rPr>
        <w:t>7.</w:t>
      </w:r>
      <w:r>
        <w:rPr>
          <w:rFonts w:hint="eastAsia" w:ascii="宋体" w:hAnsi="宋体" w:cs="宋体"/>
          <w:b/>
          <w:bCs/>
          <w:color w:val="auto"/>
          <w:kern w:val="0"/>
          <w:szCs w:val="21"/>
          <w:highlight w:val="none"/>
        </w:rPr>
        <w:t>7</w:t>
      </w:r>
      <w:r>
        <w:rPr>
          <w:rFonts w:ascii="宋体" w:hAnsi="宋体" w:cs="宋体"/>
          <w:b/>
          <w:bCs/>
          <w:color w:val="auto"/>
          <w:kern w:val="0"/>
          <w:szCs w:val="21"/>
          <w:highlight w:val="none"/>
        </w:rPr>
        <w:t xml:space="preserve">  </w:t>
      </w:r>
      <w:r>
        <w:rPr>
          <w:rFonts w:hint="eastAsia" w:ascii="宋体" w:hAnsi="宋体" w:cs="宋体"/>
          <w:b/>
          <w:bCs/>
          <w:color w:val="auto"/>
          <w:kern w:val="0"/>
          <w:szCs w:val="21"/>
          <w:highlight w:val="none"/>
          <w:u w:val="single"/>
        </w:rPr>
        <w:t>投标有效期限不符合要求</w:t>
      </w:r>
      <w:r>
        <w:rPr>
          <w:rFonts w:hint="eastAsia" w:ascii="宋体" w:hAnsi="宋体" w:cs="宋体"/>
          <w:b/>
          <w:bCs/>
          <w:color w:val="auto"/>
          <w:kern w:val="0"/>
          <w:szCs w:val="21"/>
          <w:highlight w:val="none"/>
        </w:rPr>
        <w:t>；</w:t>
      </w:r>
    </w:p>
    <w:p>
      <w:pPr>
        <w:spacing w:line="360" w:lineRule="auto"/>
        <w:ind w:left="527" w:hanging="527" w:hangingChars="25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7.8  </w:t>
      </w:r>
      <w:r>
        <w:rPr>
          <w:rFonts w:hint="eastAsia" w:ascii="宋体" w:hAnsi="宋体" w:cs="宋体"/>
          <w:b/>
          <w:bCs/>
          <w:color w:val="auto"/>
          <w:kern w:val="0"/>
          <w:szCs w:val="21"/>
          <w:highlight w:val="none"/>
          <w:u w:val="single"/>
        </w:rPr>
        <w:t>投标文件未对招标范围内的全部内容进行投标报价</w:t>
      </w:r>
      <w:r>
        <w:rPr>
          <w:rFonts w:hint="eastAsia" w:ascii="宋体" w:hAnsi="宋体" w:cs="Times New Roman"/>
          <w:b/>
          <w:color w:val="auto"/>
          <w:kern w:val="0"/>
          <w:szCs w:val="21"/>
          <w:highlight w:val="none"/>
          <w:u w:val="single"/>
        </w:rPr>
        <w:t>或投标方案不是唯一</w:t>
      </w:r>
      <w:r>
        <w:rPr>
          <w:rFonts w:hint="eastAsia" w:ascii="宋体" w:hAnsi="宋体" w:cs="宋体"/>
          <w:b/>
          <w:bCs/>
          <w:color w:val="auto"/>
          <w:kern w:val="0"/>
          <w:szCs w:val="21"/>
          <w:highlight w:val="none"/>
        </w:rPr>
        <w:t>；</w:t>
      </w:r>
    </w:p>
    <w:p>
      <w:pPr>
        <w:spacing w:line="360" w:lineRule="auto"/>
        <w:ind w:left="413" w:hanging="413" w:hangingChars="196"/>
        <w:rPr>
          <w:rFonts w:ascii="宋体" w:hAnsi="宋体" w:cs="Times New Roman"/>
          <w:b/>
          <w:color w:val="auto"/>
          <w:kern w:val="0"/>
          <w:szCs w:val="21"/>
          <w:highlight w:val="none"/>
        </w:rPr>
      </w:pPr>
      <w:r>
        <w:rPr>
          <w:rFonts w:ascii="宋体" w:hAnsi="宋体" w:cs="Times New Roman"/>
          <w:b/>
          <w:color w:val="auto"/>
          <w:kern w:val="0"/>
          <w:szCs w:val="21"/>
          <w:highlight w:val="none"/>
        </w:rPr>
        <w:t>7.</w:t>
      </w:r>
      <w:r>
        <w:rPr>
          <w:rFonts w:hint="eastAsia" w:ascii="宋体" w:hAnsi="宋体" w:cs="Times New Roman"/>
          <w:b/>
          <w:color w:val="auto"/>
          <w:kern w:val="0"/>
          <w:szCs w:val="21"/>
          <w:highlight w:val="none"/>
        </w:rPr>
        <w:t>9</w:t>
      </w:r>
      <w:r>
        <w:rPr>
          <w:rFonts w:ascii="宋体" w:hAnsi="宋体" w:cs="Times New Roman"/>
          <w:b/>
          <w:color w:val="auto"/>
          <w:kern w:val="0"/>
          <w:szCs w:val="21"/>
          <w:highlight w:val="none"/>
        </w:rPr>
        <w:t xml:space="preserve">  </w:t>
      </w:r>
      <w:r>
        <w:rPr>
          <w:rFonts w:ascii="宋体" w:hAnsi="宋体" w:cs="Times New Roman"/>
          <w:b/>
          <w:color w:val="auto"/>
          <w:kern w:val="0"/>
          <w:szCs w:val="21"/>
          <w:highlight w:val="none"/>
          <w:u w:val="single"/>
        </w:rPr>
        <w:t>未提供或虚假填写《合同条款偏离表》，或对《合同条款偏离表》有负偏离的</w:t>
      </w:r>
      <w:r>
        <w:rPr>
          <w:rFonts w:ascii="宋体" w:hAnsi="宋体" w:cs="Times New Roman"/>
          <w:b/>
          <w:color w:val="auto"/>
          <w:kern w:val="0"/>
          <w:szCs w:val="21"/>
          <w:highlight w:val="none"/>
        </w:rPr>
        <w:t>；</w:t>
      </w:r>
    </w:p>
    <w:p>
      <w:pPr>
        <w:spacing w:line="360" w:lineRule="auto"/>
        <w:ind w:left="413" w:hanging="413" w:hangingChars="196"/>
        <w:rPr>
          <w:rFonts w:ascii="宋体" w:hAnsi="宋体" w:cs="Times New Roman"/>
          <w:b/>
          <w:color w:val="auto"/>
          <w:kern w:val="0"/>
          <w:szCs w:val="21"/>
          <w:highlight w:val="none"/>
        </w:rPr>
      </w:pPr>
      <w:r>
        <w:rPr>
          <w:rFonts w:ascii="宋体" w:hAnsi="宋体" w:cs="Times New Roman"/>
          <w:b/>
          <w:color w:val="auto"/>
          <w:kern w:val="0"/>
          <w:szCs w:val="21"/>
          <w:highlight w:val="none"/>
        </w:rPr>
        <w:t>7.</w:t>
      </w:r>
      <w:r>
        <w:rPr>
          <w:rFonts w:hint="eastAsia" w:ascii="宋体" w:hAnsi="宋体" w:cs="Times New Roman"/>
          <w:b/>
          <w:color w:val="auto"/>
          <w:kern w:val="0"/>
          <w:szCs w:val="21"/>
          <w:highlight w:val="none"/>
        </w:rPr>
        <w:t>10</w:t>
      </w:r>
      <w:r>
        <w:rPr>
          <w:rFonts w:ascii="宋体" w:hAnsi="宋体" w:cs="Times New Roman"/>
          <w:b/>
          <w:color w:val="auto"/>
          <w:kern w:val="0"/>
          <w:szCs w:val="21"/>
          <w:highlight w:val="none"/>
        </w:rPr>
        <w:t xml:space="preserve">  </w:t>
      </w:r>
      <w:r>
        <w:rPr>
          <w:rFonts w:ascii="宋体" w:hAnsi="宋体" w:cs="Times New Roman"/>
          <w:b/>
          <w:color w:val="auto"/>
          <w:kern w:val="0"/>
          <w:szCs w:val="21"/>
          <w:highlight w:val="none"/>
          <w:u w:val="single"/>
        </w:rPr>
        <w:t>未填写或虚假填写《用户需求偏离表》的</w:t>
      </w:r>
      <w:r>
        <w:rPr>
          <w:rFonts w:ascii="宋体" w:hAnsi="宋体" w:cs="Times New Roman"/>
          <w:b/>
          <w:color w:val="auto"/>
          <w:kern w:val="0"/>
          <w:szCs w:val="21"/>
          <w:highlight w:val="none"/>
        </w:rPr>
        <w:t>；</w:t>
      </w:r>
    </w:p>
    <w:p>
      <w:pPr>
        <w:spacing w:line="360" w:lineRule="auto"/>
        <w:ind w:left="413" w:hanging="413" w:hangingChars="196"/>
        <w:rPr>
          <w:rFonts w:ascii="宋体" w:hAnsi="宋体" w:cs="Times New Roman"/>
          <w:b/>
          <w:color w:val="auto"/>
          <w:kern w:val="0"/>
          <w:szCs w:val="21"/>
          <w:highlight w:val="none"/>
          <w:u w:val="single"/>
        </w:rPr>
      </w:pPr>
      <w:r>
        <w:rPr>
          <w:rFonts w:ascii="宋体" w:hAnsi="宋体" w:cs="Times New Roman"/>
          <w:b/>
          <w:color w:val="auto"/>
          <w:kern w:val="0"/>
          <w:szCs w:val="21"/>
          <w:highlight w:val="none"/>
        </w:rPr>
        <w:t>7.</w:t>
      </w:r>
      <w:r>
        <w:rPr>
          <w:rFonts w:hint="eastAsia" w:ascii="宋体" w:hAnsi="宋体" w:cs="Times New Roman"/>
          <w:b/>
          <w:color w:val="auto"/>
          <w:kern w:val="0"/>
          <w:szCs w:val="21"/>
          <w:highlight w:val="none"/>
        </w:rPr>
        <w:t>11</w:t>
      </w:r>
      <w:r>
        <w:rPr>
          <w:rFonts w:ascii="宋体" w:hAnsi="宋体" w:cs="Times New Roman"/>
          <w:b/>
          <w:color w:val="auto"/>
          <w:kern w:val="0"/>
          <w:szCs w:val="21"/>
          <w:highlight w:val="none"/>
        </w:rPr>
        <w:t xml:space="preserve"> </w:t>
      </w:r>
      <w:r>
        <w:rPr>
          <w:rFonts w:hint="eastAsia" w:ascii="宋体" w:hAnsi="宋体" w:cs="Times New Roman"/>
          <w:b/>
          <w:color w:val="auto"/>
          <w:kern w:val="0"/>
          <w:szCs w:val="21"/>
          <w:highlight w:val="none"/>
          <w:u w:val="single"/>
        </w:rPr>
        <w:t xml:space="preserve"> </w:t>
      </w:r>
      <w:r>
        <w:rPr>
          <w:rFonts w:ascii="宋体" w:hAnsi="宋体" w:cs="Times New Roman"/>
          <w:b/>
          <w:color w:val="auto"/>
          <w:kern w:val="0"/>
          <w:szCs w:val="21"/>
          <w:highlight w:val="none"/>
          <w:u w:val="single"/>
        </w:rPr>
        <w:t>未</w:t>
      </w:r>
      <w:r>
        <w:rPr>
          <w:rFonts w:hint="eastAsia" w:ascii="宋体" w:hAnsi="宋体" w:cs="Times New Roman"/>
          <w:b/>
          <w:color w:val="auto"/>
          <w:kern w:val="0"/>
          <w:szCs w:val="21"/>
          <w:highlight w:val="none"/>
          <w:u w:val="single"/>
        </w:rPr>
        <w:t>响应</w:t>
      </w:r>
      <w:r>
        <w:rPr>
          <w:rFonts w:ascii="宋体" w:hAnsi="宋体" w:cs="Times New Roman"/>
          <w:b/>
          <w:color w:val="auto"/>
          <w:kern w:val="0"/>
          <w:szCs w:val="21"/>
          <w:highlight w:val="none"/>
          <w:u w:val="single"/>
        </w:rPr>
        <w:t>招标文件提出的实质性要求和条件（标注★的条款）</w:t>
      </w:r>
      <w:r>
        <w:rPr>
          <w:rFonts w:hint="eastAsia" w:ascii="宋体" w:hAnsi="宋体" w:cs="Times New Roman"/>
          <w:b/>
          <w:color w:val="auto"/>
          <w:kern w:val="0"/>
          <w:szCs w:val="21"/>
          <w:highlight w:val="none"/>
          <w:u w:val="single"/>
        </w:rPr>
        <w:t>；</w:t>
      </w:r>
    </w:p>
    <w:p>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hint="eastAsia" w:ascii="宋体" w:hAnsi="宋体" w:cs="Times New Roman"/>
          <w:b/>
          <w:color w:val="auto"/>
          <w:kern w:val="0"/>
          <w:szCs w:val="21"/>
          <w:highlight w:val="none"/>
        </w:rPr>
        <w:t>7.12</w:t>
      </w:r>
      <w:r>
        <w:rPr>
          <w:rFonts w:hint="eastAsia" w:ascii="宋体" w:hAnsi="宋体" w:cs="Times New Roman"/>
          <w:b/>
          <w:color w:val="auto"/>
          <w:kern w:val="0"/>
          <w:szCs w:val="21"/>
          <w:highlight w:val="none"/>
          <w:u w:val="single"/>
        </w:rPr>
        <w:t xml:space="preserve">  投标产品的制造商及取得投标产品制造商就本次投标独家授权的经销商同时参与本项目投标的</w:t>
      </w:r>
      <w:r>
        <w:rPr>
          <w:rFonts w:hint="eastAsia" w:ascii="宋体" w:hAnsi="宋体" w:cs="Times New Roman"/>
          <w:b/>
          <w:color w:val="auto"/>
          <w:kern w:val="0"/>
          <w:szCs w:val="21"/>
          <w:highlight w:val="none"/>
          <w:u w:val="single"/>
          <w:lang w:eastAsia="zh-CN"/>
        </w:rPr>
        <w:t>；</w:t>
      </w:r>
    </w:p>
    <w:p>
      <w:pPr>
        <w:spacing w:line="360" w:lineRule="auto"/>
        <w:ind w:left="413" w:hanging="413" w:hangingChars="196"/>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7.1</w:t>
      </w:r>
      <w:r>
        <w:rPr>
          <w:rFonts w:hint="eastAsia" w:ascii="宋体" w:hAnsi="宋体" w:eastAsia="宋体" w:cs="Times New Roman"/>
          <w:b/>
          <w:color w:val="auto"/>
          <w:kern w:val="0"/>
          <w:szCs w:val="21"/>
          <w:highlight w:val="none"/>
          <w:lang w:val="en-US" w:eastAsia="zh-CN"/>
        </w:rPr>
        <w:t>3</w:t>
      </w:r>
      <w:r>
        <w:rPr>
          <w:rFonts w:hint="eastAsia" w:ascii="宋体" w:hAnsi="宋体" w:eastAsia="宋体" w:cs="Times New Roman"/>
          <w:b/>
          <w:color w:val="auto"/>
          <w:kern w:val="0"/>
          <w:szCs w:val="21"/>
          <w:highlight w:val="none"/>
        </w:rPr>
        <w:t xml:space="preserve">  </w:t>
      </w:r>
      <w:r>
        <w:rPr>
          <w:rFonts w:hint="eastAsia" w:ascii="宋体" w:hAnsi="宋体" w:eastAsia="宋体" w:cs="Times New Roman"/>
          <w:b/>
          <w:bCs w:val="0"/>
          <w:color w:val="auto"/>
          <w:kern w:val="0"/>
          <w:sz w:val="21"/>
          <w:szCs w:val="21"/>
          <w:highlight w:val="none"/>
          <w:lang w:val="en-US" w:eastAsia="zh-CN"/>
        </w:rPr>
        <w:t>同一</w:t>
      </w:r>
      <w:r>
        <w:rPr>
          <w:rFonts w:hint="eastAsia" w:ascii="宋体" w:hAnsi="宋体" w:eastAsia="宋体" w:cs="Times New Roman"/>
          <w:b/>
          <w:color w:val="auto"/>
          <w:kern w:val="0"/>
          <w:szCs w:val="21"/>
          <w:highlight w:val="none"/>
        </w:rPr>
        <w:t>投标产品的</w:t>
      </w:r>
      <w:r>
        <w:rPr>
          <w:rFonts w:hint="eastAsia" w:ascii="宋体" w:hAnsi="宋体" w:eastAsia="宋体" w:cs="Times New Roman"/>
          <w:b/>
          <w:bCs w:val="0"/>
          <w:color w:val="auto"/>
          <w:kern w:val="0"/>
          <w:sz w:val="21"/>
          <w:szCs w:val="21"/>
          <w:highlight w:val="none"/>
          <w:lang w:val="en-US" w:eastAsia="zh-CN"/>
        </w:rPr>
        <w:t>制造商通过两家或以上就</w:t>
      </w:r>
      <w:r>
        <w:rPr>
          <w:rFonts w:hint="eastAsia" w:ascii="宋体" w:hAnsi="宋体" w:eastAsia="宋体" w:cs="Times New Roman"/>
          <w:b/>
          <w:color w:val="auto"/>
          <w:kern w:val="0"/>
          <w:szCs w:val="21"/>
          <w:highlight w:val="none"/>
        </w:rPr>
        <w:t>本次投标</w:t>
      </w:r>
      <w:r>
        <w:rPr>
          <w:rFonts w:hint="eastAsia" w:ascii="宋体" w:hAnsi="宋体" w:eastAsia="宋体" w:cs="Times New Roman"/>
          <w:b/>
          <w:bCs w:val="0"/>
          <w:color w:val="auto"/>
          <w:kern w:val="0"/>
          <w:sz w:val="21"/>
          <w:szCs w:val="21"/>
          <w:highlight w:val="none"/>
          <w:lang w:val="en-US" w:eastAsia="zh-CN"/>
        </w:rPr>
        <w:t>独家授权的经销商</w:t>
      </w:r>
      <w:r>
        <w:rPr>
          <w:rFonts w:hint="eastAsia" w:ascii="宋体" w:hAnsi="宋体" w:eastAsia="宋体" w:cs="Times New Roman"/>
          <w:b/>
          <w:color w:val="auto"/>
          <w:kern w:val="0"/>
          <w:szCs w:val="21"/>
          <w:highlight w:val="none"/>
        </w:rPr>
        <w:t>同时参与本项目投标的</w:t>
      </w:r>
      <w:r>
        <w:rPr>
          <w:rFonts w:hint="eastAsia" w:ascii="宋体" w:hAnsi="宋体" w:eastAsia="宋体" w:cs="Times New Roman"/>
          <w:b/>
          <w:bCs w:val="0"/>
          <w:color w:val="auto"/>
          <w:kern w:val="0"/>
          <w:sz w:val="21"/>
          <w:szCs w:val="21"/>
          <w:highlight w:val="none"/>
          <w:lang w:val="en-US" w:eastAsia="zh-CN"/>
        </w:rPr>
        <w:t>。</w:t>
      </w:r>
    </w:p>
    <w:p>
      <w:pPr>
        <w:autoSpaceDE w:val="0"/>
        <w:autoSpaceDN w:val="0"/>
        <w:adjustRightInd w:val="0"/>
        <w:spacing w:line="360" w:lineRule="auto"/>
        <w:ind w:left="315" w:hanging="315" w:hangingChars="150"/>
        <w:rPr>
          <w:rFonts w:ascii="宋体" w:hAnsi="宋体" w:cs="宋体"/>
          <w:color w:val="auto"/>
          <w:kern w:val="0"/>
          <w:szCs w:val="24"/>
          <w:highlight w:val="none"/>
          <w:lang w:val="zh-CN"/>
        </w:rPr>
      </w:pPr>
      <w:r>
        <w:rPr>
          <w:rFonts w:hint="eastAsia" w:ascii="宋体" w:hAnsi="宋体" w:cs="宋体"/>
          <w:bCs/>
          <w:color w:val="auto"/>
          <w:kern w:val="0"/>
          <w:szCs w:val="24"/>
          <w:highlight w:val="none"/>
          <w:lang w:val="zh-CN"/>
        </w:rPr>
        <w:t>8、</w:t>
      </w:r>
      <w:r>
        <w:rPr>
          <w:rFonts w:hint="eastAsia" w:ascii="宋体" w:hAnsi="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cs="宋体"/>
          <w:b/>
          <w:bCs/>
          <w:color w:val="auto"/>
          <w:sz w:val="28"/>
          <w:szCs w:val="28"/>
          <w:highlight w:val="none"/>
        </w:rPr>
      </w:pPr>
      <w:bookmarkStart w:id="742" w:name="_Toc4109_WPSOffice_Level1"/>
      <w:r>
        <w:rPr>
          <w:rFonts w:hint="eastAsia" w:ascii="宋体" w:hAnsi="宋体" w:cs="宋体"/>
          <w:b/>
          <w:bCs/>
          <w:color w:val="auto"/>
          <w:sz w:val="28"/>
          <w:szCs w:val="28"/>
          <w:highlight w:val="none"/>
          <w:lang w:val="zh-CN"/>
        </w:rPr>
        <w:t>三、澄清有关问题</w:t>
      </w:r>
      <w:bookmarkEnd w:id="742"/>
    </w:p>
    <w:p>
      <w:pPr>
        <w:autoSpaceDE w:val="0"/>
        <w:autoSpaceDN w:val="0"/>
        <w:adjustRightInd w:val="0"/>
        <w:spacing w:line="360" w:lineRule="auto"/>
        <w:ind w:left="315" w:hanging="315" w:hangingChars="150"/>
        <w:rPr>
          <w:rFonts w:ascii="宋体" w:hAnsi="宋体" w:cs="宋体"/>
          <w:color w:val="auto"/>
          <w:szCs w:val="24"/>
          <w:highlight w:val="none"/>
          <w:lang w:val="zh-CN"/>
        </w:rPr>
      </w:pPr>
      <w:r>
        <w:rPr>
          <w:rFonts w:hint="eastAsia" w:ascii="宋体" w:hAnsi="宋体" w:cs="宋体"/>
          <w:bCs/>
          <w:color w:val="auto"/>
          <w:szCs w:val="24"/>
          <w:highlight w:val="none"/>
          <w:lang w:val="zh-CN"/>
        </w:rPr>
        <w:t>9、</w:t>
      </w:r>
      <w:r>
        <w:rPr>
          <w:rFonts w:hint="eastAsia" w:ascii="宋体" w:hAnsi="宋体" w:cs="宋体"/>
          <w:color w:val="auto"/>
          <w:szCs w:val="24"/>
          <w:highlight w:val="none"/>
          <w:lang w:val="zh-CN"/>
        </w:rPr>
        <w:t>在</w:t>
      </w:r>
      <w:r>
        <w:rPr>
          <w:rFonts w:hint="eastAsia" w:ascii="宋体" w:hAnsi="宋体" w:cs="宋体"/>
          <w:color w:val="auto"/>
          <w:kern w:val="0"/>
          <w:szCs w:val="24"/>
          <w:highlight w:val="none"/>
          <w:lang w:val="zh-CN"/>
        </w:rPr>
        <w:t>投标文件</w:t>
      </w:r>
      <w:r>
        <w:rPr>
          <w:rFonts w:hint="eastAsia" w:ascii="宋体" w:hAnsi="宋体" w:cs="宋体"/>
          <w:color w:val="auto"/>
          <w:szCs w:val="24"/>
          <w:highlight w:val="none"/>
          <w:lang w:val="zh-CN"/>
        </w:rPr>
        <w:t>的商务、技术资格性检查及符合性检查过程中，</w:t>
      </w:r>
      <w:r>
        <w:rPr>
          <w:rFonts w:hint="eastAsia" w:ascii="宋体" w:hAnsi="宋体" w:cs="宋体"/>
          <w:color w:val="auto"/>
          <w:kern w:val="0"/>
          <w:szCs w:val="24"/>
          <w:highlight w:val="none"/>
          <w:lang w:val="zh-CN"/>
        </w:rPr>
        <w:t>投标人</w:t>
      </w:r>
      <w:r>
        <w:rPr>
          <w:rFonts w:hint="eastAsia" w:ascii="宋体" w:hAnsi="宋体" w:cs="宋体"/>
          <w:color w:val="auto"/>
          <w:szCs w:val="24"/>
          <w:highlight w:val="none"/>
          <w:lang w:val="zh-CN"/>
        </w:rPr>
        <w:t>可应评标委员会要求对</w:t>
      </w:r>
      <w:r>
        <w:rPr>
          <w:rFonts w:hint="eastAsia" w:ascii="宋体" w:hAnsi="宋体" w:cs="宋体"/>
          <w:color w:val="auto"/>
          <w:kern w:val="0"/>
          <w:szCs w:val="24"/>
          <w:highlight w:val="none"/>
          <w:lang w:val="zh-CN"/>
        </w:rPr>
        <w:t>投标文件</w:t>
      </w:r>
      <w:r>
        <w:rPr>
          <w:rFonts w:hint="eastAsia" w:ascii="宋体" w:hAnsi="宋体" w:cs="宋体"/>
          <w:color w:val="auto"/>
          <w:szCs w:val="24"/>
          <w:highlight w:val="none"/>
          <w:lang w:val="zh-CN"/>
        </w:rPr>
        <w:t>中有关问题进行书面澄清。该书面澄清作为其</w:t>
      </w:r>
      <w:r>
        <w:rPr>
          <w:rFonts w:hint="eastAsia" w:ascii="宋体" w:hAnsi="宋体" w:cs="宋体"/>
          <w:color w:val="auto"/>
          <w:kern w:val="0"/>
          <w:szCs w:val="24"/>
          <w:highlight w:val="none"/>
          <w:lang w:val="zh-CN"/>
        </w:rPr>
        <w:t>投标文件</w:t>
      </w:r>
      <w:r>
        <w:rPr>
          <w:rFonts w:hint="eastAsia" w:ascii="宋体" w:hAnsi="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cs="宋体"/>
          <w:color w:val="auto"/>
          <w:szCs w:val="24"/>
          <w:highlight w:val="none"/>
          <w:lang w:val="zh-CN"/>
        </w:rPr>
      </w:pPr>
      <w:r>
        <w:rPr>
          <w:rFonts w:hint="eastAsia" w:ascii="宋体" w:hAnsi="宋体" w:cs="宋体"/>
          <w:color w:val="auto"/>
          <w:szCs w:val="24"/>
          <w:highlight w:val="none"/>
          <w:lang w:val="zh-CN"/>
        </w:rPr>
        <w:t>9.1  对</w:t>
      </w:r>
      <w:r>
        <w:rPr>
          <w:rFonts w:hint="eastAsia" w:ascii="宋体" w:hAnsi="宋体" w:cs="宋体"/>
          <w:color w:val="auto"/>
          <w:kern w:val="0"/>
          <w:szCs w:val="24"/>
          <w:highlight w:val="none"/>
          <w:lang w:val="zh-CN"/>
        </w:rPr>
        <w:t>投标文件</w:t>
      </w:r>
      <w:r>
        <w:rPr>
          <w:rFonts w:hint="eastAsia" w:ascii="宋体" w:hAnsi="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cs="宋体"/>
          <w:color w:val="auto"/>
          <w:szCs w:val="24"/>
          <w:highlight w:val="none"/>
          <w:lang w:val="zh-CN"/>
        </w:rPr>
      </w:pPr>
      <w:r>
        <w:rPr>
          <w:rFonts w:hint="eastAsia" w:ascii="宋体" w:hAnsi="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cs="宋体"/>
          <w:color w:val="auto"/>
          <w:szCs w:val="24"/>
          <w:highlight w:val="none"/>
          <w:lang w:val="zh-CN"/>
        </w:rPr>
      </w:pPr>
      <w:r>
        <w:rPr>
          <w:rFonts w:hint="eastAsia" w:ascii="宋体" w:hAnsi="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cs="宋体"/>
          <w:color w:val="auto"/>
          <w:kern w:val="0"/>
          <w:szCs w:val="21"/>
          <w:highlight w:val="none"/>
        </w:rPr>
      </w:pPr>
      <w:r>
        <w:rPr>
          <w:rFonts w:hint="eastAsia" w:ascii="宋体" w:hAnsi="宋体" w:cs="宋体"/>
          <w:color w:val="auto"/>
          <w:kern w:val="0"/>
          <w:szCs w:val="21"/>
          <w:highlight w:val="none"/>
        </w:rPr>
        <w:t>9.4  投标文件报价计算错误的修正</w:t>
      </w:r>
    </w:p>
    <w:p>
      <w:pPr>
        <w:spacing w:line="360" w:lineRule="auto"/>
        <w:ind w:left="567" w:hanging="567" w:hangingChars="270"/>
        <w:jc w:val="left"/>
        <w:rPr>
          <w:rFonts w:ascii="宋体" w:hAnsi="宋体" w:cs="宋体"/>
          <w:color w:val="auto"/>
          <w:kern w:val="0"/>
          <w:szCs w:val="21"/>
          <w:highlight w:val="none"/>
        </w:rPr>
      </w:pPr>
      <w:r>
        <w:rPr>
          <w:rFonts w:hint="eastAsia" w:ascii="宋体" w:hAnsi="宋体" w:cs="宋体"/>
          <w:color w:val="auto"/>
          <w:kern w:val="0"/>
          <w:szCs w:val="21"/>
          <w:highlight w:val="none"/>
        </w:rPr>
        <w:t>（1）评标委员会将对确定为实质上响应招标文件要求的投标文件进行校核，看其是否有计算或表达上的错误，修正错误的原则为：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A</w:t>
      </w:r>
      <w:r>
        <w:rPr>
          <w:rFonts w:hint="eastAsia" w:ascii="宋体" w:hAnsi="宋体" w:cs="宋体"/>
          <w:color w:val="auto"/>
          <w:kern w:val="0"/>
          <w:szCs w:val="21"/>
          <w:highlight w:val="none"/>
          <w:lang w:val="zh-CN"/>
        </w:rPr>
        <w:t>）当以数字表示的金额与以文字表示的金额不一致时，以文字表示的金额为准；</w:t>
      </w:r>
    </w:p>
    <w:p>
      <w:pPr>
        <w:spacing w:line="360" w:lineRule="auto"/>
        <w:ind w:left="420" w:left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B</w:t>
      </w:r>
      <w:r>
        <w:rPr>
          <w:rFonts w:hint="eastAsia" w:ascii="宋体" w:hAnsi="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pPr>
        <w:spacing w:line="360" w:lineRule="auto"/>
        <w:ind w:left="420" w:left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C</w:t>
      </w:r>
      <w:r>
        <w:rPr>
          <w:rFonts w:hint="eastAsia" w:ascii="宋体" w:hAnsi="宋体" w:cs="宋体"/>
          <w:color w:val="auto"/>
          <w:kern w:val="0"/>
          <w:szCs w:val="21"/>
          <w:highlight w:val="none"/>
          <w:lang w:val="zh-CN"/>
        </w:rPr>
        <w:t>）当分项报价明细表内累计与投标报价表内报价不符时，以投标报价表（开标一览表）为准，修正分项报价明细表内的各分项报价；</w:t>
      </w:r>
    </w:p>
    <w:p>
      <w:pPr>
        <w:spacing w:line="360" w:lineRule="auto"/>
        <w:ind w:firstLine="420" w:firstLineChars="200"/>
        <w:jc w:val="left"/>
        <w:rPr>
          <w:rFonts w:ascii="宋体" w:hAnsi="宋体" w:cs="Times New Roman"/>
          <w:color w:val="auto"/>
          <w:kern w:val="0"/>
          <w:sz w:val="24"/>
          <w:szCs w:val="24"/>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D</w:t>
      </w:r>
      <w:r>
        <w:rPr>
          <w:rFonts w:hint="eastAsia" w:ascii="宋体" w:hAnsi="宋体" w:cs="宋体"/>
          <w:color w:val="auto"/>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（2）</w:t>
      </w:r>
      <w:r>
        <w:rPr>
          <w:rFonts w:hint="eastAsia" w:ascii="宋体" w:hAnsi="宋体" w:cs="宋体"/>
          <w:b/>
          <w:color w:val="auto"/>
          <w:kern w:val="0"/>
          <w:szCs w:val="21"/>
          <w:highlight w:val="none"/>
          <w:u w:val="single"/>
          <w:lang w:val="zh-CN"/>
        </w:rPr>
        <w:t>按上述修正</w:t>
      </w:r>
      <w:r>
        <w:rPr>
          <w:rFonts w:hint="eastAsia" w:ascii="宋体" w:hAnsi="宋体" w:cs="宋体"/>
          <w:b/>
          <w:color w:val="auto"/>
          <w:kern w:val="0"/>
          <w:szCs w:val="21"/>
          <w:highlight w:val="none"/>
          <w:u w:val="single"/>
        </w:rPr>
        <w:t>错误</w:t>
      </w:r>
      <w:r>
        <w:rPr>
          <w:rFonts w:hint="eastAsia" w:ascii="宋体" w:hAnsi="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cs="宋体"/>
          <w:b/>
          <w:color w:val="auto"/>
          <w:kern w:val="0"/>
          <w:szCs w:val="21"/>
          <w:highlight w:val="none"/>
          <w:lang w:val="zh-CN"/>
        </w:rPr>
        <w:t>。</w:t>
      </w:r>
    </w:p>
    <w:p>
      <w:pPr>
        <w:spacing w:line="360" w:lineRule="auto"/>
        <w:ind w:left="567" w:hanging="567" w:hangingChars="27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9.5  若投标人出现超低报价，有可能影响</w:t>
      </w:r>
      <w:r>
        <w:rPr>
          <w:rFonts w:hint="eastAsia" w:ascii="宋体" w:hAnsi="宋体" w:cs="宋体"/>
          <w:color w:val="auto"/>
          <w:kern w:val="0"/>
          <w:szCs w:val="21"/>
          <w:highlight w:val="none"/>
        </w:rPr>
        <w:t>货物</w:t>
      </w:r>
      <w:r>
        <w:rPr>
          <w:rFonts w:hint="eastAsia" w:ascii="宋体" w:hAnsi="宋体" w:cs="宋体"/>
          <w:color w:val="auto"/>
          <w:kern w:val="0"/>
          <w:szCs w:val="21"/>
          <w:highlight w:val="none"/>
          <w:lang w:val="zh-CN"/>
        </w:rPr>
        <w:t>质量和不能诚信履约的，</w:t>
      </w:r>
      <w:r>
        <w:rPr>
          <w:rFonts w:hint="eastAsia" w:ascii="宋体" w:hAnsi="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cs="宋体"/>
          <w:b/>
          <w:color w:val="auto"/>
          <w:szCs w:val="21"/>
          <w:highlight w:val="none"/>
          <w:u w:val="single"/>
          <w:lang w:val="zh-CN"/>
        </w:rPr>
        <w:t>若投标人不能合理说明或不能提供相关证明材料的，评标委员会将认定其投标报价低于成本，同时否决其投标</w:t>
      </w:r>
      <w:r>
        <w:rPr>
          <w:rFonts w:hint="eastAsia" w:ascii="宋体" w:hAnsi="宋体" w:cs="宋体"/>
          <w:b/>
          <w:color w:val="auto"/>
          <w:szCs w:val="21"/>
          <w:highlight w:val="none"/>
          <w:lang w:val="zh-CN"/>
        </w:rPr>
        <w:t>。</w:t>
      </w:r>
    </w:p>
    <w:p>
      <w:pPr>
        <w:autoSpaceDE w:val="0"/>
        <w:autoSpaceDN w:val="0"/>
        <w:adjustRightInd w:val="0"/>
        <w:spacing w:line="360" w:lineRule="auto"/>
        <w:jc w:val="center"/>
        <w:rPr>
          <w:rFonts w:ascii="宋体" w:hAnsi="宋体" w:cs="宋体"/>
          <w:b/>
          <w:bCs/>
          <w:color w:val="auto"/>
          <w:sz w:val="28"/>
          <w:szCs w:val="28"/>
          <w:highlight w:val="none"/>
          <w:lang w:val="zh-CN"/>
        </w:rPr>
      </w:pPr>
      <w:bookmarkStart w:id="743" w:name="_Toc8518_WPSOffice_Level1"/>
    </w:p>
    <w:p>
      <w:pPr>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四、比较和评价</w:t>
      </w:r>
      <w:bookmarkEnd w:id="743"/>
    </w:p>
    <w:p>
      <w:pPr>
        <w:autoSpaceDE w:val="0"/>
        <w:autoSpaceDN w:val="0"/>
        <w:adjustRightInd w:val="0"/>
        <w:spacing w:line="360" w:lineRule="auto"/>
        <w:ind w:left="422" w:leftChars="1" w:hanging="420" w:hangingChars="200"/>
        <w:rPr>
          <w:rFonts w:ascii="宋体" w:hAnsi="宋体" w:cs="宋体"/>
          <w:color w:val="auto"/>
          <w:szCs w:val="24"/>
          <w:highlight w:val="none"/>
          <w:lang w:val="zh-CN"/>
        </w:rPr>
      </w:pPr>
      <w:r>
        <w:rPr>
          <w:rFonts w:hint="eastAsia" w:ascii="宋体" w:hAnsi="宋体" w:cs="宋体"/>
          <w:bCs/>
          <w:color w:val="auto"/>
          <w:szCs w:val="24"/>
          <w:highlight w:val="none"/>
          <w:lang w:val="zh-CN"/>
        </w:rPr>
        <w:t>10、</w:t>
      </w:r>
      <w:r>
        <w:rPr>
          <w:rFonts w:hint="eastAsia" w:ascii="宋体" w:hAnsi="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cs="宋体"/>
          <w:color w:val="auto"/>
          <w:szCs w:val="24"/>
          <w:highlight w:val="none"/>
          <w:lang w:val="zh-CN"/>
        </w:rPr>
      </w:pPr>
    </w:p>
    <w:p>
      <w:pPr>
        <w:tabs>
          <w:tab w:val="left" w:pos="1701"/>
        </w:tabs>
        <w:autoSpaceDE w:val="0"/>
        <w:autoSpaceDN w:val="0"/>
        <w:adjustRightInd w:val="0"/>
        <w:spacing w:line="360" w:lineRule="auto"/>
        <w:rPr>
          <w:rFonts w:ascii="宋体" w:hAnsi="宋体" w:cs="宋体"/>
          <w:b/>
          <w:color w:val="auto"/>
          <w:szCs w:val="24"/>
          <w:highlight w:val="none"/>
          <w:lang w:val="zh-CN"/>
        </w:rPr>
      </w:pPr>
      <w:r>
        <w:rPr>
          <w:rFonts w:hint="eastAsia" w:ascii="宋体" w:hAnsi="宋体" w:cs="宋体"/>
          <w:b/>
          <w:color w:val="auto"/>
          <w:szCs w:val="24"/>
          <w:highlight w:val="none"/>
          <w:lang w:val="zh-CN"/>
        </w:rPr>
        <w:t>11、评委打分办法</w:t>
      </w:r>
    </w:p>
    <w:p>
      <w:pPr>
        <w:autoSpaceDE w:val="0"/>
        <w:autoSpaceDN w:val="0"/>
        <w:adjustRightInd w:val="0"/>
        <w:spacing w:line="360" w:lineRule="auto"/>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ascii="宋体" w:hAnsi="宋体" w:cs="宋体"/>
          <w:color w:val="auto"/>
          <w:kern w:val="0"/>
          <w:szCs w:val="21"/>
          <w:highlight w:val="none"/>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.3 评分主要是为比较各投标人的商务、技术</w:t>
      </w:r>
      <w:r>
        <w:rPr>
          <w:rFonts w:hint="eastAsia" w:ascii="宋体" w:hAnsi="宋体" w:cs="Times New Roman"/>
          <w:color w:val="auto"/>
          <w:szCs w:val="24"/>
          <w:highlight w:val="none"/>
        </w:rPr>
        <w:t>和</w:t>
      </w:r>
      <w:r>
        <w:rPr>
          <w:rFonts w:hint="eastAsia" w:ascii="宋体" w:hAnsi="宋体" w:cs="Times New Roman"/>
          <w:color w:val="auto"/>
          <w:szCs w:val="24"/>
          <w:highlight w:val="none"/>
          <w:lang w:val="zh-CN"/>
        </w:rPr>
        <w:t>价格综合排序。</w:t>
      </w:r>
      <w:r>
        <w:rPr>
          <w:rFonts w:hint="eastAsia" w:ascii="宋体" w:hAnsi="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ascii="宋体" w:hAnsi="宋体" w:cs="宋体"/>
          <w:color w:val="auto"/>
          <w:kern w:val="0"/>
          <w:szCs w:val="21"/>
          <w:highlight w:val="none"/>
        </w:rPr>
      </w:pPr>
      <w:r>
        <w:rPr>
          <w:rFonts w:hint="eastAsia" w:ascii="宋体" w:hAnsi="宋体" w:cs="宋体"/>
          <w:color w:val="auto"/>
          <w:kern w:val="0"/>
          <w:szCs w:val="21"/>
          <w:highlight w:val="none"/>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ascii="宋体" w:hAnsi="宋体" w:cs="宋体"/>
          <w:color w:val="auto"/>
          <w:szCs w:val="21"/>
          <w:highlight w:val="none"/>
        </w:rPr>
      </w:pPr>
      <w:r>
        <w:rPr>
          <w:rFonts w:hint="eastAsia" w:ascii="宋体" w:hAnsi="宋体" w:cs="宋体"/>
          <w:color w:val="auto"/>
          <w:kern w:val="0"/>
          <w:szCs w:val="21"/>
          <w:highlight w:val="none"/>
        </w:rPr>
        <w:t>（2）然后评标委员会对技术标进行评审，按评标标准打分后，</w:t>
      </w:r>
      <w:r>
        <w:rPr>
          <w:rFonts w:hint="eastAsia" w:ascii="宋体" w:hAnsi="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hint="eastAsia" w:ascii="宋体" w:hAnsi="宋体" w:cs="宋体"/>
          <w:color w:val="auto"/>
          <w:kern w:val="0"/>
          <w:szCs w:val="21"/>
          <w:highlight w:val="none"/>
        </w:rPr>
        <w:t>（3）最后评标委员会对报价进行评审，按评标标准计算得出该投标人的报价评分。</w:t>
      </w:r>
    </w:p>
    <w:p>
      <w:pPr>
        <w:tabs>
          <w:tab w:val="left" w:pos="600"/>
        </w:tabs>
        <w:autoSpaceDE w:val="0"/>
        <w:autoSpaceDN w:val="0"/>
        <w:adjustRightInd w:val="0"/>
        <w:spacing w:line="360" w:lineRule="auto"/>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cs="Times New Roman"/>
          <w:color w:val="auto"/>
          <w:szCs w:val="24"/>
          <w:highlight w:val="none"/>
          <w:lang w:val="zh-CN"/>
        </w:rPr>
      </w:pPr>
      <w:r>
        <w:rPr>
          <w:rFonts w:ascii="宋体" w:hAnsi="宋体" w:cs="Times New Roman"/>
          <w:color w:val="auto"/>
          <w:szCs w:val="24"/>
          <w:highlight w:val="none"/>
          <w:lang w:val="zh-CN"/>
        </w:rPr>
        <w:t>11</w:t>
      </w:r>
      <w:r>
        <w:rPr>
          <w:rFonts w:hint="eastAsia" w:ascii="宋体" w:hAnsi="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hint="eastAsia" w:ascii="宋体" w:hAnsi="宋体" w:cs="Times New Roman"/>
          <w:color w:val="auto"/>
          <w:szCs w:val="24"/>
          <w:highlight w:val="none"/>
          <w:lang w:val="zh-CN"/>
        </w:rPr>
        <w:t>（</w:t>
      </w:r>
      <w:r>
        <w:rPr>
          <w:rFonts w:ascii="宋体" w:hAnsi="宋体" w:cs="Times New Roman"/>
          <w:color w:val="auto"/>
          <w:szCs w:val="24"/>
          <w:highlight w:val="none"/>
          <w:lang w:val="zh-CN"/>
        </w:rPr>
        <w:t>1</w:t>
      </w:r>
      <w:r>
        <w:rPr>
          <w:rFonts w:hint="eastAsia" w:ascii="宋体" w:hAnsi="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hint="eastAsia" w:ascii="宋体" w:hAnsi="宋体" w:cs="Times New Roman"/>
          <w:color w:val="auto"/>
          <w:szCs w:val="24"/>
          <w:highlight w:val="none"/>
          <w:lang w:val="zh-CN"/>
        </w:rPr>
        <w:t>（</w:t>
      </w:r>
      <w:r>
        <w:rPr>
          <w:rFonts w:ascii="宋体" w:hAnsi="宋体" w:cs="Times New Roman"/>
          <w:color w:val="auto"/>
          <w:szCs w:val="24"/>
          <w:highlight w:val="none"/>
          <w:lang w:val="zh-CN"/>
        </w:rPr>
        <w:t>2</w:t>
      </w:r>
      <w:r>
        <w:rPr>
          <w:rFonts w:hint="eastAsia" w:ascii="宋体" w:hAnsi="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cs="Times New Roman"/>
          <w:color w:val="auto"/>
          <w:szCs w:val="24"/>
          <w:highlight w:val="none"/>
          <w:lang w:val="zh-CN"/>
        </w:rPr>
      </w:pPr>
      <w:r>
        <w:rPr>
          <w:rFonts w:hint="eastAsia" w:ascii="宋体" w:hAnsi="宋体" w:cs="Times New Roman"/>
          <w:color w:val="auto"/>
          <w:szCs w:val="24"/>
          <w:highlight w:val="none"/>
          <w:lang w:val="zh-CN"/>
        </w:rPr>
        <w:t>（</w:t>
      </w:r>
      <w:r>
        <w:rPr>
          <w:rFonts w:ascii="宋体" w:hAnsi="宋体" w:cs="Times New Roman"/>
          <w:color w:val="auto"/>
          <w:szCs w:val="24"/>
          <w:highlight w:val="none"/>
          <w:lang w:val="zh-CN"/>
        </w:rPr>
        <w:t>3</w:t>
      </w:r>
      <w:r>
        <w:rPr>
          <w:rFonts w:hint="eastAsia" w:ascii="宋体" w:hAnsi="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cs="宋体"/>
          <w:color w:val="auto"/>
          <w:szCs w:val="24"/>
          <w:highlight w:val="none"/>
          <w:lang w:val="zh-CN"/>
        </w:rPr>
      </w:pPr>
    </w:p>
    <w:p>
      <w:pPr>
        <w:tabs>
          <w:tab w:val="left" w:pos="1701"/>
        </w:tabs>
        <w:autoSpaceDE w:val="0"/>
        <w:autoSpaceDN w:val="0"/>
        <w:adjustRightInd w:val="0"/>
        <w:spacing w:line="360" w:lineRule="auto"/>
        <w:rPr>
          <w:rFonts w:ascii="宋体" w:hAnsi="宋体" w:cs="宋体"/>
          <w:b/>
          <w:color w:val="auto"/>
          <w:szCs w:val="24"/>
          <w:highlight w:val="none"/>
          <w:lang w:val="zh-CN"/>
        </w:rPr>
      </w:pPr>
      <w:r>
        <w:rPr>
          <w:rFonts w:hint="eastAsia" w:ascii="宋体" w:hAnsi="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 w:val="22"/>
                <w:highlight w:val="none"/>
                <w:lang w:val="zh-CN"/>
              </w:rPr>
            </w:pPr>
            <w:r>
              <w:rPr>
                <w:rFonts w:hint="eastAsia" w:ascii="宋体" w:hAnsi="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 w:val="22"/>
                <w:highlight w:val="none"/>
                <w:lang w:val="zh-CN"/>
              </w:rPr>
            </w:pPr>
            <w:r>
              <w:rPr>
                <w:rFonts w:hint="eastAsia" w:ascii="宋体" w:hAnsi="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kern w:val="0"/>
                <w:sz w:val="22"/>
                <w:highlight w:val="none"/>
                <w:lang w:val="zh-CN"/>
              </w:rPr>
            </w:pPr>
            <w:r>
              <w:rPr>
                <w:rFonts w:hint="eastAsia" w:ascii="宋体" w:hAnsi="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color w:val="auto"/>
                <w:kern w:val="0"/>
                <w:sz w:val="22"/>
                <w:highlight w:val="none"/>
                <w:lang w:val="zh-CN"/>
              </w:rPr>
            </w:pP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kern w:val="0"/>
                <w:sz w:val="22"/>
                <w:highlight w:val="none"/>
                <w:lang w:val="zh-CN"/>
              </w:rPr>
            </w:pPr>
            <w:r>
              <w:rPr>
                <w:rFonts w:hint="eastAsia" w:ascii="宋体" w:hAnsi="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color w:val="auto"/>
                <w:kern w:val="0"/>
                <w:sz w:val="22"/>
                <w:highlight w:val="none"/>
                <w:lang w:val="zh-CN"/>
              </w:rPr>
            </w:pP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kern w:val="0"/>
                <w:sz w:val="22"/>
                <w:highlight w:val="none"/>
                <w:lang w:val="zh-CN"/>
              </w:rPr>
            </w:pPr>
            <w:r>
              <w:rPr>
                <w:rFonts w:hint="eastAsia" w:ascii="宋体" w:hAnsi="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color w:val="auto"/>
                <w:kern w:val="0"/>
                <w:sz w:val="22"/>
                <w:highlight w:val="none"/>
                <w:lang w:val="zh-CN"/>
              </w:rPr>
            </w:pPr>
            <w:r>
              <w:rPr>
                <w:rFonts w:hint="eastAsia" w:ascii="宋体" w:hAnsi="宋体" w:cs="宋体"/>
                <w:b/>
                <w:color w:val="auto"/>
                <w:szCs w:val="21"/>
                <w:highlight w:val="none"/>
                <w:lang w:val="en-US" w:eastAsia="zh-CN"/>
              </w:rPr>
              <w:t>50</w:t>
            </w:r>
            <w:r>
              <w:rPr>
                <w:rFonts w:hint="eastAsia" w:ascii="宋体" w:hAnsi="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cs="宋体"/>
          <w:b/>
          <w:color w:val="auto"/>
          <w:szCs w:val="21"/>
          <w:highlight w:val="none"/>
        </w:rPr>
      </w:pPr>
      <w:bookmarkStart w:id="744" w:name="_Toc18349_WPSOffice_Level2"/>
    </w:p>
    <w:p>
      <w:pPr>
        <w:tabs>
          <w:tab w:val="left" w:pos="585"/>
        </w:tabs>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rPr>
        <w:t>（1）</w:t>
      </w:r>
      <w:r>
        <w:rPr>
          <w:rFonts w:hint="eastAsia" w:ascii="宋体" w:hAnsi="宋体" w:cs="宋体"/>
          <w:b/>
          <w:color w:val="auto"/>
          <w:szCs w:val="21"/>
          <w:highlight w:val="none"/>
          <w:lang w:val="zh-CN"/>
        </w:rPr>
        <w:t>商务：总分</w:t>
      </w: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lang w:val="zh-CN"/>
        </w:rPr>
        <w:t>分</w:t>
      </w:r>
      <w:bookmarkEnd w:id="74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cs="宋体"/>
                <w:b/>
                <w:color w:val="auto"/>
                <w:kern w:val="0"/>
                <w:szCs w:val="21"/>
                <w:highlight w:val="none"/>
              </w:rPr>
            </w:pPr>
            <w:r>
              <w:rPr>
                <w:rFonts w:hint="eastAsia" w:ascii="宋体" w:hAnsi="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cs="Times New Roman"/>
                <w:bCs/>
                <w:color w:val="auto"/>
                <w:kern w:val="0"/>
                <w:szCs w:val="21"/>
                <w:highlight w:val="none"/>
              </w:rPr>
            </w:pPr>
            <w:r>
              <w:rPr>
                <w:rFonts w:hint="eastAsia" w:ascii="宋体" w:hAnsi="宋体" w:cs="宋体"/>
                <w:color w:val="auto"/>
                <w:kern w:val="0"/>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ascii="宋体" w:hAnsi="宋体" w:cs="Times New Roman"/>
                <w:bCs/>
                <w:color w:val="auto"/>
                <w:kern w:val="0"/>
                <w:szCs w:val="21"/>
                <w:highlight w:val="none"/>
                <w:lang w:val="zh-CN"/>
              </w:rPr>
            </w:pPr>
            <w:r>
              <w:rPr>
                <w:rFonts w:hint="eastAsia" w:ascii="宋体" w:hAnsi="宋体" w:cs="Times New Roman"/>
                <w:bCs/>
                <w:color w:val="auto"/>
                <w:kern w:val="0"/>
                <w:szCs w:val="21"/>
                <w:highlight w:val="none"/>
                <w:lang w:val="zh-CN"/>
              </w:rPr>
              <w:t>投标人</w:t>
            </w:r>
            <w:r>
              <w:rPr>
                <w:rFonts w:ascii="宋体" w:hAnsi="宋体" w:cs="Times New Roman"/>
                <w:bCs/>
                <w:color w:val="auto"/>
                <w:kern w:val="0"/>
                <w:szCs w:val="21"/>
                <w:highlight w:val="none"/>
                <w:lang w:val="zh-CN"/>
              </w:rPr>
              <w:t>202</w:t>
            </w:r>
            <w:r>
              <w:rPr>
                <w:rFonts w:ascii="宋体" w:hAnsi="宋体" w:cs="Times New Roman"/>
                <w:bCs/>
                <w:color w:val="auto"/>
                <w:kern w:val="0"/>
                <w:szCs w:val="21"/>
                <w:highlight w:val="none"/>
              </w:rPr>
              <w:t>1</w:t>
            </w:r>
            <w:r>
              <w:rPr>
                <w:rFonts w:hint="eastAsia" w:ascii="宋体" w:hAnsi="宋体" w:cs="Times New Roman"/>
                <w:bCs/>
                <w:color w:val="auto"/>
                <w:kern w:val="0"/>
                <w:szCs w:val="21"/>
                <w:highlight w:val="none"/>
                <w:lang w:val="zh-CN"/>
              </w:rPr>
              <w:t>年</w:t>
            </w:r>
            <w:r>
              <w:rPr>
                <w:rFonts w:ascii="宋体" w:hAnsi="宋体" w:cs="Times New Roman"/>
                <w:bCs/>
                <w:color w:val="auto"/>
                <w:kern w:val="0"/>
                <w:szCs w:val="21"/>
                <w:highlight w:val="none"/>
              </w:rPr>
              <w:t>-</w:t>
            </w:r>
            <w:r>
              <w:rPr>
                <w:rFonts w:ascii="宋体" w:hAnsi="宋体" w:cs="Times New Roman"/>
                <w:bCs/>
                <w:color w:val="auto"/>
                <w:kern w:val="0"/>
                <w:szCs w:val="21"/>
                <w:highlight w:val="none"/>
                <w:lang w:val="zh-CN"/>
              </w:rPr>
              <w:t>202</w:t>
            </w:r>
            <w:r>
              <w:rPr>
                <w:rFonts w:ascii="宋体" w:hAnsi="宋体" w:cs="Times New Roman"/>
                <w:bCs/>
                <w:color w:val="auto"/>
                <w:kern w:val="0"/>
                <w:szCs w:val="21"/>
                <w:highlight w:val="none"/>
              </w:rPr>
              <w:t>3</w:t>
            </w:r>
            <w:r>
              <w:rPr>
                <w:rFonts w:hint="eastAsia" w:ascii="宋体" w:hAnsi="宋体" w:cs="Times New Roman"/>
                <w:bCs/>
                <w:color w:val="auto"/>
                <w:kern w:val="0"/>
                <w:szCs w:val="21"/>
                <w:highlight w:val="none"/>
                <w:lang w:val="zh-CN"/>
              </w:rPr>
              <w:t>年三个年度，每具有</w:t>
            </w:r>
            <w:r>
              <w:rPr>
                <w:rFonts w:ascii="宋体" w:hAnsi="宋体" w:cs="Times New Roman"/>
                <w:bCs/>
                <w:color w:val="auto"/>
                <w:kern w:val="0"/>
                <w:szCs w:val="21"/>
                <w:highlight w:val="none"/>
                <w:lang w:val="zh-CN"/>
              </w:rPr>
              <w:t>1个年度盈利的得1分，满分3分。</w:t>
            </w:r>
          </w:p>
          <w:p>
            <w:pPr>
              <w:autoSpaceDE w:val="0"/>
              <w:autoSpaceDN w:val="0"/>
              <w:spacing w:line="400" w:lineRule="exact"/>
              <w:jc w:val="left"/>
              <w:rPr>
                <w:rFonts w:ascii="宋体" w:hAnsi="宋体" w:cs="Times New Roman"/>
                <w:b/>
                <w:color w:val="auto"/>
                <w:kern w:val="0"/>
                <w:szCs w:val="21"/>
                <w:highlight w:val="none"/>
                <w:lang w:val="zh-CN"/>
              </w:rPr>
            </w:pPr>
            <w:r>
              <w:rPr>
                <w:rFonts w:hint="eastAsia" w:ascii="宋体" w:hAnsi="宋体" w:cs="Times New Roman"/>
                <w:b/>
                <w:color w:val="auto"/>
                <w:kern w:val="0"/>
                <w:szCs w:val="21"/>
                <w:highlight w:val="none"/>
                <w:lang w:val="zh-CN"/>
              </w:rPr>
              <w:t>备注：</w:t>
            </w:r>
            <w:r>
              <w:rPr>
                <w:rFonts w:hint="eastAsia" w:ascii="宋体" w:hAnsi="宋体" w:cs="宋体"/>
                <w:b/>
                <w:bCs/>
                <w:color w:val="auto"/>
                <w:kern w:val="0"/>
                <w:szCs w:val="21"/>
                <w:highlight w:val="none"/>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cs="Times New Roman"/>
                <w:b/>
                <w:color w:val="auto"/>
                <w:kern w:val="0"/>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1）投标产品的制造商具有有效期内的IS09001质量管理体系认证证书得1分；</w:t>
            </w:r>
          </w:p>
          <w:p>
            <w:pPr>
              <w:autoSpaceDE w:val="0"/>
              <w:autoSpaceDN w:val="0"/>
              <w:adjustRightInd w:val="0"/>
              <w:snapToGrid w:val="0"/>
              <w:spacing w:line="400" w:lineRule="exact"/>
              <w:jc w:val="lef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2）投标产品的制造商具有有效期内的IS014001环境管理体系认证证书得1分；</w:t>
            </w:r>
          </w:p>
          <w:p>
            <w:pPr>
              <w:autoSpaceDE w:val="0"/>
              <w:autoSpaceDN w:val="0"/>
              <w:adjustRightInd w:val="0"/>
              <w:snapToGrid w:val="0"/>
              <w:spacing w:line="400" w:lineRule="exact"/>
              <w:jc w:val="lef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3）投标产品的制造商具有有效期内的0HSAS18001</w:t>
            </w:r>
            <w:r>
              <w:rPr>
                <w:rFonts w:hint="eastAsia" w:ascii="宋体" w:hAnsi="宋体" w:cs="Times New Roman"/>
                <w:bCs/>
                <w:color w:val="auto"/>
                <w:kern w:val="0"/>
                <w:szCs w:val="21"/>
                <w:highlight w:val="none"/>
              </w:rPr>
              <w:t>（或</w:t>
            </w:r>
            <w:r>
              <w:rPr>
                <w:rFonts w:ascii="宋体" w:hAnsi="宋体" w:cs="Times New Roman"/>
                <w:bCs/>
                <w:color w:val="auto"/>
                <w:kern w:val="0"/>
                <w:szCs w:val="21"/>
                <w:highlight w:val="none"/>
              </w:rPr>
              <w:t>GB/T45001-2020，或IS045001）职业健康安全管理体系认证证书得1分</w:t>
            </w:r>
            <w:r>
              <w:rPr>
                <w:rFonts w:hint="eastAsia" w:ascii="宋体" w:hAnsi="宋体" w:cs="Times New Roman"/>
                <w:bCs/>
                <w:color w:val="auto"/>
                <w:kern w:val="0"/>
                <w:szCs w:val="21"/>
                <w:highlight w:val="none"/>
              </w:rPr>
              <w:t>。</w:t>
            </w:r>
          </w:p>
          <w:p>
            <w:pPr>
              <w:autoSpaceDE w:val="0"/>
              <w:autoSpaceDN w:val="0"/>
              <w:adjustRightInd w:val="0"/>
              <w:snapToGrid w:val="0"/>
              <w:spacing w:line="400" w:lineRule="exact"/>
              <w:jc w:val="left"/>
              <w:rPr>
                <w:rFonts w:ascii="宋体" w:hAnsi="宋体" w:cs="Times New Roman"/>
                <w:b/>
                <w:color w:val="auto"/>
                <w:kern w:val="0"/>
                <w:szCs w:val="21"/>
                <w:highlight w:val="none"/>
              </w:rPr>
            </w:pPr>
            <w:r>
              <w:rPr>
                <w:rFonts w:hint="eastAsia" w:ascii="宋体" w:hAnsi="宋体" w:cs="Times New Roman"/>
                <w:b/>
                <w:color w:val="auto"/>
                <w:kern w:val="0"/>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Cs w:val="21"/>
                <w:highlight w:val="none"/>
              </w:rPr>
            </w:pPr>
            <w:bookmarkStart w:id="745" w:name="_Hlk104987354"/>
            <w:r>
              <w:rPr>
                <w:rFonts w:ascii="宋体" w:hAnsi="宋体" w:cs="宋体"/>
                <w:color w:val="auto"/>
                <w:kern w:val="0"/>
                <w:szCs w:val="21"/>
                <w:highlight w:val="none"/>
              </w:rPr>
              <w:t>3</w:t>
            </w:r>
          </w:p>
        </w:tc>
        <w:tc>
          <w:tcPr>
            <w:tcW w:w="54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pPr>
              <w:tabs>
                <w:tab w:val="left" w:pos="134"/>
              </w:tabs>
              <w:autoSpaceDE w:val="0"/>
              <w:autoSpaceDN w:val="0"/>
              <w:adjustRightInd w:val="0"/>
              <w:spacing w:line="400" w:lineRule="exac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投标人</w:t>
            </w:r>
            <w:r>
              <w:rPr>
                <w:rFonts w:ascii="宋体" w:hAnsi="宋体" w:cs="Times New Roman"/>
                <w:bCs/>
                <w:color w:val="auto"/>
                <w:kern w:val="0"/>
                <w:szCs w:val="21"/>
                <w:highlight w:val="none"/>
              </w:rPr>
              <w:t>202</w:t>
            </w:r>
            <w:r>
              <w:rPr>
                <w:rFonts w:hint="eastAsia" w:ascii="宋体" w:hAnsi="宋体" w:cs="Times New Roman"/>
                <w:bCs/>
                <w:color w:val="auto"/>
                <w:kern w:val="0"/>
                <w:szCs w:val="21"/>
                <w:highlight w:val="none"/>
                <w:lang w:val="en-US" w:eastAsia="zh-CN"/>
              </w:rPr>
              <w:t>2</w:t>
            </w:r>
            <w:r>
              <w:rPr>
                <w:rFonts w:hint="eastAsia" w:ascii="宋体" w:hAnsi="宋体" w:cs="Times New Roman"/>
                <w:bCs/>
                <w:color w:val="auto"/>
                <w:kern w:val="0"/>
                <w:szCs w:val="21"/>
                <w:highlight w:val="none"/>
              </w:rPr>
              <w:t>年</w:t>
            </w:r>
            <w:r>
              <w:rPr>
                <w:rFonts w:hint="eastAsia" w:ascii="宋体" w:hAnsi="宋体" w:cs="Times New Roman"/>
                <w:bCs/>
                <w:color w:val="auto"/>
                <w:kern w:val="0"/>
                <w:szCs w:val="21"/>
                <w:highlight w:val="none"/>
                <w:lang w:val="en-US" w:eastAsia="zh-CN"/>
              </w:rPr>
              <w:t>1月1日</w:t>
            </w:r>
            <w:r>
              <w:rPr>
                <w:rFonts w:hint="eastAsia" w:ascii="宋体" w:hAnsi="宋体" w:cs="Times New Roman"/>
                <w:bCs/>
                <w:color w:val="auto"/>
                <w:kern w:val="0"/>
                <w:szCs w:val="21"/>
                <w:highlight w:val="none"/>
              </w:rPr>
              <w:t>以来（签订合同的时问要求为</w:t>
            </w:r>
            <w:r>
              <w:rPr>
                <w:rFonts w:ascii="宋体" w:hAnsi="宋体" w:cs="Times New Roman"/>
                <w:bCs/>
                <w:color w:val="auto"/>
                <w:kern w:val="0"/>
                <w:szCs w:val="21"/>
                <w:highlight w:val="none"/>
              </w:rPr>
              <w:t>202</w:t>
            </w:r>
            <w:r>
              <w:rPr>
                <w:rFonts w:hint="eastAsia" w:ascii="宋体" w:hAnsi="宋体" w:cs="Times New Roman"/>
                <w:bCs/>
                <w:color w:val="auto"/>
                <w:kern w:val="0"/>
                <w:szCs w:val="21"/>
                <w:highlight w:val="none"/>
                <w:lang w:val="en-US" w:eastAsia="zh-CN"/>
              </w:rPr>
              <w:t>2</w:t>
            </w:r>
            <w:r>
              <w:rPr>
                <w:rFonts w:hint="eastAsia" w:ascii="宋体" w:hAnsi="宋体" w:cs="Times New Roman"/>
                <w:bCs/>
                <w:color w:val="auto"/>
                <w:kern w:val="0"/>
                <w:szCs w:val="21"/>
                <w:highlight w:val="none"/>
              </w:rPr>
              <w:t>年</w:t>
            </w:r>
            <w:r>
              <w:rPr>
                <w:rFonts w:ascii="宋体" w:hAnsi="宋体" w:cs="Times New Roman"/>
                <w:bCs/>
                <w:color w:val="auto"/>
                <w:kern w:val="0"/>
                <w:szCs w:val="21"/>
                <w:highlight w:val="none"/>
              </w:rPr>
              <w:t>1月1日或以后）具有的</w:t>
            </w:r>
            <w:r>
              <w:rPr>
                <w:rFonts w:hint="eastAsia" w:ascii="宋体" w:hAnsi="宋体" w:cs="Times New Roman"/>
                <w:bCs/>
                <w:color w:val="auto"/>
                <w:kern w:val="0"/>
                <w:szCs w:val="21"/>
                <w:highlight w:val="none"/>
                <w:lang w:eastAsia="zh-CN"/>
              </w:rPr>
              <w:t>阳离子聚丙烯酰胺</w:t>
            </w:r>
            <w:r>
              <w:rPr>
                <w:rFonts w:ascii="宋体" w:hAnsi="宋体" w:cs="Times New Roman"/>
                <w:bCs/>
                <w:color w:val="auto"/>
                <w:kern w:val="0"/>
                <w:szCs w:val="21"/>
                <w:highlight w:val="none"/>
              </w:rPr>
              <w:t>供货业绩，按下列情况评分：</w:t>
            </w:r>
          </w:p>
          <w:p>
            <w:pPr>
              <w:tabs>
                <w:tab w:val="left" w:pos="134"/>
              </w:tabs>
              <w:autoSpaceDE w:val="0"/>
              <w:autoSpaceDN w:val="0"/>
              <w:adjustRightInd w:val="0"/>
              <w:spacing w:line="400" w:lineRule="exac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1）</w:t>
            </w:r>
            <w:r>
              <w:rPr>
                <w:rFonts w:hint="eastAsia" w:ascii="宋体" w:hAnsi="宋体" w:cs="Times New Roman"/>
                <w:bCs/>
                <w:color w:val="auto"/>
                <w:kern w:val="0"/>
                <w:szCs w:val="21"/>
                <w:highlight w:val="none"/>
              </w:rPr>
              <w:t>单项合同内已完成投标品牌</w:t>
            </w:r>
            <w:r>
              <w:rPr>
                <w:rFonts w:hint="eastAsia" w:ascii="宋体" w:hAnsi="宋体" w:cs="Times New Roman"/>
                <w:bCs/>
                <w:color w:val="auto"/>
                <w:kern w:val="0"/>
                <w:szCs w:val="21"/>
                <w:highlight w:val="none"/>
                <w:lang w:eastAsia="zh-CN"/>
              </w:rPr>
              <w:t>阳离子聚丙烯酰胺</w:t>
            </w:r>
            <w:r>
              <w:rPr>
                <w:rFonts w:hint="eastAsia" w:ascii="宋体" w:hAnsi="宋体" w:cs="Times New Roman"/>
                <w:bCs/>
                <w:color w:val="auto"/>
                <w:kern w:val="0"/>
                <w:szCs w:val="21"/>
                <w:highlight w:val="none"/>
              </w:rPr>
              <w:t>供货金额≥</w:t>
            </w:r>
            <w:r>
              <w:rPr>
                <w:rFonts w:hint="eastAsia" w:ascii="宋体" w:hAnsi="宋体" w:cs="Times New Roman"/>
                <w:bCs/>
                <w:color w:val="auto"/>
                <w:kern w:val="0"/>
                <w:szCs w:val="21"/>
                <w:highlight w:val="none"/>
                <w:lang w:val="en-US" w:eastAsia="zh-CN"/>
              </w:rPr>
              <w:t>100</w:t>
            </w:r>
            <w:r>
              <w:rPr>
                <w:rFonts w:ascii="宋体" w:hAnsi="宋体" w:cs="Times New Roman"/>
                <w:bCs/>
                <w:color w:val="auto"/>
                <w:kern w:val="0"/>
                <w:szCs w:val="21"/>
                <w:highlight w:val="none"/>
              </w:rPr>
              <w:t>万元的前述业绩的，每项得3分；</w:t>
            </w:r>
          </w:p>
          <w:p>
            <w:pPr>
              <w:tabs>
                <w:tab w:val="left" w:pos="134"/>
              </w:tabs>
              <w:autoSpaceDE w:val="0"/>
              <w:autoSpaceDN w:val="0"/>
              <w:adjustRightInd w:val="0"/>
              <w:spacing w:line="400" w:lineRule="exac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2）</w:t>
            </w:r>
            <w:r>
              <w:rPr>
                <w:rFonts w:hint="eastAsia" w:ascii="宋体" w:hAnsi="宋体" w:cs="Times New Roman"/>
                <w:bCs/>
                <w:color w:val="auto"/>
                <w:kern w:val="0"/>
                <w:szCs w:val="21"/>
                <w:highlight w:val="none"/>
                <w:lang w:val="en-US" w:eastAsia="zh-CN"/>
              </w:rPr>
              <w:t>50</w:t>
            </w:r>
            <w:r>
              <w:rPr>
                <w:rFonts w:ascii="宋体" w:hAnsi="宋体" w:cs="Times New Roman"/>
                <w:bCs/>
                <w:color w:val="auto"/>
                <w:kern w:val="0"/>
                <w:szCs w:val="21"/>
                <w:highlight w:val="none"/>
              </w:rPr>
              <w:t>万元≤单项合同内已完成投标品牌</w:t>
            </w:r>
            <w:r>
              <w:rPr>
                <w:rFonts w:hint="eastAsia" w:ascii="宋体" w:hAnsi="宋体" w:cs="Times New Roman"/>
                <w:bCs/>
                <w:color w:val="auto"/>
                <w:kern w:val="0"/>
                <w:szCs w:val="21"/>
                <w:highlight w:val="none"/>
                <w:lang w:eastAsia="zh-CN"/>
              </w:rPr>
              <w:t>阳离子聚丙烯酰胺</w:t>
            </w:r>
            <w:r>
              <w:rPr>
                <w:rFonts w:ascii="宋体" w:hAnsi="宋体" w:cs="Times New Roman"/>
                <w:bCs/>
                <w:color w:val="auto"/>
                <w:kern w:val="0"/>
                <w:szCs w:val="21"/>
                <w:highlight w:val="none"/>
              </w:rPr>
              <w:t>供货金额</w:t>
            </w:r>
            <w:r>
              <w:rPr>
                <w:rFonts w:hint="eastAsia" w:ascii="宋体" w:hAnsi="宋体" w:cs="Times New Roman"/>
                <w:bCs/>
                <w:color w:val="auto"/>
                <w:kern w:val="0"/>
                <w:szCs w:val="21"/>
                <w:highlight w:val="none"/>
              </w:rPr>
              <w:t>＜</w:t>
            </w:r>
            <w:r>
              <w:rPr>
                <w:rFonts w:hint="eastAsia" w:ascii="宋体" w:hAnsi="宋体" w:cs="Times New Roman"/>
                <w:bCs/>
                <w:color w:val="auto"/>
                <w:kern w:val="0"/>
                <w:szCs w:val="21"/>
                <w:highlight w:val="none"/>
                <w:lang w:val="en-US" w:eastAsia="zh-CN"/>
              </w:rPr>
              <w:t>100</w:t>
            </w:r>
            <w:r>
              <w:rPr>
                <w:rFonts w:ascii="宋体" w:hAnsi="宋体" w:cs="Times New Roman"/>
                <w:bCs/>
                <w:color w:val="auto"/>
                <w:kern w:val="0"/>
                <w:szCs w:val="21"/>
                <w:highlight w:val="none"/>
              </w:rPr>
              <w:t>万元的前述业绩的，每项得2分；</w:t>
            </w:r>
          </w:p>
          <w:p>
            <w:pPr>
              <w:tabs>
                <w:tab w:val="left" w:pos="134"/>
              </w:tabs>
              <w:autoSpaceDE w:val="0"/>
              <w:autoSpaceDN w:val="0"/>
              <w:adjustRightInd w:val="0"/>
              <w:spacing w:line="400" w:lineRule="exact"/>
              <w:rPr>
                <w:rFonts w:ascii="宋体" w:hAnsi="宋体" w:cs="Times New Roman"/>
                <w:bCs/>
                <w:color w:val="auto"/>
                <w:kern w:val="0"/>
                <w:szCs w:val="21"/>
                <w:highlight w:val="none"/>
              </w:rPr>
            </w:pPr>
            <w:r>
              <w:rPr>
                <w:rFonts w:hint="eastAsia" w:ascii="宋体" w:hAnsi="宋体" w:cs="Times New Roman"/>
                <w:bCs/>
                <w:color w:val="auto"/>
                <w:kern w:val="0"/>
                <w:szCs w:val="21"/>
                <w:highlight w:val="none"/>
              </w:rPr>
              <w:t>（</w:t>
            </w:r>
            <w:r>
              <w:rPr>
                <w:rFonts w:ascii="宋体" w:hAnsi="宋体" w:cs="Times New Roman"/>
                <w:bCs/>
                <w:color w:val="auto"/>
                <w:kern w:val="0"/>
                <w:szCs w:val="21"/>
                <w:highlight w:val="none"/>
              </w:rPr>
              <w:t>3）</w:t>
            </w:r>
            <w:r>
              <w:rPr>
                <w:rFonts w:hint="eastAsia" w:ascii="宋体" w:hAnsi="宋体" w:cs="Times New Roman"/>
                <w:bCs/>
                <w:color w:val="auto"/>
                <w:kern w:val="0"/>
                <w:szCs w:val="21"/>
                <w:highlight w:val="none"/>
                <w:lang w:val="en-US" w:eastAsia="zh-CN"/>
              </w:rPr>
              <w:t>25</w:t>
            </w:r>
            <w:r>
              <w:rPr>
                <w:rFonts w:ascii="宋体" w:hAnsi="宋体" w:cs="Times New Roman"/>
                <w:bCs/>
                <w:color w:val="auto"/>
                <w:kern w:val="0"/>
                <w:szCs w:val="21"/>
                <w:highlight w:val="none"/>
              </w:rPr>
              <w:t>万元≤单项合同内已完成投标品牌</w:t>
            </w:r>
            <w:r>
              <w:rPr>
                <w:rFonts w:hint="eastAsia" w:ascii="宋体" w:hAnsi="宋体" w:cs="Times New Roman"/>
                <w:bCs/>
                <w:color w:val="auto"/>
                <w:kern w:val="0"/>
                <w:szCs w:val="21"/>
                <w:highlight w:val="none"/>
                <w:lang w:eastAsia="zh-CN"/>
              </w:rPr>
              <w:t>阳离子聚丙烯酰胺</w:t>
            </w:r>
            <w:r>
              <w:rPr>
                <w:rFonts w:ascii="宋体" w:hAnsi="宋体" w:cs="Times New Roman"/>
                <w:bCs/>
                <w:color w:val="auto"/>
                <w:kern w:val="0"/>
                <w:szCs w:val="21"/>
                <w:highlight w:val="none"/>
              </w:rPr>
              <w:t>供货金额</w:t>
            </w:r>
            <w:r>
              <w:rPr>
                <w:rFonts w:hint="eastAsia" w:ascii="宋体" w:hAnsi="宋体" w:cs="Times New Roman"/>
                <w:bCs/>
                <w:color w:val="auto"/>
                <w:kern w:val="0"/>
                <w:szCs w:val="21"/>
                <w:highlight w:val="none"/>
              </w:rPr>
              <w:t>＜</w:t>
            </w:r>
            <w:r>
              <w:rPr>
                <w:rFonts w:hint="eastAsia" w:ascii="宋体" w:hAnsi="宋体" w:cs="Times New Roman"/>
                <w:bCs/>
                <w:color w:val="auto"/>
                <w:kern w:val="0"/>
                <w:szCs w:val="21"/>
                <w:highlight w:val="none"/>
                <w:lang w:val="en-US" w:eastAsia="zh-CN"/>
              </w:rPr>
              <w:t>50</w:t>
            </w:r>
            <w:r>
              <w:rPr>
                <w:rFonts w:ascii="宋体" w:hAnsi="宋体" w:cs="Times New Roman"/>
                <w:bCs/>
                <w:color w:val="auto"/>
                <w:kern w:val="0"/>
                <w:szCs w:val="21"/>
                <w:highlight w:val="none"/>
              </w:rPr>
              <w:t>万元的前述业绩的，每项得1分，本子项满分6分。</w:t>
            </w:r>
          </w:p>
          <w:p>
            <w:pPr>
              <w:tabs>
                <w:tab w:val="left" w:pos="134"/>
              </w:tabs>
              <w:autoSpaceDE w:val="0"/>
              <w:autoSpaceDN w:val="0"/>
              <w:adjustRightInd w:val="0"/>
              <w:spacing w:line="400" w:lineRule="exact"/>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备注：</w:t>
            </w:r>
          </w:p>
          <w:p>
            <w:pPr>
              <w:tabs>
                <w:tab w:val="left" w:pos="134"/>
              </w:tabs>
              <w:autoSpaceDE w:val="0"/>
              <w:autoSpaceDN w:val="0"/>
              <w:adjustRightInd w:val="0"/>
              <w:spacing w:line="400" w:lineRule="exact"/>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w:t>
            </w:r>
            <w:r>
              <w:rPr>
                <w:rFonts w:hint="eastAsia" w:ascii="宋体" w:hAnsi="宋体" w:cs="Times New Roman"/>
                <w:b/>
                <w:color w:val="auto"/>
                <w:kern w:val="0"/>
                <w:szCs w:val="21"/>
                <w:highlight w:val="none"/>
                <w:lang w:eastAsia="zh-CN"/>
              </w:rPr>
              <w:t>1</w:t>
            </w:r>
            <w:r>
              <w:rPr>
                <w:rFonts w:hint="eastAsia" w:ascii="宋体" w:hAnsi="宋体" w:cs="Times New Roman"/>
                <w:b/>
                <w:color w:val="auto"/>
                <w:kern w:val="0"/>
                <w:szCs w:val="21"/>
                <w:highlight w:val="none"/>
              </w:rPr>
              <w:t>）业绩按以下条款作为考评依据：</w:t>
            </w:r>
          </w:p>
          <w:p>
            <w:pPr>
              <w:tabs>
                <w:tab w:val="left" w:pos="134"/>
              </w:tabs>
              <w:autoSpaceDE w:val="0"/>
              <w:autoSpaceDN w:val="0"/>
              <w:adjustRightInd w:val="0"/>
              <w:spacing w:line="400" w:lineRule="exact"/>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1）须附合同复印件，否则不得分；</w:t>
            </w:r>
          </w:p>
          <w:p>
            <w:pPr>
              <w:tabs>
                <w:tab w:val="left" w:pos="134"/>
              </w:tabs>
              <w:autoSpaceDE w:val="0"/>
              <w:autoSpaceDN w:val="0"/>
              <w:adjustRightInd w:val="0"/>
              <w:spacing w:line="400" w:lineRule="exact"/>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2）若业绩为框架式协议或资格入围无明确金额的合同，必须同时提供合同期限内已供货产品发票金额统计表和供货发票复印件，否则，视为无效业绩；</w:t>
            </w:r>
          </w:p>
          <w:p>
            <w:pPr>
              <w:tabs>
                <w:tab w:val="left" w:pos="134"/>
              </w:tabs>
              <w:autoSpaceDE w:val="0"/>
              <w:autoSpaceDN w:val="0"/>
              <w:adjustRightInd w:val="0"/>
              <w:spacing w:line="400" w:lineRule="exact"/>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3）若合同无法反映评分条件（卖方为投标人、合同签订日期为2022年1月1日或以后、金额、合同标的必须包含投标品牌阳离子聚丙烯酰胺）的，还需提供产品购买方出具的书面补充说明文件复印件作为辅助证明（补充说明文件复印件能显示购买方公章），否则不得分；</w:t>
            </w:r>
          </w:p>
          <w:p>
            <w:pPr>
              <w:tabs>
                <w:tab w:val="left" w:pos="134"/>
              </w:tabs>
              <w:autoSpaceDE w:val="0"/>
              <w:autoSpaceDN w:val="0"/>
              <w:adjustRightInd w:val="0"/>
              <w:spacing w:line="400" w:lineRule="exact"/>
              <w:rPr>
                <w:rFonts w:ascii="宋体" w:hAnsi="宋体" w:cs="Times New Roman"/>
                <w:b/>
                <w:color w:val="auto"/>
                <w:kern w:val="0"/>
                <w:szCs w:val="21"/>
                <w:highlight w:val="none"/>
              </w:rPr>
            </w:pPr>
            <w:r>
              <w:rPr>
                <w:rFonts w:hint="eastAsia" w:ascii="宋体" w:hAnsi="宋体" w:cs="Times New Roman"/>
                <w:b/>
                <w:color w:val="auto"/>
                <w:kern w:val="0"/>
                <w:szCs w:val="21"/>
                <w:highlight w:val="none"/>
              </w:rPr>
              <w:t>（</w:t>
            </w:r>
            <w:r>
              <w:rPr>
                <w:rFonts w:hint="eastAsia" w:ascii="宋体" w:hAnsi="宋体" w:cs="Times New Roman"/>
                <w:b/>
                <w:color w:val="auto"/>
                <w:kern w:val="0"/>
                <w:szCs w:val="21"/>
                <w:highlight w:val="none"/>
                <w:lang w:eastAsia="zh-CN"/>
              </w:rPr>
              <w:t>2</w:t>
            </w:r>
            <w:r>
              <w:rPr>
                <w:rFonts w:hint="eastAsia" w:ascii="宋体" w:hAnsi="宋体" w:cs="Times New Roman"/>
                <w:b/>
                <w:color w:val="auto"/>
                <w:kern w:val="0"/>
                <w:szCs w:val="21"/>
                <w:highlight w:val="none"/>
              </w:rPr>
              <w:t>）未按上述要求提供证明材料的业绩，或所附材料无法证明填报项目属投标人完成的或符合本项评分要求的业绩，在评标时将不予考虑</w:t>
            </w:r>
            <w:r>
              <w:rPr>
                <w:rFonts w:hint="eastAsia" w:ascii="宋体" w:hAnsi="宋体" w:cs="Times New Roman"/>
                <w:b/>
                <w:color w:val="auto"/>
                <w:kern w:val="0"/>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kern w:val="0"/>
                <w:szCs w:val="21"/>
                <w:highlight w:val="none"/>
              </w:rPr>
              <w:t>分</w:t>
            </w:r>
          </w:p>
        </w:tc>
      </w:tr>
      <w:bookmarkEnd w:id="745"/>
    </w:tbl>
    <w:p>
      <w:pPr>
        <w:autoSpaceDE w:val="0"/>
        <w:autoSpaceDN w:val="0"/>
        <w:adjustRightInd w:val="0"/>
        <w:ind w:right="-26" w:firstLine="480"/>
        <w:jc w:val="center"/>
        <w:rPr>
          <w:rFonts w:ascii="宋体" w:hAnsi="宋体" w:cs="Times New Roman"/>
          <w:b/>
          <w:bCs/>
          <w:color w:val="auto"/>
          <w:kern w:val="0"/>
          <w:sz w:val="24"/>
          <w:szCs w:val="24"/>
          <w:highlight w:val="none"/>
        </w:rPr>
      </w:pPr>
      <w:bookmarkStart w:id="746" w:name="_Toc11639_WPSOffice_Level2"/>
    </w:p>
    <w:p>
      <w:pPr>
        <w:tabs>
          <w:tab w:val="left" w:pos="585"/>
        </w:tabs>
        <w:autoSpaceDE w:val="0"/>
        <w:autoSpaceDN w:val="0"/>
        <w:adjustRightInd w:val="0"/>
        <w:spacing w:line="360" w:lineRule="auto"/>
        <w:rPr>
          <w:rFonts w:ascii="宋体" w:hAnsi="宋体" w:cs="宋体"/>
          <w:b/>
          <w:color w:val="auto"/>
          <w:szCs w:val="21"/>
          <w:highlight w:val="none"/>
          <w:lang w:val="zh-CN"/>
        </w:rPr>
      </w:pPr>
      <w:r>
        <w:rPr>
          <w:rFonts w:hint="eastAsia" w:ascii="宋体" w:hAnsi="宋体" w:cs="Times New Roman"/>
          <w:b/>
          <w:color w:val="auto"/>
          <w:szCs w:val="21"/>
          <w:highlight w:val="none"/>
          <w:lang w:val="zh-CN"/>
        </w:rPr>
        <w:t>（</w:t>
      </w:r>
      <w:r>
        <w:rPr>
          <w:rFonts w:hint="eastAsia" w:ascii="宋体" w:hAnsi="宋体" w:cs="宋体"/>
          <w:b/>
          <w:color w:val="auto"/>
          <w:szCs w:val="24"/>
          <w:highlight w:val="none"/>
        </w:rPr>
        <w:t>2）</w:t>
      </w:r>
      <w:r>
        <w:rPr>
          <w:rFonts w:hint="eastAsia" w:ascii="宋体" w:hAnsi="宋体" w:cs="宋体"/>
          <w:b/>
          <w:color w:val="auto"/>
          <w:szCs w:val="24"/>
          <w:highlight w:val="none"/>
          <w:lang w:val="zh-CN"/>
        </w:rPr>
        <w:t>技术：</w:t>
      </w:r>
      <w:r>
        <w:rPr>
          <w:rFonts w:hint="eastAsia" w:ascii="宋体" w:hAnsi="宋体" w:cs="宋体"/>
          <w:b/>
          <w:color w:val="auto"/>
          <w:szCs w:val="21"/>
          <w:highlight w:val="none"/>
          <w:lang w:val="zh-CN"/>
        </w:rPr>
        <w:t>总分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lang w:val="zh-CN"/>
        </w:rPr>
        <w:t>分</w:t>
      </w:r>
      <w:bookmarkEnd w:id="746"/>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33"/>
        <w:gridCol w:w="1430"/>
        <w:gridCol w:w="626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37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43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5" w:type="pc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46" w:type="pc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用户需求的响应程度</w:t>
            </w:r>
          </w:p>
        </w:tc>
        <w:tc>
          <w:tcPr>
            <w:tcW w:w="37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根据用户需求偏离表的偏离情况进行评审计分，完全满足用户需求的要求得满分，每一处负偏离，扣2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分；本项最低分为0分。</w:t>
            </w:r>
          </w:p>
        </w:tc>
        <w:tc>
          <w:tcPr>
            <w:tcW w:w="438" w:type="pct"/>
            <w:tcBorders>
              <w:top w:val="single" w:color="auto" w:sz="4" w:space="0"/>
              <w:left w:val="single" w:color="auto" w:sz="4" w:space="0"/>
              <w:right w:val="single" w:color="auto" w:sz="4" w:space="0"/>
            </w:tcBorders>
            <w:shd w:val="clear" w:color="auto" w:fill="auto"/>
            <w:vAlign w:val="center"/>
          </w:tcPr>
          <w:p>
            <w:pPr>
              <w:pStyle w:val="194"/>
              <w:keepNext w:val="0"/>
              <w:tabs>
                <w:tab w:val="left" w:pos="585"/>
                <w:tab w:val="left" w:pos="680"/>
              </w:tabs>
              <w:spacing w:after="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5"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546"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zh-CN"/>
              </w:rPr>
              <w:t>生产</w:t>
            </w:r>
            <w:r>
              <w:rPr>
                <w:rFonts w:hint="eastAsia" w:ascii="宋体" w:hAnsi="宋体" w:eastAsia="宋体" w:cs="宋体"/>
                <w:color w:val="auto"/>
                <w:szCs w:val="21"/>
                <w:highlight w:val="none"/>
              </w:rPr>
              <w:t>规模</w:t>
            </w:r>
          </w:p>
        </w:tc>
        <w:tc>
          <w:tcPr>
            <w:tcW w:w="3709"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横向比较制造商生产</w:t>
            </w:r>
            <w:r>
              <w:rPr>
                <w:rFonts w:hint="eastAsia" w:ascii="宋体" w:hAnsi="宋体" w:eastAsia="宋体" w:cs="宋体"/>
                <w:bCs/>
                <w:color w:val="auto"/>
                <w:szCs w:val="21"/>
                <w:highlight w:val="none"/>
                <w:lang w:val="en-US" w:eastAsia="zh-CN"/>
              </w:rPr>
              <w:t>阳离子聚丙烯酰胺</w:t>
            </w:r>
            <w:r>
              <w:rPr>
                <w:rFonts w:hint="eastAsia" w:ascii="宋体" w:hAnsi="宋体" w:eastAsia="宋体" w:cs="宋体"/>
                <w:bCs/>
                <w:color w:val="auto"/>
                <w:szCs w:val="21"/>
                <w:highlight w:val="none"/>
              </w:rPr>
              <w:t>产品的场地规模、生产环境、设施设备资料、产能证明资料及服务团队等进行评审：</w:t>
            </w:r>
          </w:p>
        </w:tc>
        <w:tc>
          <w:tcPr>
            <w:tcW w:w="438" w:type="pct"/>
            <w:tcBorders>
              <w:top w:val="single" w:color="auto" w:sz="4" w:space="0"/>
              <w:left w:val="single" w:color="auto" w:sz="4" w:space="0"/>
              <w:right w:val="single" w:color="auto" w:sz="4" w:space="0"/>
            </w:tcBorders>
            <w:vAlign w:val="center"/>
          </w:tcPr>
          <w:p>
            <w:pPr>
              <w:pStyle w:val="194"/>
              <w:keepNext w:val="0"/>
              <w:tabs>
                <w:tab w:val="left" w:pos="585"/>
                <w:tab w:val="left" w:pos="680"/>
              </w:tabs>
              <w:spacing w:after="0"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305" w:type="pct"/>
            <w:vMerge w:val="continue"/>
            <w:tcBorders>
              <w:left w:val="single" w:color="auto" w:sz="4" w:space="0"/>
              <w:right w:val="single" w:color="auto" w:sz="4" w:space="0"/>
            </w:tcBorders>
            <w:vAlign w:val="center"/>
          </w:tcPr>
          <w:p>
            <w:pPr>
              <w:spacing w:line="360" w:lineRule="auto"/>
              <w:rPr>
                <w:rFonts w:hint="eastAsia"/>
                <w:color w:val="auto"/>
                <w:highlight w:val="none"/>
              </w:rPr>
            </w:pPr>
          </w:p>
        </w:tc>
        <w:tc>
          <w:tcPr>
            <w:tcW w:w="546" w:type="pct"/>
            <w:vMerge w:val="continue"/>
            <w:tcBorders>
              <w:left w:val="single" w:color="auto" w:sz="4" w:space="0"/>
              <w:right w:val="single" w:color="auto" w:sz="4" w:space="0"/>
            </w:tcBorders>
            <w:vAlign w:val="center"/>
          </w:tcPr>
          <w:p>
            <w:pPr>
              <w:spacing w:line="360" w:lineRule="auto"/>
              <w:rPr>
                <w:rFonts w:hint="eastAsia"/>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）产</w:t>
            </w:r>
            <w:r>
              <w:rPr>
                <w:rFonts w:hint="eastAsia" w:ascii="宋体" w:hAnsi="宋体" w:eastAsia="宋体" w:cs="宋体"/>
                <w:b/>
                <w:color w:val="auto"/>
                <w:szCs w:val="21"/>
                <w:highlight w:val="none"/>
              </w:rPr>
              <w:t>能</w:t>
            </w:r>
          </w:p>
        </w:tc>
        <w:tc>
          <w:tcPr>
            <w:tcW w:w="302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投标人所投产品制造商生产产能证明，提供的产量最大的（基准值）得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分，其他投标人得分=（投标人产量/基准值）×</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spacing w:line="360" w:lineRule="auto"/>
              <w:rPr>
                <w:rFonts w:hint="eastAsia"/>
                <w:color w:val="auto"/>
                <w:highlight w:val="none"/>
              </w:rPr>
            </w:pPr>
            <w:r>
              <w:rPr>
                <w:rFonts w:hint="eastAsia" w:ascii="宋体" w:hAnsi="宋体" w:eastAsia="宋体" w:cs="宋体"/>
                <w:b/>
                <w:color w:val="auto"/>
                <w:szCs w:val="21"/>
                <w:highlight w:val="none"/>
              </w:rPr>
              <w:t>须提供能证明所投产品制造商生产能力的环评报告或工业产品生产许可证或其他生产能力证明资料，否则不得分。如其他生产能力证明资料与工业产品生产许可证的产能不一致的，以工业产品生产许可证显示的产能为准。</w:t>
            </w:r>
          </w:p>
        </w:tc>
        <w:tc>
          <w:tcPr>
            <w:tcW w:w="438" w:type="pct"/>
            <w:tcBorders>
              <w:left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305" w:type="pct"/>
            <w:vMerge w:val="continue"/>
            <w:tcBorders>
              <w:left w:val="single" w:color="auto" w:sz="4" w:space="0"/>
              <w:right w:val="single" w:color="auto" w:sz="4" w:space="0"/>
            </w:tcBorders>
            <w:vAlign w:val="center"/>
          </w:tcPr>
          <w:p>
            <w:pPr>
              <w:spacing w:line="360" w:lineRule="auto"/>
              <w:rPr>
                <w:rFonts w:hint="eastAsia"/>
                <w:color w:val="auto"/>
                <w:highlight w:val="none"/>
              </w:rPr>
            </w:pPr>
          </w:p>
        </w:tc>
        <w:tc>
          <w:tcPr>
            <w:tcW w:w="546" w:type="pct"/>
            <w:vMerge w:val="continue"/>
            <w:tcBorders>
              <w:left w:val="single" w:color="auto" w:sz="4" w:space="0"/>
              <w:right w:val="single" w:color="auto" w:sz="4" w:space="0"/>
            </w:tcBorders>
            <w:vAlign w:val="center"/>
          </w:tcPr>
          <w:p>
            <w:pPr>
              <w:spacing w:line="360" w:lineRule="auto"/>
              <w:rPr>
                <w:rFonts w:hint="eastAsia"/>
                <w:color w:val="auto"/>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zh-CN"/>
              </w:rPr>
              <w:t>）安全生产</w:t>
            </w:r>
          </w:p>
        </w:tc>
        <w:tc>
          <w:tcPr>
            <w:tcW w:w="3020" w:type="pct"/>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所投产品制造商取得由应急管理部门颁发的特种作业操作证（作业类别：危险化学品安全作业）或安全生产知识和管理能力考核合格证（作业类别：危险化学品生产单位或危险化学品经营单位）的人员数量进行横向对比，投标人提供安全员证书量最多的（基准值）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分，其他投标人得分=（数量/基准值）×</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w:t>
            </w:r>
          </w:p>
          <w:p>
            <w:pPr>
              <w:spacing w:before="0" w:beforeLines="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spacing w:before="0" w:beforeLines="0" w:line="360" w:lineRule="auto"/>
              <w:rPr>
                <w:rFonts w:hint="eastAsia"/>
                <w:color w:val="auto"/>
                <w:highlight w:val="none"/>
              </w:rPr>
            </w:pPr>
            <w:r>
              <w:rPr>
                <w:rFonts w:hint="eastAsia" w:ascii="宋体" w:hAnsi="宋体" w:eastAsia="宋体" w:cs="宋体"/>
                <w:b/>
                <w:color w:val="auto"/>
                <w:szCs w:val="21"/>
                <w:highlight w:val="none"/>
              </w:rPr>
              <w:t>须提供人员身份证、有效期内的证书</w:t>
            </w:r>
            <w:r>
              <w:rPr>
                <w:rFonts w:hint="eastAsia" w:ascii="宋体" w:hAnsi="宋体" w:eastAsia="宋体" w:cs="宋体"/>
                <w:b/>
                <w:color w:val="auto"/>
                <w:szCs w:val="21"/>
                <w:highlight w:val="none"/>
                <w:lang w:val="zh-CN"/>
              </w:rPr>
              <w:t>及人力资源和社会保障部门（或税务部门）出具的</w:t>
            </w:r>
            <w:r>
              <w:rPr>
                <w:rFonts w:hint="eastAsia" w:ascii="宋体" w:hAnsi="宋体" w:cs="宋体"/>
                <w:b/>
                <w:color w:val="auto"/>
                <w:kern w:val="0"/>
                <w:szCs w:val="21"/>
                <w:highlight w:val="none"/>
              </w:rPr>
              <w:t>最近六个月（</w:t>
            </w:r>
            <w:r>
              <w:rPr>
                <w:rFonts w:hint="eastAsia" w:ascii="宋体" w:hAnsi="宋体" w:cs="宋体"/>
                <w:b/>
                <w:bCs/>
                <w:color w:val="auto"/>
                <w:kern w:val="0"/>
                <w:szCs w:val="21"/>
                <w:highlight w:val="none"/>
              </w:rPr>
              <w:t>2024年</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rPr>
              <w:t>月至</w:t>
            </w:r>
            <w:r>
              <w:rPr>
                <w:rFonts w:hint="eastAsia" w:ascii="宋体" w:hAnsi="宋体" w:cs="宋体"/>
                <w:b/>
                <w:bCs/>
                <w:color w:val="auto"/>
                <w:kern w:val="0"/>
                <w:szCs w:val="21"/>
                <w:highlight w:val="none"/>
                <w:lang w:val="en-US" w:eastAsia="zh-CN"/>
              </w:rPr>
              <w:t>2025年2</w:t>
            </w:r>
            <w:r>
              <w:rPr>
                <w:rFonts w:hint="eastAsia" w:ascii="宋体" w:hAnsi="宋体" w:cs="宋体"/>
                <w:b/>
                <w:bCs/>
                <w:color w:val="auto"/>
                <w:kern w:val="0"/>
                <w:szCs w:val="21"/>
                <w:highlight w:val="none"/>
              </w:rPr>
              <w:t>月</w:t>
            </w:r>
            <w:r>
              <w:rPr>
                <w:rFonts w:hint="eastAsia" w:ascii="宋体" w:hAnsi="宋体" w:cs="宋体"/>
                <w:b/>
                <w:color w:val="auto"/>
                <w:kern w:val="0"/>
                <w:szCs w:val="21"/>
                <w:highlight w:val="none"/>
              </w:rPr>
              <w:t>）</w:t>
            </w:r>
            <w:r>
              <w:rPr>
                <w:rFonts w:hint="eastAsia" w:ascii="宋体" w:hAnsi="宋体" w:eastAsia="宋体" w:cs="宋体"/>
                <w:b/>
                <w:color w:val="auto"/>
                <w:szCs w:val="21"/>
                <w:highlight w:val="none"/>
                <w:lang w:val="zh-CN"/>
              </w:rPr>
              <w:t>制造商为其缴纳的社保证明复印件，否则</w:t>
            </w:r>
            <w:r>
              <w:rPr>
                <w:rFonts w:hint="eastAsia" w:ascii="宋体" w:hAnsi="宋体" w:eastAsia="宋体" w:cs="宋体"/>
                <w:b/>
                <w:color w:val="auto"/>
                <w:szCs w:val="21"/>
                <w:highlight w:val="none"/>
              </w:rPr>
              <w:t>不得分。</w:t>
            </w:r>
          </w:p>
        </w:tc>
        <w:tc>
          <w:tcPr>
            <w:tcW w:w="438" w:type="pct"/>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w:t>
            </w:r>
          </w:p>
        </w:tc>
        <w:tc>
          <w:tcPr>
            <w:tcW w:w="546" w:type="pct"/>
            <w:tcBorders>
              <w:top w:val="single" w:color="auto" w:sz="4" w:space="0"/>
              <w:left w:val="single" w:color="auto" w:sz="4" w:space="0"/>
              <w:bottom w:val="single" w:color="auto" w:sz="4" w:space="0"/>
              <w:right w:val="single" w:color="auto" w:sz="4" w:space="0"/>
            </w:tcBorders>
            <w:vAlign w:val="center"/>
          </w:tcPr>
          <w:p>
            <w:pPr>
              <w:pStyle w:val="194"/>
              <w:keepNext w:val="0"/>
              <w:tabs>
                <w:tab w:val="left" w:pos="585"/>
                <w:tab w:val="left" w:pos="680"/>
              </w:tabs>
              <w:spacing w:after="0"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供货</w:t>
            </w:r>
            <w:r>
              <w:rPr>
                <w:rFonts w:hint="eastAsia" w:ascii="宋体" w:hAnsi="宋体" w:cs="宋体"/>
                <w:color w:val="auto"/>
                <w:szCs w:val="21"/>
                <w:highlight w:val="none"/>
              </w:rPr>
              <w:t>运输</w:t>
            </w:r>
            <w:r>
              <w:rPr>
                <w:rFonts w:hint="eastAsia" w:ascii="宋体" w:hAnsi="宋体" w:cs="宋体"/>
                <w:color w:val="auto"/>
                <w:szCs w:val="21"/>
                <w:highlight w:val="none"/>
                <w:lang w:val="zh-CN"/>
              </w:rPr>
              <w:t>保障</w:t>
            </w:r>
          </w:p>
        </w:tc>
        <w:tc>
          <w:tcPr>
            <w:tcW w:w="3709"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kern w:val="0"/>
                <w:szCs w:val="21"/>
                <w:highlight w:val="none"/>
              </w:rPr>
            </w:pPr>
            <w:r>
              <w:rPr>
                <w:rFonts w:hint="eastAsia" w:ascii="宋体" w:hAnsi="宋体" w:cs="宋体"/>
                <w:kern w:val="0"/>
                <w:szCs w:val="21"/>
                <w:highlight w:val="none"/>
              </w:rPr>
              <w:t>拟为本项目投入的专用运输车每提供1台车辆得1分，本子项满分</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p>
          <w:p>
            <w:pPr>
              <w:numPr>
                <w:ilvl w:val="255"/>
                <w:numId w:val="0"/>
              </w:numPr>
              <w:spacing w:line="360"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备注：</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1）自有的运输专用车的须提供：①行驶证复印件；②车辆照片/图片打印件（照片/图片须清晰显示拍摄时间为2024年</w:t>
            </w:r>
            <w:r>
              <w:rPr>
                <w:rFonts w:hint="eastAsia" w:ascii="宋体" w:hAnsi="宋体" w:eastAsia="宋体" w:cs="宋体"/>
                <w:b/>
                <w:bCs/>
                <w:color w:val="auto"/>
                <w:szCs w:val="21"/>
                <w:highlight w:val="none"/>
                <w:lang w:val="en-US" w:eastAsia="zh-CN"/>
              </w:rPr>
              <w:t>12</w:t>
            </w:r>
            <w:r>
              <w:rPr>
                <w:rFonts w:ascii="宋体" w:hAnsi="宋体" w:eastAsia="宋体" w:cs="宋体"/>
                <w:b/>
                <w:bCs/>
                <w:color w:val="auto"/>
                <w:szCs w:val="21"/>
                <w:highlight w:val="none"/>
              </w:rPr>
              <w:t>月1日或以后）。</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租赁</w:t>
            </w:r>
            <w:r>
              <w:rPr>
                <w:rFonts w:ascii="宋体" w:hAnsi="宋体" w:eastAsia="宋体" w:cs="宋体"/>
                <w:b/>
                <w:bCs/>
                <w:color w:val="auto"/>
                <w:szCs w:val="21"/>
                <w:highlight w:val="none"/>
              </w:rPr>
              <w:t>的运输专用车</w:t>
            </w:r>
            <w:r>
              <w:rPr>
                <w:rFonts w:hint="eastAsia" w:ascii="宋体" w:hAnsi="宋体" w:eastAsia="宋体" w:cs="宋体"/>
                <w:b/>
                <w:bCs/>
                <w:color w:val="auto"/>
                <w:szCs w:val="21"/>
                <w:highlight w:val="none"/>
              </w:rPr>
              <w:t>的</w:t>
            </w:r>
            <w:r>
              <w:rPr>
                <w:rFonts w:ascii="宋体" w:hAnsi="宋体" w:eastAsia="宋体" w:cs="宋体"/>
                <w:b/>
                <w:bCs/>
                <w:color w:val="auto"/>
                <w:szCs w:val="21"/>
                <w:highlight w:val="none"/>
              </w:rPr>
              <w:t>须提供：①</w:t>
            </w:r>
            <w:r>
              <w:rPr>
                <w:rFonts w:hint="eastAsia" w:ascii="宋体" w:hAnsi="宋体" w:eastAsia="宋体" w:cs="宋体"/>
                <w:b/>
                <w:bCs/>
                <w:color w:val="auto"/>
                <w:szCs w:val="21"/>
                <w:highlight w:val="none"/>
              </w:rPr>
              <w:t>租赁</w:t>
            </w:r>
            <w:r>
              <w:rPr>
                <w:rFonts w:ascii="宋体" w:hAnsi="宋体" w:eastAsia="宋体" w:cs="宋体"/>
                <w:b/>
                <w:bCs/>
                <w:color w:val="auto"/>
                <w:szCs w:val="21"/>
                <w:highlight w:val="none"/>
              </w:rPr>
              <w:t>合同复印件；②车辆行驶证复印件；③车辆照片/图片打印件（照片/图片须清晰显示拍摄时间为2024年</w:t>
            </w:r>
            <w:r>
              <w:rPr>
                <w:rFonts w:hint="eastAsia" w:ascii="宋体" w:hAnsi="宋体" w:eastAsia="宋体" w:cs="宋体"/>
                <w:b/>
                <w:bCs/>
                <w:color w:val="auto"/>
                <w:szCs w:val="21"/>
                <w:highlight w:val="none"/>
                <w:lang w:val="en-US" w:eastAsia="zh-CN"/>
              </w:rPr>
              <w:t>12</w:t>
            </w:r>
            <w:r>
              <w:rPr>
                <w:rFonts w:ascii="宋体" w:hAnsi="宋体" w:eastAsia="宋体" w:cs="宋体"/>
                <w:b/>
                <w:bCs/>
                <w:color w:val="auto"/>
                <w:szCs w:val="21"/>
                <w:highlight w:val="none"/>
              </w:rPr>
              <w:t>月1日或以后）。</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ascii="宋体" w:hAnsi="宋体" w:eastAsia="宋体" w:cs="宋体"/>
                <w:b/>
                <w:bCs/>
                <w:color w:val="auto"/>
                <w:szCs w:val="21"/>
                <w:highlight w:val="none"/>
              </w:rPr>
              <w:t>）委托第三方运输的须提供：①运输合同复印件；②受托方道路运输经营许可证复印件；③车辆道路运输证复印件；④车辆行驶证复印件；⑤车辆照片/图片打印件（照片/图片须清晰显示拍摄时间为2024年</w:t>
            </w:r>
            <w:r>
              <w:rPr>
                <w:rFonts w:hint="eastAsia" w:ascii="宋体" w:hAnsi="宋体" w:eastAsia="宋体" w:cs="宋体"/>
                <w:b/>
                <w:bCs/>
                <w:color w:val="auto"/>
                <w:szCs w:val="21"/>
                <w:highlight w:val="none"/>
                <w:lang w:val="en-US" w:eastAsia="zh-CN"/>
              </w:rPr>
              <w:t>12</w:t>
            </w:r>
            <w:r>
              <w:rPr>
                <w:rFonts w:ascii="宋体" w:hAnsi="宋体" w:eastAsia="宋体" w:cs="宋体"/>
                <w:b/>
                <w:bCs/>
                <w:color w:val="auto"/>
                <w:szCs w:val="21"/>
                <w:highlight w:val="none"/>
              </w:rPr>
              <w:t>月1日或以后）。</w:t>
            </w:r>
          </w:p>
          <w:p>
            <w:pPr>
              <w:spacing w:line="360" w:lineRule="auto"/>
              <w:rPr>
                <w:rFonts w:hint="eastAsia" w:ascii="宋体" w:hAnsi="宋体" w:eastAsia="宋体" w:cs="宋体"/>
                <w:b/>
                <w:color w:val="auto"/>
                <w:szCs w:val="21"/>
                <w:highlight w:val="none"/>
                <w:lang w:val="zh-CN"/>
              </w:rPr>
            </w:pPr>
            <w:r>
              <w:rPr>
                <w:rFonts w:hint="eastAsia" w:ascii="宋体" w:hAnsi="宋体" w:eastAsia="宋体" w:cs="宋体"/>
                <w:b/>
                <w:bCs/>
                <w:color w:val="auto"/>
                <w:szCs w:val="21"/>
                <w:highlight w:val="none"/>
              </w:rPr>
              <w:t>（4</w:t>
            </w:r>
            <w:r>
              <w:rPr>
                <w:rFonts w:ascii="宋体" w:hAnsi="宋体" w:eastAsia="宋体" w:cs="宋体"/>
                <w:b/>
                <w:bCs/>
                <w:color w:val="auto"/>
                <w:szCs w:val="21"/>
                <w:highlight w:val="none"/>
              </w:rPr>
              <w:t>）未提供或者提供信息不全或证件无效的相应车辆不得分。</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r>
    </w:tbl>
    <w:p>
      <w:pPr>
        <w:autoSpaceDE w:val="0"/>
        <w:autoSpaceDN w:val="0"/>
        <w:adjustRightInd w:val="0"/>
        <w:spacing w:line="360" w:lineRule="auto"/>
        <w:ind w:left="420" w:leftChars="200" w:firstLine="420" w:firstLineChars="200"/>
        <w:rPr>
          <w:rFonts w:ascii="宋体" w:hAnsi="宋体" w:cs="宋体"/>
          <w:color w:val="auto"/>
          <w:szCs w:val="24"/>
          <w:highlight w:val="none"/>
          <w:lang w:val="zh-CN"/>
        </w:rPr>
      </w:pPr>
      <w:r>
        <w:rPr>
          <w:rFonts w:hint="eastAsia" w:ascii="宋体" w:hAnsi="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cs="宋体"/>
          <w:color w:val="auto"/>
          <w:szCs w:val="24"/>
          <w:highlight w:val="none"/>
          <w:lang w:val="zh-CN"/>
        </w:rPr>
      </w:pPr>
      <w:r>
        <w:rPr>
          <w:rFonts w:hint="eastAsia" w:ascii="宋体" w:hAnsi="宋体" w:cs="宋体"/>
          <w:color w:val="auto"/>
          <w:szCs w:val="24"/>
          <w:highlight w:val="none"/>
          <w:lang w:val="zh-CN"/>
        </w:rPr>
        <w:t>①表中“</w:t>
      </w:r>
      <w:r>
        <w:rPr>
          <w:rFonts w:ascii="宋体" w:hAnsi="宋体" w:cs="宋体"/>
          <w:color w:val="auto"/>
          <w:szCs w:val="24"/>
          <w:highlight w:val="none"/>
          <w:lang w:val="zh-CN"/>
        </w:rPr>
        <w:t>[”代表闭区间，“]”代表闭区间，如[0，1]代表该分数段范围为大于等</w:t>
      </w:r>
      <w:r>
        <w:rPr>
          <w:rFonts w:hint="eastAsia" w:ascii="宋体" w:hAnsi="宋体" w:cs="宋体"/>
          <w:color w:val="auto"/>
          <w:szCs w:val="24"/>
          <w:highlight w:val="none"/>
          <w:lang w:val="zh-CN"/>
        </w:rPr>
        <w:t>于</w:t>
      </w:r>
      <w:r>
        <w:rPr>
          <w:rFonts w:ascii="宋体" w:hAnsi="宋体" w:cs="宋体"/>
          <w:color w:val="auto"/>
          <w:szCs w:val="24"/>
          <w:highlight w:val="none"/>
          <w:lang w:val="zh-CN"/>
        </w:rPr>
        <w:t>0且小于等于1。表中“（”代表开区间，“]”代表闭区间，如（1，2]代表该分数段范</w:t>
      </w:r>
      <w:r>
        <w:rPr>
          <w:rFonts w:hint="eastAsia" w:ascii="宋体" w:hAnsi="宋体" w:cs="宋体"/>
          <w:color w:val="auto"/>
          <w:szCs w:val="24"/>
          <w:highlight w:val="none"/>
          <w:lang w:val="zh-CN"/>
        </w:rPr>
        <w:t>围为大于</w:t>
      </w:r>
      <w:r>
        <w:rPr>
          <w:rFonts w:ascii="宋体" w:hAnsi="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cs="宋体"/>
          <w:color w:val="auto"/>
          <w:szCs w:val="24"/>
          <w:highlight w:val="none"/>
          <w:lang w:val="zh-CN"/>
        </w:rPr>
      </w:pPr>
      <w:r>
        <w:rPr>
          <w:rFonts w:ascii="宋体" w:hAnsi="宋体" w:cs="宋体"/>
          <w:color w:val="auto"/>
          <w:szCs w:val="24"/>
          <w:highlight w:val="none"/>
          <w:lang w:val="zh-CN"/>
        </w:rPr>
        <w:t>②分数出现小数点，保留小数点后2位，从小数点后第3位四</w:t>
      </w:r>
      <w:r>
        <w:rPr>
          <w:rFonts w:hint="eastAsia" w:ascii="宋体" w:hAnsi="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cs="宋体"/>
          <w:b/>
          <w:color w:val="auto"/>
          <w:szCs w:val="24"/>
          <w:highlight w:val="none"/>
          <w:lang w:val="zh-CN"/>
        </w:rPr>
      </w:pPr>
      <w:r>
        <w:rPr>
          <w:rFonts w:hint="eastAsia" w:ascii="宋体" w:hAnsi="宋体" w:cs="宋体"/>
          <w:b/>
          <w:color w:val="auto"/>
          <w:szCs w:val="24"/>
          <w:highlight w:val="none"/>
          <w:lang w:val="zh-CN"/>
        </w:rPr>
        <w:t>③上述“评分项目”中按“优、良、中、差”区间评审的，若低于该项满分分值</w:t>
      </w:r>
      <w:r>
        <w:rPr>
          <w:rFonts w:ascii="宋体" w:hAnsi="宋体" w:cs="宋体"/>
          <w:b/>
          <w:color w:val="auto"/>
          <w:szCs w:val="24"/>
          <w:highlight w:val="none"/>
          <w:lang w:val="zh-CN"/>
        </w:rPr>
        <w:t>60%时，评标专家需详细填写该项低分的充分理由，例如：该项目内容存在违反国家有关标</w:t>
      </w:r>
      <w:r>
        <w:rPr>
          <w:rFonts w:hint="eastAsia" w:ascii="宋体" w:hAnsi="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cs="宋体"/>
          <w:b/>
          <w:color w:val="auto"/>
          <w:szCs w:val="24"/>
          <w:highlight w:val="none"/>
        </w:rPr>
      </w:pPr>
      <w:r>
        <w:rPr>
          <w:rFonts w:hint="eastAsia" w:ascii="宋体" w:hAnsi="宋体" w:cs="宋体"/>
          <w:b/>
          <w:color w:val="auto"/>
          <w:szCs w:val="24"/>
          <w:highlight w:val="none"/>
        </w:rPr>
        <w:t>④</w:t>
      </w:r>
      <w:r>
        <w:rPr>
          <w:rFonts w:hint="eastAsia" w:ascii="宋体" w:hAnsi="宋体" w:cs="宋体"/>
          <w:b/>
          <w:color w:val="auto"/>
          <w:kern w:val="0"/>
          <w:szCs w:val="21"/>
          <w:highlight w:val="none"/>
          <w:lang w:val="zh-CN"/>
        </w:rPr>
        <w:t>对</w:t>
      </w:r>
      <w:r>
        <w:rPr>
          <w:rFonts w:hint="eastAsia" w:ascii="宋体" w:hAnsi="宋体" w:cs="宋体"/>
          <w:b/>
          <w:color w:val="auto"/>
          <w:kern w:val="0"/>
          <w:szCs w:val="21"/>
          <w:highlight w:val="none"/>
        </w:rPr>
        <w:t>于各</w:t>
      </w:r>
      <w:r>
        <w:rPr>
          <w:rFonts w:hint="eastAsia" w:ascii="宋体" w:hAnsi="宋体" w:cs="宋体"/>
          <w:b/>
          <w:color w:val="auto"/>
          <w:kern w:val="0"/>
          <w:szCs w:val="21"/>
          <w:highlight w:val="none"/>
          <w:lang w:val="zh-CN"/>
        </w:rPr>
        <w:t>评标委员会成员</w:t>
      </w:r>
      <w:r>
        <w:rPr>
          <w:rFonts w:hint="eastAsia" w:ascii="宋体" w:hAnsi="宋体" w:cs="宋体"/>
          <w:b/>
          <w:color w:val="auto"/>
          <w:kern w:val="0"/>
          <w:szCs w:val="21"/>
          <w:highlight w:val="none"/>
        </w:rPr>
        <w:t>存在客观分打分不一致时</w:t>
      </w:r>
      <w:r>
        <w:rPr>
          <w:rFonts w:hint="eastAsia" w:ascii="宋体" w:hAnsi="宋体" w:cs="宋体"/>
          <w:b/>
          <w:color w:val="auto"/>
          <w:kern w:val="0"/>
          <w:szCs w:val="21"/>
          <w:highlight w:val="none"/>
          <w:lang w:val="zh-CN"/>
        </w:rPr>
        <w:t>,根据少数服</w:t>
      </w:r>
      <w:r>
        <w:rPr>
          <w:rFonts w:hint="eastAsia" w:ascii="宋体" w:hAnsi="宋体" w:cs="宋体"/>
          <w:b/>
          <w:color w:val="auto"/>
          <w:kern w:val="0"/>
          <w:szCs w:val="21"/>
          <w:highlight w:val="none"/>
        </w:rPr>
        <w:t>从</w:t>
      </w:r>
      <w:r>
        <w:rPr>
          <w:rFonts w:hint="eastAsia" w:ascii="宋体" w:hAnsi="宋体" w:cs="宋体"/>
          <w:b/>
          <w:color w:val="auto"/>
          <w:kern w:val="0"/>
          <w:szCs w:val="21"/>
          <w:highlight w:val="none"/>
          <w:lang w:val="zh-CN"/>
        </w:rPr>
        <w:t>多数的原则，以记名方式表决</w:t>
      </w:r>
      <w:r>
        <w:rPr>
          <w:rFonts w:hint="eastAsia" w:ascii="宋体" w:hAnsi="宋体" w:cs="宋体"/>
          <w:b/>
          <w:color w:val="auto"/>
          <w:kern w:val="0"/>
          <w:szCs w:val="21"/>
          <w:highlight w:val="none"/>
        </w:rPr>
        <w:t>确定该项的评分。</w:t>
      </w:r>
    </w:p>
    <w:p>
      <w:pPr>
        <w:tabs>
          <w:tab w:val="left" w:pos="1701"/>
        </w:tabs>
        <w:autoSpaceDE w:val="0"/>
        <w:autoSpaceDN w:val="0"/>
        <w:adjustRightInd w:val="0"/>
        <w:spacing w:line="360" w:lineRule="auto"/>
        <w:rPr>
          <w:rFonts w:ascii="宋体" w:hAnsi="宋体" w:cs="宋体"/>
          <w:b/>
          <w:color w:val="auto"/>
          <w:szCs w:val="24"/>
          <w:highlight w:val="none"/>
          <w:lang w:val="zh-CN"/>
        </w:rPr>
      </w:pPr>
      <w:r>
        <w:rPr>
          <w:rFonts w:hint="eastAsia" w:ascii="宋体" w:hAnsi="宋体" w:cs="宋体"/>
          <w:b/>
          <w:color w:val="auto"/>
          <w:szCs w:val="24"/>
          <w:highlight w:val="none"/>
          <w:lang w:val="zh-CN"/>
        </w:rPr>
        <w:t>（3）价格评分方法</w:t>
      </w:r>
    </w:p>
    <w:p>
      <w:pPr>
        <w:spacing w:line="360" w:lineRule="auto"/>
        <w:ind w:left="480" w:firstLine="211" w:firstLineChars="100"/>
        <w:rPr>
          <w:rFonts w:ascii="宋体" w:hAnsi="宋体" w:cs="宋体"/>
          <w:b/>
          <w:bCs/>
          <w:color w:val="auto"/>
          <w:kern w:val="0"/>
          <w:szCs w:val="21"/>
          <w:highlight w:val="none"/>
          <w:lang w:val="zh-CN"/>
        </w:rPr>
      </w:pPr>
      <w:r>
        <w:rPr>
          <w:rFonts w:hint="eastAsia" w:ascii="宋体" w:hAnsi="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cs="宋体"/>
          <w:b/>
          <w:color w:val="auto"/>
          <w:kern w:val="0"/>
          <w:szCs w:val="21"/>
          <w:highlight w:val="none"/>
          <w:u w:val="single"/>
          <w:lang w:val="zh-CN"/>
        </w:rPr>
        <w:t>如果投标人不接受修正后的报价，则其投标将被拒绝，作为无效投标处理</w:t>
      </w:r>
      <w:r>
        <w:rPr>
          <w:rFonts w:hint="eastAsia" w:ascii="宋体" w:hAnsi="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ascii="宋体" w:hAnsi="宋体" w:cs="宋体"/>
          <w:b/>
          <w:color w:val="auto"/>
          <w:szCs w:val="24"/>
          <w:highlight w:val="none"/>
          <w:u w:val="single"/>
          <w:lang w:val="zh-CN"/>
        </w:rPr>
      </w:pPr>
      <w:r>
        <w:rPr>
          <w:rFonts w:hint="eastAsia" w:ascii="宋体" w:hAnsi="宋体" w:cs="宋体"/>
          <w:color w:val="auto"/>
          <w:szCs w:val="24"/>
          <w:highlight w:val="none"/>
          <w:lang w:val="zh-CN"/>
        </w:rPr>
        <w:t>若投标人出现超低报价，</w:t>
      </w:r>
      <w:r>
        <w:rPr>
          <w:rFonts w:hint="eastAsia" w:ascii="宋体" w:hAnsi="宋体" w:cs="宋体"/>
          <w:color w:val="auto"/>
          <w:kern w:val="0"/>
          <w:szCs w:val="21"/>
          <w:highlight w:val="none"/>
        </w:rPr>
        <w:t>有可能影响货物质量和不能诚信履约的，</w:t>
      </w:r>
      <w:r>
        <w:rPr>
          <w:rFonts w:hint="eastAsia" w:ascii="宋体" w:hAnsi="宋体" w:cs="宋体"/>
          <w:color w:val="auto"/>
          <w:szCs w:val="24"/>
          <w:highlight w:val="none"/>
          <w:lang w:val="zh-CN"/>
        </w:rPr>
        <w:t>评标委员会</w:t>
      </w:r>
      <w:r>
        <w:rPr>
          <w:rFonts w:hint="eastAsia" w:ascii="宋体" w:hAnsi="宋体" w:cs="宋体"/>
          <w:color w:val="auto"/>
          <w:kern w:val="0"/>
          <w:szCs w:val="21"/>
          <w:highlight w:val="none"/>
          <w:lang w:val="zh-CN"/>
        </w:rPr>
        <w:t>将要求该投标人作出书面说明并提供相关证明材料，</w:t>
      </w:r>
      <w:r>
        <w:rPr>
          <w:rFonts w:hint="eastAsia" w:ascii="宋体" w:hAnsi="宋体" w:cs="宋体"/>
          <w:color w:val="auto"/>
          <w:szCs w:val="24"/>
          <w:highlight w:val="none"/>
          <w:lang w:val="zh-CN"/>
        </w:rPr>
        <w:t>以确定投标人是否以低于企业成本价报价。</w:t>
      </w:r>
      <w:r>
        <w:rPr>
          <w:rFonts w:hint="eastAsia" w:ascii="宋体" w:hAnsi="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cs="宋体"/>
          <w:b/>
          <w:color w:val="auto"/>
          <w:kern w:val="0"/>
          <w:szCs w:val="21"/>
          <w:highlight w:val="none"/>
        </w:rPr>
        <w:t>从</w:t>
      </w:r>
      <w:r>
        <w:rPr>
          <w:rFonts w:hint="eastAsia" w:ascii="宋体" w:hAnsi="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cs="宋体"/>
          <w:color w:val="auto"/>
          <w:kern w:val="0"/>
          <w:szCs w:val="21"/>
          <w:highlight w:val="none"/>
          <w:lang w:val="zh-CN"/>
        </w:rPr>
      </w:pPr>
    </w:p>
    <w:p>
      <w:pPr>
        <w:spacing w:line="360" w:lineRule="auto"/>
        <w:ind w:left="480" w:firstLine="211" w:firstLineChars="100"/>
        <w:rPr>
          <w:rFonts w:ascii="宋体" w:hAnsi="宋体" w:cs="宋体"/>
          <w:b/>
          <w:bCs/>
          <w:color w:val="auto"/>
          <w:kern w:val="0"/>
          <w:szCs w:val="21"/>
          <w:highlight w:val="none"/>
        </w:rPr>
      </w:pPr>
      <w:r>
        <w:rPr>
          <w:rFonts w:ascii="宋体" w:hAnsi="宋体" w:cs="宋体"/>
          <w:b/>
          <w:bCs/>
          <w:color w:val="auto"/>
          <w:kern w:val="0"/>
          <w:szCs w:val="21"/>
          <w:highlight w:val="none"/>
          <w:lang w:val="zh-CN"/>
        </w:rPr>
        <w:t>2</w:t>
      </w:r>
      <w:r>
        <w:rPr>
          <w:rFonts w:hint="eastAsia" w:ascii="宋体" w:hAnsi="宋体" w:cs="宋体"/>
          <w:b/>
          <w:bCs/>
          <w:color w:val="auto"/>
          <w:kern w:val="0"/>
          <w:szCs w:val="21"/>
          <w:highlight w:val="none"/>
          <w:lang w:val="zh-CN"/>
        </w:rPr>
        <w:t>）</w:t>
      </w:r>
      <w:r>
        <w:rPr>
          <w:rFonts w:hint="eastAsia" w:ascii="宋体" w:hAnsi="宋体" w:cs="宋体"/>
          <w:b/>
          <w:bCs/>
          <w:color w:val="auto"/>
          <w:kern w:val="0"/>
          <w:szCs w:val="28"/>
          <w:highlight w:val="none"/>
          <w:lang w:val="zh-CN"/>
        </w:rPr>
        <w:t>价格评分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zh-CN"/>
        </w:rPr>
        <w:t>总分</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0</w:t>
      </w:r>
      <w:r>
        <w:rPr>
          <w:rFonts w:hint="eastAsia" w:ascii="宋体" w:hAnsi="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A、根据有效投标人的投标报价，最低价作为基准价（Y）。投标人报价（X）等于基准价的得满分</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0</w:t>
      </w:r>
      <w:r>
        <w:rPr>
          <w:rFonts w:hint="eastAsia" w:ascii="宋体" w:hAnsi="宋体" w:cs="宋体"/>
          <w:color w:val="auto"/>
          <w:kern w:val="0"/>
          <w:szCs w:val="21"/>
          <w:highlight w:val="none"/>
        </w:rPr>
        <w:t>分，其他投标人的价格得分统一按照下列公式计算：</w:t>
      </w:r>
    </w:p>
    <w:p>
      <w:pPr>
        <w:pStyle w:val="15"/>
        <w:rPr>
          <w:rFonts w:ascii="宋体" w:hAnsi="宋体"/>
          <w:color w:val="auto"/>
          <w:highlight w:val="none"/>
        </w:rPr>
      </w:pPr>
    </w:p>
    <w:p>
      <w:pPr>
        <w:autoSpaceDN w:val="0"/>
        <w:adjustRightInd w:val="0"/>
        <w:snapToGrid w:val="0"/>
        <w:spacing w:line="360" w:lineRule="auto"/>
        <w:ind w:left="420" w:leftChars="10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价格得分=(基准价／投标报价)×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w:t>
      </w:r>
    </w:p>
    <w:p>
      <w:pPr>
        <w:autoSpaceDN w:val="0"/>
        <w:adjustRightInd w:val="0"/>
        <w:snapToGri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cs="宋体"/>
          <w:b/>
          <w:color w:val="auto"/>
          <w:szCs w:val="21"/>
          <w:highlight w:val="none"/>
          <w:lang w:val="zh-CN"/>
        </w:rPr>
      </w:pPr>
      <w:r>
        <w:rPr>
          <w:rFonts w:hint="eastAsia" w:ascii="宋体" w:hAnsi="宋体" w:cs="宋体"/>
          <w:b/>
          <w:color w:val="auto"/>
          <w:szCs w:val="21"/>
          <w:highlight w:val="none"/>
          <w:lang w:val="zh-CN"/>
        </w:rPr>
        <w:t>（4）综合得分</w:t>
      </w:r>
    </w:p>
    <w:p>
      <w:pPr>
        <w:spacing w:line="400" w:lineRule="exact"/>
        <w:ind w:firstLine="848" w:firstLineChars="404"/>
        <w:rPr>
          <w:rFonts w:ascii="宋体" w:hAnsi="宋体" w:cs="宋体"/>
          <w:color w:val="auto"/>
          <w:kern w:val="0"/>
          <w:szCs w:val="28"/>
          <w:highlight w:val="none"/>
          <w:lang w:val="zh-CN"/>
        </w:rPr>
      </w:pPr>
      <w:bookmarkStart w:id="747" w:name="_Toc31624_WPSOffice_Level2"/>
      <w:r>
        <w:rPr>
          <w:rFonts w:hint="eastAsia" w:ascii="宋体" w:hAnsi="宋体" w:cs="宋体"/>
          <w:color w:val="auto"/>
          <w:kern w:val="0"/>
          <w:szCs w:val="28"/>
          <w:highlight w:val="none"/>
          <w:lang w:val="zh-CN"/>
        </w:rPr>
        <w:t>评标总得分=F1＋F2＋……+Fn</w:t>
      </w:r>
      <w:bookmarkEnd w:id="747"/>
    </w:p>
    <w:p>
      <w:pPr>
        <w:widowControl/>
        <w:autoSpaceDE w:val="0"/>
        <w:autoSpaceDN w:val="0"/>
        <w:adjustRightInd w:val="0"/>
        <w:spacing w:line="400" w:lineRule="exact"/>
        <w:ind w:firstLine="840" w:firstLineChars="400"/>
        <w:jc w:val="left"/>
        <w:rPr>
          <w:rFonts w:ascii="宋体" w:hAnsi="宋体" w:cs="宋体"/>
          <w:color w:val="auto"/>
          <w:kern w:val="0"/>
          <w:szCs w:val="21"/>
          <w:highlight w:val="none"/>
        </w:rPr>
      </w:pPr>
      <w:bookmarkStart w:id="748" w:name="_Toc13236_WPSOffice_Level2"/>
      <w:r>
        <w:rPr>
          <w:rFonts w:hint="eastAsia" w:ascii="宋体" w:hAnsi="宋体" w:cs="宋体"/>
          <w:color w:val="auto"/>
          <w:kern w:val="0"/>
          <w:szCs w:val="21"/>
          <w:highlight w:val="none"/>
        </w:rPr>
        <w:t>F1、F2、……Fn分别为各项评分因素的得分</w:t>
      </w:r>
      <w:bookmarkEnd w:id="748"/>
      <w:r>
        <w:rPr>
          <w:rFonts w:hint="eastAsia" w:ascii="宋体" w:hAnsi="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cs="宋体"/>
          <w:b/>
          <w:bCs/>
          <w:color w:val="auto"/>
          <w:sz w:val="28"/>
          <w:szCs w:val="28"/>
          <w:highlight w:val="none"/>
        </w:rPr>
      </w:pPr>
    </w:p>
    <w:p>
      <w:pPr>
        <w:autoSpaceDE w:val="0"/>
        <w:autoSpaceDN w:val="0"/>
        <w:adjustRightInd w:val="0"/>
        <w:spacing w:line="360" w:lineRule="auto"/>
        <w:jc w:val="center"/>
        <w:rPr>
          <w:rFonts w:ascii="宋体" w:hAnsi="宋体" w:cs="宋体"/>
          <w:b/>
          <w:bCs/>
          <w:color w:val="auto"/>
          <w:sz w:val="28"/>
          <w:szCs w:val="28"/>
          <w:highlight w:val="none"/>
        </w:rPr>
      </w:pPr>
      <w:bookmarkStart w:id="749" w:name="_Toc518_WPSOffice_Level1"/>
      <w:r>
        <w:rPr>
          <w:rFonts w:hint="eastAsia" w:ascii="宋体" w:hAnsi="宋体" w:cs="宋体"/>
          <w:b/>
          <w:bCs/>
          <w:color w:val="auto"/>
          <w:sz w:val="28"/>
          <w:szCs w:val="28"/>
          <w:highlight w:val="none"/>
          <w:lang w:val="zh-CN"/>
        </w:rPr>
        <w:t>五、推荐中标人</w:t>
      </w:r>
      <w:bookmarkEnd w:id="749"/>
    </w:p>
    <w:p>
      <w:pPr>
        <w:autoSpaceDE w:val="0"/>
        <w:autoSpaceDN w:val="0"/>
        <w:adjustRightInd w:val="0"/>
        <w:spacing w:line="360" w:lineRule="auto"/>
        <w:ind w:left="420" w:hanging="420" w:hangingChars="200"/>
        <w:jc w:val="left"/>
        <w:rPr>
          <w:rFonts w:ascii="宋体" w:hAnsi="宋体" w:cs="Times New Roman"/>
          <w:color w:val="auto"/>
          <w:kern w:val="0"/>
          <w:szCs w:val="21"/>
          <w:highlight w:val="none"/>
        </w:rPr>
      </w:pPr>
      <w:r>
        <w:rPr>
          <w:rFonts w:ascii="宋体" w:hAnsi="宋体" w:cs="宋体"/>
          <w:color w:val="auto"/>
          <w:kern w:val="0"/>
          <w:szCs w:val="21"/>
          <w:highlight w:val="none"/>
        </w:rPr>
        <w:t>13</w:t>
      </w:r>
      <w:r>
        <w:rPr>
          <w:rFonts w:hint="eastAsia" w:ascii="宋体" w:hAnsi="宋体" w:cs="宋体"/>
          <w:color w:val="auto"/>
          <w:kern w:val="0"/>
          <w:szCs w:val="21"/>
          <w:highlight w:val="none"/>
        </w:rPr>
        <w:t>、</w:t>
      </w:r>
      <w:r>
        <w:rPr>
          <w:rFonts w:hint="eastAsia" w:ascii="宋体" w:hAnsi="宋体" w:cs="Times New Roman"/>
          <w:color w:val="auto"/>
          <w:szCs w:val="24"/>
          <w:highlight w:val="none"/>
          <w:lang w:val="zh-CN"/>
        </w:rPr>
        <w:t>评标委员会按评审后得分由高到低顺序排列</w:t>
      </w:r>
      <w:r>
        <w:rPr>
          <w:rFonts w:hint="eastAsia" w:ascii="宋体" w:hAnsi="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cs="Times New Roman"/>
          <w:color w:val="auto"/>
          <w:kern w:val="0"/>
          <w:szCs w:val="24"/>
          <w:highlight w:val="none"/>
          <w:lang w:val="zh-CN"/>
        </w:rPr>
      </w:pPr>
      <w:r>
        <w:rPr>
          <w:rFonts w:hint="eastAsia" w:ascii="宋体" w:hAnsi="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cs="Times New Roman"/>
          <w:color w:val="auto"/>
          <w:kern w:val="0"/>
          <w:szCs w:val="21"/>
          <w:highlight w:val="none"/>
          <w:lang w:val="zh-CN"/>
        </w:rPr>
        <w:t>由低到高顺序排出次序，报价低的排前，报价高的排后。</w:t>
      </w:r>
      <w:r>
        <w:rPr>
          <w:rFonts w:hint="eastAsia" w:ascii="宋体" w:hAnsi="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cs="宋体"/>
          <w:b/>
          <w:bCs/>
          <w:color w:val="auto"/>
          <w:sz w:val="28"/>
          <w:szCs w:val="28"/>
          <w:highlight w:val="none"/>
          <w:lang w:val="zh-CN"/>
        </w:rPr>
      </w:pPr>
      <w:bookmarkStart w:id="750" w:name="_Toc22724_WPSOffice_Level1"/>
      <w:r>
        <w:rPr>
          <w:rFonts w:hint="eastAsia" w:ascii="宋体" w:hAnsi="宋体" w:cs="宋体"/>
          <w:b/>
          <w:bCs/>
          <w:color w:val="auto"/>
          <w:sz w:val="28"/>
          <w:szCs w:val="28"/>
          <w:highlight w:val="none"/>
          <w:lang w:val="zh-CN"/>
        </w:rPr>
        <w:t>六、编写评标报告</w:t>
      </w:r>
      <w:bookmarkEnd w:id="750"/>
    </w:p>
    <w:p>
      <w:pPr>
        <w:autoSpaceDE w:val="0"/>
        <w:autoSpaceDN w:val="0"/>
        <w:adjustRightInd w:val="0"/>
        <w:spacing w:line="360" w:lineRule="auto"/>
        <w:ind w:left="420" w:hanging="420" w:hangingChars="200"/>
        <w:jc w:val="left"/>
        <w:rPr>
          <w:rFonts w:ascii="宋体" w:hAnsi="宋体" w:cs="宋体"/>
          <w:b/>
          <w:bCs/>
          <w:color w:val="auto"/>
          <w:szCs w:val="32"/>
          <w:highlight w:val="none"/>
          <w:lang w:val="zh-CN"/>
        </w:rPr>
      </w:pPr>
      <w:r>
        <w:rPr>
          <w:rFonts w:hint="eastAsia" w:ascii="宋体" w:hAnsi="宋体" w:cs="宋体"/>
          <w:color w:val="auto"/>
          <w:szCs w:val="24"/>
          <w:highlight w:val="none"/>
          <w:lang w:val="zh-CN"/>
        </w:rPr>
        <w:t>1</w:t>
      </w:r>
      <w:r>
        <w:rPr>
          <w:rFonts w:ascii="宋体" w:hAnsi="宋体" w:cs="宋体"/>
          <w:color w:val="auto"/>
          <w:szCs w:val="24"/>
          <w:highlight w:val="none"/>
          <w:lang w:val="zh-CN"/>
        </w:rPr>
        <w:t>4</w:t>
      </w:r>
      <w:r>
        <w:rPr>
          <w:rFonts w:hint="eastAsia" w:ascii="宋体" w:hAnsi="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cs="宋体"/>
          <w:color w:val="auto"/>
          <w:kern w:val="0"/>
          <w:szCs w:val="24"/>
          <w:highlight w:val="none"/>
          <w:lang w:val="zh-CN"/>
        </w:rPr>
      </w:pPr>
      <w:r>
        <w:rPr>
          <w:rFonts w:hint="eastAsia" w:ascii="宋体" w:hAnsi="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cs="宋体"/>
          <w:color w:val="auto"/>
          <w:szCs w:val="24"/>
          <w:highlight w:val="none"/>
          <w:lang w:val="zh-CN"/>
        </w:rPr>
      </w:pPr>
      <w:r>
        <w:rPr>
          <w:rFonts w:hint="eastAsia" w:ascii="宋体" w:hAnsi="宋体" w:cs="宋体"/>
          <w:color w:val="auto"/>
          <w:kern w:val="0"/>
          <w:szCs w:val="24"/>
          <w:highlight w:val="none"/>
          <w:lang w:val="zh-CN"/>
        </w:rPr>
        <w:t>（6）评标委员会的推荐</w:t>
      </w:r>
      <w:r>
        <w:rPr>
          <w:rFonts w:hint="eastAsia" w:ascii="宋体" w:hAnsi="宋体" w:cs="宋体"/>
          <w:color w:val="auto"/>
          <w:szCs w:val="24"/>
          <w:highlight w:val="none"/>
          <w:lang w:val="zh-CN"/>
        </w:rPr>
        <w:t>建议。</w:t>
      </w:r>
    </w:p>
    <w:p>
      <w:pPr>
        <w:autoSpaceDE w:val="0"/>
        <w:autoSpaceDN w:val="0"/>
        <w:adjustRightInd w:val="0"/>
        <w:spacing w:line="360" w:lineRule="auto"/>
        <w:jc w:val="center"/>
        <w:rPr>
          <w:rFonts w:ascii="宋体" w:hAnsi="宋体" w:cs="宋体"/>
          <w:b/>
          <w:bCs/>
          <w:color w:val="auto"/>
          <w:sz w:val="28"/>
          <w:szCs w:val="28"/>
          <w:highlight w:val="none"/>
          <w:lang w:val="zh-CN"/>
        </w:rPr>
      </w:pPr>
    </w:p>
    <w:p>
      <w:pPr>
        <w:autoSpaceDE w:val="0"/>
        <w:autoSpaceDN w:val="0"/>
        <w:adjustRightInd w:val="0"/>
        <w:spacing w:line="360" w:lineRule="auto"/>
        <w:jc w:val="center"/>
        <w:rPr>
          <w:rFonts w:ascii="宋体" w:hAnsi="宋体" w:cs="宋体"/>
          <w:b/>
          <w:bCs/>
          <w:color w:val="auto"/>
          <w:sz w:val="30"/>
          <w:szCs w:val="30"/>
          <w:highlight w:val="none"/>
          <w:lang w:val="zh-CN"/>
        </w:rPr>
      </w:pPr>
      <w:bookmarkStart w:id="751" w:name="_Toc23773_WPSOffice_Level1"/>
      <w:r>
        <w:rPr>
          <w:rFonts w:hint="eastAsia" w:ascii="宋体" w:hAnsi="宋体" w:cs="宋体"/>
          <w:b/>
          <w:bCs/>
          <w:color w:val="auto"/>
          <w:sz w:val="28"/>
          <w:szCs w:val="28"/>
          <w:highlight w:val="none"/>
          <w:lang w:val="zh-CN"/>
        </w:rPr>
        <w:t>七、注意事项</w:t>
      </w:r>
      <w:bookmarkEnd w:id="751"/>
    </w:p>
    <w:p>
      <w:pPr>
        <w:autoSpaceDE w:val="0"/>
        <w:autoSpaceDN w:val="0"/>
        <w:adjustRightInd w:val="0"/>
        <w:spacing w:line="360" w:lineRule="auto"/>
        <w:ind w:left="420" w:hanging="420" w:hangingChars="200"/>
        <w:rPr>
          <w:rFonts w:ascii="宋体" w:hAnsi="宋体" w:cs="宋体"/>
          <w:color w:val="auto"/>
          <w:szCs w:val="24"/>
          <w:highlight w:val="none"/>
          <w:lang w:val="zh-CN"/>
        </w:rPr>
      </w:pPr>
      <w:r>
        <w:rPr>
          <w:rFonts w:hint="eastAsia" w:ascii="宋体" w:hAnsi="宋体" w:cs="宋体"/>
          <w:color w:val="auto"/>
          <w:szCs w:val="24"/>
          <w:highlight w:val="none"/>
          <w:lang w:val="zh-CN"/>
        </w:rPr>
        <w:t>1</w:t>
      </w:r>
      <w:r>
        <w:rPr>
          <w:rFonts w:ascii="宋体" w:hAnsi="宋体" w:cs="宋体"/>
          <w:color w:val="auto"/>
          <w:szCs w:val="24"/>
          <w:highlight w:val="none"/>
          <w:lang w:val="zh-CN"/>
        </w:rPr>
        <w:t>5</w:t>
      </w:r>
      <w:r>
        <w:rPr>
          <w:rFonts w:hint="eastAsia" w:ascii="宋体" w:hAnsi="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cs="宋体"/>
          <w:color w:val="auto"/>
          <w:szCs w:val="24"/>
          <w:highlight w:val="none"/>
          <w:lang w:val="zh-CN"/>
        </w:rPr>
      </w:pPr>
      <w:r>
        <w:rPr>
          <w:rFonts w:hint="eastAsia" w:ascii="宋体" w:hAnsi="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cs="宋体"/>
          <w:color w:val="auto"/>
          <w:szCs w:val="24"/>
          <w:highlight w:val="none"/>
          <w:lang w:val="zh-CN"/>
        </w:rPr>
      </w:pPr>
      <w:r>
        <w:rPr>
          <w:rFonts w:hint="eastAsia" w:ascii="宋体" w:hAnsi="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cs="宋体"/>
          <w:color w:val="auto"/>
          <w:szCs w:val="24"/>
          <w:highlight w:val="none"/>
          <w:lang w:val="zh-CN"/>
        </w:rPr>
      </w:pPr>
      <w:r>
        <w:rPr>
          <w:rFonts w:hint="eastAsia" w:ascii="宋体" w:hAnsi="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cs="宋体"/>
          <w:color w:val="auto"/>
          <w:szCs w:val="24"/>
          <w:highlight w:val="none"/>
          <w:lang w:val="zh-CN"/>
        </w:rPr>
      </w:pPr>
      <w:r>
        <w:rPr>
          <w:rFonts w:hint="eastAsia" w:ascii="宋体" w:hAnsi="宋体" w:cs="宋体"/>
          <w:color w:val="auto"/>
          <w:szCs w:val="24"/>
          <w:highlight w:val="none"/>
          <w:lang w:val="zh-CN"/>
        </w:rPr>
        <w:t>（4）</w:t>
      </w:r>
      <w:r>
        <w:rPr>
          <w:rFonts w:hint="eastAsia" w:ascii="宋体" w:hAnsi="宋体" w:cs="宋体"/>
          <w:color w:val="auto"/>
          <w:szCs w:val="24"/>
          <w:highlight w:val="none"/>
        </w:rPr>
        <w:t>如有需要举行</w:t>
      </w:r>
      <w:r>
        <w:rPr>
          <w:rFonts w:hint="eastAsia" w:ascii="宋体" w:hAnsi="宋体" w:cs="宋体"/>
          <w:color w:val="auto"/>
          <w:szCs w:val="24"/>
          <w:highlight w:val="none"/>
          <w:lang w:val="zh-CN"/>
        </w:rPr>
        <w:t>澄清会</w:t>
      </w:r>
      <w:r>
        <w:rPr>
          <w:rFonts w:hint="eastAsia" w:ascii="宋体" w:hAnsi="宋体" w:cs="宋体"/>
          <w:color w:val="auto"/>
          <w:szCs w:val="24"/>
          <w:highlight w:val="none"/>
        </w:rPr>
        <w:t>，</w:t>
      </w:r>
      <w:r>
        <w:rPr>
          <w:rFonts w:hint="eastAsia" w:ascii="宋体" w:hAnsi="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cs="Times New Roman"/>
          <w:b/>
          <w:bCs/>
          <w:color w:val="auto"/>
          <w:kern w:val="0"/>
          <w:szCs w:val="21"/>
          <w:highlight w:val="none"/>
        </w:rPr>
      </w:pPr>
      <w:r>
        <w:rPr>
          <w:rFonts w:hint="eastAsia" w:ascii="宋体" w:hAnsi="宋体" w:cs="宋体"/>
          <w:color w:val="auto"/>
          <w:szCs w:val="24"/>
          <w:highlight w:val="none"/>
          <w:lang w:val="zh-CN"/>
        </w:rPr>
        <w:t>（5）任何评审人员和工作人员不得对外公布评审的一切内容。</w:t>
      </w:r>
    </w:p>
    <w:bookmarkEnd w:id="714"/>
    <w:bookmarkEnd w:id="725"/>
    <w:bookmarkEnd w:id="726"/>
    <w:bookmarkEnd w:id="727"/>
    <w:p>
      <w:pPr>
        <w:widowControl/>
        <w:jc w:val="left"/>
        <w:rPr>
          <w:rFonts w:ascii="宋体" w:hAnsi="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39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56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60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79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106</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106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106</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f9cbfef8-402d-4cd4-ae97-2a25ecb6a70b"/>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C28"/>
    <w:rsid w:val="00054D9C"/>
    <w:rsid w:val="000622F9"/>
    <w:rsid w:val="000640CD"/>
    <w:rsid w:val="000717D6"/>
    <w:rsid w:val="00075934"/>
    <w:rsid w:val="000768C6"/>
    <w:rsid w:val="000770B9"/>
    <w:rsid w:val="0008097F"/>
    <w:rsid w:val="00084D78"/>
    <w:rsid w:val="00084D8D"/>
    <w:rsid w:val="000853A8"/>
    <w:rsid w:val="00086BE3"/>
    <w:rsid w:val="00094AF8"/>
    <w:rsid w:val="000958F5"/>
    <w:rsid w:val="000A31BD"/>
    <w:rsid w:val="000A34F7"/>
    <w:rsid w:val="000A65CD"/>
    <w:rsid w:val="000A73D7"/>
    <w:rsid w:val="000B4B09"/>
    <w:rsid w:val="000C1661"/>
    <w:rsid w:val="000C18B7"/>
    <w:rsid w:val="000C4916"/>
    <w:rsid w:val="000C5D06"/>
    <w:rsid w:val="000C6A11"/>
    <w:rsid w:val="000D0B5D"/>
    <w:rsid w:val="000D16AF"/>
    <w:rsid w:val="000D5537"/>
    <w:rsid w:val="000D6C8D"/>
    <w:rsid w:val="000D75D3"/>
    <w:rsid w:val="000E299E"/>
    <w:rsid w:val="000E3ECA"/>
    <w:rsid w:val="000E4A4F"/>
    <w:rsid w:val="000E4D54"/>
    <w:rsid w:val="000F0A84"/>
    <w:rsid w:val="001059DC"/>
    <w:rsid w:val="0010738F"/>
    <w:rsid w:val="00110C9E"/>
    <w:rsid w:val="0011277B"/>
    <w:rsid w:val="0011440A"/>
    <w:rsid w:val="00114519"/>
    <w:rsid w:val="00117924"/>
    <w:rsid w:val="001208B6"/>
    <w:rsid w:val="001233ED"/>
    <w:rsid w:val="00124013"/>
    <w:rsid w:val="00127946"/>
    <w:rsid w:val="00131E91"/>
    <w:rsid w:val="00141B62"/>
    <w:rsid w:val="001450A8"/>
    <w:rsid w:val="001523C0"/>
    <w:rsid w:val="00152F07"/>
    <w:rsid w:val="0015711A"/>
    <w:rsid w:val="001616E7"/>
    <w:rsid w:val="00162069"/>
    <w:rsid w:val="00162FF3"/>
    <w:rsid w:val="001644BA"/>
    <w:rsid w:val="001647C7"/>
    <w:rsid w:val="00165203"/>
    <w:rsid w:val="001655A8"/>
    <w:rsid w:val="00166309"/>
    <w:rsid w:val="00170004"/>
    <w:rsid w:val="00174AE6"/>
    <w:rsid w:val="001758D3"/>
    <w:rsid w:val="00177B51"/>
    <w:rsid w:val="0018078B"/>
    <w:rsid w:val="00183284"/>
    <w:rsid w:val="00183344"/>
    <w:rsid w:val="0019682B"/>
    <w:rsid w:val="001A1FCB"/>
    <w:rsid w:val="001A62B2"/>
    <w:rsid w:val="001A7D78"/>
    <w:rsid w:val="001B74B3"/>
    <w:rsid w:val="001C2086"/>
    <w:rsid w:val="001C4AC2"/>
    <w:rsid w:val="001C4C10"/>
    <w:rsid w:val="001C6FAA"/>
    <w:rsid w:val="001D00B3"/>
    <w:rsid w:val="001D5A65"/>
    <w:rsid w:val="001D6B15"/>
    <w:rsid w:val="001E089F"/>
    <w:rsid w:val="001E3C71"/>
    <w:rsid w:val="001E4158"/>
    <w:rsid w:val="001E6227"/>
    <w:rsid w:val="001E63B6"/>
    <w:rsid w:val="001E6DD8"/>
    <w:rsid w:val="001F0290"/>
    <w:rsid w:val="001F6A01"/>
    <w:rsid w:val="00202DB9"/>
    <w:rsid w:val="00204A84"/>
    <w:rsid w:val="00215B7A"/>
    <w:rsid w:val="00223D5B"/>
    <w:rsid w:val="0022528C"/>
    <w:rsid w:val="002258BB"/>
    <w:rsid w:val="00225B7D"/>
    <w:rsid w:val="002260FC"/>
    <w:rsid w:val="00227684"/>
    <w:rsid w:val="002315B7"/>
    <w:rsid w:val="002347FE"/>
    <w:rsid w:val="002379DF"/>
    <w:rsid w:val="0024360C"/>
    <w:rsid w:val="002451A7"/>
    <w:rsid w:val="0024670C"/>
    <w:rsid w:val="00247373"/>
    <w:rsid w:val="00247BDA"/>
    <w:rsid w:val="00250A31"/>
    <w:rsid w:val="00260C05"/>
    <w:rsid w:val="00261575"/>
    <w:rsid w:val="00262407"/>
    <w:rsid w:val="00275E0E"/>
    <w:rsid w:val="0028146F"/>
    <w:rsid w:val="002831F6"/>
    <w:rsid w:val="00290CBF"/>
    <w:rsid w:val="0029590E"/>
    <w:rsid w:val="00295F8C"/>
    <w:rsid w:val="00297843"/>
    <w:rsid w:val="002A3EB3"/>
    <w:rsid w:val="002B1734"/>
    <w:rsid w:val="002B5DBC"/>
    <w:rsid w:val="002B7423"/>
    <w:rsid w:val="002B7CA9"/>
    <w:rsid w:val="002C346E"/>
    <w:rsid w:val="002C4A4A"/>
    <w:rsid w:val="002D0003"/>
    <w:rsid w:val="002D1442"/>
    <w:rsid w:val="002E4079"/>
    <w:rsid w:val="002E57DC"/>
    <w:rsid w:val="002F68EE"/>
    <w:rsid w:val="002F7DEF"/>
    <w:rsid w:val="003014E2"/>
    <w:rsid w:val="00302D85"/>
    <w:rsid w:val="003044EA"/>
    <w:rsid w:val="0030685B"/>
    <w:rsid w:val="0030753D"/>
    <w:rsid w:val="00311A5F"/>
    <w:rsid w:val="00311DA1"/>
    <w:rsid w:val="003121B1"/>
    <w:rsid w:val="003159BD"/>
    <w:rsid w:val="0031709C"/>
    <w:rsid w:val="003223D5"/>
    <w:rsid w:val="00322AA4"/>
    <w:rsid w:val="00322D07"/>
    <w:rsid w:val="0032420F"/>
    <w:rsid w:val="00325764"/>
    <w:rsid w:val="00325EF0"/>
    <w:rsid w:val="00326230"/>
    <w:rsid w:val="00326290"/>
    <w:rsid w:val="00330DA7"/>
    <w:rsid w:val="00332C2D"/>
    <w:rsid w:val="00335872"/>
    <w:rsid w:val="00337509"/>
    <w:rsid w:val="00345994"/>
    <w:rsid w:val="003462FF"/>
    <w:rsid w:val="00347A73"/>
    <w:rsid w:val="00347CB0"/>
    <w:rsid w:val="00352495"/>
    <w:rsid w:val="00353381"/>
    <w:rsid w:val="00353707"/>
    <w:rsid w:val="00354BE6"/>
    <w:rsid w:val="0035524D"/>
    <w:rsid w:val="003578FF"/>
    <w:rsid w:val="00357E51"/>
    <w:rsid w:val="00361AB1"/>
    <w:rsid w:val="003628C2"/>
    <w:rsid w:val="00364854"/>
    <w:rsid w:val="00366BB7"/>
    <w:rsid w:val="003721DF"/>
    <w:rsid w:val="003748D5"/>
    <w:rsid w:val="0037694B"/>
    <w:rsid w:val="00381E11"/>
    <w:rsid w:val="003824D1"/>
    <w:rsid w:val="00382CE2"/>
    <w:rsid w:val="00393CBD"/>
    <w:rsid w:val="00395802"/>
    <w:rsid w:val="00395C76"/>
    <w:rsid w:val="00396372"/>
    <w:rsid w:val="003A2B25"/>
    <w:rsid w:val="003A5520"/>
    <w:rsid w:val="003A7FCD"/>
    <w:rsid w:val="003B077B"/>
    <w:rsid w:val="003B0A2B"/>
    <w:rsid w:val="003B3342"/>
    <w:rsid w:val="003B5C9C"/>
    <w:rsid w:val="003C193B"/>
    <w:rsid w:val="003D0D72"/>
    <w:rsid w:val="003D17A4"/>
    <w:rsid w:val="003D39E2"/>
    <w:rsid w:val="003D3F68"/>
    <w:rsid w:val="003E006E"/>
    <w:rsid w:val="003E30F8"/>
    <w:rsid w:val="003E399E"/>
    <w:rsid w:val="003E6830"/>
    <w:rsid w:val="003F3875"/>
    <w:rsid w:val="003F42C0"/>
    <w:rsid w:val="003F4639"/>
    <w:rsid w:val="003F510E"/>
    <w:rsid w:val="003F51B0"/>
    <w:rsid w:val="00400770"/>
    <w:rsid w:val="004033E1"/>
    <w:rsid w:val="00405E84"/>
    <w:rsid w:val="0040607F"/>
    <w:rsid w:val="00410050"/>
    <w:rsid w:val="0041034D"/>
    <w:rsid w:val="00417860"/>
    <w:rsid w:val="00420A7A"/>
    <w:rsid w:val="004235AF"/>
    <w:rsid w:val="0042558D"/>
    <w:rsid w:val="00427A89"/>
    <w:rsid w:val="0043107A"/>
    <w:rsid w:val="00432C43"/>
    <w:rsid w:val="004359C6"/>
    <w:rsid w:val="004360FC"/>
    <w:rsid w:val="004378C7"/>
    <w:rsid w:val="00437923"/>
    <w:rsid w:val="00437B9C"/>
    <w:rsid w:val="00437FC4"/>
    <w:rsid w:val="00441805"/>
    <w:rsid w:val="004470DD"/>
    <w:rsid w:val="004521AF"/>
    <w:rsid w:val="004551D1"/>
    <w:rsid w:val="0045753C"/>
    <w:rsid w:val="004577C3"/>
    <w:rsid w:val="0046038A"/>
    <w:rsid w:val="00460F3E"/>
    <w:rsid w:val="0046375D"/>
    <w:rsid w:val="00464570"/>
    <w:rsid w:val="004761B2"/>
    <w:rsid w:val="004800CA"/>
    <w:rsid w:val="00481AFA"/>
    <w:rsid w:val="0049337D"/>
    <w:rsid w:val="00495062"/>
    <w:rsid w:val="004973BA"/>
    <w:rsid w:val="004A5308"/>
    <w:rsid w:val="004B093D"/>
    <w:rsid w:val="004B423F"/>
    <w:rsid w:val="004B604C"/>
    <w:rsid w:val="004B72A3"/>
    <w:rsid w:val="004B7918"/>
    <w:rsid w:val="004D2A2E"/>
    <w:rsid w:val="004D6CD7"/>
    <w:rsid w:val="004E4ADE"/>
    <w:rsid w:val="004E5028"/>
    <w:rsid w:val="004E5F4E"/>
    <w:rsid w:val="004F2802"/>
    <w:rsid w:val="00500B9E"/>
    <w:rsid w:val="00503499"/>
    <w:rsid w:val="00506501"/>
    <w:rsid w:val="00507BC4"/>
    <w:rsid w:val="00513DB6"/>
    <w:rsid w:val="00524E92"/>
    <w:rsid w:val="00530E72"/>
    <w:rsid w:val="00531E28"/>
    <w:rsid w:val="005344B1"/>
    <w:rsid w:val="00540DB0"/>
    <w:rsid w:val="00542078"/>
    <w:rsid w:val="005423E7"/>
    <w:rsid w:val="005572B4"/>
    <w:rsid w:val="0056010A"/>
    <w:rsid w:val="00563302"/>
    <w:rsid w:val="00571307"/>
    <w:rsid w:val="005743EA"/>
    <w:rsid w:val="00576F2E"/>
    <w:rsid w:val="00581210"/>
    <w:rsid w:val="005817D8"/>
    <w:rsid w:val="00581FC3"/>
    <w:rsid w:val="005832B2"/>
    <w:rsid w:val="005851F1"/>
    <w:rsid w:val="005910B4"/>
    <w:rsid w:val="00596A23"/>
    <w:rsid w:val="00597956"/>
    <w:rsid w:val="005A4AC3"/>
    <w:rsid w:val="005B0999"/>
    <w:rsid w:val="005B41FE"/>
    <w:rsid w:val="005B735D"/>
    <w:rsid w:val="005C06C4"/>
    <w:rsid w:val="005C4A71"/>
    <w:rsid w:val="005C609E"/>
    <w:rsid w:val="005C6F40"/>
    <w:rsid w:val="005D4119"/>
    <w:rsid w:val="005D66C2"/>
    <w:rsid w:val="005E2AC9"/>
    <w:rsid w:val="005E3867"/>
    <w:rsid w:val="005E4D67"/>
    <w:rsid w:val="005F037B"/>
    <w:rsid w:val="005F0D03"/>
    <w:rsid w:val="005F3D7C"/>
    <w:rsid w:val="005F46D9"/>
    <w:rsid w:val="006029E3"/>
    <w:rsid w:val="00602D7E"/>
    <w:rsid w:val="00603BD0"/>
    <w:rsid w:val="0060555D"/>
    <w:rsid w:val="00606161"/>
    <w:rsid w:val="006062B3"/>
    <w:rsid w:val="00612EB1"/>
    <w:rsid w:val="0061352C"/>
    <w:rsid w:val="00615469"/>
    <w:rsid w:val="006165C8"/>
    <w:rsid w:val="006175B4"/>
    <w:rsid w:val="00617AAD"/>
    <w:rsid w:val="00621CDC"/>
    <w:rsid w:val="006229B2"/>
    <w:rsid w:val="00625E3D"/>
    <w:rsid w:val="006268DF"/>
    <w:rsid w:val="00630B61"/>
    <w:rsid w:val="0063516F"/>
    <w:rsid w:val="006402A6"/>
    <w:rsid w:val="0064053E"/>
    <w:rsid w:val="00644379"/>
    <w:rsid w:val="00644B65"/>
    <w:rsid w:val="006530F8"/>
    <w:rsid w:val="006537BE"/>
    <w:rsid w:val="006654C0"/>
    <w:rsid w:val="00681997"/>
    <w:rsid w:val="0068405C"/>
    <w:rsid w:val="00686918"/>
    <w:rsid w:val="00691017"/>
    <w:rsid w:val="0069152C"/>
    <w:rsid w:val="006A29A5"/>
    <w:rsid w:val="006A2BD9"/>
    <w:rsid w:val="006A3C57"/>
    <w:rsid w:val="006A4F83"/>
    <w:rsid w:val="006A5072"/>
    <w:rsid w:val="006B5151"/>
    <w:rsid w:val="006C121E"/>
    <w:rsid w:val="006C2D84"/>
    <w:rsid w:val="006C2F7D"/>
    <w:rsid w:val="006C3580"/>
    <w:rsid w:val="006C3F4D"/>
    <w:rsid w:val="006C6349"/>
    <w:rsid w:val="006D2774"/>
    <w:rsid w:val="006D4184"/>
    <w:rsid w:val="006D479F"/>
    <w:rsid w:val="006E2E51"/>
    <w:rsid w:val="006F143D"/>
    <w:rsid w:val="006F2C29"/>
    <w:rsid w:val="006F5BAD"/>
    <w:rsid w:val="006F5C19"/>
    <w:rsid w:val="006F6DB2"/>
    <w:rsid w:val="00703944"/>
    <w:rsid w:val="00704B3A"/>
    <w:rsid w:val="00710CF8"/>
    <w:rsid w:val="00711E08"/>
    <w:rsid w:val="007138FD"/>
    <w:rsid w:val="00716BB1"/>
    <w:rsid w:val="007172FD"/>
    <w:rsid w:val="007200C8"/>
    <w:rsid w:val="007215F6"/>
    <w:rsid w:val="00721BAA"/>
    <w:rsid w:val="00741096"/>
    <w:rsid w:val="00745968"/>
    <w:rsid w:val="00747A3E"/>
    <w:rsid w:val="0075026F"/>
    <w:rsid w:val="00750D56"/>
    <w:rsid w:val="00753000"/>
    <w:rsid w:val="0076747B"/>
    <w:rsid w:val="007730C9"/>
    <w:rsid w:val="00775150"/>
    <w:rsid w:val="00776B48"/>
    <w:rsid w:val="0078099D"/>
    <w:rsid w:val="00787DE8"/>
    <w:rsid w:val="00791C5B"/>
    <w:rsid w:val="007942D8"/>
    <w:rsid w:val="00794983"/>
    <w:rsid w:val="00796B61"/>
    <w:rsid w:val="00796ED7"/>
    <w:rsid w:val="00797618"/>
    <w:rsid w:val="007A645C"/>
    <w:rsid w:val="007A7623"/>
    <w:rsid w:val="007A7740"/>
    <w:rsid w:val="007B4F1D"/>
    <w:rsid w:val="007C002A"/>
    <w:rsid w:val="007C024B"/>
    <w:rsid w:val="007D0C1C"/>
    <w:rsid w:val="007D408A"/>
    <w:rsid w:val="007D4A5A"/>
    <w:rsid w:val="007D60CA"/>
    <w:rsid w:val="007D6B20"/>
    <w:rsid w:val="007E0673"/>
    <w:rsid w:val="007E32FC"/>
    <w:rsid w:val="007F01A2"/>
    <w:rsid w:val="007F0378"/>
    <w:rsid w:val="007F2ABC"/>
    <w:rsid w:val="007F54E9"/>
    <w:rsid w:val="007F601B"/>
    <w:rsid w:val="007F729B"/>
    <w:rsid w:val="007F7CD2"/>
    <w:rsid w:val="007F7FEC"/>
    <w:rsid w:val="00800A84"/>
    <w:rsid w:val="00802D3A"/>
    <w:rsid w:val="008032A8"/>
    <w:rsid w:val="0081027D"/>
    <w:rsid w:val="00817B3D"/>
    <w:rsid w:val="008208EB"/>
    <w:rsid w:val="00822299"/>
    <w:rsid w:val="008231AA"/>
    <w:rsid w:val="008270D5"/>
    <w:rsid w:val="008279A7"/>
    <w:rsid w:val="0083030A"/>
    <w:rsid w:val="00831B7F"/>
    <w:rsid w:val="00831DDA"/>
    <w:rsid w:val="00835B11"/>
    <w:rsid w:val="008365FD"/>
    <w:rsid w:val="00843D04"/>
    <w:rsid w:val="008458BD"/>
    <w:rsid w:val="0085250F"/>
    <w:rsid w:val="008525D6"/>
    <w:rsid w:val="0085388E"/>
    <w:rsid w:val="00856F5E"/>
    <w:rsid w:val="008604D1"/>
    <w:rsid w:val="008606A0"/>
    <w:rsid w:val="008659E9"/>
    <w:rsid w:val="0087095D"/>
    <w:rsid w:val="00871835"/>
    <w:rsid w:val="00871F12"/>
    <w:rsid w:val="00875420"/>
    <w:rsid w:val="00876184"/>
    <w:rsid w:val="00876B8B"/>
    <w:rsid w:val="00880A50"/>
    <w:rsid w:val="0088233E"/>
    <w:rsid w:val="00884489"/>
    <w:rsid w:val="00884732"/>
    <w:rsid w:val="0089007C"/>
    <w:rsid w:val="008928AE"/>
    <w:rsid w:val="00893092"/>
    <w:rsid w:val="00894583"/>
    <w:rsid w:val="008A262B"/>
    <w:rsid w:val="008A4C9B"/>
    <w:rsid w:val="008B08C5"/>
    <w:rsid w:val="008B0C3E"/>
    <w:rsid w:val="008B6384"/>
    <w:rsid w:val="008B6557"/>
    <w:rsid w:val="008B74A7"/>
    <w:rsid w:val="008C02C2"/>
    <w:rsid w:val="008C1CB3"/>
    <w:rsid w:val="008C6816"/>
    <w:rsid w:val="008C7F21"/>
    <w:rsid w:val="008D0FC4"/>
    <w:rsid w:val="008D1795"/>
    <w:rsid w:val="008D357E"/>
    <w:rsid w:val="008D4357"/>
    <w:rsid w:val="008D565D"/>
    <w:rsid w:val="008D6357"/>
    <w:rsid w:val="008E55EE"/>
    <w:rsid w:val="008E5EA1"/>
    <w:rsid w:val="008E6AB7"/>
    <w:rsid w:val="008F13C0"/>
    <w:rsid w:val="008F38EE"/>
    <w:rsid w:val="008F4F84"/>
    <w:rsid w:val="009001CB"/>
    <w:rsid w:val="009004F6"/>
    <w:rsid w:val="0090412D"/>
    <w:rsid w:val="00905349"/>
    <w:rsid w:val="009077A0"/>
    <w:rsid w:val="009113DE"/>
    <w:rsid w:val="00913121"/>
    <w:rsid w:val="009171D5"/>
    <w:rsid w:val="00917709"/>
    <w:rsid w:val="00917C84"/>
    <w:rsid w:val="009220F2"/>
    <w:rsid w:val="009224FE"/>
    <w:rsid w:val="00922598"/>
    <w:rsid w:val="009227C1"/>
    <w:rsid w:val="00923EDB"/>
    <w:rsid w:val="00924A40"/>
    <w:rsid w:val="00925D9A"/>
    <w:rsid w:val="00926978"/>
    <w:rsid w:val="00932BD9"/>
    <w:rsid w:val="00937142"/>
    <w:rsid w:val="0094093B"/>
    <w:rsid w:val="00940C2D"/>
    <w:rsid w:val="0094670F"/>
    <w:rsid w:val="009479D0"/>
    <w:rsid w:val="00956CF8"/>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2D8"/>
    <w:rsid w:val="009C571F"/>
    <w:rsid w:val="009D0461"/>
    <w:rsid w:val="009D4188"/>
    <w:rsid w:val="009D4EFC"/>
    <w:rsid w:val="009D7FA3"/>
    <w:rsid w:val="009E216D"/>
    <w:rsid w:val="009E6283"/>
    <w:rsid w:val="009E63CA"/>
    <w:rsid w:val="009F34CB"/>
    <w:rsid w:val="009F46E2"/>
    <w:rsid w:val="009F723F"/>
    <w:rsid w:val="009F7460"/>
    <w:rsid w:val="00A00D85"/>
    <w:rsid w:val="00A03E44"/>
    <w:rsid w:val="00A06E14"/>
    <w:rsid w:val="00A075A8"/>
    <w:rsid w:val="00A10A7B"/>
    <w:rsid w:val="00A15F6A"/>
    <w:rsid w:val="00A311C2"/>
    <w:rsid w:val="00A32233"/>
    <w:rsid w:val="00A35253"/>
    <w:rsid w:val="00A36A24"/>
    <w:rsid w:val="00A376FB"/>
    <w:rsid w:val="00A45306"/>
    <w:rsid w:val="00A45D73"/>
    <w:rsid w:val="00A60E4D"/>
    <w:rsid w:val="00A61E4B"/>
    <w:rsid w:val="00A62F8C"/>
    <w:rsid w:val="00A64725"/>
    <w:rsid w:val="00A64D95"/>
    <w:rsid w:val="00A6666A"/>
    <w:rsid w:val="00A6683C"/>
    <w:rsid w:val="00A73490"/>
    <w:rsid w:val="00A758AC"/>
    <w:rsid w:val="00A77C2A"/>
    <w:rsid w:val="00A819B6"/>
    <w:rsid w:val="00A81F80"/>
    <w:rsid w:val="00A83D2D"/>
    <w:rsid w:val="00A91C8B"/>
    <w:rsid w:val="00A940A7"/>
    <w:rsid w:val="00A95824"/>
    <w:rsid w:val="00AA0F03"/>
    <w:rsid w:val="00AB2EDC"/>
    <w:rsid w:val="00AB364A"/>
    <w:rsid w:val="00AB47F4"/>
    <w:rsid w:val="00AC136E"/>
    <w:rsid w:val="00AC1F6A"/>
    <w:rsid w:val="00AC413D"/>
    <w:rsid w:val="00AD3A9D"/>
    <w:rsid w:val="00AD79D3"/>
    <w:rsid w:val="00AE213D"/>
    <w:rsid w:val="00AE5434"/>
    <w:rsid w:val="00AE563F"/>
    <w:rsid w:val="00AE6DBF"/>
    <w:rsid w:val="00AE75DB"/>
    <w:rsid w:val="00AF0B1D"/>
    <w:rsid w:val="00B0092D"/>
    <w:rsid w:val="00B01C60"/>
    <w:rsid w:val="00B01D22"/>
    <w:rsid w:val="00B03A00"/>
    <w:rsid w:val="00B0445D"/>
    <w:rsid w:val="00B0447C"/>
    <w:rsid w:val="00B05E53"/>
    <w:rsid w:val="00B072AA"/>
    <w:rsid w:val="00B10650"/>
    <w:rsid w:val="00B10E08"/>
    <w:rsid w:val="00B11436"/>
    <w:rsid w:val="00B12341"/>
    <w:rsid w:val="00B12364"/>
    <w:rsid w:val="00B21913"/>
    <w:rsid w:val="00B23596"/>
    <w:rsid w:val="00B25D19"/>
    <w:rsid w:val="00B359D9"/>
    <w:rsid w:val="00B35BC7"/>
    <w:rsid w:val="00B35D7D"/>
    <w:rsid w:val="00B40B8B"/>
    <w:rsid w:val="00B420E5"/>
    <w:rsid w:val="00B4404D"/>
    <w:rsid w:val="00B50993"/>
    <w:rsid w:val="00B56D1C"/>
    <w:rsid w:val="00B6290D"/>
    <w:rsid w:val="00B63168"/>
    <w:rsid w:val="00B63E9B"/>
    <w:rsid w:val="00B64963"/>
    <w:rsid w:val="00B70085"/>
    <w:rsid w:val="00B7099F"/>
    <w:rsid w:val="00B71873"/>
    <w:rsid w:val="00B72A5D"/>
    <w:rsid w:val="00B736B7"/>
    <w:rsid w:val="00B737F7"/>
    <w:rsid w:val="00B73C45"/>
    <w:rsid w:val="00B74736"/>
    <w:rsid w:val="00B82E01"/>
    <w:rsid w:val="00B84DD7"/>
    <w:rsid w:val="00B91811"/>
    <w:rsid w:val="00B94460"/>
    <w:rsid w:val="00B9561A"/>
    <w:rsid w:val="00B96BA4"/>
    <w:rsid w:val="00BA437F"/>
    <w:rsid w:val="00BA5C29"/>
    <w:rsid w:val="00BB1586"/>
    <w:rsid w:val="00BB65D9"/>
    <w:rsid w:val="00BB6C9A"/>
    <w:rsid w:val="00BB72F2"/>
    <w:rsid w:val="00BC0594"/>
    <w:rsid w:val="00BC11FC"/>
    <w:rsid w:val="00BC1F54"/>
    <w:rsid w:val="00BC285E"/>
    <w:rsid w:val="00BC4C9D"/>
    <w:rsid w:val="00BC54FC"/>
    <w:rsid w:val="00BD2118"/>
    <w:rsid w:val="00BD2372"/>
    <w:rsid w:val="00BD5092"/>
    <w:rsid w:val="00BD5997"/>
    <w:rsid w:val="00BD5E6F"/>
    <w:rsid w:val="00BD6C68"/>
    <w:rsid w:val="00BE6F50"/>
    <w:rsid w:val="00BF1B29"/>
    <w:rsid w:val="00BF1BA3"/>
    <w:rsid w:val="00BF1C16"/>
    <w:rsid w:val="00BF4C33"/>
    <w:rsid w:val="00BF588D"/>
    <w:rsid w:val="00BF6330"/>
    <w:rsid w:val="00C00B76"/>
    <w:rsid w:val="00C03447"/>
    <w:rsid w:val="00C058F1"/>
    <w:rsid w:val="00C07EF5"/>
    <w:rsid w:val="00C10CF7"/>
    <w:rsid w:val="00C128FE"/>
    <w:rsid w:val="00C13304"/>
    <w:rsid w:val="00C1777A"/>
    <w:rsid w:val="00C212E3"/>
    <w:rsid w:val="00C220AC"/>
    <w:rsid w:val="00C22449"/>
    <w:rsid w:val="00C22FAE"/>
    <w:rsid w:val="00C24C44"/>
    <w:rsid w:val="00C26B0C"/>
    <w:rsid w:val="00C300AC"/>
    <w:rsid w:val="00C30F18"/>
    <w:rsid w:val="00C331D1"/>
    <w:rsid w:val="00C34AA7"/>
    <w:rsid w:val="00C35958"/>
    <w:rsid w:val="00C372A8"/>
    <w:rsid w:val="00C375FF"/>
    <w:rsid w:val="00C40848"/>
    <w:rsid w:val="00C50E47"/>
    <w:rsid w:val="00C55272"/>
    <w:rsid w:val="00C562AA"/>
    <w:rsid w:val="00C574F4"/>
    <w:rsid w:val="00C747C6"/>
    <w:rsid w:val="00C756C3"/>
    <w:rsid w:val="00C80F66"/>
    <w:rsid w:val="00C831F6"/>
    <w:rsid w:val="00C84AE8"/>
    <w:rsid w:val="00C853C4"/>
    <w:rsid w:val="00C85D1B"/>
    <w:rsid w:val="00C95A4B"/>
    <w:rsid w:val="00C96DDA"/>
    <w:rsid w:val="00CA70F1"/>
    <w:rsid w:val="00CA7F1F"/>
    <w:rsid w:val="00CB4DCA"/>
    <w:rsid w:val="00CB5D3E"/>
    <w:rsid w:val="00CC4C46"/>
    <w:rsid w:val="00CC6AAB"/>
    <w:rsid w:val="00CC6EAD"/>
    <w:rsid w:val="00CC77FF"/>
    <w:rsid w:val="00CC7AD7"/>
    <w:rsid w:val="00CC7CF5"/>
    <w:rsid w:val="00CE3345"/>
    <w:rsid w:val="00CE3C5A"/>
    <w:rsid w:val="00CE4C6B"/>
    <w:rsid w:val="00CE59C6"/>
    <w:rsid w:val="00CE7586"/>
    <w:rsid w:val="00D03659"/>
    <w:rsid w:val="00D03EDF"/>
    <w:rsid w:val="00D10DC0"/>
    <w:rsid w:val="00D11555"/>
    <w:rsid w:val="00D1270A"/>
    <w:rsid w:val="00D13D6D"/>
    <w:rsid w:val="00D20C74"/>
    <w:rsid w:val="00D22BAA"/>
    <w:rsid w:val="00D24FD7"/>
    <w:rsid w:val="00D25647"/>
    <w:rsid w:val="00D25696"/>
    <w:rsid w:val="00D34852"/>
    <w:rsid w:val="00D34FE4"/>
    <w:rsid w:val="00D377A7"/>
    <w:rsid w:val="00D40749"/>
    <w:rsid w:val="00D43A29"/>
    <w:rsid w:val="00D44C95"/>
    <w:rsid w:val="00D452A7"/>
    <w:rsid w:val="00D4584F"/>
    <w:rsid w:val="00D52A89"/>
    <w:rsid w:val="00D54725"/>
    <w:rsid w:val="00D559FF"/>
    <w:rsid w:val="00D61436"/>
    <w:rsid w:val="00D62B8C"/>
    <w:rsid w:val="00D63276"/>
    <w:rsid w:val="00D66F39"/>
    <w:rsid w:val="00D706E8"/>
    <w:rsid w:val="00D72607"/>
    <w:rsid w:val="00D743B5"/>
    <w:rsid w:val="00D77733"/>
    <w:rsid w:val="00D84B36"/>
    <w:rsid w:val="00D85853"/>
    <w:rsid w:val="00D864D9"/>
    <w:rsid w:val="00D936A0"/>
    <w:rsid w:val="00D97162"/>
    <w:rsid w:val="00D97CE9"/>
    <w:rsid w:val="00DA36E7"/>
    <w:rsid w:val="00DA4FC7"/>
    <w:rsid w:val="00DA550D"/>
    <w:rsid w:val="00DA7017"/>
    <w:rsid w:val="00DA74AB"/>
    <w:rsid w:val="00DB13DD"/>
    <w:rsid w:val="00DB1B31"/>
    <w:rsid w:val="00DB1C27"/>
    <w:rsid w:val="00DB38EE"/>
    <w:rsid w:val="00DB7509"/>
    <w:rsid w:val="00DB7973"/>
    <w:rsid w:val="00DC13AB"/>
    <w:rsid w:val="00DC5EF2"/>
    <w:rsid w:val="00DC7EF7"/>
    <w:rsid w:val="00DD6B5E"/>
    <w:rsid w:val="00DD6BD4"/>
    <w:rsid w:val="00DE4C77"/>
    <w:rsid w:val="00DE5E58"/>
    <w:rsid w:val="00DE7B46"/>
    <w:rsid w:val="00DF4EE1"/>
    <w:rsid w:val="00E0162C"/>
    <w:rsid w:val="00E03889"/>
    <w:rsid w:val="00E11487"/>
    <w:rsid w:val="00E14ACC"/>
    <w:rsid w:val="00E15A8C"/>
    <w:rsid w:val="00E23DAC"/>
    <w:rsid w:val="00E319C2"/>
    <w:rsid w:val="00E4144C"/>
    <w:rsid w:val="00E43246"/>
    <w:rsid w:val="00E43E90"/>
    <w:rsid w:val="00E44F84"/>
    <w:rsid w:val="00E45536"/>
    <w:rsid w:val="00E463C6"/>
    <w:rsid w:val="00E47A59"/>
    <w:rsid w:val="00E47DF5"/>
    <w:rsid w:val="00E53121"/>
    <w:rsid w:val="00E5318E"/>
    <w:rsid w:val="00E53532"/>
    <w:rsid w:val="00E54283"/>
    <w:rsid w:val="00E6034D"/>
    <w:rsid w:val="00E669BB"/>
    <w:rsid w:val="00E71967"/>
    <w:rsid w:val="00E73424"/>
    <w:rsid w:val="00E754B1"/>
    <w:rsid w:val="00E801B5"/>
    <w:rsid w:val="00E81945"/>
    <w:rsid w:val="00E87C40"/>
    <w:rsid w:val="00E905E8"/>
    <w:rsid w:val="00E93F56"/>
    <w:rsid w:val="00E94317"/>
    <w:rsid w:val="00E952D9"/>
    <w:rsid w:val="00E96773"/>
    <w:rsid w:val="00E97CB9"/>
    <w:rsid w:val="00EA3158"/>
    <w:rsid w:val="00EB27E9"/>
    <w:rsid w:val="00EB37C9"/>
    <w:rsid w:val="00EB6A3B"/>
    <w:rsid w:val="00EC0625"/>
    <w:rsid w:val="00EC134E"/>
    <w:rsid w:val="00EC753D"/>
    <w:rsid w:val="00EC77FE"/>
    <w:rsid w:val="00ED0445"/>
    <w:rsid w:val="00ED3C3B"/>
    <w:rsid w:val="00ED6AA2"/>
    <w:rsid w:val="00EE2501"/>
    <w:rsid w:val="00EE48C3"/>
    <w:rsid w:val="00EF199D"/>
    <w:rsid w:val="00EF4E12"/>
    <w:rsid w:val="00EF5326"/>
    <w:rsid w:val="00EF65F3"/>
    <w:rsid w:val="00F00016"/>
    <w:rsid w:val="00F01510"/>
    <w:rsid w:val="00F02A6D"/>
    <w:rsid w:val="00F0424C"/>
    <w:rsid w:val="00F10495"/>
    <w:rsid w:val="00F10DA8"/>
    <w:rsid w:val="00F1168A"/>
    <w:rsid w:val="00F12A10"/>
    <w:rsid w:val="00F1654E"/>
    <w:rsid w:val="00F17724"/>
    <w:rsid w:val="00F2391C"/>
    <w:rsid w:val="00F2693F"/>
    <w:rsid w:val="00F27CD4"/>
    <w:rsid w:val="00F30E65"/>
    <w:rsid w:val="00F31E30"/>
    <w:rsid w:val="00F3326F"/>
    <w:rsid w:val="00F34781"/>
    <w:rsid w:val="00F3789B"/>
    <w:rsid w:val="00F4095E"/>
    <w:rsid w:val="00F41A5D"/>
    <w:rsid w:val="00F44F67"/>
    <w:rsid w:val="00F45F92"/>
    <w:rsid w:val="00F470A2"/>
    <w:rsid w:val="00F50CDF"/>
    <w:rsid w:val="00F51F93"/>
    <w:rsid w:val="00F552E5"/>
    <w:rsid w:val="00F56AA8"/>
    <w:rsid w:val="00F6159C"/>
    <w:rsid w:val="00F632C2"/>
    <w:rsid w:val="00F67C91"/>
    <w:rsid w:val="00F723F9"/>
    <w:rsid w:val="00F74267"/>
    <w:rsid w:val="00F811E8"/>
    <w:rsid w:val="00F82315"/>
    <w:rsid w:val="00F83D3C"/>
    <w:rsid w:val="00F840D6"/>
    <w:rsid w:val="00F8691C"/>
    <w:rsid w:val="00F900BE"/>
    <w:rsid w:val="00F97392"/>
    <w:rsid w:val="00F97DF6"/>
    <w:rsid w:val="00FA4EEC"/>
    <w:rsid w:val="00FB335B"/>
    <w:rsid w:val="00FB46DF"/>
    <w:rsid w:val="00FB4EAA"/>
    <w:rsid w:val="00FC5512"/>
    <w:rsid w:val="00FC5708"/>
    <w:rsid w:val="00FC6366"/>
    <w:rsid w:val="00FD0CD9"/>
    <w:rsid w:val="00FD4970"/>
    <w:rsid w:val="00FD6927"/>
    <w:rsid w:val="00FE02D9"/>
    <w:rsid w:val="00FE14F9"/>
    <w:rsid w:val="00FE1737"/>
    <w:rsid w:val="00FF2EFF"/>
    <w:rsid w:val="00FF4843"/>
    <w:rsid w:val="00FF5EEA"/>
    <w:rsid w:val="011E5EF4"/>
    <w:rsid w:val="012375FA"/>
    <w:rsid w:val="0147153B"/>
    <w:rsid w:val="01830099"/>
    <w:rsid w:val="01A52705"/>
    <w:rsid w:val="01C41A2E"/>
    <w:rsid w:val="01C761D7"/>
    <w:rsid w:val="01C9459E"/>
    <w:rsid w:val="01CA5CC8"/>
    <w:rsid w:val="01CC7C92"/>
    <w:rsid w:val="02502671"/>
    <w:rsid w:val="025263E9"/>
    <w:rsid w:val="025B2DC4"/>
    <w:rsid w:val="026954E1"/>
    <w:rsid w:val="0286044B"/>
    <w:rsid w:val="02924A37"/>
    <w:rsid w:val="02B971AA"/>
    <w:rsid w:val="02C10E79"/>
    <w:rsid w:val="02F23728"/>
    <w:rsid w:val="02F254D6"/>
    <w:rsid w:val="02FE5AC7"/>
    <w:rsid w:val="031B0D0D"/>
    <w:rsid w:val="03337F28"/>
    <w:rsid w:val="034018FF"/>
    <w:rsid w:val="03433F84"/>
    <w:rsid w:val="0348044B"/>
    <w:rsid w:val="037C7496"/>
    <w:rsid w:val="039C3694"/>
    <w:rsid w:val="03C230FA"/>
    <w:rsid w:val="03E47DF5"/>
    <w:rsid w:val="04174641"/>
    <w:rsid w:val="04640655"/>
    <w:rsid w:val="04642403"/>
    <w:rsid w:val="046B5540"/>
    <w:rsid w:val="047563BF"/>
    <w:rsid w:val="04D56E5D"/>
    <w:rsid w:val="04DA0918"/>
    <w:rsid w:val="0508107A"/>
    <w:rsid w:val="05092FAB"/>
    <w:rsid w:val="050A6C0A"/>
    <w:rsid w:val="0520214C"/>
    <w:rsid w:val="054F3FFA"/>
    <w:rsid w:val="05504DFF"/>
    <w:rsid w:val="05604585"/>
    <w:rsid w:val="05622E1E"/>
    <w:rsid w:val="058F7720"/>
    <w:rsid w:val="05962A91"/>
    <w:rsid w:val="05A827C4"/>
    <w:rsid w:val="05BD25E1"/>
    <w:rsid w:val="05D830A9"/>
    <w:rsid w:val="05E51322"/>
    <w:rsid w:val="05EA4B8A"/>
    <w:rsid w:val="06023C82"/>
    <w:rsid w:val="061C448A"/>
    <w:rsid w:val="062A4F87"/>
    <w:rsid w:val="0633208D"/>
    <w:rsid w:val="06447858"/>
    <w:rsid w:val="064E6EC7"/>
    <w:rsid w:val="066A1342"/>
    <w:rsid w:val="068E3E81"/>
    <w:rsid w:val="0692380A"/>
    <w:rsid w:val="0696086E"/>
    <w:rsid w:val="06A44D39"/>
    <w:rsid w:val="06A75D00"/>
    <w:rsid w:val="06CB0518"/>
    <w:rsid w:val="06F37A6F"/>
    <w:rsid w:val="070659F4"/>
    <w:rsid w:val="070B300A"/>
    <w:rsid w:val="07743731"/>
    <w:rsid w:val="07AC659B"/>
    <w:rsid w:val="07D4164E"/>
    <w:rsid w:val="07E5385B"/>
    <w:rsid w:val="07F053D2"/>
    <w:rsid w:val="080C68B0"/>
    <w:rsid w:val="08471E20"/>
    <w:rsid w:val="08512C9F"/>
    <w:rsid w:val="086521EE"/>
    <w:rsid w:val="08986B70"/>
    <w:rsid w:val="08B17BE1"/>
    <w:rsid w:val="08B36FB2"/>
    <w:rsid w:val="08C2594B"/>
    <w:rsid w:val="08C96CD9"/>
    <w:rsid w:val="08E8638F"/>
    <w:rsid w:val="09216B15"/>
    <w:rsid w:val="0937428C"/>
    <w:rsid w:val="09664910"/>
    <w:rsid w:val="09842AFC"/>
    <w:rsid w:val="09842C00"/>
    <w:rsid w:val="09D16488"/>
    <w:rsid w:val="09D9119E"/>
    <w:rsid w:val="0A2A19F9"/>
    <w:rsid w:val="0A9B46A5"/>
    <w:rsid w:val="0AA318DA"/>
    <w:rsid w:val="0AB37C41"/>
    <w:rsid w:val="0ABA2D7D"/>
    <w:rsid w:val="0ABD0ABF"/>
    <w:rsid w:val="0B0D3C0C"/>
    <w:rsid w:val="0B1D7DF8"/>
    <w:rsid w:val="0B246449"/>
    <w:rsid w:val="0B350656"/>
    <w:rsid w:val="0B390DA7"/>
    <w:rsid w:val="0B4E5BBB"/>
    <w:rsid w:val="0B603938"/>
    <w:rsid w:val="0B6C372D"/>
    <w:rsid w:val="0B8415DD"/>
    <w:rsid w:val="0B860EB1"/>
    <w:rsid w:val="0B867103"/>
    <w:rsid w:val="0BAA089B"/>
    <w:rsid w:val="0BB82DEE"/>
    <w:rsid w:val="0BD95485"/>
    <w:rsid w:val="0BF4406D"/>
    <w:rsid w:val="0C0A3890"/>
    <w:rsid w:val="0C186EB8"/>
    <w:rsid w:val="0C3A6343"/>
    <w:rsid w:val="0C4C20FB"/>
    <w:rsid w:val="0C777886"/>
    <w:rsid w:val="0C871385"/>
    <w:rsid w:val="0C967A01"/>
    <w:rsid w:val="0CCC6D98"/>
    <w:rsid w:val="0CE02843"/>
    <w:rsid w:val="0CF103CF"/>
    <w:rsid w:val="0CF54541"/>
    <w:rsid w:val="0D1D5845"/>
    <w:rsid w:val="0D347B34"/>
    <w:rsid w:val="0D51729D"/>
    <w:rsid w:val="0D571583"/>
    <w:rsid w:val="0D646FD0"/>
    <w:rsid w:val="0D662285"/>
    <w:rsid w:val="0D6E7E4F"/>
    <w:rsid w:val="0D7C07BE"/>
    <w:rsid w:val="0D8458C4"/>
    <w:rsid w:val="0DAD0977"/>
    <w:rsid w:val="0DC40E67"/>
    <w:rsid w:val="0DE40111"/>
    <w:rsid w:val="0DF742E8"/>
    <w:rsid w:val="0E464928"/>
    <w:rsid w:val="0E4768C0"/>
    <w:rsid w:val="0E652289"/>
    <w:rsid w:val="0E7C35A5"/>
    <w:rsid w:val="0E83792A"/>
    <w:rsid w:val="0EA613E8"/>
    <w:rsid w:val="0EB977F0"/>
    <w:rsid w:val="0EBB70C4"/>
    <w:rsid w:val="0EE8119B"/>
    <w:rsid w:val="0F1B7B63"/>
    <w:rsid w:val="0F241091"/>
    <w:rsid w:val="0F2C7FC2"/>
    <w:rsid w:val="0F59068B"/>
    <w:rsid w:val="0F8A6A96"/>
    <w:rsid w:val="0FB16AF8"/>
    <w:rsid w:val="0FB57FB7"/>
    <w:rsid w:val="0FF56606"/>
    <w:rsid w:val="10022AD1"/>
    <w:rsid w:val="10060813"/>
    <w:rsid w:val="101C3B95"/>
    <w:rsid w:val="10294501"/>
    <w:rsid w:val="103F7BD5"/>
    <w:rsid w:val="104135F9"/>
    <w:rsid w:val="10466E61"/>
    <w:rsid w:val="10A5002C"/>
    <w:rsid w:val="10A818CA"/>
    <w:rsid w:val="10B62239"/>
    <w:rsid w:val="10CC1721"/>
    <w:rsid w:val="10E723F2"/>
    <w:rsid w:val="10F84C2A"/>
    <w:rsid w:val="113B273E"/>
    <w:rsid w:val="11410E42"/>
    <w:rsid w:val="116972AB"/>
    <w:rsid w:val="11972DA3"/>
    <w:rsid w:val="11A227BD"/>
    <w:rsid w:val="11B7573D"/>
    <w:rsid w:val="121511E1"/>
    <w:rsid w:val="122C6333"/>
    <w:rsid w:val="12307DC9"/>
    <w:rsid w:val="123478B9"/>
    <w:rsid w:val="123E24E6"/>
    <w:rsid w:val="124A668F"/>
    <w:rsid w:val="12535865"/>
    <w:rsid w:val="125507CB"/>
    <w:rsid w:val="125E4936"/>
    <w:rsid w:val="125F420A"/>
    <w:rsid w:val="12607EFE"/>
    <w:rsid w:val="12BE7183"/>
    <w:rsid w:val="130324BB"/>
    <w:rsid w:val="130F4A87"/>
    <w:rsid w:val="131357EC"/>
    <w:rsid w:val="134D0507"/>
    <w:rsid w:val="13525B1D"/>
    <w:rsid w:val="13A1751C"/>
    <w:rsid w:val="13D11D8B"/>
    <w:rsid w:val="13FD3CDB"/>
    <w:rsid w:val="14066A43"/>
    <w:rsid w:val="14076907"/>
    <w:rsid w:val="142179C9"/>
    <w:rsid w:val="146C515C"/>
    <w:rsid w:val="14771CDF"/>
    <w:rsid w:val="1487316F"/>
    <w:rsid w:val="149E54BE"/>
    <w:rsid w:val="14B051F1"/>
    <w:rsid w:val="14C44CA4"/>
    <w:rsid w:val="14D05D3A"/>
    <w:rsid w:val="14D709D0"/>
    <w:rsid w:val="14DE617B"/>
    <w:rsid w:val="154A2F50"/>
    <w:rsid w:val="1574621E"/>
    <w:rsid w:val="15D05B4B"/>
    <w:rsid w:val="15E40D35"/>
    <w:rsid w:val="163C4DDE"/>
    <w:rsid w:val="16680BED"/>
    <w:rsid w:val="167A7865"/>
    <w:rsid w:val="168D1FCC"/>
    <w:rsid w:val="16946B78"/>
    <w:rsid w:val="16BD3659"/>
    <w:rsid w:val="16CD7FBB"/>
    <w:rsid w:val="16E007DB"/>
    <w:rsid w:val="16E11692"/>
    <w:rsid w:val="16F374A1"/>
    <w:rsid w:val="172E7A8E"/>
    <w:rsid w:val="175207E1"/>
    <w:rsid w:val="17567D16"/>
    <w:rsid w:val="176C3651"/>
    <w:rsid w:val="17736C24"/>
    <w:rsid w:val="17795D6E"/>
    <w:rsid w:val="17A4103D"/>
    <w:rsid w:val="1808436B"/>
    <w:rsid w:val="18090EA0"/>
    <w:rsid w:val="182B1827"/>
    <w:rsid w:val="184C32B6"/>
    <w:rsid w:val="187B2F6F"/>
    <w:rsid w:val="187C5B16"/>
    <w:rsid w:val="18B20B64"/>
    <w:rsid w:val="18BF3C55"/>
    <w:rsid w:val="18FD7E22"/>
    <w:rsid w:val="18FF04F5"/>
    <w:rsid w:val="1921046B"/>
    <w:rsid w:val="194D1260"/>
    <w:rsid w:val="195425EF"/>
    <w:rsid w:val="19696EB0"/>
    <w:rsid w:val="197113F3"/>
    <w:rsid w:val="198729C4"/>
    <w:rsid w:val="198A74C4"/>
    <w:rsid w:val="19AA220F"/>
    <w:rsid w:val="1A0F2D2B"/>
    <w:rsid w:val="1A1510BD"/>
    <w:rsid w:val="1A3F6DFB"/>
    <w:rsid w:val="1AC45552"/>
    <w:rsid w:val="1AC94917"/>
    <w:rsid w:val="1AE36CE9"/>
    <w:rsid w:val="1AFE6CB6"/>
    <w:rsid w:val="1B0940FF"/>
    <w:rsid w:val="1B140288"/>
    <w:rsid w:val="1B214753"/>
    <w:rsid w:val="1B244243"/>
    <w:rsid w:val="1B2524C0"/>
    <w:rsid w:val="1B5F527B"/>
    <w:rsid w:val="1B693D45"/>
    <w:rsid w:val="1B8F3934"/>
    <w:rsid w:val="1BBE2F3B"/>
    <w:rsid w:val="1BCF0653"/>
    <w:rsid w:val="1BE10B8D"/>
    <w:rsid w:val="1BF6798D"/>
    <w:rsid w:val="1C0E68BF"/>
    <w:rsid w:val="1C1135E5"/>
    <w:rsid w:val="1C224C26"/>
    <w:rsid w:val="1C2362A8"/>
    <w:rsid w:val="1C6C7C4F"/>
    <w:rsid w:val="1C6F14EE"/>
    <w:rsid w:val="1CBD04AB"/>
    <w:rsid w:val="1D173410"/>
    <w:rsid w:val="1D24677C"/>
    <w:rsid w:val="1D352737"/>
    <w:rsid w:val="1D3725B5"/>
    <w:rsid w:val="1D440BCC"/>
    <w:rsid w:val="1D46123E"/>
    <w:rsid w:val="1D507571"/>
    <w:rsid w:val="1D525238"/>
    <w:rsid w:val="1D646B79"/>
    <w:rsid w:val="1D7E5E8C"/>
    <w:rsid w:val="1DA619A9"/>
    <w:rsid w:val="1DAD5595"/>
    <w:rsid w:val="1DB35AE0"/>
    <w:rsid w:val="1DD737EE"/>
    <w:rsid w:val="1DE33F41"/>
    <w:rsid w:val="1DE64680"/>
    <w:rsid w:val="1DF24184"/>
    <w:rsid w:val="1DF93765"/>
    <w:rsid w:val="1E0D5462"/>
    <w:rsid w:val="1E2471AC"/>
    <w:rsid w:val="1E327080"/>
    <w:rsid w:val="1E4D6F06"/>
    <w:rsid w:val="1E5B61CE"/>
    <w:rsid w:val="1E616D7F"/>
    <w:rsid w:val="1E780B2E"/>
    <w:rsid w:val="1E7841C0"/>
    <w:rsid w:val="1EA2520C"/>
    <w:rsid w:val="1EB13D07"/>
    <w:rsid w:val="1EBB6C6C"/>
    <w:rsid w:val="1EC91389"/>
    <w:rsid w:val="1ECC2C27"/>
    <w:rsid w:val="1EE267D0"/>
    <w:rsid w:val="1EEE7042"/>
    <w:rsid w:val="1F176598"/>
    <w:rsid w:val="1F2729AA"/>
    <w:rsid w:val="1F6E3CDF"/>
    <w:rsid w:val="1F7F413E"/>
    <w:rsid w:val="1F8D1E7C"/>
    <w:rsid w:val="1F9E30C0"/>
    <w:rsid w:val="1FB562B1"/>
    <w:rsid w:val="20124E89"/>
    <w:rsid w:val="20133D98"/>
    <w:rsid w:val="203B4241"/>
    <w:rsid w:val="203E7B55"/>
    <w:rsid w:val="20476A09"/>
    <w:rsid w:val="20564E9E"/>
    <w:rsid w:val="207A1985"/>
    <w:rsid w:val="20A253E4"/>
    <w:rsid w:val="20C22534"/>
    <w:rsid w:val="20C44259"/>
    <w:rsid w:val="20CE56C6"/>
    <w:rsid w:val="20D41538"/>
    <w:rsid w:val="20DE7155"/>
    <w:rsid w:val="20EE157B"/>
    <w:rsid w:val="21020B82"/>
    <w:rsid w:val="21244F9D"/>
    <w:rsid w:val="212925B3"/>
    <w:rsid w:val="21463165"/>
    <w:rsid w:val="214B1912"/>
    <w:rsid w:val="21645399"/>
    <w:rsid w:val="217429A0"/>
    <w:rsid w:val="217D645B"/>
    <w:rsid w:val="21B82E88"/>
    <w:rsid w:val="21D73DBD"/>
    <w:rsid w:val="21E32762"/>
    <w:rsid w:val="21FC3824"/>
    <w:rsid w:val="22196184"/>
    <w:rsid w:val="221C5C74"/>
    <w:rsid w:val="22457E9D"/>
    <w:rsid w:val="2259726A"/>
    <w:rsid w:val="22806D61"/>
    <w:rsid w:val="229879F0"/>
    <w:rsid w:val="22AA72EE"/>
    <w:rsid w:val="22C34341"/>
    <w:rsid w:val="22C7186B"/>
    <w:rsid w:val="22E20C6B"/>
    <w:rsid w:val="22F917D2"/>
    <w:rsid w:val="22F929D5"/>
    <w:rsid w:val="22FC6C74"/>
    <w:rsid w:val="2302130E"/>
    <w:rsid w:val="23152DEF"/>
    <w:rsid w:val="23863CED"/>
    <w:rsid w:val="23A81EB5"/>
    <w:rsid w:val="24015121"/>
    <w:rsid w:val="24194B61"/>
    <w:rsid w:val="24397395"/>
    <w:rsid w:val="246C23B0"/>
    <w:rsid w:val="24724271"/>
    <w:rsid w:val="24E21615"/>
    <w:rsid w:val="24F44C86"/>
    <w:rsid w:val="24F45147"/>
    <w:rsid w:val="253820CF"/>
    <w:rsid w:val="25A75BD9"/>
    <w:rsid w:val="25D52D09"/>
    <w:rsid w:val="25D71ADD"/>
    <w:rsid w:val="25DC0BEB"/>
    <w:rsid w:val="263E7AEB"/>
    <w:rsid w:val="264627A8"/>
    <w:rsid w:val="264F6F26"/>
    <w:rsid w:val="26681488"/>
    <w:rsid w:val="266D2F42"/>
    <w:rsid w:val="26C93389"/>
    <w:rsid w:val="26E52AD8"/>
    <w:rsid w:val="26F1147D"/>
    <w:rsid w:val="26F40F6D"/>
    <w:rsid w:val="270547F6"/>
    <w:rsid w:val="271D64CE"/>
    <w:rsid w:val="27257379"/>
    <w:rsid w:val="272B0047"/>
    <w:rsid w:val="27982240"/>
    <w:rsid w:val="27A6495D"/>
    <w:rsid w:val="27E86D24"/>
    <w:rsid w:val="280276BA"/>
    <w:rsid w:val="280671AA"/>
    <w:rsid w:val="282919A3"/>
    <w:rsid w:val="28300FC6"/>
    <w:rsid w:val="28553C8E"/>
    <w:rsid w:val="286E02B3"/>
    <w:rsid w:val="288A18A7"/>
    <w:rsid w:val="28A21B15"/>
    <w:rsid w:val="28CC2C2D"/>
    <w:rsid w:val="28CD2983"/>
    <w:rsid w:val="28CD7B64"/>
    <w:rsid w:val="28DA73F5"/>
    <w:rsid w:val="28DC7F0B"/>
    <w:rsid w:val="28E44026"/>
    <w:rsid w:val="292A6C56"/>
    <w:rsid w:val="29724362"/>
    <w:rsid w:val="2A0C1AD3"/>
    <w:rsid w:val="2A1046A7"/>
    <w:rsid w:val="2A134589"/>
    <w:rsid w:val="2A355C75"/>
    <w:rsid w:val="2A385615"/>
    <w:rsid w:val="2A7826B4"/>
    <w:rsid w:val="2AC25F2A"/>
    <w:rsid w:val="2ADB3ED9"/>
    <w:rsid w:val="2AE5579D"/>
    <w:rsid w:val="2B591CE7"/>
    <w:rsid w:val="2BA61A79"/>
    <w:rsid w:val="2BB62C95"/>
    <w:rsid w:val="2BEC0EE2"/>
    <w:rsid w:val="2BEC2B5B"/>
    <w:rsid w:val="2C26606D"/>
    <w:rsid w:val="2C432E7E"/>
    <w:rsid w:val="2C4464F3"/>
    <w:rsid w:val="2C6F395B"/>
    <w:rsid w:val="2C85114F"/>
    <w:rsid w:val="2C8873E9"/>
    <w:rsid w:val="2C8E6106"/>
    <w:rsid w:val="2CA60F5C"/>
    <w:rsid w:val="2CCA3D2D"/>
    <w:rsid w:val="2CFC2BFE"/>
    <w:rsid w:val="2D090F86"/>
    <w:rsid w:val="2D096B2B"/>
    <w:rsid w:val="2D2A09B7"/>
    <w:rsid w:val="2D2B41B6"/>
    <w:rsid w:val="2D460049"/>
    <w:rsid w:val="2D4A5D8B"/>
    <w:rsid w:val="2D5E4CD1"/>
    <w:rsid w:val="2D771923"/>
    <w:rsid w:val="2D7B1693"/>
    <w:rsid w:val="2D8572C2"/>
    <w:rsid w:val="2D86229E"/>
    <w:rsid w:val="2D917516"/>
    <w:rsid w:val="2DB11966"/>
    <w:rsid w:val="2DB1526B"/>
    <w:rsid w:val="2DB56382"/>
    <w:rsid w:val="2DCC49F2"/>
    <w:rsid w:val="2E17027D"/>
    <w:rsid w:val="2E2272E9"/>
    <w:rsid w:val="2E50436D"/>
    <w:rsid w:val="2E555FE9"/>
    <w:rsid w:val="2E5F7614"/>
    <w:rsid w:val="2E6609A2"/>
    <w:rsid w:val="2E6966E5"/>
    <w:rsid w:val="2E76495E"/>
    <w:rsid w:val="2E813A2E"/>
    <w:rsid w:val="2E8D5F30"/>
    <w:rsid w:val="2E9153C6"/>
    <w:rsid w:val="2E921798"/>
    <w:rsid w:val="2EA119DB"/>
    <w:rsid w:val="2EB92876"/>
    <w:rsid w:val="2EC15BD9"/>
    <w:rsid w:val="2EDF4591"/>
    <w:rsid w:val="2F0401BB"/>
    <w:rsid w:val="2F097580"/>
    <w:rsid w:val="2F154177"/>
    <w:rsid w:val="2F1706C1"/>
    <w:rsid w:val="2F400E55"/>
    <w:rsid w:val="2F542EF1"/>
    <w:rsid w:val="2F5A7DDB"/>
    <w:rsid w:val="2F8371C0"/>
    <w:rsid w:val="2F8D1F5F"/>
    <w:rsid w:val="2FB67708"/>
    <w:rsid w:val="2FED502D"/>
    <w:rsid w:val="308E2E6E"/>
    <w:rsid w:val="30B5176D"/>
    <w:rsid w:val="30C82D62"/>
    <w:rsid w:val="30D140CD"/>
    <w:rsid w:val="30DC7BE1"/>
    <w:rsid w:val="310F059A"/>
    <w:rsid w:val="312F7772"/>
    <w:rsid w:val="313C1E8F"/>
    <w:rsid w:val="314D028A"/>
    <w:rsid w:val="315840B2"/>
    <w:rsid w:val="318F0210"/>
    <w:rsid w:val="31FE2EEA"/>
    <w:rsid w:val="32992E43"/>
    <w:rsid w:val="32AB643B"/>
    <w:rsid w:val="32BA750F"/>
    <w:rsid w:val="32CF6291"/>
    <w:rsid w:val="32D44EC9"/>
    <w:rsid w:val="32E71A40"/>
    <w:rsid w:val="32FA5B5D"/>
    <w:rsid w:val="33064502"/>
    <w:rsid w:val="333472C1"/>
    <w:rsid w:val="33370DB7"/>
    <w:rsid w:val="336933D4"/>
    <w:rsid w:val="336F03FD"/>
    <w:rsid w:val="33831403"/>
    <w:rsid w:val="338B6F24"/>
    <w:rsid w:val="3392223A"/>
    <w:rsid w:val="33944EE9"/>
    <w:rsid w:val="339C6C14"/>
    <w:rsid w:val="33CC6F7D"/>
    <w:rsid w:val="33EC1D49"/>
    <w:rsid w:val="33F65D9F"/>
    <w:rsid w:val="34104BC5"/>
    <w:rsid w:val="341E3434"/>
    <w:rsid w:val="34483255"/>
    <w:rsid w:val="345D2A1D"/>
    <w:rsid w:val="34627E5E"/>
    <w:rsid w:val="34767465"/>
    <w:rsid w:val="348953EB"/>
    <w:rsid w:val="34E22EE4"/>
    <w:rsid w:val="34EC3BCC"/>
    <w:rsid w:val="350B4052"/>
    <w:rsid w:val="353510CF"/>
    <w:rsid w:val="353D7F83"/>
    <w:rsid w:val="354457B6"/>
    <w:rsid w:val="355530AA"/>
    <w:rsid w:val="355E033A"/>
    <w:rsid w:val="356419B4"/>
    <w:rsid w:val="357311CC"/>
    <w:rsid w:val="35926521"/>
    <w:rsid w:val="35AD5174"/>
    <w:rsid w:val="35B20971"/>
    <w:rsid w:val="35B77D36"/>
    <w:rsid w:val="35BB1FB7"/>
    <w:rsid w:val="35D82C45"/>
    <w:rsid w:val="35F5085E"/>
    <w:rsid w:val="36017203"/>
    <w:rsid w:val="3619279E"/>
    <w:rsid w:val="364631D7"/>
    <w:rsid w:val="368928C2"/>
    <w:rsid w:val="368A29AA"/>
    <w:rsid w:val="36CC15BF"/>
    <w:rsid w:val="36FB00F6"/>
    <w:rsid w:val="370C40B1"/>
    <w:rsid w:val="37294C63"/>
    <w:rsid w:val="372A4E59"/>
    <w:rsid w:val="37392E3A"/>
    <w:rsid w:val="374160A8"/>
    <w:rsid w:val="37476E97"/>
    <w:rsid w:val="37695060"/>
    <w:rsid w:val="37705969"/>
    <w:rsid w:val="37A60062"/>
    <w:rsid w:val="3814321D"/>
    <w:rsid w:val="384D672F"/>
    <w:rsid w:val="386677F1"/>
    <w:rsid w:val="38934A8A"/>
    <w:rsid w:val="38B21A10"/>
    <w:rsid w:val="38FB262F"/>
    <w:rsid w:val="390A4620"/>
    <w:rsid w:val="391159AF"/>
    <w:rsid w:val="391D7376"/>
    <w:rsid w:val="392C2CD0"/>
    <w:rsid w:val="39331DC9"/>
    <w:rsid w:val="39657AA9"/>
    <w:rsid w:val="396957EB"/>
    <w:rsid w:val="397468E7"/>
    <w:rsid w:val="397A6507"/>
    <w:rsid w:val="39893797"/>
    <w:rsid w:val="39CD0CF6"/>
    <w:rsid w:val="39CE38A0"/>
    <w:rsid w:val="39CE4CF3"/>
    <w:rsid w:val="39FD0BBC"/>
    <w:rsid w:val="3A016441"/>
    <w:rsid w:val="3A0F57E6"/>
    <w:rsid w:val="3A0F6392"/>
    <w:rsid w:val="3A290FC4"/>
    <w:rsid w:val="3A29564D"/>
    <w:rsid w:val="3A3D7E5F"/>
    <w:rsid w:val="3A43603C"/>
    <w:rsid w:val="3A6A1421"/>
    <w:rsid w:val="3A872C83"/>
    <w:rsid w:val="3AB74334"/>
    <w:rsid w:val="3ACA5311"/>
    <w:rsid w:val="3B111C96"/>
    <w:rsid w:val="3B1B2B15"/>
    <w:rsid w:val="3B1F29B6"/>
    <w:rsid w:val="3B2B37FB"/>
    <w:rsid w:val="3B337E5E"/>
    <w:rsid w:val="3B4756B8"/>
    <w:rsid w:val="3B554279"/>
    <w:rsid w:val="3B567FF1"/>
    <w:rsid w:val="3B626996"/>
    <w:rsid w:val="3B645E75"/>
    <w:rsid w:val="3B8E088C"/>
    <w:rsid w:val="3B8E778B"/>
    <w:rsid w:val="3B9971A7"/>
    <w:rsid w:val="3B9A7EDD"/>
    <w:rsid w:val="3BBA232E"/>
    <w:rsid w:val="3BC4554A"/>
    <w:rsid w:val="3C132272"/>
    <w:rsid w:val="3C1E0B0E"/>
    <w:rsid w:val="3C1F6635"/>
    <w:rsid w:val="3C66605E"/>
    <w:rsid w:val="3C7E335B"/>
    <w:rsid w:val="3C8E25CB"/>
    <w:rsid w:val="3CB02C72"/>
    <w:rsid w:val="3CF01FCD"/>
    <w:rsid w:val="3D3566C6"/>
    <w:rsid w:val="3D663493"/>
    <w:rsid w:val="3DA652FE"/>
    <w:rsid w:val="3DB76351"/>
    <w:rsid w:val="3DC660E6"/>
    <w:rsid w:val="3DCB25D0"/>
    <w:rsid w:val="3DCE20C0"/>
    <w:rsid w:val="3DEB0EC4"/>
    <w:rsid w:val="3E264AF2"/>
    <w:rsid w:val="3E382E3D"/>
    <w:rsid w:val="3E484786"/>
    <w:rsid w:val="3E7F160D"/>
    <w:rsid w:val="3EC55271"/>
    <w:rsid w:val="3ECD34FD"/>
    <w:rsid w:val="3EE43DBA"/>
    <w:rsid w:val="3F010273"/>
    <w:rsid w:val="3F221A93"/>
    <w:rsid w:val="3F385BAE"/>
    <w:rsid w:val="3F3E6DD2"/>
    <w:rsid w:val="3F5B255F"/>
    <w:rsid w:val="3F6323CF"/>
    <w:rsid w:val="3F6A7BC7"/>
    <w:rsid w:val="3F6D669F"/>
    <w:rsid w:val="3F740A45"/>
    <w:rsid w:val="3FA550A3"/>
    <w:rsid w:val="3FB2564C"/>
    <w:rsid w:val="3FC93462"/>
    <w:rsid w:val="4004001B"/>
    <w:rsid w:val="404448BC"/>
    <w:rsid w:val="404B17A6"/>
    <w:rsid w:val="404D04D7"/>
    <w:rsid w:val="40BD53EA"/>
    <w:rsid w:val="40BD70CF"/>
    <w:rsid w:val="40D45C40"/>
    <w:rsid w:val="410127AD"/>
    <w:rsid w:val="41326E0A"/>
    <w:rsid w:val="414E017E"/>
    <w:rsid w:val="41614FF9"/>
    <w:rsid w:val="41635215"/>
    <w:rsid w:val="4168282C"/>
    <w:rsid w:val="41872CB2"/>
    <w:rsid w:val="418F7DB9"/>
    <w:rsid w:val="41964014"/>
    <w:rsid w:val="41A27AEC"/>
    <w:rsid w:val="41DB1250"/>
    <w:rsid w:val="42164036"/>
    <w:rsid w:val="422E5823"/>
    <w:rsid w:val="4246431B"/>
    <w:rsid w:val="42636FFD"/>
    <w:rsid w:val="42823479"/>
    <w:rsid w:val="42876CE2"/>
    <w:rsid w:val="428D1BAE"/>
    <w:rsid w:val="42A1464D"/>
    <w:rsid w:val="42C53717"/>
    <w:rsid w:val="430D368B"/>
    <w:rsid w:val="432307B8"/>
    <w:rsid w:val="4359067E"/>
    <w:rsid w:val="43805C0B"/>
    <w:rsid w:val="43B14016"/>
    <w:rsid w:val="43B50E83"/>
    <w:rsid w:val="43D23F8D"/>
    <w:rsid w:val="43DB5D75"/>
    <w:rsid w:val="43DE6DD5"/>
    <w:rsid w:val="441D78FE"/>
    <w:rsid w:val="441F4A5B"/>
    <w:rsid w:val="4420119C"/>
    <w:rsid w:val="44385484"/>
    <w:rsid w:val="44496945"/>
    <w:rsid w:val="444C3D3F"/>
    <w:rsid w:val="44890DCE"/>
    <w:rsid w:val="44957494"/>
    <w:rsid w:val="44A02DC8"/>
    <w:rsid w:val="44B779FC"/>
    <w:rsid w:val="44BA6EFA"/>
    <w:rsid w:val="44EB3558"/>
    <w:rsid w:val="45156827"/>
    <w:rsid w:val="451F76A5"/>
    <w:rsid w:val="45411183"/>
    <w:rsid w:val="454D7D6F"/>
    <w:rsid w:val="456F4189"/>
    <w:rsid w:val="45842685"/>
    <w:rsid w:val="45911C91"/>
    <w:rsid w:val="45B918A8"/>
    <w:rsid w:val="45BC6CA2"/>
    <w:rsid w:val="45EC3D2C"/>
    <w:rsid w:val="45F50E3F"/>
    <w:rsid w:val="45FB34D6"/>
    <w:rsid w:val="46120473"/>
    <w:rsid w:val="462F32E1"/>
    <w:rsid w:val="463539B1"/>
    <w:rsid w:val="46386C71"/>
    <w:rsid w:val="464A2500"/>
    <w:rsid w:val="464C44CA"/>
    <w:rsid w:val="4698770F"/>
    <w:rsid w:val="46B10C8E"/>
    <w:rsid w:val="46DB62DD"/>
    <w:rsid w:val="46E1239E"/>
    <w:rsid w:val="46F33CE1"/>
    <w:rsid w:val="46F661E4"/>
    <w:rsid w:val="47035D6E"/>
    <w:rsid w:val="472114B3"/>
    <w:rsid w:val="473D3E13"/>
    <w:rsid w:val="47482FB0"/>
    <w:rsid w:val="474E5743"/>
    <w:rsid w:val="475528CD"/>
    <w:rsid w:val="479954ED"/>
    <w:rsid w:val="47D46525"/>
    <w:rsid w:val="47EA6100"/>
    <w:rsid w:val="480037BE"/>
    <w:rsid w:val="48052B82"/>
    <w:rsid w:val="48077256"/>
    <w:rsid w:val="484E277B"/>
    <w:rsid w:val="48573E99"/>
    <w:rsid w:val="486503B6"/>
    <w:rsid w:val="489932CB"/>
    <w:rsid w:val="48AE6D76"/>
    <w:rsid w:val="48BB1493"/>
    <w:rsid w:val="48BF2D31"/>
    <w:rsid w:val="48D34A2F"/>
    <w:rsid w:val="48E629B4"/>
    <w:rsid w:val="48EB1D78"/>
    <w:rsid w:val="493059DD"/>
    <w:rsid w:val="495F2766"/>
    <w:rsid w:val="49865F45"/>
    <w:rsid w:val="49973CAE"/>
    <w:rsid w:val="49D2118A"/>
    <w:rsid w:val="49D24CE6"/>
    <w:rsid w:val="49D946ED"/>
    <w:rsid w:val="49DF3779"/>
    <w:rsid w:val="4A1E18CA"/>
    <w:rsid w:val="4A4D0901"/>
    <w:rsid w:val="4A58343D"/>
    <w:rsid w:val="4A6873F9"/>
    <w:rsid w:val="4A6A4F1F"/>
    <w:rsid w:val="4A7D20AD"/>
    <w:rsid w:val="4AAE12ED"/>
    <w:rsid w:val="4AE10932"/>
    <w:rsid w:val="4B1F21AD"/>
    <w:rsid w:val="4B2C6678"/>
    <w:rsid w:val="4B3C4B0D"/>
    <w:rsid w:val="4B6B0F4E"/>
    <w:rsid w:val="4B7D0B4B"/>
    <w:rsid w:val="4BB70638"/>
    <w:rsid w:val="4BB961B4"/>
    <w:rsid w:val="4BD411EA"/>
    <w:rsid w:val="4C0D2006"/>
    <w:rsid w:val="4C15710C"/>
    <w:rsid w:val="4C324162"/>
    <w:rsid w:val="4C500AD6"/>
    <w:rsid w:val="4C5824A2"/>
    <w:rsid w:val="4C5916EF"/>
    <w:rsid w:val="4C912233"/>
    <w:rsid w:val="4C9463A6"/>
    <w:rsid w:val="4CB132D9"/>
    <w:rsid w:val="4CB15087"/>
    <w:rsid w:val="4CD2208F"/>
    <w:rsid w:val="4CE656EC"/>
    <w:rsid w:val="4CF907DC"/>
    <w:rsid w:val="4D3A5B11"/>
    <w:rsid w:val="4D503B09"/>
    <w:rsid w:val="4D6B3488"/>
    <w:rsid w:val="4D785BA5"/>
    <w:rsid w:val="4D9A3D6D"/>
    <w:rsid w:val="4DA94199"/>
    <w:rsid w:val="4DBE3EFF"/>
    <w:rsid w:val="4DE24DF5"/>
    <w:rsid w:val="4DEB2922"/>
    <w:rsid w:val="4DF64B12"/>
    <w:rsid w:val="4E2D4BE1"/>
    <w:rsid w:val="4E557C94"/>
    <w:rsid w:val="4E616639"/>
    <w:rsid w:val="4E782E22"/>
    <w:rsid w:val="4E955004"/>
    <w:rsid w:val="4EAF55F6"/>
    <w:rsid w:val="4EBE3A8B"/>
    <w:rsid w:val="4ED40086"/>
    <w:rsid w:val="4F004823"/>
    <w:rsid w:val="4F0A4599"/>
    <w:rsid w:val="4F165675"/>
    <w:rsid w:val="4F8D56E9"/>
    <w:rsid w:val="4FA42C81"/>
    <w:rsid w:val="4FA72771"/>
    <w:rsid w:val="4FA7451F"/>
    <w:rsid w:val="4FC067CC"/>
    <w:rsid w:val="4FC11A85"/>
    <w:rsid w:val="4FCA10C0"/>
    <w:rsid w:val="4FCD1AFA"/>
    <w:rsid w:val="4FE237A9"/>
    <w:rsid w:val="4FE92D8A"/>
    <w:rsid w:val="500D20D1"/>
    <w:rsid w:val="504163F0"/>
    <w:rsid w:val="50483F54"/>
    <w:rsid w:val="504D0CA5"/>
    <w:rsid w:val="50696D3C"/>
    <w:rsid w:val="50761284"/>
    <w:rsid w:val="50772144"/>
    <w:rsid w:val="509009CD"/>
    <w:rsid w:val="5099655E"/>
    <w:rsid w:val="50C16D86"/>
    <w:rsid w:val="50E61077"/>
    <w:rsid w:val="50FA18C3"/>
    <w:rsid w:val="510F0B52"/>
    <w:rsid w:val="512D6906"/>
    <w:rsid w:val="51316796"/>
    <w:rsid w:val="513A1AEF"/>
    <w:rsid w:val="513D4CBA"/>
    <w:rsid w:val="514611A6"/>
    <w:rsid w:val="517D19DC"/>
    <w:rsid w:val="51825244"/>
    <w:rsid w:val="51875DD0"/>
    <w:rsid w:val="51BA49DE"/>
    <w:rsid w:val="51D24C77"/>
    <w:rsid w:val="51DF4444"/>
    <w:rsid w:val="51E1640E"/>
    <w:rsid w:val="52021EE1"/>
    <w:rsid w:val="520E0886"/>
    <w:rsid w:val="522307D5"/>
    <w:rsid w:val="52232583"/>
    <w:rsid w:val="52483D98"/>
    <w:rsid w:val="526E737C"/>
    <w:rsid w:val="527E089C"/>
    <w:rsid w:val="52977F06"/>
    <w:rsid w:val="529A65BD"/>
    <w:rsid w:val="52BB6B0B"/>
    <w:rsid w:val="52C04276"/>
    <w:rsid w:val="52CF1805"/>
    <w:rsid w:val="52E63C2F"/>
    <w:rsid w:val="52F80915"/>
    <w:rsid w:val="531B2730"/>
    <w:rsid w:val="532E70E8"/>
    <w:rsid w:val="5354676C"/>
    <w:rsid w:val="535765B6"/>
    <w:rsid w:val="53677CE8"/>
    <w:rsid w:val="536C1D08"/>
    <w:rsid w:val="536D782E"/>
    <w:rsid w:val="53C27B7A"/>
    <w:rsid w:val="53D004E8"/>
    <w:rsid w:val="53D578AD"/>
    <w:rsid w:val="53DD2C05"/>
    <w:rsid w:val="541C372E"/>
    <w:rsid w:val="541D2076"/>
    <w:rsid w:val="542811C9"/>
    <w:rsid w:val="54505185"/>
    <w:rsid w:val="5459209E"/>
    <w:rsid w:val="546649A9"/>
    <w:rsid w:val="54945E69"/>
    <w:rsid w:val="54B95421"/>
    <w:rsid w:val="54C3004D"/>
    <w:rsid w:val="54C47921"/>
    <w:rsid w:val="54D062C6"/>
    <w:rsid w:val="54DE09E3"/>
    <w:rsid w:val="54E3424B"/>
    <w:rsid w:val="550C55F4"/>
    <w:rsid w:val="555D5DAC"/>
    <w:rsid w:val="55B40462"/>
    <w:rsid w:val="55C951EF"/>
    <w:rsid w:val="55E944A7"/>
    <w:rsid w:val="55FB7373"/>
    <w:rsid w:val="56076FA5"/>
    <w:rsid w:val="563665FD"/>
    <w:rsid w:val="564F2CB4"/>
    <w:rsid w:val="56585802"/>
    <w:rsid w:val="56705FB3"/>
    <w:rsid w:val="567C6706"/>
    <w:rsid w:val="568802DB"/>
    <w:rsid w:val="56B37004"/>
    <w:rsid w:val="57044B1F"/>
    <w:rsid w:val="571E156B"/>
    <w:rsid w:val="572536A5"/>
    <w:rsid w:val="57466445"/>
    <w:rsid w:val="574C432A"/>
    <w:rsid w:val="579B705F"/>
    <w:rsid w:val="579D6934"/>
    <w:rsid w:val="57CA16F3"/>
    <w:rsid w:val="583C3354"/>
    <w:rsid w:val="58533496"/>
    <w:rsid w:val="587A4EC7"/>
    <w:rsid w:val="58DD09F4"/>
    <w:rsid w:val="58DE14C6"/>
    <w:rsid w:val="58F00CE5"/>
    <w:rsid w:val="59101387"/>
    <w:rsid w:val="59160C5D"/>
    <w:rsid w:val="59552188"/>
    <w:rsid w:val="59633BAD"/>
    <w:rsid w:val="596521DC"/>
    <w:rsid w:val="596C0CB3"/>
    <w:rsid w:val="59A203DD"/>
    <w:rsid w:val="59A44EFB"/>
    <w:rsid w:val="59BD32BD"/>
    <w:rsid w:val="59C06909"/>
    <w:rsid w:val="59CC0D4E"/>
    <w:rsid w:val="5A0A4028"/>
    <w:rsid w:val="5A1522A3"/>
    <w:rsid w:val="5A1924BD"/>
    <w:rsid w:val="5A3A490E"/>
    <w:rsid w:val="5A91172D"/>
    <w:rsid w:val="5A937C42"/>
    <w:rsid w:val="5ABA3CA0"/>
    <w:rsid w:val="5AC02939"/>
    <w:rsid w:val="5ACB1A0A"/>
    <w:rsid w:val="5AEF4D78"/>
    <w:rsid w:val="5AF80325"/>
    <w:rsid w:val="5AFA22EF"/>
    <w:rsid w:val="5AFC0709"/>
    <w:rsid w:val="5B305D11"/>
    <w:rsid w:val="5B337770"/>
    <w:rsid w:val="5B953DC6"/>
    <w:rsid w:val="5B9D0541"/>
    <w:rsid w:val="5B9D767A"/>
    <w:rsid w:val="5BE12FA3"/>
    <w:rsid w:val="5BF31218"/>
    <w:rsid w:val="5BF40AEC"/>
    <w:rsid w:val="5BF907F8"/>
    <w:rsid w:val="5C0351D3"/>
    <w:rsid w:val="5C335AB8"/>
    <w:rsid w:val="5C3540AF"/>
    <w:rsid w:val="5C441A74"/>
    <w:rsid w:val="5C4A047C"/>
    <w:rsid w:val="5C58107B"/>
    <w:rsid w:val="5C645C72"/>
    <w:rsid w:val="5C827A5A"/>
    <w:rsid w:val="5C8C6F77"/>
    <w:rsid w:val="5C9103CC"/>
    <w:rsid w:val="5CC46711"/>
    <w:rsid w:val="5CF35248"/>
    <w:rsid w:val="5CF54B1C"/>
    <w:rsid w:val="5D064F7B"/>
    <w:rsid w:val="5D3073AE"/>
    <w:rsid w:val="5D557CB0"/>
    <w:rsid w:val="5D5977A1"/>
    <w:rsid w:val="5D8866EC"/>
    <w:rsid w:val="5DA14CA4"/>
    <w:rsid w:val="5DAC6AD6"/>
    <w:rsid w:val="5DD73DA7"/>
    <w:rsid w:val="5E0A7B65"/>
    <w:rsid w:val="5E280D0A"/>
    <w:rsid w:val="5E2977F0"/>
    <w:rsid w:val="5E420397"/>
    <w:rsid w:val="5E431D24"/>
    <w:rsid w:val="5E6A32E8"/>
    <w:rsid w:val="5E933C3E"/>
    <w:rsid w:val="5EBF421E"/>
    <w:rsid w:val="5ED903A7"/>
    <w:rsid w:val="5F132B6E"/>
    <w:rsid w:val="5F2E2567"/>
    <w:rsid w:val="5F36141C"/>
    <w:rsid w:val="5F6366B5"/>
    <w:rsid w:val="5F69359F"/>
    <w:rsid w:val="5F7A64AD"/>
    <w:rsid w:val="5FCE353D"/>
    <w:rsid w:val="5FFA3E0A"/>
    <w:rsid w:val="602F33AA"/>
    <w:rsid w:val="603728C5"/>
    <w:rsid w:val="603E4A2C"/>
    <w:rsid w:val="6045400C"/>
    <w:rsid w:val="60561D75"/>
    <w:rsid w:val="60860AA9"/>
    <w:rsid w:val="6094289E"/>
    <w:rsid w:val="609B3C2C"/>
    <w:rsid w:val="609C5F5C"/>
    <w:rsid w:val="60A305BA"/>
    <w:rsid w:val="60C56EFB"/>
    <w:rsid w:val="60E02154"/>
    <w:rsid w:val="60EE1FAE"/>
    <w:rsid w:val="60EE6452"/>
    <w:rsid w:val="60FE67FD"/>
    <w:rsid w:val="61021EFD"/>
    <w:rsid w:val="610D28F3"/>
    <w:rsid w:val="6140265D"/>
    <w:rsid w:val="61502C69"/>
    <w:rsid w:val="615472BD"/>
    <w:rsid w:val="618943CD"/>
    <w:rsid w:val="619031FE"/>
    <w:rsid w:val="61970898"/>
    <w:rsid w:val="61A42FB4"/>
    <w:rsid w:val="61C64CD9"/>
    <w:rsid w:val="61CD42B9"/>
    <w:rsid w:val="61EB2991"/>
    <w:rsid w:val="621041A6"/>
    <w:rsid w:val="62360764"/>
    <w:rsid w:val="623F0400"/>
    <w:rsid w:val="625113E2"/>
    <w:rsid w:val="625C73EB"/>
    <w:rsid w:val="62636A4D"/>
    <w:rsid w:val="62B13874"/>
    <w:rsid w:val="62DD052C"/>
    <w:rsid w:val="632C3261"/>
    <w:rsid w:val="634B7B8C"/>
    <w:rsid w:val="63672753"/>
    <w:rsid w:val="639211D3"/>
    <w:rsid w:val="63E43B3C"/>
    <w:rsid w:val="6407156E"/>
    <w:rsid w:val="64231C6C"/>
    <w:rsid w:val="64265F03"/>
    <w:rsid w:val="645667E8"/>
    <w:rsid w:val="645779AB"/>
    <w:rsid w:val="646A49DD"/>
    <w:rsid w:val="64760C38"/>
    <w:rsid w:val="6486408C"/>
    <w:rsid w:val="648D36A0"/>
    <w:rsid w:val="64A00315"/>
    <w:rsid w:val="64BE438D"/>
    <w:rsid w:val="64D43BB1"/>
    <w:rsid w:val="64DD0CB7"/>
    <w:rsid w:val="64F13BAE"/>
    <w:rsid w:val="64F43A2F"/>
    <w:rsid w:val="65444892"/>
    <w:rsid w:val="65644F35"/>
    <w:rsid w:val="657D1B52"/>
    <w:rsid w:val="65842EE1"/>
    <w:rsid w:val="65A13A93"/>
    <w:rsid w:val="65A610A9"/>
    <w:rsid w:val="65A67CAB"/>
    <w:rsid w:val="65D37174"/>
    <w:rsid w:val="65DD0843"/>
    <w:rsid w:val="65E62E7A"/>
    <w:rsid w:val="65E6594A"/>
    <w:rsid w:val="660D1128"/>
    <w:rsid w:val="66171FA7"/>
    <w:rsid w:val="661C5E23"/>
    <w:rsid w:val="66362947"/>
    <w:rsid w:val="664408C2"/>
    <w:rsid w:val="66666A8A"/>
    <w:rsid w:val="669435F8"/>
    <w:rsid w:val="66B214DE"/>
    <w:rsid w:val="66B45A48"/>
    <w:rsid w:val="66B94E0C"/>
    <w:rsid w:val="66E21FD9"/>
    <w:rsid w:val="66F97455"/>
    <w:rsid w:val="67337230"/>
    <w:rsid w:val="6751773B"/>
    <w:rsid w:val="676236F6"/>
    <w:rsid w:val="67674868"/>
    <w:rsid w:val="67852F40"/>
    <w:rsid w:val="67902011"/>
    <w:rsid w:val="67B01D2C"/>
    <w:rsid w:val="67BB5990"/>
    <w:rsid w:val="67BF3C7E"/>
    <w:rsid w:val="67DD1EAC"/>
    <w:rsid w:val="68067270"/>
    <w:rsid w:val="68150768"/>
    <w:rsid w:val="682C695A"/>
    <w:rsid w:val="683926A8"/>
    <w:rsid w:val="68D300DD"/>
    <w:rsid w:val="68E048D2"/>
    <w:rsid w:val="68E24AEE"/>
    <w:rsid w:val="68EC685E"/>
    <w:rsid w:val="690338A9"/>
    <w:rsid w:val="692D388F"/>
    <w:rsid w:val="695D23C7"/>
    <w:rsid w:val="69872FA0"/>
    <w:rsid w:val="69C9180A"/>
    <w:rsid w:val="69CF08DA"/>
    <w:rsid w:val="69D65CD5"/>
    <w:rsid w:val="69DF102E"/>
    <w:rsid w:val="6A211646"/>
    <w:rsid w:val="6A2133F4"/>
    <w:rsid w:val="6A636002"/>
    <w:rsid w:val="6A641533"/>
    <w:rsid w:val="6A8E035E"/>
    <w:rsid w:val="6AAD178D"/>
    <w:rsid w:val="6ABC7372"/>
    <w:rsid w:val="6AD11C05"/>
    <w:rsid w:val="6AE606B8"/>
    <w:rsid w:val="6AEF6ECA"/>
    <w:rsid w:val="6AFB5D68"/>
    <w:rsid w:val="6AFC79BD"/>
    <w:rsid w:val="6B0B1246"/>
    <w:rsid w:val="6B2807B2"/>
    <w:rsid w:val="6B421D41"/>
    <w:rsid w:val="6B655563"/>
    <w:rsid w:val="6B737C7F"/>
    <w:rsid w:val="6B76151E"/>
    <w:rsid w:val="6B7E4876"/>
    <w:rsid w:val="6B7F7BA4"/>
    <w:rsid w:val="6BB81B36"/>
    <w:rsid w:val="6BC56001"/>
    <w:rsid w:val="6BEA6CE2"/>
    <w:rsid w:val="6C0B610A"/>
    <w:rsid w:val="6C175A98"/>
    <w:rsid w:val="6C1E6612"/>
    <w:rsid w:val="6C244496"/>
    <w:rsid w:val="6C276CBC"/>
    <w:rsid w:val="6C305B70"/>
    <w:rsid w:val="6C52541B"/>
    <w:rsid w:val="6C77379F"/>
    <w:rsid w:val="6CC649E7"/>
    <w:rsid w:val="6CE81FA7"/>
    <w:rsid w:val="6D154D66"/>
    <w:rsid w:val="6D2B458A"/>
    <w:rsid w:val="6D3451EC"/>
    <w:rsid w:val="6D401191"/>
    <w:rsid w:val="6D486EEA"/>
    <w:rsid w:val="6D5D3C94"/>
    <w:rsid w:val="6D6A6E60"/>
    <w:rsid w:val="6D733CAE"/>
    <w:rsid w:val="6D8141AA"/>
    <w:rsid w:val="6D8C5028"/>
    <w:rsid w:val="6E0332E1"/>
    <w:rsid w:val="6E1443B6"/>
    <w:rsid w:val="6E205267"/>
    <w:rsid w:val="6E3C0B9B"/>
    <w:rsid w:val="6E8977BA"/>
    <w:rsid w:val="6E8D72AA"/>
    <w:rsid w:val="6E9E14B7"/>
    <w:rsid w:val="6EA470E4"/>
    <w:rsid w:val="6EAE0FCF"/>
    <w:rsid w:val="6ED0363B"/>
    <w:rsid w:val="6EE568E1"/>
    <w:rsid w:val="6F0A08FB"/>
    <w:rsid w:val="6F3D56FC"/>
    <w:rsid w:val="6F572C2C"/>
    <w:rsid w:val="6F5F71DE"/>
    <w:rsid w:val="6F674C22"/>
    <w:rsid w:val="6F6F261D"/>
    <w:rsid w:val="6F8D6E36"/>
    <w:rsid w:val="6F9603E0"/>
    <w:rsid w:val="6FC54822"/>
    <w:rsid w:val="6FC778CB"/>
    <w:rsid w:val="6FD20CED"/>
    <w:rsid w:val="6FD563E8"/>
    <w:rsid w:val="6FE56C72"/>
    <w:rsid w:val="6FF84BF7"/>
    <w:rsid w:val="70027824"/>
    <w:rsid w:val="7055204A"/>
    <w:rsid w:val="70741DA4"/>
    <w:rsid w:val="70757FF6"/>
    <w:rsid w:val="7082711C"/>
    <w:rsid w:val="70A1528F"/>
    <w:rsid w:val="70B929CB"/>
    <w:rsid w:val="70DA254F"/>
    <w:rsid w:val="70EC5DDE"/>
    <w:rsid w:val="7108719F"/>
    <w:rsid w:val="712D08D1"/>
    <w:rsid w:val="71502811"/>
    <w:rsid w:val="715F2A54"/>
    <w:rsid w:val="7160306C"/>
    <w:rsid w:val="716D3EB2"/>
    <w:rsid w:val="718F6E95"/>
    <w:rsid w:val="71A37C91"/>
    <w:rsid w:val="71BC5827"/>
    <w:rsid w:val="71C32F10"/>
    <w:rsid w:val="71D260B4"/>
    <w:rsid w:val="71E82A49"/>
    <w:rsid w:val="71EC3AAF"/>
    <w:rsid w:val="71F933E3"/>
    <w:rsid w:val="71FF1BDA"/>
    <w:rsid w:val="72457E9C"/>
    <w:rsid w:val="72563E57"/>
    <w:rsid w:val="725D3437"/>
    <w:rsid w:val="72816D82"/>
    <w:rsid w:val="728269FA"/>
    <w:rsid w:val="72842772"/>
    <w:rsid w:val="728C1627"/>
    <w:rsid w:val="7298621E"/>
    <w:rsid w:val="72A03F09"/>
    <w:rsid w:val="72A32CEB"/>
    <w:rsid w:val="72B666A4"/>
    <w:rsid w:val="72D22B65"/>
    <w:rsid w:val="72E651DB"/>
    <w:rsid w:val="72F54EE3"/>
    <w:rsid w:val="7329156C"/>
    <w:rsid w:val="73866EC6"/>
    <w:rsid w:val="738A025C"/>
    <w:rsid w:val="738D5656"/>
    <w:rsid w:val="73AB01D2"/>
    <w:rsid w:val="743D7CF2"/>
    <w:rsid w:val="7440091B"/>
    <w:rsid w:val="745E0F4B"/>
    <w:rsid w:val="745F3497"/>
    <w:rsid w:val="74681C20"/>
    <w:rsid w:val="74745D74"/>
    <w:rsid w:val="748051BB"/>
    <w:rsid w:val="74DD43BC"/>
    <w:rsid w:val="74DF0134"/>
    <w:rsid w:val="74FF07D6"/>
    <w:rsid w:val="75017FE5"/>
    <w:rsid w:val="7503531D"/>
    <w:rsid w:val="753A35BC"/>
    <w:rsid w:val="754F41F8"/>
    <w:rsid w:val="755F1275"/>
    <w:rsid w:val="75640639"/>
    <w:rsid w:val="75814B4C"/>
    <w:rsid w:val="75856CBE"/>
    <w:rsid w:val="75863422"/>
    <w:rsid w:val="758F49B3"/>
    <w:rsid w:val="75A90742"/>
    <w:rsid w:val="75B17106"/>
    <w:rsid w:val="75D27C98"/>
    <w:rsid w:val="760A5684"/>
    <w:rsid w:val="761E0BB9"/>
    <w:rsid w:val="7666363F"/>
    <w:rsid w:val="76962A74"/>
    <w:rsid w:val="769907B6"/>
    <w:rsid w:val="76C10CF8"/>
    <w:rsid w:val="771B11CB"/>
    <w:rsid w:val="77366005"/>
    <w:rsid w:val="774A3324"/>
    <w:rsid w:val="778E317E"/>
    <w:rsid w:val="779416A9"/>
    <w:rsid w:val="77BA09E4"/>
    <w:rsid w:val="77D335E7"/>
    <w:rsid w:val="77D870BC"/>
    <w:rsid w:val="78216CB5"/>
    <w:rsid w:val="783D65D6"/>
    <w:rsid w:val="785B3F75"/>
    <w:rsid w:val="78654665"/>
    <w:rsid w:val="789631FF"/>
    <w:rsid w:val="78993AEC"/>
    <w:rsid w:val="78AE679B"/>
    <w:rsid w:val="78E5118E"/>
    <w:rsid w:val="78E73A5B"/>
    <w:rsid w:val="79155A22"/>
    <w:rsid w:val="791F1447"/>
    <w:rsid w:val="79205E80"/>
    <w:rsid w:val="79297BCF"/>
    <w:rsid w:val="792A3CE6"/>
    <w:rsid w:val="79771EB0"/>
    <w:rsid w:val="79AC4A13"/>
    <w:rsid w:val="79C97604"/>
    <w:rsid w:val="79CB5B6B"/>
    <w:rsid w:val="79D73ACF"/>
    <w:rsid w:val="79E70D0C"/>
    <w:rsid w:val="7A1545F8"/>
    <w:rsid w:val="7A65732D"/>
    <w:rsid w:val="7A795048"/>
    <w:rsid w:val="7A813A3B"/>
    <w:rsid w:val="7A927C34"/>
    <w:rsid w:val="7A951295"/>
    <w:rsid w:val="7AA201A9"/>
    <w:rsid w:val="7AC51B7A"/>
    <w:rsid w:val="7ACE4662"/>
    <w:rsid w:val="7AD149C3"/>
    <w:rsid w:val="7ADA0D7B"/>
    <w:rsid w:val="7AF81F4F"/>
    <w:rsid w:val="7AFB37ED"/>
    <w:rsid w:val="7B0703E4"/>
    <w:rsid w:val="7B2A7B4E"/>
    <w:rsid w:val="7B30793B"/>
    <w:rsid w:val="7B522782"/>
    <w:rsid w:val="7B743285"/>
    <w:rsid w:val="7B844BCE"/>
    <w:rsid w:val="7B8C6B3B"/>
    <w:rsid w:val="7B901F31"/>
    <w:rsid w:val="7BB02821"/>
    <w:rsid w:val="7BD83B2F"/>
    <w:rsid w:val="7BF754E3"/>
    <w:rsid w:val="7C0935E2"/>
    <w:rsid w:val="7C181F3F"/>
    <w:rsid w:val="7C66738C"/>
    <w:rsid w:val="7C725D31"/>
    <w:rsid w:val="7C7C095E"/>
    <w:rsid w:val="7C8E41ED"/>
    <w:rsid w:val="7CA53A11"/>
    <w:rsid w:val="7CBA4FE2"/>
    <w:rsid w:val="7CBD2B41"/>
    <w:rsid w:val="7CC16371"/>
    <w:rsid w:val="7CE3278B"/>
    <w:rsid w:val="7CE7227B"/>
    <w:rsid w:val="7CF16C56"/>
    <w:rsid w:val="7CF46746"/>
    <w:rsid w:val="7D012C11"/>
    <w:rsid w:val="7D4E22FA"/>
    <w:rsid w:val="7D561D8A"/>
    <w:rsid w:val="7D6457E7"/>
    <w:rsid w:val="7D6A6A08"/>
    <w:rsid w:val="7DEE13E8"/>
    <w:rsid w:val="7E0C7AC0"/>
    <w:rsid w:val="7E10135E"/>
    <w:rsid w:val="7E6419BA"/>
    <w:rsid w:val="7E74183B"/>
    <w:rsid w:val="7E98069B"/>
    <w:rsid w:val="7E98188B"/>
    <w:rsid w:val="7EA36676"/>
    <w:rsid w:val="7EC87E8B"/>
    <w:rsid w:val="7EEB6953"/>
    <w:rsid w:val="7EFB3DBC"/>
    <w:rsid w:val="7F0B7D77"/>
    <w:rsid w:val="7F1633B2"/>
    <w:rsid w:val="7F3217A8"/>
    <w:rsid w:val="7F4B1859"/>
    <w:rsid w:val="7F4B7E2D"/>
    <w:rsid w:val="7F536501"/>
    <w:rsid w:val="7F7D4E4C"/>
    <w:rsid w:val="7F840077"/>
    <w:rsid w:val="7F8622FC"/>
    <w:rsid w:val="7F8C0EB8"/>
    <w:rsid w:val="7F901306"/>
    <w:rsid w:val="7FAA57E2"/>
    <w:rsid w:val="7FDB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cs="Times New Roman"/>
      <w:kern w:val="0"/>
      <w:sz w:val="24"/>
      <w:szCs w:val="24"/>
    </w:rPr>
  </w:style>
  <w:style w:type="paragraph" w:styleId="2">
    <w:name w:val="heading 2"/>
    <w:basedOn w:val="1"/>
    <w:next w:val="1"/>
    <w:link w:val="48"/>
    <w:qFormat/>
    <w:uiPriority w:val="0"/>
    <w:pPr>
      <w:autoSpaceDE w:val="0"/>
      <w:autoSpaceDN w:val="0"/>
      <w:adjustRightInd w:val="0"/>
      <w:jc w:val="left"/>
      <w:outlineLvl w:val="1"/>
    </w:pPr>
    <w:rPr>
      <w:rFonts w:ascii="宋体" w:hAnsi="Calibri"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cs="Times New Roman"/>
      <w:kern w:val="0"/>
      <w:sz w:val="24"/>
      <w:szCs w:val="24"/>
    </w:rPr>
  </w:style>
  <w:style w:type="paragraph" w:styleId="15">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b/>
      <w:bCs/>
      <w:sz w:val="84"/>
      <w:szCs w:val="84"/>
      <w:lang w:val="zh-CN"/>
    </w:rPr>
  </w:style>
  <w:style w:type="paragraph" w:styleId="19">
    <w:name w:val="Body Text Indent"/>
    <w:basedOn w:val="1"/>
    <w:next w:val="1"/>
    <w:link w:val="92"/>
    <w:qFormat/>
    <w:uiPriority w:val="0"/>
    <w:pPr>
      <w:ind w:left="567" w:leftChars="270"/>
    </w:pPr>
    <w:rPr>
      <w:rFonts w:ascii="Times New Roman" w:hAnsi="Times New Roman" w:cs="Times New Roman"/>
      <w:szCs w:val="20"/>
    </w:rPr>
  </w:style>
  <w:style w:type="paragraph" w:styleId="20">
    <w:name w:val="toc 3"/>
    <w:basedOn w:val="1"/>
    <w:next w:val="1"/>
    <w:unhideWhenUsed/>
    <w:qFormat/>
    <w:uiPriority w:val="39"/>
    <w:pPr>
      <w:tabs>
        <w:tab w:val="right" w:leader="dot" w:pos="10154"/>
      </w:tabs>
      <w:spacing w:line="400" w:lineRule="exact"/>
      <w:ind w:firstLine="420" w:firstLineChars="200"/>
    </w:pPr>
  </w:style>
  <w:style w:type="paragraph" w:styleId="21">
    <w:name w:val="Plain Text"/>
    <w:basedOn w:val="1"/>
    <w:link w:val="100"/>
    <w:qFormat/>
    <w:uiPriority w:val="0"/>
    <w:rPr>
      <w:rFonts w:ascii="宋体" w:hAnsi="Courier New"/>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cs="Times New Roman"/>
      <w:szCs w:val="20"/>
    </w:rPr>
  </w:style>
  <w:style w:type="paragraph" w:styleId="24">
    <w:name w:val="Balloon Text"/>
    <w:basedOn w:val="1"/>
    <w:link w:val="74"/>
    <w:qFormat/>
    <w:uiPriority w:val="0"/>
    <w:rPr>
      <w:rFonts w:ascii="Times New Roman" w:hAnsi="Times New Roman"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3"/>
    <w:qFormat/>
    <w:uiPriority w:val="0"/>
    <w:pPr>
      <w:tabs>
        <w:tab w:val="left" w:pos="0"/>
      </w:tabs>
      <w:spacing w:line="400" w:lineRule="atLeast"/>
    </w:pPr>
    <w:rPr>
      <w:rFonts w:ascii="Arial" w:hAnsi="Arial" w:cs="Times New Roman"/>
      <w:color w:val="000000"/>
      <w:szCs w:val="24"/>
    </w:rPr>
  </w:style>
  <w:style w:type="paragraph" w:styleId="32">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33">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0"/>
    <w:qFormat/>
    <w:uiPriority w:val="99"/>
    <w:pPr>
      <w:autoSpaceDE w:val="0"/>
      <w:autoSpaceDN w:val="0"/>
      <w:adjustRightInd w:val="0"/>
    </w:pPr>
    <w:rPr>
      <w:rFonts w:ascii="宋体" w:hAnsi="Times New Roman" w:cs="Times New Roman"/>
      <w:b/>
      <w:bCs/>
      <w:kern w:val="0"/>
      <w:sz w:val="24"/>
      <w:szCs w:val="24"/>
    </w:rPr>
  </w:style>
  <w:style w:type="paragraph" w:styleId="36">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next w:val="12"/>
    <w:qFormat/>
    <w:uiPriority w:val="0"/>
    <w:pPr>
      <w:ind w:firstLine="420" w:firstLineChars="200"/>
    </w:pPr>
    <w:rPr>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2"/>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5"/>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9"/>
    <w:qFormat/>
    <w:uiPriority w:val="9"/>
    <w:rPr>
      <w:rFonts w:ascii="Times New Roman" w:hAnsi="Calibri" w:eastAsia="黑体" w:cs="Times New Roman"/>
      <w:b/>
      <w:bCs/>
      <w:kern w:val="0"/>
      <w:sz w:val="28"/>
      <w:szCs w:val="24"/>
    </w:rPr>
  </w:style>
  <w:style w:type="character" w:customStyle="1" w:styleId="54">
    <w:name w:val="标题 8 Char"/>
    <w:basedOn w:val="40"/>
    <w:link w:val="10"/>
    <w:qFormat/>
    <w:uiPriority w:val="9"/>
    <w:rPr>
      <w:rFonts w:ascii="Times New Roman" w:hAnsi="Calibri" w:eastAsia="黑体" w:cs="Times New Roman"/>
      <w:b/>
      <w:kern w:val="0"/>
      <w:sz w:val="28"/>
      <w:szCs w:val="24"/>
    </w:rPr>
  </w:style>
  <w:style w:type="character" w:customStyle="1" w:styleId="55">
    <w:name w:val="标题 9 Char"/>
    <w:basedOn w:val="40"/>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4"/>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4"/>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5"/>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19"/>
    <w:qFormat/>
    <w:uiPriority w:val="0"/>
    <w:rPr>
      <w:rFonts w:ascii="Times New Roman" w:hAnsi="Times New Roman" w:eastAsia="宋体" w:cs="Times New Roman"/>
      <w:szCs w:val="20"/>
    </w:rPr>
  </w:style>
  <w:style w:type="character" w:customStyle="1" w:styleId="93">
    <w:name w:val="普通(网站) Char1"/>
    <w:link w:val="33"/>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1"/>
    <w:qFormat/>
    <w:uiPriority w:val="0"/>
    <w:rPr>
      <w:rFonts w:ascii="宋体" w:hAnsi="Courier New" w:eastAsia="宋体"/>
    </w:rPr>
  </w:style>
  <w:style w:type="character" w:customStyle="1" w:styleId="101">
    <w:name w:val="正文文本缩进 2 Char"/>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1"/>
    <w:qFormat/>
    <w:uiPriority w:val="0"/>
    <w:rPr>
      <w:rFonts w:ascii="Arial" w:hAnsi="Arial" w:eastAsia="宋体" w:cs="Times New Roman"/>
      <w:color w:val="000000"/>
      <w:szCs w:val="24"/>
    </w:rPr>
  </w:style>
  <w:style w:type="character" w:customStyle="1" w:styleId="144">
    <w:name w:val="标题 3 Char"/>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6"/>
    <w:qFormat/>
    <w:uiPriority w:val="99"/>
    <w:rPr>
      <w:rFonts w:asciiTheme="minorHAnsi" w:hAnsiTheme="minorHAnsi" w:cstheme="minorBidi"/>
      <w:kern w:val="2"/>
      <w:sz w:val="21"/>
      <w:szCs w:val="22"/>
    </w:rPr>
  </w:style>
  <w:style w:type="character" w:customStyle="1" w:styleId="164">
    <w:name w:val="批注主题 字符2"/>
    <w:basedOn w:val="163"/>
    <w:semiHidden/>
    <w:qFormat/>
    <w:uiPriority w:val="99"/>
    <w:rPr>
      <w:rFonts w:eastAsia="宋体" w:asciiTheme="minorHAnsi" w:hAnsiTheme="minorHAnsi" w:cstheme="minorBidi"/>
      <w:b/>
      <w:bCs/>
      <w:kern w:val="2"/>
      <w:sz w:val="21"/>
      <w:szCs w:val="22"/>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6"/>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3">
    <w:name w:val="网格型1"/>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修订4"/>
    <w:hidden/>
    <w:semiHidden/>
    <w:qFormat/>
    <w:uiPriority w:val="99"/>
    <w:rPr>
      <w:rFonts w:eastAsia="宋体" w:asciiTheme="minorHAnsi" w:hAnsiTheme="minorHAnsi" w:cstheme="minorBidi"/>
      <w:kern w:val="2"/>
      <w:sz w:val="21"/>
      <w:szCs w:val="22"/>
      <w:lang w:val="en-US" w:eastAsia="zh-CN" w:bidi="ar-SA"/>
    </w:rPr>
  </w:style>
  <w:style w:type="paragraph" w:customStyle="1" w:styleId="206">
    <w:name w:val="修订5"/>
    <w:hidden/>
    <w:semiHidden/>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55463</Words>
  <Characters>58449</Characters>
  <Lines>109</Lines>
  <Paragraphs>142</Paragraphs>
  <TotalTime>8</TotalTime>
  <ScaleCrop>false</ScaleCrop>
  <LinksUpToDate>false</LinksUpToDate>
  <CharactersWithSpaces>62907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Admin</dc:creator>
  <cp:lastModifiedBy>柒</cp:lastModifiedBy>
  <cp:lastPrinted>2024-10-21T03:09:00Z</cp:lastPrinted>
  <dcterms:modified xsi:type="dcterms:W3CDTF">2025-05-13T03:31:43Z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F7D49B3BD38942D296C41E4BACED0679_13</vt:lpwstr>
  </property>
</Properties>
</file>