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9155F">
      <w:pPr>
        <w:autoSpaceDE w:val="0"/>
        <w:autoSpaceDN w:val="0"/>
        <w:adjustRightInd w:val="0"/>
        <w:spacing w:line="276" w:lineRule="auto"/>
        <w:ind w:left="357" w:leftChars="170" w:right="-23" w:rightChars="-11"/>
        <w:jc w:val="center"/>
        <w:rPr>
          <w:rFonts w:hint="eastAsia" w:ascii="宋体" w:hAnsi="宋体" w:eastAsia="宋体" w:cs="宋体"/>
          <w:b/>
          <w:bCs/>
          <w:color w:val="auto"/>
          <w:kern w:val="0"/>
          <w:sz w:val="52"/>
          <w:szCs w:val="52"/>
          <w:highlight w:val="none"/>
          <w:lang w:val="zh-CN"/>
        </w:rPr>
      </w:pPr>
    </w:p>
    <w:p w14:paraId="65CE6ABE">
      <w:pPr>
        <w:autoSpaceDE w:val="0"/>
        <w:autoSpaceDN w:val="0"/>
        <w:adjustRightInd w:val="0"/>
        <w:spacing w:line="360" w:lineRule="auto"/>
        <w:ind w:left="357" w:leftChars="170" w:right="-23" w:rightChars="-11"/>
        <w:jc w:val="center"/>
        <w:outlineLvl w:val="9"/>
        <w:rPr>
          <w:rFonts w:hint="eastAsia" w:ascii="宋体" w:hAnsi="宋体" w:eastAsia="宋体" w:cs="宋体"/>
          <w:b/>
          <w:bCs/>
          <w:color w:val="auto"/>
          <w:kern w:val="0"/>
          <w:sz w:val="44"/>
          <w:szCs w:val="44"/>
          <w:highlight w:val="none"/>
          <w:lang w:val="zh-CN"/>
        </w:rPr>
      </w:pPr>
      <w:r>
        <w:rPr>
          <w:rFonts w:hint="eastAsia" w:ascii="宋体" w:hAnsi="宋体" w:eastAsia="宋体" w:cs="宋体"/>
          <w:b/>
          <w:bCs/>
          <w:color w:val="auto"/>
          <w:kern w:val="0"/>
          <w:sz w:val="60"/>
          <w:szCs w:val="60"/>
          <w:highlight w:val="none"/>
          <w:lang w:val="zh-CN"/>
        </w:rPr>
        <w:t>东莞市置拓投资有限公司水业大厦食堂经营服务采购项目</w:t>
      </w:r>
    </w:p>
    <w:p w14:paraId="3B8FBB88">
      <w:pPr>
        <w:autoSpaceDE w:val="0"/>
        <w:autoSpaceDN w:val="0"/>
        <w:adjustRightInd w:val="0"/>
        <w:ind w:right="-23" w:rightChars="-11"/>
        <w:jc w:val="left"/>
        <w:outlineLvl w:val="9"/>
        <w:rPr>
          <w:rFonts w:hint="eastAsia" w:ascii="宋体" w:hAnsi="宋体" w:eastAsia="宋体" w:cs="宋体"/>
          <w:b/>
          <w:bCs/>
          <w:color w:val="auto"/>
          <w:sz w:val="44"/>
          <w:szCs w:val="44"/>
          <w:highlight w:val="none"/>
          <w:lang w:val="zh-CN"/>
        </w:rPr>
      </w:pPr>
    </w:p>
    <w:p w14:paraId="3415397F">
      <w:pPr>
        <w:autoSpaceDE w:val="0"/>
        <w:autoSpaceDN w:val="0"/>
        <w:adjustRightInd w:val="0"/>
        <w:ind w:right="-23" w:rightChars="-11"/>
        <w:jc w:val="center"/>
        <w:outlineLvl w:val="9"/>
        <w:rPr>
          <w:rFonts w:hint="eastAsia" w:ascii="宋体" w:hAnsi="宋体" w:eastAsia="宋体" w:cs="宋体"/>
          <w:b/>
          <w:bCs/>
          <w:color w:val="auto"/>
          <w:sz w:val="72"/>
          <w:szCs w:val="72"/>
          <w:highlight w:val="none"/>
          <w:lang w:val="zh-CN"/>
        </w:rPr>
      </w:pPr>
    </w:p>
    <w:p w14:paraId="31391CA4">
      <w:pPr>
        <w:autoSpaceDE w:val="0"/>
        <w:autoSpaceDN w:val="0"/>
        <w:adjustRightInd w:val="0"/>
        <w:ind w:right="-23" w:rightChars="-11"/>
        <w:jc w:val="center"/>
        <w:outlineLvl w:val="9"/>
        <w:rPr>
          <w:rFonts w:hint="eastAsia" w:ascii="宋体" w:hAnsi="宋体" w:eastAsia="宋体" w:cs="宋体"/>
          <w:b/>
          <w:bCs/>
          <w:color w:val="auto"/>
          <w:sz w:val="72"/>
          <w:szCs w:val="72"/>
          <w:highlight w:val="none"/>
          <w:lang w:val="zh-CN"/>
        </w:rPr>
      </w:pPr>
      <w:r>
        <w:rPr>
          <w:rFonts w:hint="eastAsia" w:ascii="宋体" w:hAnsi="宋体" w:eastAsia="宋体" w:cs="宋体"/>
          <w:b/>
          <w:bCs/>
          <w:color w:val="auto"/>
          <w:sz w:val="72"/>
          <w:szCs w:val="72"/>
          <w:highlight w:val="none"/>
          <w:lang w:val="zh-CN"/>
        </w:rPr>
        <w:t>招</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标</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文</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件</w:t>
      </w:r>
    </w:p>
    <w:p w14:paraId="79B00E29">
      <w:pPr>
        <w:autoSpaceDE w:val="0"/>
        <w:autoSpaceDN w:val="0"/>
        <w:adjustRightInd w:val="0"/>
        <w:ind w:right="-23" w:rightChars="-11"/>
        <w:jc w:val="center"/>
        <w:outlineLvl w:val="9"/>
        <w:rPr>
          <w:rFonts w:hint="eastAsia" w:ascii="宋体" w:hAnsi="宋体" w:eastAsia="宋体" w:cs="宋体"/>
          <w:b/>
          <w:bCs/>
          <w:color w:val="auto"/>
          <w:sz w:val="32"/>
          <w:szCs w:val="32"/>
          <w:highlight w:val="none"/>
          <w:lang w:val="zh-CN"/>
        </w:rPr>
      </w:pPr>
    </w:p>
    <w:p w14:paraId="232D75FD">
      <w:pPr>
        <w:autoSpaceDE w:val="0"/>
        <w:autoSpaceDN w:val="0"/>
        <w:adjustRightInd w:val="0"/>
        <w:ind w:right="-23" w:rightChars="-11"/>
        <w:jc w:val="center"/>
        <w:outlineLvl w:val="9"/>
        <w:rPr>
          <w:rFonts w:hint="eastAsia" w:ascii="宋体" w:hAnsi="宋体" w:eastAsia="宋体" w:cs="宋体"/>
          <w:b/>
          <w:bCs/>
          <w:color w:val="auto"/>
          <w:sz w:val="44"/>
          <w:szCs w:val="44"/>
          <w:highlight w:val="none"/>
          <w:lang w:val="zh-CN"/>
        </w:rPr>
      </w:pPr>
    </w:p>
    <w:p w14:paraId="0F9104F7">
      <w:pPr>
        <w:autoSpaceDE w:val="0"/>
        <w:autoSpaceDN w:val="0"/>
        <w:adjustRightInd w:val="0"/>
        <w:ind w:right="-23" w:rightChars="-11"/>
        <w:jc w:val="left"/>
        <w:outlineLvl w:val="9"/>
        <w:rPr>
          <w:rFonts w:hint="eastAsia" w:ascii="宋体" w:hAnsi="宋体" w:eastAsia="宋体" w:cs="宋体"/>
          <w:b/>
          <w:bCs/>
          <w:color w:val="auto"/>
          <w:sz w:val="32"/>
          <w:szCs w:val="32"/>
          <w:highlight w:val="none"/>
          <w:u w:val="single"/>
          <w:lang w:val="zh-CN"/>
        </w:rPr>
      </w:pPr>
    </w:p>
    <w:p w14:paraId="350258B4">
      <w:pPr>
        <w:tabs>
          <w:tab w:val="left" w:pos="9240"/>
        </w:tabs>
        <w:autoSpaceDE w:val="0"/>
        <w:autoSpaceDN w:val="0"/>
        <w:adjustRightInd w:val="0"/>
        <w:spacing w:line="700" w:lineRule="exact"/>
        <w:ind w:right="-23" w:rightChars="-11"/>
        <w:jc w:val="left"/>
        <w:outlineLvl w:val="9"/>
        <w:rPr>
          <w:rFonts w:hint="eastAsia" w:ascii="宋体" w:hAnsi="宋体" w:eastAsia="宋体" w:cs="宋体"/>
          <w:b/>
          <w:bCs/>
          <w:color w:val="auto"/>
          <w:sz w:val="32"/>
          <w:szCs w:val="32"/>
          <w:highlight w:val="none"/>
          <w:lang w:val="zh-CN"/>
        </w:rPr>
      </w:pPr>
    </w:p>
    <w:p w14:paraId="2C94C2D5">
      <w:pPr>
        <w:autoSpaceDE w:val="0"/>
        <w:autoSpaceDN w:val="0"/>
        <w:adjustRightInd w:val="0"/>
        <w:spacing w:line="480" w:lineRule="auto"/>
        <w:ind w:left="1842" w:leftChars="877" w:firstLine="19" w:firstLineChars="6"/>
        <w:jc w:val="left"/>
        <w:outlineLvl w:val="9"/>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zh-CN"/>
        </w:rPr>
        <w:t>招</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标</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编</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号：广建咨询（东招）2025-0020号</w:t>
      </w:r>
    </w:p>
    <w:p w14:paraId="72A8461A">
      <w:pPr>
        <w:autoSpaceDE w:val="0"/>
        <w:autoSpaceDN w:val="0"/>
        <w:adjustRightInd w:val="0"/>
        <w:spacing w:line="480" w:lineRule="auto"/>
        <w:ind w:left="1842" w:leftChars="877" w:firstLine="19" w:firstLineChars="6"/>
        <w:jc w:val="left"/>
        <w:outlineLvl w:val="9"/>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招</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标</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人：东莞市</w:t>
      </w:r>
      <w:r>
        <w:rPr>
          <w:rFonts w:hint="eastAsia" w:ascii="宋体" w:hAnsi="宋体" w:eastAsia="宋体" w:cs="宋体"/>
          <w:b/>
          <w:bCs/>
          <w:color w:val="auto"/>
          <w:sz w:val="32"/>
          <w:szCs w:val="32"/>
          <w:highlight w:val="none"/>
          <w:lang w:val="en-US" w:eastAsia="zh-CN"/>
        </w:rPr>
        <w:t>置拓投资有限公司</w:t>
      </w:r>
    </w:p>
    <w:p w14:paraId="415E331B">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宋体"/>
          <w:b/>
          <w:bCs/>
          <w:color w:val="auto"/>
          <w:sz w:val="32"/>
          <w:szCs w:val="32"/>
          <w:highlight w:val="none"/>
          <w:lang w:val="zh-CN"/>
        </w:rPr>
        <w:t>招标代理机构：</w:t>
      </w:r>
      <w:r>
        <w:rPr>
          <w:rFonts w:hint="eastAsia" w:ascii="宋体" w:hAnsi="宋体" w:eastAsia="宋体" w:cs="Times New Roman"/>
          <w:b/>
          <w:bCs/>
          <w:color w:val="auto"/>
          <w:sz w:val="32"/>
          <w:szCs w:val="32"/>
          <w:highlight w:val="none"/>
          <w:lang w:val="zh-CN"/>
        </w:rPr>
        <w:t>建成工程咨询股份有限公司</w:t>
      </w:r>
    </w:p>
    <w:p w14:paraId="07EF7766">
      <w:pPr>
        <w:autoSpaceDE w:val="0"/>
        <w:autoSpaceDN w:val="0"/>
        <w:adjustRightInd w:val="0"/>
        <w:spacing w:line="480" w:lineRule="auto"/>
        <w:ind w:left="1842" w:leftChars="877" w:right="0" w:rightChars="0" w:firstLine="19" w:firstLineChars="6"/>
        <w:jc w:val="left"/>
        <w:outlineLvl w:val="9"/>
        <w:rPr>
          <w:rFonts w:hint="eastAsia" w:ascii="宋体" w:hAnsi="宋体" w:eastAsia="宋体" w:cs="宋体"/>
          <w:b/>
          <w:bCs/>
          <w:color w:val="auto"/>
          <w:kern w:val="0"/>
          <w:sz w:val="32"/>
          <w:szCs w:val="32"/>
          <w:highlight w:val="none"/>
          <w:lang w:val="zh-CN"/>
        </w:rPr>
      </w:pPr>
    </w:p>
    <w:p w14:paraId="022F8FB5">
      <w:pPr>
        <w:autoSpaceDE w:val="0"/>
        <w:autoSpaceDN w:val="0"/>
        <w:adjustRightInd w:val="0"/>
        <w:ind w:right="-23" w:rightChars="-11"/>
        <w:jc w:val="center"/>
        <w:outlineLvl w:val="9"/>
        <w:rPr>
          <w:rFonts w:hint="eastAsia" w:ascii="宋体" w:hAnsi="宋体" w:eastAsia="宋体" w:cs="宋体"/>
          <w:b/>
          <w:bCs/>
          <w:color w:val="auto"/>
          <w:kern w:val="0"/>
          <w:sz w:val="84"/>
          <w:szCs w:val="84"/>
          <w:highlight w:val="none"/>
          <w:lang w:val="zh-CN"/>
        </w:rPr>
      </w:pPr>
    </w:p>
    <w:p w14:paraId="6C1E49E3">
      <w:pPr>
        <w:autoSpaceDE w:val="0"/>
        <w:autoSpaceDN w:val="0"/>
        <w:adjustRightInd w:val="0"/>
        <w:spacing w:line="360" w:lineRule="auto"/>
        <w:ind w:left="357" w:leftChars="170" w:right="-23" w:rightChars="-11" w:firstLine="321" w:firstLineChars="100"/>
        <w:jc w:val="center"/>
        <w:outlineLvl w:val="9"/>
        <w:rPr>
          <w:rFonts w:hint="eastAsia" w:ascii="宋体" w:hAnsi="宋体" w:eastAsia="宋体" w:cs="宋体"/>
          <w:b/>
          <w:bCs/>
          <w:color w:val="auto"/>
          <w:kern w:val="0"/>
          <w:sz w:val="52"/>
          <w:szCs w:val="52"/>
          <w:highlight w:val="none"/>
        </w:rPr>
      </w:pPr>
      <w:r>
        <w:rPr>
          <w:rFonts w:hint="eastAsia" w:ascii="宋体" w:hAnsi="宋体" w:eastAsia="宋体" w:cs="宋体"/>
          <w:b/>
          <w:bCs/>
          <w:color w:val="auto"/>
          <w:sz w:val="32"/>
          <w:szCs w:val="32"/>
          <w:highlight w:val="none"/>
          <w:lang w:val="en-US" w:eastAsia="zh-CN"/>
        </w:rPr>
        <w:t>2025</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4</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11</w:t>
      </w:r>
      <w:r>
        <w:rPr>
          <w:rFonts w:hint="eastAsia" w:ascii="宋体" w:hAnsi="宋体" w:eastAsia="宋体" w:cs="宋体"/>
          <w:b/>
          <w:bCs/>
          <w:color w:val="auto"/>
          <w:sz w:val="32"/>
          <w:szCs w:val="32"/>
          <w:highlight w:val="none"/>
          <w:lang w:val="zh-CN"/>
        </w:rPr>
        <w:t>日</w:t>
      </w:r>
    </w:p>
    <w:sdt>
      <w:sdtPr>
        <w:rPr>
          <w:rFonts w:hint="eastAsia" w:ascii="宋体" w:hAnsi="宋体" w:eastAsia="宋体" w:cs="宋体"/>
          <w:kern w:val="2"/>
          <w:sz w:val="21"/>
          <w:szCs w:val="22"/>
          <w:highlight w:val="none"/>
          <w:lang w:val="en-US" w:eastAsia="zh-CN" w:bidi="ar-SA"/>
        </w:rPr>
        <w:id w:val="147455214"/>
        <w15:color w:val="DBDBDB"/>
        <w:docPartObj>
          <w:docPartGallery w:val="Table of Contents"/>
          <w:docPartUnique/>
        </w:docPartObj>
      </w:sdtPr>
      <w:sdtEndPr>
        <w:rPr>
          <w:rFonts w:hint="eastAsia" w:ascii="宋体" w:hAnsi="宋体" w:eastAsia="宋体" w:cs="宋体"/>
          <w:b/>
          <w:kern w:val="2"/>
          <w:sz w:val="21"/>
          <w:szCs w:val="22"/>
          <w:highlight w:val="none"/>
          <w:lang w:val="zh-CN" w:eastAsia="zh-CN" w:bidi="ar-SA"/>
        </w:rPr>
      </w:sdtEndPr>
      <w:sdtContent>
        <w:p w14:paraId="242C6DB5">
          <w:pPr>
            <w:spacing w:before="0" w:beforeLines="0" w:after="0" w:afterLines="0" w:line="240" w:lineRule="auto"/>
            <w:ind w:left="0" w:leftChars="0" w:right="0" w:rightChars="0" w:firstLine="0" w:firstLineChars="0"/>
            <w:jc w:val="center"/>
            <w:rPr>
              <w:rFonts w:hint="eastAsia" w:ascii="宋体" w:hAnsi="宋体" w:eastAsia="宋体" w:cs="宋体"/>
              <w:kern w:val="2"/>
              <w:sz w:val="21"/>
              <w:szCs w:val="22"/>
              <w:highlight w:val="none"/>
              <w:lang w:val="en-US" w:eastAsia="zh-CN" w:bidi="ar-SA"/>
            </w:rPr>
          </w:pPr>
        </w:p>
        <w:p w14:paraId="6B9832BD">
          <w:pPr>
            <w:spacing w:before="0" w:beforeLines="0" w:after="0" w:afterLines="0" w:line="240" w:lineRule="auto"/>
            <w:ind w:left="0" w:leftChars="0" w:right="0" w:rightChars="0" w:firstLine="0" w:firstLineChars="0"/>
            <w:jc w:val="center"/>
            <w:rPr>
              <w:rFonts w:hint="eastAsia" w:ascii="宋体" w:hAnsi="宋体" w:eastAsia="宋体" w:cs="宋体"/>
              <w:kern w:val="2"/>
              <w:sz w:val="21"/>
              <w:szCs w:val="22"/>
              <w:highlight w:val="none"/>
              <w:lang w:val="en-US" w:eastAsia="zh-CN" w:bidi="ar-SA"/>
            </w:rPr>
          </w:pPr>
        </w:p>
        <w:p w14:paraId="56C1ADF2">
          <w:pPr>
            <w:spacing w:before="0" w:beforeLines="0" w:after="0" w:afterLines="0" w:line="240" w:lineRule="auto"/>
            <w:ind w:left="0" w:leftChars="0" w:right="0" w:rightChars="0" w:firstLine="0" w:firstLineChars="0"/>
            <w:jc w:val="center"/>
            <w:rPr>
              <w:rFonts w:hint="eastAsia" w:ascii="宋体" w:hAnsi="宋体" w:eastAsia="宋体" w:cs="宋体"/>
              <w:kern w:val="2"/>
              <w:sz w:val="21"/>
              <w:szCs w:val="22"/>
              <w:highlight w:val="none"/>
              <w:lang w:val="en-US" w:eastAsia="zh-CN" w:bidi="ar-SA"/>
            </w:rPr>
          </w:pPr>
        </w:p>
        <w:p w14:paraId="12ACF627">
          <w:pPr>
            <w:spacing w:before="0" w:beforeLines="0" w:after="0" w:afterLines="0" w:line="240" w:lineRule="auto"/>
            <w:ind w:left="0" w:leftChars="0" w:right="0" w:rightChars="0" w:firstLine="0" w:firstLineChars="0"/>
            <w:jc w:val="center"/>
            <w:rPr>
              <w:rFonts w:hint="eastAsia" w:ascii="宋体" w:hAnsi="宋体" w:eastAsia="宋体" w:cs="宋体"/>
              <w:kern w:val="2"/>
              <w:sz w:val="21"/>
              <w:szCs w:val="22"/>
              <w:highlight w:val="none"/>
              <w:lang w:val="en-US" w:eastAsia="zh-CN" w:bidi="ar-SA"/>
            </w:rPr>
          </w:pPr>
        </w:p>
        <w:p w14:paraId="23404504">
          <w:pPr>
            <w:spacing w:before="0" w:beforeLines="0" w:after="0" w:afterLines="0" w:line="360" w:lineRule="auto"/>
            <w:ind w:left="0" w:leftChars="0" w:right="0" w:righ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目录</w:t>
          </w:r>
        </w:p>
        <w:p w14:paraId="78558231">
          <w:pPr>
            <w:pStyle w:val="27"/>
            <w:tabs>
              <w:tab w:val="right" w:leader="dot" w:pos="1015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TOC \o "1-3" \h \u </w:instrText>
          </w:r>
          <w:r>
            <w:rPr>
              <w:rFonts w:hint="eastAsia" w:ascii="宋体" w:hAnsi="宋体" w:eastAsia="宋体" w:cs="宋体"/>
              <w:highlight w:val="none"/>
              <w:lang w:val="zh-CN"/>
            </w:rPr>
            <w:fldChar w:fldCharType="separate"/>
          </w: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_Toc25807 </w:instrText>
          </w:r>
          <w:r>
            <w:rPr>
              <w:rFonts w:hint="eastAsia" w:ascii="宋体" w:hAnsi="宋体" w:eastAsia="宋体" w:cs="宋体"/>
              <w:highlight w:val="none"/>
              <w:lang w:val="zh-CN"/>
            </w:rPr>
            <w:fldChar w:fldCharType="separate"/>
          </w:r>
          <w:r>
            <w:rPr>
              <w:rFonts w:hint="eastAsia" w:ascii="宋体" w:hAnsi="宋体" w:eastAsia="宋体" w:cs="宋体"/>
              <w:bCs/>
              <w:kern w:val="44"/>
              <w:szCs w:val="32"/>
              <w:highlight w:val="none"/>
              <w:lang w:val="zh-CN"/>
            </w:rPr>
            <w:t>第一篇 招标公告</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_Toc25807 \h </w:instrText>
          </w:r>
          <w:r>
            <w:rPr>
              <w:rFonts w:hint="eastAsia" w:ascii="宋体" w:hAnsi="宋体" w:eastAsia="宋体" w:cs="宋体"/>
              <w:highlight w:val="none"/>
            </w:rPr>
            <w:fldChar w:fldCharType="separate"/>
          </w:r>
          <w:r>
            <w:rPr>
              <w:rFonts w:hint="eastAsia" w:ascii="宋体" w:hAnsi="宋体" w:eastAsia="宋体" w:cs="宋体"/>
              <w:highlight w:val="none"/>
            </w:rPr>
            <w:t>4</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72460808">
          <w:pPr>
            <w:pStyle w:val="27"/>
            <w:tabs>
              <w:tab w:val="right" w:leader="dot" w:pos="1015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_Toc8813 </w:instrText>
          </w:r>
          <w:r>
            <w:rPr>
              <w:rFonts w:hint="eastAsia" w:ascii="宋体" w:hAnsi="宋体" w:eastAsia="宋体" w:cs="宋体"/>
              <w:highlight w:val="none"/>
              <w:lang w:val="zh-CN"/>
            </w:rPr>
            <w:fldChar w:fldCharType="separate"/>
          </w:r>
          <w:r>
            <w:rPr>
              <w:rFonts w:hint="eastAsia" w:ascii="宋体" w:hAnsi="宋体" w:eastAsia="宋体" w:cs="宋体"/>
              <w:bCs/>
              <w:kern w:val="44"/>
              <w:szCs w:val="32"/>
              <w:highlight w:val="none"/>
              <w:lang w:val="zh-CN"/>
            </w:rPr>
            <w:t>第二篇</w:t>
          </w:r>
          <w:r>
            <w:rPr>
              <w:rFonts w:hint="eastAsia" w:ascii="宋体" w:hAnsi="宋体" w:eastAsia="宋体" w:cs="宋体"/>
              <w:bCs/>
              <w:kern w:val="44"/>
              <w:szCs w:val="32"/>
              <w:highlight w:val="none"/>
            </w:rPr>
            <w:t xml:space="preserve"> </w:t>
          </w:r>
          <w:r>
            <w:rPr>
              <w:rFonts w:hint="eastAsia" w:ascii="宋体" w:hAnsi="宋体" w:eastAsia="宋体" w:cs="宋体"/>
              <w:bCs/>
              <w:kern w:val="44"/>
              <w:szCs w:val="32"/>
              <w:highlight w:val="none"/>
              <w:lang w:val="zh-CN"/>
            </w:rPr>
            <w:t>投标人须知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_Toc8813 \h </w:instrText>
          </w:r>
          <w:r>
            <w:rPr>
              <w:rFonts w:hint="eastAsia" w:ascii="宋体" w:hAnsi="宋体" w:eastAsia="宋体" w:cs="宋体"/>
              <w:highlight w:val="none"/>
            </w:rPr>
            <w:fldChar w:fldCharType="separate"/>
          </w:r>
          <w:r>
            <w:rPr>
              <w:rFonts w:hint="eastAsia" w:ascii="宋体" w:hAnsi="宋体" w:eastAsia="宋体" w:cs="宋体"/>
              <w:highlight w:val="none"/>
            </w:rPr>
            <w:t>6</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2F62714D">
          <w:pPr>
            <w:pStyle w:val="30"/>
            <w:tabs>
              <w:tab w:val="right" w:leader="dot" w:pos="1015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_Toc23534 </w:instrText>
          </w:r>
          <w:r>
            <w:rPr>
              <w:rFonts w:hint="eastAsia" w:ascii="宋体" w:hAnsi="宋体" w:eastAsia="宋体" w:cs="宋体"/>
              <w:highlight w:val="none"/>
              <w:lang w:val="zh-CN"/>
            </w:rPr>
            <w:fldChar w:fldCharType="separate"/>
          </w:r>
          <w:r>
            <w:rPr>
              <w:rFonts w:hint="eastAsia" w:ascii="宋体" w:hAnsi="宋体" w:eastAsia="宋体" w:cs="宋体"/>
              <w:bCs/>
              <w:kern w:val="44"/>
              <w:szCs w:val="21"/>
              <w:highlight w:val="none"/>
              <w:lang w:val="zh-CN"/>
            </w:rPr>
            <w:t>一、总则</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_Toc23534 \h </w:instrText>
          </w:r>
          <w:r>
            <w:rPr>
              <w:rFonts w:hint="eastAsia" w:ascii="宋体" w:hAnsi="宋体" w:eastAsia="宋体" w:cs="宋体"/>
              <w:highlight w:val="none"/>
            </w:rPr>
            <w:fldChar w:fldCharType="separate"/>
          </w:r>
          <w:r>
            <w:rPr>
              <w:rFonts w:hint="eastAsia" w:ascii="宋体" w:hAnsi="宋体" w:eastAsia="宋体" w:cs="宋体"/>
              <w:highlight w:val="none"/>
            </w:rPr>
            <w:t>6</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49CA985A">
          <w:pPr>
            <w:pStyle w:val="20"/>
            <w:tabs>
              <w:tab w:val="right" w:leader="dot" w:pos="10154"/>
              <w:tab w:val="clear" w:pos="1014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_Toc26510 </w:instrText>
          </w:r>
          <w:r>
            <w:rPr>
              <w:rFonts w:hint="eastAsia" w:ascii="宋体" w:hAnsi="宋体" w:eastAsia="宋体" w:cs="宋体"/>
              <w:highlight w:val="none"/>
              <w:lang w:val="zh-CN"/>
            </w:rPr>
            <w:fldChar w:fldCharType="separate"/>
          </w:r>
          <w:r>
            <w:rPr>
              <w:rFonts w:hint="eastAsia" w:ascii="宋体" w:hAnsi="宋体" w:eastAsia="宋体" w:cs="宋体"/>
              <w:szCs w:val="21"/>
              <w:highlight w:val="none"/>
              <w:lang w:val="zh-CN"/>
            </w:rPr>
            <w:t>1 资金来源：企业自筹资金。</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_Toc26510 \h </w:instrText>
          </w:r>
          <w:r>
            <w:rPr>
              <w:rFonts w:hint="eastAsia" w:ascii="宋体" w:hAnsi="宋体" w:eastAsia="宋体" w:cs="宋体"/>
              <w:highlight w:val="none"/>
            </w:rPr>
            <w:fldChar w:fldCharType="separate"/>
          </w:r>
          <w:r>
            <w:rPr>
              <w:rFonts w:hint="eastAsia" w:ascii="宋体" w:hAnsi="宋体" w:eastAsia="宋体" w:cs="宋体"/>
              <w:highlight w:val="none"/>
            </w:rPr>
            <w:t>6</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4B4CE2A1">
          <w:pPr>
            <w:pStyle w:val="20"/>
            <w:tabs>
              <w:tab w:val="right" w:leader="dot" w:pos="10154"/>
              <w:tab w:val="clear" w:pos="1014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_Toc11960 </w:instrText>
          </w:r>
          <w:r>
            <w:rPr>
              <w:rFonts w:hint="eastAsia" w:ascii="宋体" w:hAnsi="宋体" w:eastAsia="宋体" w:cs="宋体"/>
              <w:highlight w:val="none"/>
              <w:lang w:val="zh-CN"/>
            </w:rPr>
            <w:fldChar w:fldCharType="separate"/>
          </w:r>
          <w:r>
            <w:rPr>
              <w:rFonts w:hint="eastAsia" w:ascii="宋体" w:hAnsi="宋体" w:eastAsia="宋体" w:cs="宋体"/>
              <w:szCs w:val="21"/>
              <w:highlight w:val="none"/>
              <w:lang w:val="zh-CN"/>
            </w:rPr>
            <w:t>2 合格的投标人</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_Toc11960 \h </w:instrText>
          </w:r>
          <w:r>
            <w:rPr>
              <w:rFonts w:hint="eastAsia" w:ascii="宋体" w:hAnsi="宋体" w:eastAsia="宋体" w:cs="宋体"/>
              <w:highlight w:val="none"/>
            </w:rPr>
            <w:fldChar w:fldCharType="separate"/>
          </w:r>
          <w:r>
            <w:rPr>
              <w:rFonts w:hint="eastAsia" w:ascii="宋体" w:hAnsi="宋体" w:eastAsia="宋体" w:cs="宋体"/>
              <w:highlight w:val="none"/>
            </w:rPr>
            <w:t>6</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7ACA482D">
          <w:pPr>
            <w:pStyle w:val="20"/>
            <w:tabs>
              <w:tab w:val="right" w:leader="dot" w:pos="10154"/>
              <w:tab w:val="clear" w:pos="1014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_Toc9164 </w:instrText>
          </w:r>
          <w:r>
            <w:rPr>
              <w:rFonts w:hint="eastAsia" w:ascii="宋体" w:hAnsi="宋体" w:eastAsia="宋体" w:cs="宋体"/>
              <w:highlight w:val="none"/>
              <w:lang w:val="zh-CN"/>
            </w:rPr>
            <w:fldChar w:fldCharType="separate"/>
          </w:r>
          <w:r>
            <w:rPr>
              <w:rFonts w:hint="eastAsia" w:ascii="宋体" w:hAnsi="宋体" w:eastAsia="宋体" w:cs="宋体"/>
              <w:szCs w:val="21"/>
              <w:highlight w:val="none"/>
              <w:lang w:val="zh-CN"/>
            </w:rPr>
            <w:t>3 合格的</w:t>
          </w:r>
          <w:r>
            <w:rPr>
              <w:rFonts w:hint="eastAsia" w:ascii="宋体" w:hAnsi="宋体" w:eastAsia="宋体" w:cs="宋体"/>
              <w:szCs w:val="21"/>
              <w:highlight w:val="none"/>
              <w:lang w:val="en-US" w:eastAsia="zh-CN"/>
            </w:rPr>
            <w:t>服务</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_Toc9164 \h </w:instrText>
          </w:r>
          <w:r>
            <w:rPr>
              <w:rFonts w:hint="eastAsia" w:ascii="宋体" w:hAnsi="宋体" w:eastAsia="宋体" w:cs="宋体"/>
              <w:highlight w:val="none"/>
            </w:rPr>
            <w:fldChar w:fldCharType="separate"/>
          </w:r>
          <w:r>
            <w:rPr>
              <w:rFonts w:hint="eastAsia" w:ascii="宋体" w:hAnsi="宋体" w:eastAsia="宋体" w:cs="宋体"/>
              <w:highlight w:val="none"/>
            </w:rPr>
            <w:t>6</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1A5F1F44">
          <w:pPr>
            <w:pStyle w:val="20"/>
            <w:tabs>
              <w:tab w:val="right" w:leader="dot" w:pos="10154"/>
              <w:tab w:val="clear" w:pos="1014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_Toc2765 </w:instrText>
          </w:r>
          <w:r>
            <w:rPr>
              <w:rFonts w:hint="eastAsia" w:ascii="宋体" w:hAnsi="宋体" w:eastAsia="宋体" w:cs="宋体"/>
              <w:highlight w:val="none"/>
              <w:lang w:val="zh-CN"/>
            </w:rPr>
            <w:fldChar w:fldCharType="separate"/>
          </w:r>
          <w:r>
            <w:rPr>
              <w:rFonts w:hint="eastAsia" w:ascii="宋体" w:hAnsi="宋体" w:eastAsia="宋体" w:cs="宋体"/>
              <w:szCs w:val="21"/>
              <w:highlight w:val="none"/>
              <w:lang w:val="zh-CN"/>
            </w:rPr>
            <w:t>4 其它说明</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_Toc2765 \h </w:instrText>
          </w:r>
          <w:r>
            <w:rPr>
              <w:rFonts w:hint="eastAsia" w:ascii="宋体" w:hAnsi="宋体" w:eastAsia="宋体" w:cs="宋体"/>
              <w:highlight w:val="none"/>
            </w:rPr>
            <w:fldChar w:fldCharType="separate"/>
          </w:r>
          <w:r>
            <w:rPr>
              <w:rFonts w:hint="eastAsia" w:ascii="宋体" w:hAnsi="宋体" w:eastAsia="宋体" w:cs="宋体"/>
              <w:highlight w:val="none"/>
            </w:rPr>
            <w:t>7</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18A23C5B">
          <w:pPr>
            <w:pStyle w:val="30"/>
            <w:tabs>
              <w:tab w:val="right" w:leader="dot" w:pos="1015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_Toc20799 </w:instrText>
          </w:r>
          <w:r>
            <w:rPr>
              <w:rFonts w:hint="eastAsia" w:ascii="宋体" w:hAnsi="宋体" w:eastAsia="宋体" w:cs="宋体"/>
              <w:highlight w:val="none"/>
              <w:lang w:val="zh-CN"/>
            </w:rPr>
            <w:fldChar w:fldCharType="separate"/>
          </w:r>
          <w:r>
            <w:rPr>
              <w:rFonts w:hint="eastAsia" w:ascii="宋体" w:hAnsi="宋体" w:eastAsia="宋体" w:cs="宋体"/>
              <w:bCs/>
              <w:kern w:val="44"/>
              <w:szCs w:val="21"/>
              <w:highlight w:val="none"/>
              <w:lang w:val="zh-CN"/>
            </w:rPr>
            <w:t>二、招标文件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_Toc20799 \h </w:instrText>
          </w:r>
          <w:r>
            <w:rPr>
              <w:rFonts w:hint="eastAsia" w:ascii="宋体" w:hAnsi="宋体" w:eastAsia="宋体" w:cs="宋体"/>
              <w:highlight w:val="none"/>
            </w:rPr>
            <w:fldChar w:fldCharType="separate"/>
          </w:r>
          <w:r>
            <w:rPr>
              <w:rFonts w:hint="eastAsia" w:ascii="宋体" w:hAnsi="宋体" w:eastAsia="宋体" w:cs="宋体"/>
              <w:highlight w:val="none"/>
            </w:rPr>
            <w:t>7</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697221D3">
          <w:pPr>
            <w:pStyle w:val="20"/>
            <w:tabs>
              <w:tab w:val="right" w:leader="dot" w:pos="10154"/>
              <w:tab w:val="clear" w:pos="1014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_Toc24823 </w:instrText>
          </w:r>
          <w:r>
            <w:rPr>
              <w:rFonts w:hint="eastAsia" w:ascii="宋体" w:hAnsi="宋体" w:eastAsia="宋体" w:cs="宋体"/>
              <w:highlight w:val="none"/>
              <w:lang w:val="zh-CN"/>
            </w:rPr>
            <w:fldChar w:fldCharType="separate"/>
          </w:r>
          <w:r>
            <w:rPr>
              <w:rFonts w:hint="eastAsia" w:ascii="宋体" w:hAnsi="宋体" w:eastAsia="宋体" w:cs="宋体"/>
              <w:szCs w:val="21"/>
              <w:highlight w:val="none"/>
              <w:lang w:val="zh-CN"/>
            </w:rPr>
            <w:t>5 招标文件的构成</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_Toc24823 \h </w:instrText>
          </w:r>
          <w:r>
            <w:rPr>
              <w:rFonts w:hint="eastAsia" w:ascii="宋体" w:hAnsi="宋体" w:eastAsia="宋体" w:cs="宋体"/>
              <w:highlight w:val="none"/>
            </w:rPr>
            <w:fldChar w:fldCharType="separate"/>
          </w:r>
          <w:r>
            <w:rPr>
              <w:rFonts w:hint="eastAsia" w:ascii="宋体" w:hAnsi="宋体" w:eastAsia="宋体" w:cs="宋体"/>
              <w:highlight w:val="none"/>
            </w:rPr>
            <w:t>7</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6D4E73D4">
          <w:pPr>
            <w:pStyle w:val="20"/>
            <w:tabs>
              <w:tab w:val="right" w:leader="dot" w:pos="10154"/>
              <w:tab w:val="clear" w:pos="1014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_Toc18520 </w:instrText>
          </w:r>
          <w:r>
            <w:rPr>
              <w:rFonts w:hint="eastAsia" w:ascii="宋体" w:hAnsi="宋体" w:eastAsia="宋体" w:cs="宋体"/>
              <w:highlight w:val="none"/>
              <w:lang w:val="zh-CN"/>
            </w:rPr>
            <w:fldChar w:fldCharType="separate"/>
          </w:r>
          <w:r>
            <w:rPr>
              <w:rFonts w:hint="eastAsia" w:ascii="宋体" w:hAnsi="宋体" w:eastAsia="宋体" w:cs="宋体"/>
              <w:szCs w:val="21"/>
              <w:highlight w:val="none"/>
              <w:lang w:val="zh-CN"/>
            </w:rPr>
            <w:t>6 招标文件的异议</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_Toc18520 \h </w:instrText>
          </w:r>
          <w:r>
            <w:rPr>
              <w:rFonts w:hint="eastAsia" w:ascii="宋体" w:hAnsi="宋体" w:eastAsia="宋体" w:cs="宋体"/>
              <w:highlight w:val="none"/>
            </w:rPr>
            <w:fldChar w:fldCharType="separate"/>
          </w:r>
          <w:r>
            <w:rPr>
              <w:rFonts w:hint="eastAsia" w:ascii="宋体" w:hAnsi="宋体" w:eastAsia="宋体" w:cs="宋体"/>
              <w:highlight w:val="none"/>
            </w:rPr>
            <w:t>8</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47CB6168">
          <w:pPr>
            <w:pStyle w:val="20"/>
            <w:tabs>
              <w:tab w:val="right" w:leader="dot" w:pos="10154"/>
              <w:tab w:val="clear" w:pos="1014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_Toc20355 </w:instrText>
          </w:r>
          <w:r>
            <w:rPr>
              <w:rFonts w:hint="eastAsia" w:ascii="宋体" w:hAnsi="宋体" w:eastAsia="宋体" w:cs="宋体"/>
              <w:highlight w:val="none"/>
              <w:lang w:val="zh-CN"/>
            </w:rPr>
            <w:fldChar w:fldCharType="separate"/>
          </w:r>
          <w:r>
            <w:rPr>
              <w:rFonts w:hint="eastAsia" w:ascii="宋体" w:hAnsi="宋体" w:eastAsia="宋体" w:cs="宋体"/>
              <w:szCs w:val="21"/>
              <w:highlight w:val="none"/>
              <w:lang w:val="zh-CN"/>
            </w:rPr>
            <w:t>7 招标文件的澄清及修改</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_Toc20355 \h </w:instrText>
          </w:r>
          <w:r>
            <w:rPr>
              <w:rFonts w:hint="eastAsia" w:ascii="宋体" w:hAnsi="宋体" w:eastAsia="宋体" w:cs="宋体"/>
              <w:highlight w:val="none"/>
            </w:rPr>
            <w:fldChar w:fldCharType="separate"/>
          </w:r>
          <w:r>
            <w:rPr>
              <w:rFonts w:hint="eastAsia" w:ascii="宋体" w:hAnsi="宋体" w:eastAsia="宋体" w:cs="宋体"/>
              <w:highlight w:val="none"/>
            </w:rPr>
            <w:t>8</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2A903A0F">
          <w:pPr>
            <w:pStyle w:val="30"/>
            <w:tabs>
              <w:tab w:val="right" w:leader="dot" w:pos="1015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_Toc16203 </w:instrText>
          </w:r>
          <w:r>
            <w:rPr>
              <w:rFonts w:hint="eastAsia" w:ascii="宋体" w:hAnsi="宋体" w:eastAsia="宋体" w:cs="宋体"/>
              <w:highlight w:val="none"/>
              <w:lang w:val="zh-CN"/>
            </w:rPr>
            <w:fldChar w:fldCharType="separate"/>
          </w:r>
          <w:r>
            <w:rPr>
              <w:rFonts w:hint="eastAsia" w:ascii="宋体" w:hAnsi="宋体" w:eastAsia="宋体" w:cs="宋体"/>
              <w:bCs/>
              <w:kern w:val="44"/>
              <w:szCs w:val="21"/>
              <w:highlight w:val="none"/>
              <w:lang w:val="zh-CN"/>
            </w:rPr>
            <w:t>三、投标文件的编制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_Toc16203 \h </w:instrText>
          </w:r>
          <w:r>
            <w:rPr>
              <w:rFonts w:hint="eastAsia" w:ascii="宋体" w:hAnsi="宋体" w:eastAsia="宋体" w:cs="宋体"/>
              <w:highlight w:val="none"/>
            </w:rPr>
            <w:fldChar w:fldCharType="separate"/>
          </w:r>
          <w:r>
            <w:rPr>
              <w:rFonts w:hint="eastAsia" w:ascii="宋体" w:hAnsi="宋体" w:eastAsia="宋体" w:cs="宋体"/>
              <w:highlight w:val="none"/>
            </w:rPr>
            <w:t>9</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1EBD9814">
          <w:pPr>
            <w:pStyle w:val="20"/>
            <w:tabs>
              <w:tab w:val="right" w:leader="dot" w:pos="10154"/>
              <w:tab w:val="clear" w:pos="1014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_Toc26766 </w:instrText>
          </w:r>
          <w:r>
            <w:rPr>
              <w:rFonts w:hint="eastAsia" w:ascii="宋体" w:hAnsi="宋体" w:eastAsia="宋体" w:cs="宋体"/>
              <w:highlight w:val="none"/>
              <w:lang w:val="zh-CN"/>
            </w:rPr>
            <w:fldChar w:fldCharType="separate"/>
          </w:r>
          <w:r>
            <w:rPr>
              <w:rFonts w:hint="eastAsia" w:ascii="宋体" w:hAnsi="宋体" w:eastAsia="宋体" w:cs="宋体"/>
              <w:szCs w:val="21"/>
              <w:highlight w:val="none"/>
              <w:lang w:val="zh-CN"/>
            </w:rPr>
            <w:t>8 投标使用的文字及度量衡单位</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_Toc26766 \h </w:instrText>
          </w:r>
          <w:r>
            <w:rPr>
              <w:rFonts w:hint="eastAsia" w:ascii="宋体" w:hAnsi="宋体" w:eastAsia="宋体" w:cs="宋体"/>
              <w:highlight w:val="none"/>
            </w:rPr>
            <w:fldChar w:fldCharType="separate"/>
          </w:r>
          <w:r>
            <w:rPr>
              <w:rFonts w:hint="eastAsia" w:ascii="宋体" w:hAnsi="宋体" w:eastAsia="宋体" w:cs="宋体"/>
              <w:highlight w:val="none"/>
            </w:rPr>
            <w:t>9</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272C35F9">
          <w:pPr>
            <w:pStyle w:val="20"/>
            <w:tabs>
              <w:tab w:val="right" w:leader="dot" w:pos="10154"/>
              <w:tab w:val="clear" w:pos="1014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_Toc10663 </w:instrText>
          </w:r>
          <w:r>
            <w:rPr>
              <w:rFonts w:hint="eastAsia" w:ascii="宋体" w:hAnsi="宋体" w:eastAsia="宋体" w:cs="宋体"/>
              <w:highlight w:val="none"/>
              <w:lang w:val="zh-CN"/>
            </w:rPr>
            <w:fldChar w:fldCharType="separate"/>
          </w:r>
          <w:r>
            <w:rPr>
              <w:rFonts w:hint="eastAsia" w:ascii="宋体" w:hAnsi="宋体" w:eastAsia="宋体" w:cs="宋体"/>
              <w:szCs w:val="21"/>
              <w:highlight w:val="none"/>
              <w:lang w:val="zh-CN"/>
            </w:rPr>
            <w:t>9</w:t>
          </w:r>
          <w:r>
            <w:rPr>
              <w:rFonts w:hint="eastAsia" w:ascii="宋体" w:hAnsi="宋体" w:eastAsia="宋体" w:cs="宋体"/>
              <w:szCs w:val="24"/>
              <w:highlight w:val="none"/>
              <w:lang w:val="zh-CN"/>
            </w:rPr>
            <w:t xml:space="preserve"> </w:t>
          </w:r>
          <w:r>
            <w:rPr>
              <w:rFonts w:hint="eastAsia" w:ascii="宋体" w:hAnsi="宋体" w:eastAsia="宋体" w:cs="宋体"/>
              <w:szCs w:val="21"/>
              <w:highlight w:val="none"/>
              <w:lang w:val="zh-CN"/>
            </w:rPr>
            <w:t>投标文件的组成</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_Toc10663 \h </w:instrText>
          </w:r>
          <w:r>
            <w:rPr>
              <w:rFonts w:hint="eastAsia" w:ascii="宋体" w:hAnsi="宋体" w:eastAsia="宋体" w:cs="宋体"/>
              <w:highlight w:val="none"/>
            </w:rPr>
            <w:fldChar w:fldCharType="separate"/>
          </w:r>
          <w:r>
            <w:rPr>
              <w:rFonts w:hint="eastAsia" w:ascii="宋体" w:hAnsi="宋体" w:eastAsia="宋体" w:cs="宋体"/>
              <w:highlight w:val="none"/>
            </w:rPr>
            <w:t>9</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11F88372">
          <w:pPr>
            <w:pStyle w:val="20"/>
            <w:tabs>
              <w:tab w:val="right" w:leader="dot" w:pos="10154"/>
              <w:tab w:val="clear" w:pos="1014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_Toc31652 </w:instrText>
          </w:r>
          <w:r>
            <w:rPr>
              <w:rFonts w:hint="eastAsia" w:ascii="宋体" w:hAnsi="宋体" w:eastAsia="宋体" w:cs="宋体"/>
              <w:highlight w:val="none"/>
              <w:lang w:val="zh-CN"/>
            </w:rPr>
            <w:fldChar w:fldCharType="separate"/>
          </w:r>
          <w:r>
            <w:rPr>
              <w:rFonts w:hint="eastAsia" w:ascii="宋体" w:hAnsi="宋体" w:eastAsia="宋体" w:cs="宋体"/>
              <w:szCs w:val="21"/>
              <w:highlight w:val="none"/>
              <w:lang w:val="zh-CN"/>
            </w:rPr>
            <w:t>10 投标函</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_Toc31652 \h </w:instrText>
          </w:r>
          <w:r>
            <w:rPr>
              <w:rFonts w:hint="eastAsia" w:ascii="宋体" w:hAnsi="宋体" w:eastAsia="宋体" w:cs="宋体"/>
              <w:highlight w:val="none"/>
            </w:rPr>
            <w:fldChar w:fldCharType="separate"/>
          </w:r>
          <w:r>
            <w:rPr>
              <w:rFonts w:hint="eastAsia" w:ascii="宋体" w:hAnsi="宋体" w:eastAsia="宋体" w:cs="宋体"/>
              <w:highlight w:val="none"/>
            </w:rPr>
            <w:t>10</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16A94630">
          <w:pPr>
            <w:pStyle w:val="20"/>
            <w:tabs>
              <w:tab w:val="right" w:leader="dot" w:pos="10154"/>
              <w:tab w:val="clear" w:pos="1014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_Toc8704 </w:instrText>
          </w:r>
          <w:r>
            <w:rPr>
              <w:rFonts w:hint="eastAsia" w:ascii="宋体" w:hAnsi="宋体" w:eastAsia="宋体" w:cs="宋体"/>
              <w:highlight w:val="none"/>
              <w:lang w:val="zh-CN"/>
            </w:rPr>
            <w:fldChar w:fldCharType="separate"/>
          </w:r>
          <w:r>
            <w:rPr>
              <w:rFonts w:hint="eastAsia" w:ascii="宋体" w:hAnsi="宋体" w:eastAsia="宋体" w:cs="宋体"/>
              <w:szCs w:val="21"/>
              <w:highlight w:val="none"/>
              <w:lang w:val="zh-CN"/>
            </w:rPr>
            <w:t>11 投标报价</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_Toc8704 \h </w:instrText>
          </w:r>
          <w:r>
            <w:rPr>
              <w:rFonts w:hint="eastAsia" w:ascii="宋体" w:hAnsi="宋体" w:eastAsia="宋体" w:cs="宋体"/>
              <w:highlight w:val="none"/>
            </w:rPr>
            <w:fldChar w:fldCharType="separate"/>
          </w:r>
          <w:r>
            <w:rPr>
              <w:rFonts w:hint="eastAsia" w:ascii="宋体" w:hAnsi="宋体" w:eastAsia="宋体" w:cs="宋体"/>
              <w:highlight w:val="none"/>
            </w:rPr>
            <w:t>11</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51C2D113">
          <w:pPr>
            <w:pStyle w:val="20"/>
            <w:tabs>
              <w:tab w:val="right" w:leader="dot" w:pos="10154"/>
              <w:tab w:val="clear" w:pos="1014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_Toc1376 </w:instrText>
          </w:r>
          <w:r>
            <w:rPr>
              <w:rFonts w:hint="eastAsia" w:ascii="宋体" w:hAnsi="宋体" w:eastAsia="宋体" w:cs="宋体"/>
              <w:highlight w:val="none"/>
              <w:lang w:val="zh-CN"/>
            </w:rPr>
            <w:fldChar w:fldCharType="separate"/>
          </w:r>
          <w:r>
            <w:rPr>
              <w:rFonts w:hint="eastAsia" w:ascii="宋体" w:hAnsi="宋体" w:eastAsia="宋体" w:cs="宋体"/>
              <w:szCs w:val="21"/>
              <w:highlight w:val="none"/>
              <w:lang w:val="zh-CN"/>
            </w:rPr>
            <w:t>12 投标报价货币</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_Toc1376 \h </w:instrText>
          </w:r>
          <w:r>
            <w:rPr>
              <w:rFonts w:hint="eastAsia" w:ascii="宋体" w:hAnsi="宋体" w:eastAsia="宋体" w:cs="宋体"/>
              <w:highlight w:val="none"/>
            </w:rPr>
            <w:fldChar w:fldCharType="separate"/>
          </w:r>
          <w:r>
            <w:rPr>
              <w:rFonts w:hint="eastAsia" w:ascii="宋体" w:hAnsi="宋体" w:eastAsia="宋体" w:cs="宋体"/>
              <w:highlight w:val="none"/>
            </w:rPr>
            <w:t>11</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220F752F">
          <w:pPr>
            <w:pStyle w:val="20"/>
            <w:tabs>
              <w:tab w:val="right" w:leader="dot" w:pos="10154"/>
              <w:tab w:val="clear" w:pos="1014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_Toc5525 </w:instrText>
          </w:r>
          <w:r>
            <w:rPr>
              <w:rFonts w:hint="eastAsia" w:ascii="宋体" w:hAnsi="宋体" w:eastAsia="宋体" w:cs="宋体"/>
              <w:highlight w:val="none"/>
              <w:lang w:val="zh-CN"/>
            </w:rPr>
            <w:fldChar w:fldCharType="separate"/>
          </w:r>
          <w:r>
            <w:rPr>
              <w:rFonts w:hint="eastAsia" w:ascii="宋体" w:hAnsi="宋体" w:eastAsia="宋体" w:cs="宋体"/>
              <w:szCs w:val="21"/>
              <w:highlight w:val="none"/>
              <w:lang w:val="zh-CN"/>
            </w:rPr>
            <w:t>13 证明投标人的合格性和资格的声明文件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_Toc5525 \h </w:instrText>
          </w:r>
          <w:r>
            <w:rPr>
              <w:rFonts w:hint="eastAsia" w:ascii="宋体" w:hAnsi="宋体" w:eastAsia="宋体" w:cs="宋体"/>
              <w:highlight w:val="none"/>
            </w:rPr>
            <w:fldChar w:fldCharType="separate"/>
          </w:r>
          <w:r>
            <w:rPr>
              <w:rFonts w:hint="eastAsia" w:ascii="宋体" w:hAnsi="宋体" w:eastAsia="宋体" w:cs="宋体"/>
              <w:highlight w:val="none"/>
            </w:rPr>
            <w:t>11</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1315E5C0">
          <w:pPr>
            <w:pStyle w:val="20"/>
            <w:tabs>
              <w:tab w:val="right" w:leader="dot" w:pos="10154"/>
              <w:tab w:val="clear" w:pos="1014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_Toc15593 </w:instrText>
          </w:r>
          <w:r>
            <w:rPr>
              <w:rFonts w:hint="eastAsia" w:ascii="宋体" w:hAnsi="宋体" w:eastAsia="宋体" w:cs="宋体"/>
              <w:highlight w:val="none"/>
              <w:lang w:val="zh-CN"/>
            </w:rPr>
            <w:fldChar w:fldCharType="separate"/>
          </w:r>
          <w:r>
            <w:rPr>
              <w:rFonts w:hint="eastAsia" w:ascii="宋体" w:hAnsi="宋体" w:eastAsia="宋体" w:cs="宋体"/>
              <w:szCs w:val="21"/>
              <w:highlight w:val="none"/>
              <w:lang w:val="zh-CN"/>
            </w:rPr>
            <w:t>14 证明服务的合格性并符合招标文件规定的声明文件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_Toc15593 \h </w:instrText>
          </w:r>
          <w:r>
            <w:rPr>
              <w:rFonts w:hint="eastAsia" w:ascii="宋体" w:hAnsi="宋体" w:eastAsia="宋体" w:cs="宋体"/>
              <w:highlight w:val="none"/>
            </w:rPr>
            <w:fldChar w:fldCharType="separate"/>
          </w:r>
          <w:r>
            <w:rPr>
              <w:rFonts w:hint="eastAsia" w:ascii="宋体" w:hAnsi="宋体" w:eastAsia="宋体" w:cs="宋体"/>
              <w:highlight w:val="none"/>
            </w:rPr>
            <w:t>11</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05689ED3">
          <w:pPr>
            <w:pStyle w:val="20"/>
            <w:tabs>
              <w:tab w:val="right" w:leader="dot" w:pos="10154"/>
              <w:tab w:val="clear" w:pos="1014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_Toc27209 </w:instrText>
          </w:r>
          <w:r>
            <w:rPr>
              <w:rFonts w:hint="eastAsia" w:ascii="宋体" w:hAnsi="宋体" w:eastAsia="宋体" w:cs="宋体"/>
              <w:highlight w:val="none"/>
              <w:lang w:val="zh-CN"/>
            </w:rPr>
            <w:fldChar w:fldCharType="separate"/>
          </w:r>
          <w:r>
            <w:rPr>
              <w:rFonts w:hint="eastAsia" w:ascii="宋体" w:hAnsi="宋体" w:eastAsia="宋体" w:cs="宋体"/>
              <w:szCs w:val="21"/>
              <w:highlight w:val="none"/>
              <w:lang w:val="zh-CN"/>
            </w:rPr>
            <w:t>15 投标保证金</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_Toc27209 \h </w:instrText>
          </w:r>
          <w:r>
            <w:rPr>
              <w:rFonts w:hint="eastAsia" w:ascii="宋体" w:hAnsi="宋体" w:eastAsia="宋体" w:cs="宋体"/>
              <w:highlight w:val="none"/>
            </w:rPr>
            <w:fldChar w:fldCharType="separate"/>
          </w:r>
          <w:r>
            <w:rPr>
              <w:rFonts w:hint="eastAsia" w:ascii="宋体" w:hAnsi="宋体" w:eastAsia="宋体" w:cs="宋体"/>
              <w:highlight w:val="none"/>
            </w:rPr>
            <w:t>11</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401D2E2F">
          <w:pPr>
            <w:pStyle w:val="20"/>
            <w:tabs>
              <w:tab w:val="right" w:leader="dot" w:pos="10154"/>
              <w:tab w:val="clear" w:pos="1014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_Toc13953 </w:instrText>
          </w:r>
          <w:r>
            <w:rPr>
              <w:rFonts w:hint="eastAsia" w:ascii="宋体" w:hAnsi="宋体" w:eastAsia="宋体" w:cs="宋体"/>
              <w:highlight w:val="none"/>
              <w:lang w:val="zh-CN"/>
            </w:rPr>
            <w:fldChar w:fldCharType="separate"/>
          </w:r>
          <w:r>
            <w:rPr>
              <w:rFonts w:hint="eastAsia" w:ascii="宋体" w:hAnsi="宋体" w:eastAsia="宋体" w:cs="宋体"/>
              <w:szCs w:val="21"/>
              <w:highlight w:val="none"/>
              <w:lang w:val="zh-CN"/>
            </w:rPr>
            <w:t>16 投标有效期</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_Toc13953 \h </w:instrText>
          </w:r>
          <w:r>
            <w:rPr>
              <w:rFonts w:hint="eastAsia" w:ascii="宋体" w:hAnsi="宋体" w:eastAsia="宋体" w:cs="宋体"/>
              <w:highlight w:val="none"/>
            </w:rPr>
            <w:fldChar w:fldCharType="separate"/>
          </w:r>
          <w:r>
            <w:rPr>
              <w:rFonts w:hint="eastAsia" w:ascii="宋体" w:hAnsi="宋体" w:eastAsia="宋体" w:cs="宋体"/>
              <w:highlight w:val="none"/>
            </w:rPr>
            <w:t>12</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099671C2">
          <w:pPr>
            <w:pStyle w:val="20"/>
            <w:tabs>
              <w:tab w:val="right" w:leader="dot" w:pos="10154"/>
              <w:tab w:val="clear" w:pos="1014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_Toc22910 </w:instrText>
          </w:r>
          <w:r>
            <w:rPr>
              <w:rFonts w:hint="eastAsia" w:ascii="宋体" w:hAnsi="宋体" w:eastAsia="宋体" w:cs="宋体"/>
              <w:highlight w:val="none"/>
              <w:lang w:val="zh-CN"/>
            </w:rPr>
            <w:fldChar w:fldCharType="separate"/>
          </w:r>
          <w:r>
            <w:rPr>
              <w:rFonts w:hint="eastAsia" w:ascii="宋体" w:hAnsi="宋体" w:eastAsia="宋体" w:cs="宋体"/>
              <w:szCs w:val="21"/>
              <w:highlight w:val="none"/>
              <w:lang w:val="zh-CN"/>
            </w:rPr>
            <w:t>17 投标文件的式样和签署</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_Toc22910 \h </w:instrText>
          </w:r>
          <w:r>
            <w:rPr>
              <w:rFonts w:hint="eastAsia" w:ascii="宋体" w:hAnsi="宋体" w:eastAsia="宋体" w:cs="宋体"/>
              <w:highlight w:val="none"/>
            </w:rPr>
            <w:fldChar w:fldCharType="separate"/>
          </w:r>
          <w:r>
            <w:rPr>
              <w:rFonts w:hint="eastAsia" w:ascii="宋体" w:hAnsi="宋体" w:eastAsia="宋体" w:cs="宋体"/>
              <w:highlight w:val="none"/>
            </w:rPr>
            <w:t>12</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2D73AC31">
          <w:pPr>
            <w:pStyle w:val="30"/>
            <w:tabs>
              <w:tab w:val="right" w:leader="dot" w:pos="1015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_Toc2957 </w:instrText>
          </w:r>
          <w:r>
            <w:rPr>
              <w:rFonts w:hint="eastAsia" w:ascii="宋体" w:hAnsi="宋体" w:eastAsia="宋体" w:cs="宋体"/>
              <w:highlight w:val="none"/>
              <w:lang w:val="zh-CN"/>
            </w:rPr>
            <w:fldChar w:fldCharType="separate"/>
          </w:r>
          <w:r>
            <w:rPr>
              <w:rFonts w:hint="eastAsia" w:ascii="宋体" w:hAnsi="宋体" w:eastAsia="宋体" w:cs="宋体"/>
              <w:bCs/>
              <w:kern w:val="44"/>
              <w:szCs w:val="21"/>
              <w:highlight w:val="none"/>
              <w:lang w:val="zh-CN"/>
            </w:rPr>
            <w:t>四、投标文件的递交</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_Toc2957 \h </w:instrText>
          </w:r>
          <w:r>
            <w:rPr>
              <w:rFonts w:hint="eastAsia" w:ascii="宋体" w:hAnsi="宋体" w:eastAsia="宋体" w:cs="宋体"/>
              <w:highlight w:val="none"/>
            </w:rPr>
            <w:fldChar w:fldCharType="separate"/>
          </w:r>
          <w:r>
            <w:rPr>
              <w:rFonts w:hint="eastAsia" w:ascii="宋体" w:hAnsi="宋体" w:eastAsia="宋体" w:cs="宋体"/>
              <w:highlight w:val="none"/>
            </w:rPr>
            <w:t>13</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6DCD3C55">
          <w:pPr>
            <w:pStyle w:val="20"/>
            <w:tabs>
              <w:tab w:val="right" w:leader="dot" w:pos="10154"/>
              <w:tab w:val="clear" w:pos="1014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_Toc20097 </w:instrText>
          </w:r>
          <w:r>
            <w:rPr>
              <w:rFonts w:hint="eastAsia" w:ascii="宋体" w:hAnsi="宋体" w:eastAsia="宋体" w:cs="宋体"/>
              <w:highlight w:val="none"/>
              <w:lang w:val="zh-CN"/>
            </w:rPr>
            <w:fldChar w:fldCharType="separate"/>
          </w:r>
          <w:r>
            <w:rPr>
              <w:rFonts w:hint="eastAsia" w:ascii="宋体" w:hAnsi="宋体" w:eastAsia="宋体" w:cs="宋体"/>
              <w:szCs w:val="21"/>
              <w:highlight w:val="none"/>
              <w:lang w:val="zh-CN"/>
            </w:rPr>
            <w:t>18 投标文件的密封和标记</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_Toc20097 \h </w:instrText>
          </w:r>
          <w:r>
            <w:rPr>
              <w:rFonts w:hint="eastAsia" w:ascii="宋体" w:hAnsi="宋体" w:eastAsia="宋体" w:cs="宋体"/>
              <w:highlight w:val="none"/>
            </w:rPr>
            <w:fldChar w:fldCharType="separate"/>
          </w:r>
          <w:r>
            <w:rPr>
              <w:rFonts w:hint="eastAsia" w:ascii="宋体" w:hAnsi="宋体" w:eastAsia="宋体" w:cs="宋体"/>
              <w:highlight w:val="none"/>
            </w:rPr>
            <w:t>13</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2C235515">
          <w:pPr>
            <w:pStyle w:val="20"/>
            <w:tabs>
              <w:tab w:val="right" w:leader="dot" w:pos="10154"/>
              <w:tab w:val="clear" w:pos="1014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_Toc15280 </w:instrText>
          </w:r>
          <w:r>
            <w:rPr>
              <w:rFonts w:hint="eastAsia" w:ascii="宋体" w:hAnsi="宋体" w:eastAsia="宋体" w:cs="宋体"/>
              <w:highlight w:val="none"/>
              <w:lang w:val="zh-CN"/>
            </w:rPr>
            <w:fldChar w:fldCharType="separate"/>
          </w:r>
          <w:r>
            <w:rPr>
              <w:rFonts w:hint="eastAsia" w:ascii="宋体" w:hAnsi="宋体" w:eastAsia="宋体" w:cs="宋体"/>
              <w:szCs w:val="21"/>
              <w:highlight w:val="none"/>
              <w:lang w:val="zh-CN"/>
            </w:rPr>
            <w:t>19 递交投标文件的截止日期</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_Toc15280 \h </w:instrText>
          </w:r>
          <w:r>
            <w:rPr>
              <w:rFonts w:hint="eastAsia" w:ascii="宋体" w:hAnsi="宋体" w:eastAsia="宋体" w:cs="宋体"/>
              <w:highlight w:val="none"/>
            </w:rPr>
            <w:fldChar w:fldCharType="separate"/>
          </w:r>
          <w:r>
            <w:rPr>
              <w:rFonts w:hint="eastAsia" w:ascii="宋体" w:hAnsi="宋体" w:eastAsia="宋体" w:cs="宋体"/>
              <w:highlight w:val="none"/>
            </w:rPr>
            <w:t>13</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2CE413E3">
          <w:pPr>
            <w:pStyle w:val="20"/>
            <w:tabs>
              <w:tab w:val="right" w:leader="dot" w:pos="10154"/>
              <w:tab w:val="clear" w:pos="1014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_Toc19888 </w:instrText>
          </w:r>
          <w:r>
            <w:rPr>
              <w:rFonts w:hint="eastAsia" w:ascii="宋体" w:hAnsi="宋体" w:eastAsia="宋体" w:cs="宋体"/>
              <w:highlight w:val="none"/>
              <w:lang w:val="zh-CN"/>
            </w:rPr>
            <w:fldChar w:fldCharType="separate"/>
          </w:r>
          <w:r>
            <w:rPr>
              <w:rFonts w:hint="eastAsia" w:ascii="宋体" w:hAnsi="宋体" w:eastAsia="宋体" w:cs="宋体"/>
              <w:szCs w:val="21"/>
              <w:highlight w:val="none"/>
              <w:lang w:val="zh-CN"/>
            </w:rPr>
            <w:t>20 迟交的投标文件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_Toc19888 \h </w:instrText>
          </w:r>
          <w:r>
            <w:rPr>
              <w:rFonts w:hint="eastAsia" w:ascii="宋体" w:hAnsi="宋体" w:eastAsia="宋体" w:cs="宋体"/>
              <w:highlight w:val="none"/>
            </w:rPr>
            <w:fldChar w:fldCharType="separate"/>
          </w:r>
          <w:r>
            <w:rPr>
              <w:rFonts w:hint="eastAsia" w:ascii="宋体" w:hAnsi="宋体" w:eastAsia="宋体" w:cs="宋体"/>
              <w:highlight w:val="none"/>
            </w:rPr>
            <w:t>13</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0BB7F1D9">
          <w:pPr>
            <w:pStyle w:val="20"/>
            <w:tabs>
              <w:tab w:val="right" w:leader="dot" w:pos="10154"/>
              <w:tab w:val="clear" w:pos="1014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_Toc22518 </w:instrText>
          </w:r>
          <w:r>
            <w:rPr>
              <w:rFonts w:hint="eastAsia" w:ascii="宋体" w:hAnsi="宋体" w:eastAsia="宋体" w:cs="宋体"/>
              <w:highlight w:val="none"/>
              <w:lang w:val="zh-CN"/>
            </w:rPr>
            <w:fldChar w:fldCharType="separate"/>
          </w:r>
          <w:r>
            <w:rPr>
              <w:rFonts w:hint="eastAsia" w:ascii="宋体" w:hAnsi="宋体" w:eastAsia="宋体" w:cs="宋体"/>
              <w:szCs w:val="21"/>
              <w:highlight w:val="none"/>
              <w:lang w:val="zh-CN"/>
            </w:rPr>
            <w:t>21 投标文件的修改和撤回</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_Toc22518 \h </w:instrText>
          </w:r>
          <w:r>
            <w:rPr>
              <w:rFonts w:hint="eastAsia" w:ascii="宋体" w:hAnsi="宋体" w:eastAsia="宋体" w:cs="宋体"/>
              <w:highlight w:val="none"/>
            </w:rPr>
            <w:fldChar w:fldCharType="separate"/>
          </w:r>
          <w:r>
            <w:rPr>
              <w:rFonts w:hint="eastAsia" w:ascii="宋体" w:hAnsi="宋体" w:eastAsia="宋体" w:cs="宋体"/>
              <w:highlight w:val="none"/>
            </w:rPr>
            <w:t>14</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1626C831">
          <w:pPr>
            <w:pStyle w:val="30"/>
            <w:tabs>
              <w:tab w:val="right" w:leader="dot" w:pos="1015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_Toc20869 </w:instrText>
          </w:r>
          <w:r>
            <w:rPr>
              <w:rFonts w:hint="eastAsia" w:ascii="宋体" w:hAnsi="宋体" w:eastAsia="宋体" w:cs="宋体"/>
              <w:highlight w:val="none"/>
              <w:lang w:val="zh-CN"/>
            </w:rPr>
            <w:fldChar w:fldCharType="separate"/>
          </w:r>
          <w:r>
            <w:rPr>
              <w:rFonts w:hint="eastAsia" w:ascii="宋体" w:hAnsi="宋体" w:eastAsia="宋体" w:cs="宋体"/>
              <w:bCs/>
              <w:kern w:val="44"/>
              <w:szCs w:val="21"/>
              <w:highlight w:val="none"/>
              <w:lang w:val="zh-CN"/>
            </w:rPr>
            <w:t>五、开标与评标</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_Toc20869 \h </w:instrText>
          </w:r>
          <w:r>
            <w:rPr>
              <w:rFonts w:hint="eastAsia" w:ascii="宋体" w:hAnsi="宋体" w:eastAsia="宋体" w:cs="宋体"/>
              <w:highlight w:val="none"/>
            </w:rPr>
            <w:fldChar w:fldCharType="separate"/>
          </w:r>
          <w:r>
            <w:rPr>
              <w:rFonts w:hint="eastAsia" w:ascii="宋体" w:hAnsi="宋体" w:eastAsia="宋体" w:cs="宋体"/>
              <w:highlight w:val="none"/>
            </w:rPr>
            <w:t>14</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4CA97BDA">
          <w:pPr>
            <w:pStyle w:val="20"/>
            <w:tabs>
              <w:tab w:val="right" w:leader="dot" w:pos="10154"/>
              <w:tab w:val="clear" w:pos="1014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_Toc20514 </w:instrText>
          </w:r>
          <w:r>
            <w:rPr>
              <w:rFonts w:hint="eastAsia" w:ascii="宋体" w:hAnsi="宋体" w:eastAsia="宋体" w:cs="宋体"/>
              <w:highlight w:val="none"/>
              <w:lang w:val="zh-CN"/>
            </w:rPr>
            <w:fldChar w:fldCharType="separate"/>
          </w:r>
          <w:r>
            <w:rPr>
              <w:rFonts w:hint="eastAsia" w:ascii="宋体" w:hAnsi="宋体" w:eastAsia="宋体" w:cs="宋体"/>
              <w:szCs w:val="21"/>
              <w:highlight w:val="none"/>
              <w:lang w:val="zh-CN"/>
            </w:rPr>
            <w:t>22 开标</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_Toc20514 \h </w:instrText>
          </w:r>
          <w:r>
            <w:rPr>
              <w:rFonts w:hint="eastAsia" w:ascii="宋体" w:hAnsi="宋体" w:eastAsia="宋体" w:cs="宋体"/>
              <w:highlight w:val="none"/>
            </w:rPr>
            <w:fldChar w:fldCharType="separate"/>
          </w:r>
          <w:r>
            <w:rPr>
              <w:rFonts w:hint="eastAsia" w:ascii="宋体" w:hAnsi="宋体" w:eastAsia="宋体" w:cs="宋体"/>
              <w:highlight w:val="none"/>
            </w:rPr>
            <w:t>14</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35206802">
          <w:pPr>
            <w:pStyle w:val="20"/>
            <w:tabs>
              <w:tab w:val="right" w:leader="dot" w:pos="10154"/>
              <w:tab w:val="clear" w:pos="1014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_Toc13599 </w:instrText>
          </w:r>
          <w:r>
            <w:rPr>
              <w:rFonts w:hint="eastAsia" w:ascii="宋体" w:hAnsi="宋体" w:eastAsia="宋体" w:cs="宋体"/>
              <w:highlight w:val="none"/>
              <w:lang w:val="zh-CN"/>
            </w:rPr>
            <w:fldChar w:fldCharType="separate"/>
          </w:r>
          <w:r>
            <w:rPr>
              <w:rFonts w:hint="eastAsia" w:ascii="宋体" w:hAnsi="宋体" w:eastAsia="宋体" w:cs="宋体"/>
              <w:szCs w:val="21"/>
              <w:highlight w:val="none"/>
              <w:lang w:val="zh-CN"/>
            </w:rPr>
            <w:t xml:space="preserve">23 </w:t>
          </w:r>
          <w:r>
            <w:rPr>
              <w:rFonts w:hint="eastAsia" w:ascii="宋体" w:hAnsi="宋体" w:eastAsia="宋体" w:cs="宋体"/>
              <w:kern w:val="0"/>
              <w:szCs w:val="24"/>
              <w:highlight w:val="none"/>
            </w:rPr>
            <w:t>评标过程的保密性</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_Toc13599 \h </w:instrText>
          </w:r>
          <w:r>
            <w:rPr>
              <w:rFonts w:hint="eastAsia" w:ascii="宋体" w:hAnsi="宋体" w:eastAsia="宋体" w:cs="宋体"/>
              <w:highlight w:val="none"/>
            </w:rPr>
            <w:fldChar w:fldCharType="separate"/>
          </w:r>
          <w:r>
            <w:rPr>
              <w:rFonts w:hint="eastAsia" w:ascii="宋体" w:hAnsi="宋体" w:eastAsia="宋体" w:cs="宋体"/>
              <w:highlight w:val="none"/>
            </w:rPr>
            <w:t>14</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49DB2BBF">
          <w:pPr>
            <w:pStyle w:val="20"/>
            <w:tabs>
              <w:tab w:val="right" w:leader="dot" w:pos="10154"/>
              <w:tab w:val="clear" w:pos="1014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_Toc15256 </w:instrText>
          </w:r>
          <w:r>
            <w:rPr>
              <w:rFonts w:hint="eastAsia" w:ascii="宋体" w:hAnsi="宋体" w:eastAsia="宋体" w:cs="宋体"/>
              <w:highlight w:val="none"/>
              <w:lang w:val="zh-CN"/>
            </w:rPr>
            <w:fldChar w:fldCharType="separate"/>
          </w:r>
          <w:r>
            <w:rPr>
              <w:rFonts w:hint="eastAsia" w:ascii="宋体" w:hAnsi="宋体" w:eastAsia="宋体" w:cs="宋体"/>
              <w:szCs w:val="21"/>
              <w:highlight w:val="none"/>
              <w:lang w:val="zh-CN"/>
            </w:rPr>
            <w:t>24 评标委员会</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_Toc15256 \h </w:instrText>
          </w:r>
          <w:r>
            <w:rPr>
              <w:rFonts w:hint="eastAsia" w:ascii="宋体" w:hAnsi="宋体" w:eastAsia="宋体" w:cs="宋体"/>
              <w:highlight w:val="none"/>
            </w:rPr>
            <w:fldChar w:fldCharType="separate"/>
          </w:r>
          <w:r>
            <w:rPr>
              <w:rFonts w:hint="eastAsia" w:ascii="宋体" w:hAnsi="宋体" w:eastAsia="宋体" w:cs="宋体"/>
              <w:highlight w:val="none"/>
            </w:rPr>
            <w:t>14</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60C998C3">
          <w:pPr>
            <w:pStyle w:val="20"/>
            <w:tabs>
              <w:tab w:val="right" w:leader="dot" w:pos="10154"/>
              <w:tab w:val="clear" w:pos="1014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_Toc16397 </w:instrText>
          </w:r>
          <w:r>
            <w:rPr>
              <w:rFonts w:hint="eastAsia" w:ascii="宋体" w:hAnsi="宋体" w:eastAsia="宋体" w:cs="宋体"/>
              <w:highlight w:val="none"/>
              <w:lang w:val="zh-CN"/>
            </w:rPr>
            <w:fldChar w:fldCharType="separate"/>
          </w:r>
          <w:r>
            <w:rPr>
              <w:rFonts w:hint="eastAsia" w:ascii="宋体" w:hAnsi="宋体" w:eastAsia="宋体" w:cs="宋体"/>
              <w:szCs w:val="21"/>
              <w:highlight w:val="none"/>
              <w:lang w:val="zh-CN"/>
            </w:rPr>
            <w:t>25 投标文件的初审</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_Toc16397 \h </w:instrText>
          </w:r>
          <w:r>
            <w:rPr>
              <w:rFonts w:hint="eastAsia" w:ascii="宋体" w:hAnsi="宋体" w:eastAsia="宋体" w:cs="宋体"/>
              <w:highlight w:val="none"/>
            </w:rPr>
            <w:fldChar w:fldCharType="separate"/>
          </w:r>
          <w:r>
            <w:rPr>
              <w:rFonts w:hint="eastAsia" w:ascii="宋体" w:hAnsi="宋体" w:eastAsia="宋体" w:cs="宋体"/>
              <w:highlight w:val="none"/>
            </w:rPr>
            <w:t>15</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64FAB440">
          <w:pPr>
            <w:pStyle w:val="20"/>
            <w:tabs>
              <w:tab w:val="right" w:leader="dot" w:pos="10154"/>
              <w:tab w:val="clear" w:pos="1014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_Toc642 </w:instrText>
          </w:r>
          <w:r>
            <w:rPr>
              <w:rFonts w:hint="eastAsia" w:ascii="宋体" w:hAnsi="宋体" w:eastAsia="宋体" w:cs="宋体"/>
              <w:highlight w:val="none"/>
              <w:lang w:val="zh-CN"/>
            </w:rPr>
            <w:fldChar w:fldCharType="separate"/>
          </w:r>
          <w:r>
            <w:rPr>
              <w:rFonts w:hint="eastAsia" w:ascii="宋体" w:hAnsi="宋体" w:eastAsia="宋体" w:cs="宋体"/>
              <w:szCs w:val="21"/>
              <w:highlight w:val="none"/>
              <w:lang w:val="zh-CN"/>
            </w:rPr>
            <w:t>26 投标文件的澄清</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_Toc642 \h </w:instrText>
          </w:r>
          <w:r>
            <w:rPr>
              <w:rFonts w:hint="eastAsia" w:ascii="宋体" w:hAnsi="宋体" w:eastAsia="宋体" w:cs="宋体"/>
              <w:highlight w:val="none"/>
            </w:rPr>
            <w:fldChar w:fldCharType="separate"/>
          </w:r>
          <w:r>
            <w:rPr>
              <w:rFonts w:hint="eastAsia" w:ascii="宋体" w:hAnsi="宋体" w:eastAsia="宋体" w:cs="宋体"/>
              <w:highlight w:val="none"/>
            </w:rPr>
            <w:t>15</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498A279A">
          <w:pPr>
            <w:pStyle w:val="20"/>
            <w:tabs>
              <w:tab w:val="right" w:leader="dot" w:pos="10154"/>
              <w:tab w:val="clear" w:pos="1014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_Toc17755 </w:instrText>
          </w:r>
          <w:r>
            <w:rPr>
              <w:rFonts w:hint="eastAsia" w:ascii="宋体" w:hAnsi="宋体" w:eastAsia="宋体" w:cs="宋体"/>
              <w:highlight w:val="none"/>
              <w:lang w:val="zh-CN"/>
            </w:rPr>
            <w:fldChar w:fldCharType="separate"/>
          </w:r>
          <w:r>
            <w:rPr>
              <w:rFonts w:hint="eastAsia" w:ascii="宋体" w:hAnsi="宋体" w:eastAsia="宋体" w:cs="宋体"/>
              <w:szCs w:val="21"/>
              <w:highlight w:val="none"/>
              <w:lang w:val="zh-CN"/>
            </w:rPr>
            <w:t>27 对投标文件的比较和评价</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_Toc17755 \h </w:instrText>
          </w:r>
          <w:r>
            <w:rPr>
              <w:rFonts w:hint="eastAsia" w:ascii="宋体" w:hAnsi="宋体" w:eastAsia="宋体" w:cs="宋体"/>
              <w:highlight w:val="none"/>
            </w:rPr>
            <w:fldChar w:fldCharType="separate"/>
          </w:r>
          <w:r>
            <w:rPr>
              <w:rFonts w:hint="eastAsia" w:ascii="宋体" w:hAnsi="宋体" w:eastAsia="宋体" w:cs="宋体"/>
              <w:highlight w:val="none"/>
            </w:rPr>
            <w:t>15</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76F5112E">
          <w:pPr>
            <w:pStyle w:val="20"/>
            <w:tabs>
              <w:tab w:val="right" w:leader="dot" w:pos="10154"/>
              <w:tab w:val="clear" w:pos="1014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_Toc12567 </w:instrText>
          </w:r>
          <w:r>
            <w:rPr>
              <w:rFonts w:hint="eastAsia" w:ascii="宋体" w:hAnsi="宋体" w:eastAsia="宋体" w:cs="宋体"/>
              <w:highlight w:val="none"/>
              <w:lang w:val="zh-CN"/>
            </w:rPr>
            <w:fldChar w:fldCharType="separate"/>
          </w:r>
          <w:r>
            <w:rPr>
              <w:rFonts w:hint="eastAsia" w:ascii="宋体" w:hAnsi="宋体" w:eastAsia="宋体" w:cs="宋体"/>
              <w:szCs w:val="21"/>
              <w:highlight w:val="none"/>
              <w:lang w:val="zh-CN"/>
            </w:rPr>
            <w:t>28 评标原则及方法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_Toc12567 \h </w:instrText>
          </w:r>
          <w:r>
            <w:rPr>
              <w:rFonts w:hint="eastAsia" w:ascii="宋体" w:hAnsi="宋体" w:eastAsia="宋体" w:cs="宋体"/>
              <w:highlight w:val="none"/>
            </w:rPr>
            <w:fldChar w:fldCharType="separate"/>
          </w:r>
          <w:r>
            <w:rPr>
              <w:rFonts w:hint="eastAsia" w:ascii="宋体" w:hAnsi="宋体" w:eastAsia="宋体" w:cs="宋体"/>
              <w:highlight w:val="none"/>
            </w:rPr>
            <w:t>15</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597BB451">
          <w:pPr>
            <w:pStyle w:val="20"/>
            <w:tabs>
              <w:tab w:val="right" w:leader="dot" w:pos="10154"/>
              <w:tab w:val="clear" w:pos="1014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_Toc6204 </w:instrText>
          </w:r>
          <w:r>
            <w:rPr>
              <w:rFonts w:hint="eastAsia" w:ascii="宋体" w:hAnsi="宋体" w:eastAsia="宋体" w:cs="宋体"/>
              <w:highlight w:val="none"/>
              <w:lang w:val="zh-CN"/>
            </w:rPr>
            <w:fldChar w:fldCharType="separate"/>
          </w:r>
          <w:r>
            <w:rPr>
              <w:rFonts w:hint="eastAsia" w:ascii="宋体" w:hAnsi="宋体" w:eastAsia="宋体" w:cs="宋体"/>
              <w:szCs w:val="21"/>
              <w:highlight w:val="none"/>
              <w:lang w:val="zh-CN"/>
            </w:rPr>
            <w:t>2</w:t>
          </w:r>
          <w:r>
            <w:rPr>
              <w:rFonts w:hint="eastAsia" w:ascii="宋体" w:hAnsi="宋体" w:eastAsia="宋体" w:cs="宋体"/>
              <w:szCs w:val="21"/>
              <w:highlight w:val="none"/>
            </w:rPr>
            <w:t xml:space="preserve">9 </w:t>
          </w:r>
          <w:r>
            <w:rPr>
              <w:rFonts w:hint="eastAsia" w:ascii="宋体" w:hAnsi="宋体" w:eastAsia="宋体" w:cs="宋体"/>
              <w:szCs w:val="21"/>
              <w:highlight w:val="none"/>
              <w:lang w:val="zh-CN"/>
            </w:rPr>
            <w:t>评标结果公示及异议、投诉</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_Toc6204 \h </w:instrText>
          </w:r>
          <w:r>
            <w:rPr>
              <w:rFonts w:hint="eastAsia" w:ascii="宋体" w:hAnsi="宋体" w:eastAsia="宋体" w:cs="宋体"/>
              <w:highlight w:val="none"/>
            </w:rPr>
            <w:fldChar w:fldCharType="separate"/>
          </w:r>
          <w:r>
            <w:rPr>
              <w:rFonts w:hint="eastAsia" w:ascii="宋体" w:hAnsi="宋体" w:eastAsia="宋体" w:cs="宋体"/>
              <w:highlight w:val="none"/>
            </w:rPr>
            <w:t>15</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1F65BA1E">
          <w:pPr>
            <w:pStyle w:val="20"/>
            <w:tabs>
              <w:tab w:val="right" w:leader="dot" w:pos="10154"/>
              <w:tab w:val="clear" w:pos="1014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_Toc20021 </w:instrText>
          </w:r>
          <w:r>
            <w:rPr>
              <w:rFonts w:hint="eastAsia" w:ascii="宋体" w:hAnsi="宋体" w:eastAsia="宋体" w:cs="宋体"/>
              <w:highlight w:val="none"/>
              <w:lang w:val="zh-CN"/>
            </w:rPr>
            <w:fldChar w:fldCharType="separate"/>
          </w:r>
          <w:r>
            <w:rPr>
              <w:rFonts w:hint="eastAsia" w:ascii="宋体" w:hAnsi="宋体" w:eastAsia="宋体" w:cs="宋体"/>
              <w:szCs w:val="21"/>
              <w:highlight w:val="none"/>
            </w:rPr>
            <w:t>30</w:t>
          </w:r>
          <w:r>
            <w:rPr>
              <w:rFonts w:hint="eastAsia" w:ascii="宋体" w:hAnsi="宋体" w:eastAsia="宋体" w:cs="宋体"/>
              <w:szCs w:val="21"/>
              <w:highlight w:val="none"/>
              <w:lang w:val="zh-CN"/>
            </w:rPr>
            <w:t xml:space="preserve"> 真实性审查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_Toc20021 \h </w:instrText>
          </w:r>
          <w:r>
            <w:rPr>
              <w:rFonts w:hint="eastAsia" w:ascii="宋体" w:hAnsi="宋体" w:eastAsia="宋体" w:cs="宋体"/>
              <w:highlight w:val="none"/>
            </w:rPr>
            <w:fldChar w:fldCharType="separate"/>
          </w:r>
          <w:r>
            <w:rPr>
              <w:rFonts w:hint="eastAsia" w:ascii="宋体" w:hAnsi="宋体" w:eastAsia="宋体" w:cs="宋体"/>
              <w:highlight w:val="none"/>
            </w:rPr>
            <w:t>16</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30DD1FDB">
          <w:pPr>
            <w:pStyle w:val="20"/>
            <w:tabs>
              <w:tab w:val="right" w:leader="dot" w:pos="10154"/>
              <w:tab w:val="clear" w:pos="1014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_Toc27328 </w:instrText>
          </w:r>
          <w:r>
            <w:rPr>
              <w:rFonts w:hint="eastAsia" w:ascii="宋体" w:hAnsi="宋体" w:eastAsia="宋体" w:cs="宋体"/>
              <w:highlight w:val="none"/>
              <w:lang w:val="zh-CN"/>
            </w:rPr>
            <w:fldChar w:fldCharType="separate"/>
          </w:r>
          <w:r>
            <w:rPr>
              <w:rFonts w:hint="eastAsia" w:ascii="宋体" w:hAnsi="宋体" w:eastAsia="宋体" w:cs="宋体"/>
              <w:szCs w:val="21"/>
              <w:highlight w:val="none"/>
            </w:rPr>
            <w:t>31</w:t>
          </w:r>
          <w:r>
            <w:rPr>
              <w:rFonts w:hint="eastAsia" w:ascii="宋体" w:hAnsi="宋体" w:eastAsia="宋体" w:cs="宋体"/>
              <w:szCs w:val="21"/>
              <w:highlight w:val="none"/>
              <w:lang w:val="zh-CN"/>
            </w:rPr>
            <w:t xml:space="preserve"> 评标委员会和招标人接受或拒绝任何投标或所有投标的权利</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_Toc27328 \h </w:instrText>
          </w:r>
          <w:r>
            <w:rPr>
              <w:rFonts w:hint="eastAsia" w:ascii="宋体" w:hAnsi="宋体" w:eastAsia="宋体" w:cs="宋体"/>
              <w:highlight w:val="none"/>
            </w:rPr>
            <w:fldChar w:fldCharType="separate"/>
          </w:r>
          <w:r>
            <w:rPr>
              <w:rFonts w:hint="eastAsia" w:ascii="宋体" w:hAnsi="宋体" w:eastAsia="宋体" w:cs="宋体"/>
              <w:highlight w:val="none"/>
            </w:rPr>
            <w:t>17</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0D2875A9">
          <w:pPr>
            <w:pStyle w:val="30"/>
            <w:tabs>
              <w:tab w:val="right" w:leader="dot" w:pos="1015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_Toc6059 </w:instrText>
          </w:r>
          <w:r>
            <w:rPr>
              <w:rFonts w:hint="eastAsia" w:ascii="宋体" w:hAnsi="宋体" w:eastAsia="宋体" w:cs="宋体"/>
              <w:highlight w:val="none"/>
              <w:lang w:val="zh-CN"/>
            </w:rPr>
            <w:fldChar w:fldCharType="separate"/>
          </w:r>
          <w:r>
            <w:rPr>
              <w:rFonts w:hint="eastAsia" w:ascii="宋体" w:hAnsi="宋体" w:eastAsia="宋体" w:cs="宋体"/>
              <w:bCs/>
              <w:kern w:val="44"/>
              <w:szCs w:val="21"/>
              <w:highlight w:val="none"/>
              <w:lang w:val="zh-CN"/>
            </w:rPr>
            <w:t>六、授予合同</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_Toc6059 \h </w:instrText>
          </w:r>
          <w:r>
            <w:rPr>
              <w:rFonts w:hint="eastAsia" w:ascii="宋体" w:hAnsi="宋体" w:eastAsia="宋体" w:cs="宋体"/>
              <w:highlight w:val="none"/>
            </w:rPr>
            <w:fldChar w:fldCharType="separate"/>
          </w:r>
          <w:r>
            <w:rPr>
              <w:rFonts w:hint="eastAsia" w:ascii="宋体" w:hAnsi="宋体" w:eastAsia="宋体" w:cs="宋体"/>
              <w:highlight w:val="none"/>
            </w:rPr>
            <w:t>17</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19C31441">
          <w:pPr>
            <w:pStyle w:val="20"/>
            <w:tabs>
              <w:tab w:val="right" w:leader="dot" w:pos="10154"/>
              <w:tab w:val="clear" w:pos="1014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_Toc3957 </w:instrText>
          </w:r>
          <w:r>
            <w:rPr>
              <w:rFonts w:hint="eastAsia" w:ascii="宋体" w:hAnsi="宋体" w:eastAsia="宋体" w:cs="宋体"/>
              <w:highlight w:val="none"/>
              <w:lang w:val="zh-CN"/>
            </w:rPr>
            <w:fldChar w:fldCharType="separate"/>
          </w:r>
          <w:r>
            <w:rPr>
              <w:rFonts w:hint="eastAsia" w:ascii="宋体" w:hAnsi="宋体" w:eastAsia="宋体" w:cs="宋体"/>
              <w:szCs w:val="21"/>
              <w:highlight w:val="none"/>
            </w:rPr>
            <w:t>32</w:t>
          </w:r>
          <w:r>
            <w:rPr>
              <w:rFonts w:hint="eastAsia" w:ascii="宋体" w:hAnsi="宋体" w:eastAsia="宋体" w:cs="宋体"/>
              <w:szCs w:val="21"/>
              <w:highlight w:val="none"/>
              <w:lang w:val="zh-CN"/>
            </w:rPr>
            <w:t xml:space="preserve"> 授予合同的准则</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_Toc3957 \h </w:instrText>
          </w:r>
          <w:r>
            <w:rPr>
              <w:rFonts w:hint="eastAsia" w:ascii="宋体" w:hAnsi="宋体" w:eastAsia="宋体" w:cs="宋体"/>
              <w:highlight w:val="none"/>
            </w:rPr>
            <w:fldChar w:fldCharType="separate"/>
          </w:r>
          <w:r>
            <w:rPr>
              <w:rFonts w:hint="eastAsia" w:ascii="宋体" w:hAnsi="宋体" w:eastAsia="宋体" w:cs="宋体"/>
              <w:highlight w:val="none"/>
            </w:rPr>
            <w:t>17</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733436AA">
          <w:pPr>
            <w:pStyle w:val="20"/>
            <w:tabs>
              <w:tab w:val="right" w:leader="dot" w:pos="10154"/>
              <w:tab w:val="clear" w:pos="1014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_Toc23010 </w:instrText>
          </w:r>
          <w:r>
            <w:rPr>
              <w:rFonts w:hint="eastAsia" w:ascii="宋体" w:hAnsi="宋体" w:eastAsia="宋体" w:cs="宋体"/>
              <w:highlight w:val="none"/>
              <w:lang w:val="zh-CN"/>
            </w:rPr>
            <w:fldChar w:fldCharType="separate"/>
          </w:r>
          <w:r>
            <w:rPr>
              <w:rFonts w:hint="eastAsia" w:ascii="宋体" w:hAnsi="宋体" w:eastAsia="宋体" w:cs="宋体"/>
              <w:szCs w:val="21"/>
              <w:highlight w:val="none"/>
              <w:lang w:val="zh-CN"/>
            </w:rPr>
            <w:t>33 中标通知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_Toc23010 \h </w:instrText>
          </w:r>
          <w:r>
            <w:rPr>
              <w:rFonts w:hint="eastAsia" w:ascii="宋体" w:hAnsi="宋体" w:eastAsia="宋体" w:cs="宋体"/>
              <w:highlight w:val="none"/>
            </w:rPr>
            <w:fldChar w:fldCharType="separate"/>
          </w:r>
          <w:r>
            <w:rPr>
              <w:rFonts w:hint="eastAsia" w:ascii="宋体" w:hAnsi="宋体" w:eastAsia="宋体" w:cs="宋体"/>
              <w:highlight w:val="none"/>
            </w:rPr>
            <w:t>17</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50FE368D">
          <w:pPr>
            <w:pStyle w:val="20"/>
            <w:tabs>
              <w:tab w:val="right" w:leader="dot" w:pos="10154"/>
              <w:tab w:val="clear" w:pos="1014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_Toc7404 </w:instrText>
          </w:r>
          <w:r>
            <w:rPr>
              <w:rFonts w:hint="eastAsia" w:ascii="宋体" w:hAnsi="宋体" w:eastAsia="宋体" w:cs="宋体"/>
              <w:highlight w:val="none"/>
              <w:lang w:val="zh-CN"/>
            </w:rPr>
            <w:fldChar w:fldCharType="separate"/>
          </w:r>
          <w:r>
            <w:rPr>
              <w:rFonts w:hint="eastAsia" w:ascii="宋体" w:hAnsi="宋体" w:eastAsia="宋体" w:cs="宋体"/>
              <w:szCs w:val="21"/>
              <w:highlight w:val="none"/>
            </w:rPr>
            <w:t>34</w:t>
          </w:r>
          <w:r>
            <w:rPr>
              <w:rFonts w:hint="eastAsia" w:ascii="宋体" w:hAnsi="宋体" w:eastAsia="宋体" w:cs="宋体"/>
              <w:szCs w:val="21"/>
              <w:highlight w:val="none"/>
              <w:lang w:val="zh-CN"/>
            </w:rPr>
            <w:t xml:space="preserve"> 签署合同</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_Toc7404 \h </w:instrText>
          </w:r>
          <w:r>
            <w:rPr>
              <w:rFonts w:hint="eastAsia" w:ascii="宋体" w:hAnsi="宋体" w:eastAsia="宋体" w:cs="宋体"/>
              <w:highlight w:val="none"/>
            </w:rPr>
            <w:fldChar w:fldCharType="separate"/>
          </w:r>
          <w:r>
            <w:rPr>
              <w:rFonts w:hint="eastAsia" w:ascii="宋体" w:hAnsi="宋体" w:eastAsia="宋体" w:cs="宋体"/>
              <w:highlight w:val="none"/>
            </w:rPr>
            <w:t>17</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3A04E1FA">
          <w:pPr>
            <w:pStyle w:val="20"/>
            <w:tabs>
              <w:tab w:val="right" w:leader="dot" w:pos="10154"/>
              <w:tab w:val="clear" w:pos="1014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_Toc1481 </w:instrText>
          </w:r>
          <w:r>
            <w:rPr>
              <w:rFonts w:hint="eastAsia" w:ascii="宋体" w:hAnsi="宋体" w:eastAsia="宋体" w:cs="宋体"/>
              <w:highlight w:val="none"/>
              <w:lang w:val="zh-CN"/>
            </w:rPr>
            <w:fldChar w:fldCharType="separate"/>
          </w:r>
          <w:r>
            <w:rPr>
              <w:rFonts w:hint="eastAsia" w:ascii="宋体" w:hAnsi="宋体" w:eastAsia="宋体" w:cs="宋体"/>
              <w:szCs w:val="21"/>
              <w:highlight w:val="none"/>
            </w:rPr>
            <w:t xml:space="preserve">35 </w:t>
          </w:r>
          <w:r>
            <w:rPr>
              <w:rFonts w:hint="eastAsia" w:ascii="宋体" w:hAnsi="宋体" w:eastAsia="宋体" w:cs="宋体"/>
              <w:szCs w:val="21"/>
              <w:highlight w:val="none"/>
              <w:lang w:val="zh-CN"/>
            </w:rPr>
            <w:t>履约担保</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_Toc1481 \h </w:instrText>
          </w:r>
          <w:r>
            <w:rPr>
              <w:rFonts w:hint="eastAsia" w:ascii="宋体" w:hAnsi="宋体" w:eastAsia="宋体" w:cs="宋体"/>
              <w:highlight w:val="none"/>
            </w:rPr>
            <w:fldChar w:fldCharType="separate"/>
          </w:r>
          <w:r>
            <w:rPr>
              <w:rFonts w:hint="eastAsia" w:ascii="宋体" w:hAnsi="宋体" w:eastAsia="宋体" w:cs="宋体"/>
              <w:highlight w:val="none"/>
            </w:rPr>
            <w:t>18</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740C91F9">
          <w:pPr>
            <w:pStyle w:val="20"/>
            <w:tabs>
              <w:tab w:val="right" w:leader="dot" w:pos="10154"/>
              <w:tab w:val="clear" w:pos="1014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_Toc10865 </w:instrText>
          </w:r>
          <w:r>
            <w:rPr>
              <w:rFonts w:hint="eastAsia" w:ascii="宋体" w:hAnsi="宋体" w:eastAsia="宋体" w:cs="宋体"/>
              <w:highlight w:val="none"/>
              <w:lang w:val="zh-CN"/>
            </w:rPr>
            <w:fldChar w:fldCharType="separate"/>
          </w:r>
          <w:r>
            <w:rPr>
              <w:rFonts w:hint="eastAsia" w:ascii="宋体" w:hAnsi="宋体" w:eastAsia="宋体" w:cs="宋体"/>
              <w:szCs w:val="21"/>
              <w:highlight w:val="none"/>
            </w:rPr>
            <w:t>36</w:t>
          </w:r>
          <w:r>
            <w:rPr>
              <w:rFonts w:hint="eastAsia" w:ascii="宋体" w:hAnsi="宋体" w:eastAsia="宋体" w:cs="宋体"/>
              <w:szCs w:val="21"/>
              <w:highlight w:val="none"/>
              <w:lang w:val="zh-CN"/>
            </w:rPr>
            <w:t xml:space="preserve"> 在合同履行中变更采购范围的权利</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_Toc10865 \h </w:instrText>
          </w:r>
          <w:r>
            <w:rPr>
              <w:rFonts w:hint="eastAsia" w:ascii="宋体" w:hAnsi="宋体" w:eastAsia="宋体" w:cs="宋体"/>
              <w:highlight w:val="none"/>
            </w:rPr>
            <w:fldChar w:fldCharType="separate"/>
          </w:r>
          <w:r>
            <w:rPr>
              <w:rFonts w:hint="eastAsia" w:ascii="宋体" w:hAnsi="宋体" w:eastAsia="宋体" w:cs="宋体"/>
              <w:highlight w:val="none"/>
            </w:rPr>
            <w:t>19</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19338065">
          <w:pPr>
            <w:pStyle w:val="20"/>
            <w:tabs>
              <w:tab w:val="right" w:leader="dot" w:pos="10154"/>
              <w:tab w:val="clear" w:pos="1014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_Toc32562 </w:instrText>
          </w:r>
          <w:r>
            <w:rPr>
              <w:rFonts w:hint="eastAsia" w:ascii="宋体" w:hAnsi="宋体" w:eastAsia="宋体" w:cs="宋体"/>
              <w:highlight w:val="none"/>
              <w:lang w:val="zh-CN"/>
            </w:rPr>
            <w:fldChar w:fldCharType="separate"/>
          </w:r>
          <w:r>
            <w:rPr>
              <w:rFonts w:hint="eastAsia" w:ascii="宋体" w:hAnsi="宋体" w:eastAsia="宋体" w:cs="宋体"/>
              <w:szCs w:val="21"/>
              <w:highlight w:val="none"/>
            </w:rPr>
            <w:t>37</w:t>
          </w:r>
          <w:r>
            <w:rPr>
              <w:rFonts w:hint="eastAsia" w:ascii="宋体" w:hAnsi="宋体" w:eastAsia="宋体" w:cs="宋体"/>
              <w:szCs w:val="21"/>
              <w:highlight w:val="none"/>
              <w:lang w:val="zh-CN"/>
            </w:rPr>
            <w:t xml:space="preserve"> 中标服务费</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_Toc32562 \h </w:instrText>
          </w:r>
          <w:r>
            <w:rPr>
              <w:rFonts w:hint="eastAsia" w:ascii="宋体" w:hAnsi="宋体" w:eastAsia="宋体" w:cs="宋体"/>
              <w:highlight w:val="none"/>
            </w:rPr>
            <w:fldChar w:fldCharType="separate"/>
          </w:r>
          <w:r>
            <w:rPr>
              <w:rFonts w:hint="eastAsia" w:ascii="宋体" w:hAnsi="宋体" w:eastAsia="宋体" w:cs="宋体"/>
              <w:highlight w:val="none"/>
            </w:rPr>
            <w:t>19</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579B7B9D">
          <w:pPr>
            <w:pStyle w:val="20"/>
            <w:tabs>
              <w:tab w:val="right" w:leader="dot" w:pos="10154"/>
              <w:tab w:val="clear" w:pos="1014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_Toc22391 </w:instrText>
          </w:r>
          <w:r>
            <w:rPr>
              <w:rFonts w:hint="eastAsia" w:ascii="宋体" w:hAnsi="宋体" w:eastAsia="宋体" w:cs="宋体"/>
              <w:highlight w:val="none"/>
              <w:lang w:val="zh-CN"/>
            </w:rPr>
            <w:fldChar w:fldCharType="separate"/>
          </w:r>
          <w:r>
            <w:rPr>
              <w:rFonts w:hint="eastAsia" w:ascii="宋体" w:hAnsi="宋体" w:eastAsia="宋体" w:cs="宋体"/>
              <w:szCs w:val="21"/>
              <w:highlight w:val="none"/>
            </w:rPr>
            <w:t>38</w:t>
          </w:r>
          <w:r>
            <w:rPr>
              <w:rFonts w:hint="eastAsia" w:ascii="宋体" w:hAnsi="宋体" w:eastAsia="宋体" w:cs="宋体"/>
              <w:szCs w:val="21"/>
              <w:highlight w:val="none"/>
              <w:lang w:val="zh-CN"/>
            </w:rPr>
            <w:t xml:space="preserve"> 发票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_Toc22391 \h </w:instrText>
          </w:r>
          <w:r>
            <w:rPr>
              <w:rFonts w:hint="eastAsia" w:ascii="宋体" w:hAnsi="宋体" w:eastAsia="宋体" w:cs="宋体"/>
              <w:highlight w:val="none"/>
            </w:rPr>
            <w:fldChar w:fldCharType="separate"/>
          </w:r>
          <w:r>
            <w:rPr>
              <w:rFonts w:hint="eastAsia" w:ascii="宋体" w:hAnsi="宋体" w:eastAsia="宋体" w:cs="宋体"/>
              <w:highlight w:val="none"/>
            </w:rPr>
            <w:t>19</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2F3DBC81">
          <w:pPr>
            <w:pStyle w:val="20"/>
            <w:tabs>
              <w:tab w:val="right" w:leader="dot" w:pos="10154"/>
              <w:tab w:val="clear" w:pos="1014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_Toc12032 </w:instrText>
          </w:r>
          <w:r>
            <w:rPr>
              <w:rFonts w:hint="eastAsia" w:ascii="宋体" w:hAnsi="宋体" w:eastAsia="宋体" w:cs="宋体"/>
              <w:highlight w:val="none"/>
              <w:lang w:val="zh-CN"/>
            </w:rPr>
            <w:fldChar w:fldCharType="separate"/>
          </w:r>
          <w:r>
            <w:rPr>
              <w:rFonts w:hint="eastAsia" w:ascii="宋体" w:hAnsi="宋体" w:eastAsia="宋体" w:cs="宋体"/>
              <w:szCs w:val="21"/>
              <w:highlight w:val="none"/>
            </w:rPr>
            <w:t>39 招标相关补充约定</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_Toc12032 \h </w:instrText>
          </w:r>
          <w:r>
            <w:rPr>
              <w:rFonts w:hint="eastAsia" w:ascii="宋体" w:hAnsi="宋体" w:eastAsia="宋体" w:cs="宋体"/>
              <w:highlight w:val="none"/>
            </w:rPr>
            <w:fldChar w:fldCharType="separate"/>
          </w:r>
          <w:r>
            <w:rPr>
              <w:rFonts w:hint="eastAsia" w:ascii="宋体" w:hAnsi="宋体" w:eastAsia="宋体" w:cs="宋体"/>
              <w:highlight w:val="none"/>
            </w:rPr>
            <w:t>20</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4FDAA0E9">
          <w:pPr>
            <w:pStyle w:val="20"/>
            <w:tabs>
              <w:tab w:val="right" w:leader="dot" w:pos="10154"/>
              <w:tab w:val="clear" w:pos="1014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_Toc7054 </w:instrText>
          </w:r>
          <w:r>
            <w:rPr>
              <w:rFonts w:hint="eastAsia" w:ascii="宋体" w:hAnsi="宋体" w:eastAsia="宋体" w:cs="宋体"/>
              <w:highlight w:val="none"/>
              <w:lang w:val="zh-CN"/>
            </w:rPr>
            <w:fldChar w:fldCharType="separate"/>
          </w:r>
          <w:r>
            <w:rPr>
              <w:rFonts w:hint="eastAsia" w:ascii="宋体" w:hAnsi="宋体" w:eastAsia="宋体" w:cs="宋体"/>
              <w:szCs w:val="21"/>
              <w:highlight w:val="none"/>
            </w:rPr>
            <w:t>40 本次招标活动的最终解释权归招标代理机构及招标人所有。</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_Toc7054 \h </w:instrText>
          </w:r>
          <w:r>
            <w:rPr>
              <w:rFonts w:hint="eastAsia" w:ascii="宋体" w:hAnsi="宋体" w:eastAsia="宋体" w:cs="宋体"/>
              <w:highlight w:val="none"/>
            </w:rPr>
            <w:fldChar w:fldCharType="separate"/>
          </w:r>
          <w:r>
            <w:rPr>
              <w:rFonts w:hint="eastAsia" w:ascii="宋体" w:hAnsi="宋体" w:eastAsia="宋体" w:cs="宋体"/>
              <w:highlight w:val="none"/>
            </w:rPr>
            <w:t>20</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199CC354">
          <w:pPr>
            <w:pStyle w:val="27"/>
            <w:tabs>
              <w:tab w:val="right" w:leader="dot" w:pos="1015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_Toc32724 </w:instrText>
          </w:r>
          <w:r>
            <w:rPr>
              <w:rFonts w:hint="eastAsia" w:ascii="宋体" w:hAnsi="宋体" w:eastAsia="宋体" w:cs="宋体"/>
              <w:highlight w:val="none"/>
              <w:lang w:val="zh-CN"/>
            </w:rPr>
            <w:fldChar w:fldCharType="separate"/>
          </w:r>
          <w:r>
            <w:rPr>
              <w:rFonts w:hint="eastAsia" w:ascii="宋体" w:hAnsi="宋体" w:eastAsia="宋体" w:cs="宋体"/>
              <w:bCs/>
              <w:kern w:val="44"/>
              <w:szCs w:val="32"/>
              <w:highlight w:val="none"/>
              <w:lang w:val="zh-CN"/>
            </w:rPr>
            <w:t>第三篇 用户需求书</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_Toc32724 \h </w:instrText>
          </w:r>
          <w:r>
            <w:rPr>
              <w:rFonts w:hint="eastAsia" w:ascii="宋体" w:hAnsi="宋体" w:eastAsia="宋体" w:cs="宋体"/>
              <w:highlight w:val="none"/>
            </w:rPr>
            <w:fldChar w:fldCharType="separate"/>
          </w:r>
          <w:r>
            <w:rPr>
              <w:rFonts w:hint="eastAsia" w:ascii="宋体" w:hAnsi="宋体" w:eastAsia="宋体" w:cs="宋体"/>
              <w:highlight w:val="none"/>
            </w:rPr>
            <w:t>21</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72E44DC1">
          <w:pPr>
            <w:pStyle w:val="27"/>
            <w:tabs>
              <w:tab w:val="right" w:leader="dot" w:pos="1015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_Toc2782 </w:instrText>
          </w:r>
          <w:r>
            <w:rPr>
              <w:rFonts w:hint="eastAsia" w:ascii="宋体" w:hAnsi="宋体" w:eastAsia="宋体" w:cs="宋体"/>
              <w:highlight w:val="none"/>
              <w:lang w:val="zh-CN"/>
            </w:rPr>
            <w:fldChar w:fldCharType="separate"/>
          </w:r>
          <w:r>
            <w:rPr>
              <w:rFonts w:hint="eastAsia" w:ascii="宋体" w:hAnsi="宋体" w:eastAsia="宋体" w:cs="宋体"/>
              <w:bCs/>
              <w:kern w:val="44"/>
              <w:szCs w:val="32"/>
              <w:highlight w:val="none"/>
              <w:lang w:val="zh-CN"/>
            </w:rPr>
            <w:t>第四篇 合同条款格式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_Toc2782 \h </w:instrText>
          </w:r>
          <w:r>
            <w:rPr>
              <w:rFonts w:hint="eastAsia" w:ascii="宋体" w:hAnsi="宋体" w:eastAsia="宋体" w:cs="宋体"/>
              <w:highlight w:val="none"/>
            </w:rPr>
            <w:fldChar w:fldCharType="separate"/>
          </w:r>
          <w:r>
            <w:rPr>
              <w:rFonts w:hint="eastAsia" w:ascii="宋体" w:hAnsi="宋体" w:eastAsia="宋体" w:cs="宋体"/>
              <w:highlight w:val="none"/>
            </w:rPr>
            <w:t>36</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6DBBB742">
          <w:pPr>
            <w:pStyle w:val="27"/>
            <w:tabs>
              <w:tab w:val="right" w:leader="dot" w:pos="1015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_Toc24865 </w:instrText>
          </w:r>
          <w:r>
            <w:rPr>
              <w:rFonts w:hint="eastAsia" w:ascii="宋体" w:hAnsi="宋体" w:eastAsia="宋体" w:cs="宋体"/>
              <w:highlight w:val="none"/>
              <w:lang w:val="zh-CN"/>
            </w:rPr>
            <w:fldChar w:fldCharType="separate"/>
          </w:r>
          <w:r>
            <w:rPr>
              <w:rFonts w:hint="eastAsia" w:ascii="宋体" w:hAnsi="宋体" w:eastAsia="宋体" w:cs="宋体"/>
              <w:bCs/>
              <w:szCs w:val="32"/>
              <w:highlight w:val="none"/>
              <w:lang w:val="zh-CN"/>
            </w:rPr>
            <w:t>第五篇 相关保函格式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_Toc24865 \h </w:instrText>
          </w:r>
          <w:r>
            <w:rPr>
              <w:rFonts w:hint="eastAsia" w:ascii="宋体" w:hAnsi="宋体" w:eastAsia="宋体" w:cs="宋体"/>
              <w:highlight w:val="none"/>
            </w:rPr>
            <w:fldChar w:fldCharType="separate"/>
          </w:r>
          <w:r>
            <w:rPr>
              <w:rFonts w:hint="eastAsia" w:ascii="宋体" w:hAnsi="宋体" w:eastAsia="宋体" w:cs="宋体"/>
              <w:highlight w:val="none"/>
            </w:rPr>
            <w:t>64</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3985E460">
          <w:pPr>
            <w:pStyle w:val="27"/>
            <w:tabs>
              <w:tab w:val="right" w:leader="dot" w:pos="1015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_Toc23402 </w:instrText>
          </w:r>
          <w:r>
            <w:rPr>
              <w:rFonts w:hint="eastAsia" w:ascii="宋体" w:hAnsi="宋体" w:eastAsia="宋体" w:cs="宋体"/>
              <w:highlight w:val="none"/>
              <w:lang w:val="zh-CN"/>
            </w:rPr>
            <w:fldChar w:fldCharType="separate"/>
          </w:r>
          <w:r>
            <w:rPr>
              <w:rFonts w:hint="eastAsia" w:ascii="宋体" w:hAnsi="宋体" w:eastAsia="宋体" w:cs="宋体"/>
              <w:bCs/>
              <w:kern w:val="44"/>
              <w:szCs w:val="32"/>
              <w:highlight w:val="none"/>
              <w:lang w:val="zh-CN"/>
            </w:rPr>
            <w:t>第六篇 投标文件格式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_Toc23402 \h </w:instrText>
          </w:r>
          <w:r>
            <w:rPr>
              <w:rFonts w:hint="eastAsia" w:ascii="宋体" w:hAnsi="宋体" w:eastAsia="宋体" w:cs="宋体"/>
              <w:highlight w:val="none"/>
            </w:rPr>
            <w:fldChar w:fldCharType="separate"/>
          </w:r>
          <w:r>
            <w:rPr>
              <w:rFonts w:hint="eastAsia" w:ascii="宋体" w:hAnsi="宋体" w:eastAsia="宋体" w:cs="宋体"/>
              <w:highlight w:val="none"/>
            </w:rPr>
            <w:t>67</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78AA7CD9">
          <w:pPr>
            <w:pStyle w:val="27"/>
            <w:tabs>
              <w:tab w:val="right" w:leader="dot" w:pos="10154"/>
            </w:tabs>
            <w:spacing w:line="360" w:lineRule="auto"/>
            <w:rPr>
              <w:rFonts w:hint="eastAsia" w:ascii="宋体" w:hAnsi="宋体" w:eastAsia="宋体" w:cs="宋体"/>
              <w:highlight w:val="none"/>
            </w:rPr>
          </w:pP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\l _Toc3013 </w:instrText>
          </w:r>
          <w:r>
            <w:rPr>
              <w:rFonts w:hint="eastAsia" w:ascii="宋体" w:hAnsi="宋体" w:eastAsia="宋体" w:cs="宋体"/>
              <w:highlight w:val="none"/>
              <w:lang w:val="zh-CN"/>
            </w:rPr>
            <w:fldChar w:fldCharType="separate"/>
          </w:r>
          <w:r>
            <w:rPr>
              <w:rFonts w:hint="eastAsia" w:ascii="宋体" w:hAnsi="宋体" w:eastAsia="宋体" w:cs="宋体"/>
              <w:bCs/>
              <w:kern w:val="44"/>
              <w:szCs w:val="32"/>
              <w:highlight w:val="none"/>
              <w:lang w:val="zh-CN"/>
            </w:rPr>
            <w:t>附件一：评标工作大纲</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_Toc3013 \h </w:instrText>
          </w:r>
          <w:r>
            <w:rPr>
              <w:rFonts w:hint="eastAsia" w:ascii="宋体" w:hAnsi="宋体" w:eastAsia="宋体" w:cs="宋体"/>
              <w:highlight w:val="none"/>
            </w:rPr>
            <w:fldChar w:fldCharType="separate"/>
          </w:r>
          <w:r>
            <w:rPr>
              <w:rFonts w:hint="eastAsia" w:ascii="宋体" w:hAnsi="宋体" w:eastAsia="宋体" w:cs="宋体"/>
              <w:highlight w:val="none"/>
            </w:rPr>
            <w:t>107</w:t>
          </w:r>
          <w:r>
            <w:rPr>
              <w:rFonts w:hint="eastAsia" w:ascii="宋体" w:hAnsi="宋体" w:eastAsia="宋体" w:cs="宋体"/>
              <w:highlight w:val="none"/>
            </w:rPr>
            <w:fldChar w:fldCharType="end"/>
          </w:r>
          <w:r>
            <w:rPr>
              <w:rFonts w:hint="eastAsia" w:ascii="宋体" w:hAnsi="宋体" w:eastAsia="宋体" w:cs="宋体"/>
              <w:highlight w:val="none"/>
              <w:lang w:val="zh-CN"/>
            </w:rPr>
            <w:fldChar w:fldCharType="end"/>
          </w:r>
        </w:p>
        <w:p w14:paraId="2968637A">
          <w:pPr>
            <w:pStyle w:val="47"/>
            <w:spacing w:line="360" w:lineRule="auto"/>
            <w:rPr>
              <w:rFonts w:hint="eastAsia" w:ascii="宋体" w:hAnsi="宋体" w:eastAsia="宋体" w:cs="宋体"/>
              <w:b/>
              <w:kern w:val="2"/>
              <w:sz w:val="21"/>
              <w:szCs w:val="22"/>
              <w:highlight w:val="none"/>
              <w:lang w:val="zh-CN" w:eastAsia="zh-CN" w:bidi="ar-SA"/>
            </w:rPr>
          </w:pPr>
          <w:r>
            <w:rPr>
              <w:rFonts w:hint="eastAsia" w:ascii="宋体" w:hAnsi="宋体" w:eastAsia="宋体" w:cs="宋体"/>
              <w:highlight w:val="none"/>
              <w:lang w:val="zh-CN"/>
            </w:rPr>
            <w:fldChar w:fldCharType="end"/>
          </w:r>
        </w:p>
      </w:sdtContent>
    </w:sdt>
    <w:p w14:paraId="6B22896B">
      <w:pPr>
        <w:pStyle w:val="47"/>
        <w:rPr>
          <w:rFonts w:hint="eastAsia" w:ascii="宋体" w:hAnsi="宋体" w:eastAsia="宋体" w:cs="宋体"/>
          <w:b/>
          <w:kern w:val="2"/>
          <w:sz w:val="21"/>
          <w:szCs w:val="22"/>
          <w:highlight w:val="none"/>
          <w:lang w:val="zh-CN" w:eastAsia="zh-CN" w:bidi="ar-SA"/>
        </w:rPr>
      </w:pPr>
    </w:p>
    <w:p w14:paraId="43E65B81">
      <w:pPr>
        <w:keepNext/>
        <w:keepLines/>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auto"/>
          <w:kern w:val="44"/>
          <w:sz w:val="44"/>
          <w:szCs w:val="44"/>
          <w:highlight w:val="none"/>
          <w:lang w:val="zh-CN"/>
        </w:rPr>
      </w:pPr>
      <w:bookmarkStart w:id="0" w:name="_Toc25807"/>
      <w:r>
        <w:rPr>
          <w:rFonts w:hint="eastAsia" w:ascii="宋体" w:hAnsi="宋体" w:eastAsia="宋体" w:cs="宋体"/>
          <w:b/>
          <w:bCs/>
          <w:color w:val="auto"/>
          <w:kern w:val="44"/>
          <w:sz w:val="32"/>
          <w:szCs w:val="32"/>
          <w:highlight w:val="none"/>
          <w:lang w:val="zh-CN"/>
        </w:rPr>
        <w:t>第一篇 招标公告</w:t>
      </w:r>
      <w:bookmarkEnd w:id="0"/>
    </w:p>
    <w:p w14:paraId="54B76351">
      <w:pPr>
        <w:autoSpaceDE w:val="0"/>
        <w:autoSpaceDN w:val="0"/>
        <w:adjustRightInd w:val="0"/>
        <w:snapToGrid w:val="0"/>
        <w:spacing w:line="360" w:lineRule="auto"/>
        <w:ind w:right="-34" w:firstLine="420" w:firstLineChars="200"/>
        <w:outlineLvl w:val="9"/>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lang w:val="en-US" w:eastAsia="zh-CN"/>
        </w:rPr>
        <w:t>建成工程咨询股份有限公司</w:t>
      </w:r>
      <w:r>
        <w:rPr>
          <w:rFonts w:hint="eastAsia" w:ascii="宋体" w:hAnsi="宋体" w:eastAsia="宋体" w:cs="宋体"/>
          <w:color w:val="auto"/>
          <w:szCs w:val="21"/>
          <w:highlight w:val="none"/>
          <w:lang w:val="zh-CN"/>
        </w:rPr>
        <w:t>（以下简称“招标代理机构”）受</w:t>
      </w:r>
      <w:r>
        <w:rPr>
          <w:rFonts w:hint="eastAsia" w:ascii="宋体" w:hAnsi="宋体" w:eastAsia="宋体" w:cs="宋体"/>
          <w:color w:val="auto"/>
          <w:kern w:val="0"/>
          <w:szCs w:val="21"/>
          <w:highlight w:val="none"/>
          <w:lang w:eastAsia="zh-CN"/>
        </w:rPr>
        <w:t>东莞市</w:t>
      </w:r>
      <w:r>
        <w:rPr>
          <w:rFonts w:hint="eastAsia" w:ascii="宋体" w:hAnsi="宋体" w:eastAsia="宋体" w:cs="宋体"/>
          <w:color w:val="auto"/>
          <w:kern w:val="0"/>
          <w:szCs w:val="21"/>
          <w:highlight w:val="none"/>
          <w:lang w:val="en-US" w:eastAsia="zh-CN"/>
        </w:rPr>
        <w:t>置拓投资</w:t>
      </w:r>
      <w:r>
        <w:rPr>
          <w:rFonts w:hint="eastAsia" w:ascii="宋体" w:hAnsi="宋体" w:eastAsia="宋体" w:cs="宋体"/>
          <w:color w:val="auto"/>
          <w:kern w:val="0"/>
          <w:szCs w:val="21"/>
          <w:highlight w:val="none"/>
          <w:lang w:eastAsia="zh-CN"/>
        </w:rPr>
        <w:t>有限公司</w:t>
      </w:r>
      <w:r>
        <w:rPr>
          <w:rFonts w:hint="eastAsia" w:ascii="宋体" w:hAnsi="宋体" w:eastAsia="宋体" w:cs="宋体"/>
          <w:color w:val="auto"/>
          <w:szCs w:val="21"/>
          <w:highlight w:val="none"/>
          <w:lang w:val="zh-CN"/>
        </w:rPr>
        <w:t>（以下简称“招标人”）的委托，对</w:t>
      </w:r>
      <w:bookmarkStart w:id="1" w:name="_Hlk41903390"/>
      <w:r>
        <w:rPr>
          <w:rFonts w:hint="eastAsia" w:ascii="宋体" w:hAnsi="宋体" w:eastAsia="宋体" w:cs="宋体"/>
          <w:color w:val="auto"/>
          <w:szCs w:val="21"/>
          <w:highlight w:val="none"/>
          <w:lang w:val="zh-CN"/>
        </w:rPr>
        <w:t>东莞市置拓投资有限公司水业大厦食堂经营服务采购项目(招标编号：</w:t>
      </w:r>
      <w:r>
        <w:rPr>
          <w:rFonts w:hint="default" w:ascii="宋体" w:hAnsi="宋体" w:eastAsia="宋体" w:cs="宋体"/>
          <w:color w:val="auto"/>
          <w:szCs w:val="21"/>
          <w:highlight w:val="none"/>
        </w:rPr>
        <w:t>广建咨询（东招）2025-0020号</w:t>
      </w:r>
      <w:r>
        <w:rPr>
          <w:rFonts w:hint="eastAsia" w:ascii="宋体" w:hAnsi="宋体" w:eastAsia="宋体" w:cs="宋体"/>
          <w:color w:val="auto"/>
          <w:szCs w:val="21"/>
          <w:highlight w:val="none"/>
          <w:lang w:val="zh-CN"/>
        </w:rPr>
        <w:t>)</w:t>
      </w:r>
      <w:bookmarkEnd w:id="1"/>
      <w:r>
        <w:rPr>
          <w:rFonts w:hint="eastAsia" w:ascii="宋体" w:hAnsi="宋体" w:eastAsia="宋体" w:cs="宋体"/>
          <w:color w:val="auto"/>
          <w:szCs w:val="21"/>
          <w:highlight w:val="none"/>
          <w:lang w:val="zh-CN"/>
        </w:rPr>
        <w:t>进行国内公开招标，</w:t>
      </w:r>
      <w:r>
        <w:rPr>
          <w:rFonts w:hint="eastAsia" w:ascii="宋体" w:hAnsi="宋体" w:eastAsia="宋体" w:cs="宋体"/>
          <w:bCs/>
          <w:color w:val="auto"/>
          <w:kern w:val="0"/>
          <w:szCs w:val="21"/>
          <w:highlight w:val="none"/>
        </w:rPr>
        <w:t>详情请参见本招标文件。</w:t>
      </w:r>
      <w:r>
        <w:rPr>
          <w:rFonts w:hint="eastAsia" w:ascii="宋体" w:hAnsi="宋体" w:eastAsia="宋体" w:cs="宋体"/>
          <w:color w:val="auto"/>
          <w:kern w:val="0"/>
          <w:szCs w:val="21"/>
          <w:highlight w:val="none"/>
        </w:rPr>
        <w:t>欢迎符合条件的合格投标人参加投标，</w:t>
      </w:r>
      <w:r>
        <w:rPr>
          <w:rFonts w:hint="eastAsia" w:ascii="宋体" w:hAnsi="宋体" w:eastAsia="宋体" w:cs="宋体"/>
          <w:bCs/>
          <w:color w:val="auto"/>
          <w:kern w:val="0"/>
          <w:szCs w:val="21"/>
          <w:highlight w:val="none"/>
        </w:rPr>
        <w:t>有关事项如下：</w:t>
      </w:r>
    </w:p>
    <w:p w14:paraId="7E57A4AD">
      <w:pPr>
        <w:autoSpaceDE w:val="0"/>
        <w:autoSpaceDN w:val="0"/>
        <w:adjustRightInd w:val="0"/>
        <w:spacing w:line="360" w:lineRule="auto"/>
        <w:ind w:right="-29" w:rightChars="-14" w:firstLine="420" w:firstLineChars="200"/>
        <w:outlineLvl w:val="9"/>
        <w:rPr>
          <w:rFonts w:hint="eastAsia" w:ascii="宋体" w:hAnsi="宋体" w:eastAsia="宋体" w:cs="宋体"/>
          <w:color w:val="auto"/>
          <w:szCs w:val="21"/>
          <w:highlight w:val="none"/>
          <w:lang w:val="zh-CN"/>
        </w:rPr>
      </w:pPr>
    </w:p>
    <w:p w14:paraId="4F911B43">
      <w:pPr>
        <w:numPr>
          <w:ilvl w:val="0"/>
          <w:numId w:val="1"/>
        </w:numPr>
        <w:autoSpaceDE w:val="0"/>
        <w:autoSpaceDN w:val="0"/>
        <w:adjustRightInd w:val="0"/>
        <w:snapToGrid w:val="0"/>
        <w:spacing w:line="360" w:lineRule="auto"/>
        <w:ind w:right="-34"/>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招标范围：东莞市置拓投资有限公司水业大厦食堂经营服务，</w:t>
      </w:r>
      <w:r>
        <w:rPr>
          <w:rFonts w:hint="eastAsia" w:ascii="宋体" w:hAnsi="宋体" w:eastAsia="宋体" w:cs="宋体"/>
          <w:color w:val="auto"/>
          <w:kern w:val="0"/>
          <w:szCs w:val="21"/>
          <w:highlight w:val="none"/>
          <w:lang w:val="en-US" w:eastAsia="zh-CN"/>
        </w:rPr>
        <w:t>包括提供水业大厦食堂餐具、</w:t>
      </w:r>
      <w:r>
        <w:rPr>
          <w:rFonts w:hint="eastAsia" w:ascii="宋体" w:hAnsi="宋体" w:eastAsia="宋体" w:cs="宋体"/>
          <w:sz w:val="21"/>
          <w:szCs w:val="21"/>
          <w:highlight w:val="none"/>
          <w:lang w:val="en-US" w:eastAsia="zh-CN"/>
        </w:rPr>
        <w:t>智能管理系统、智能称重设备和厨房用品，食材原料采购、配料、加工，</w:t>
      </w:r>
      <w:r>
        <w:rPr>
          <w:rFonts w:hint="eastAsia" w:ascii="宋体" w:hAnsi="宋体" w:eastAsia="宋体" w:cs="宋体"/>
          <w:color w:val="auto"/>
          <w:kern w:val="0"/>
          <w:szCs w:val="21"/>
          <w:highlight w:val="none"/>
          <w:lang w:val="en-US" w:eastAsia="zh-CN"/>
        </w:rPr>
        <w:t>为水业大厦食堂提供餐饮服务及相关产品，</w:t>
      </w:r>
      <w:r>
        <w:rPr>
          <w:rFonts w:hint="eastAsia" w:ascii="宋体" w:hAnsi="宋体" w:eastAsia="宋体" w:cs="宋体"/>
          <w:sz w:val="21"/>
          <w:szCs w:val="21"/>
          <w:highlight w:val="none"/>
          <w:lang w:val="en-US" w:eastAsia="zh-CN"/>
        </w:rPr>
        <w:t>以及负责食堂范围内所有设备设施的清洁、维护维修等工作，食堂运营服务期限自招标人发出《进场通知书》之日起2年</w:t>
      </w:r>
      <w:r>
        <w:rPr>
          <w:rFonts w:hint="eastAsia" w:ascii="宋体" w:hAnsi="宋体" w:eastAsia="宋体" w:cs="宋体"/>
          <w:color w:val="auto"/>
          <w:szCs w:val="21"/>
          <w:highlight w:val="none"/>
          <w:lang w:val="zh-CN"/>
        </w:rPr>
        <w:t>（具体内容详见：第三篇用户需求书）。</w:t>
      </w:r>
    </w:p>
    <w:p w14:paraId="7950BCA7">
      <w:pPr>
        <w:autoSpaceDE w:val="0"/>
        <w:autoSpaceDN w:val="0"/>
        <w:adjustRightInd w:val="0"/>
        <w:spacing w:line="360" w:lineRule="auto"/>
        <w:ind w:right="-29" w:rightChars="-14"/>
        <w:outlineLvl w:val="9"/>
        <w:rPr>
          <w:rFonts w:hint="eastAsia" w:ascii="宋体" w:hAnsi="宋体" w:eastAsia="宋体" w:cs="宋体"/>
          <w:color w:val="auto"/>
          <w:szCs w:val="21"/>
          <w:highlight w:val="none"/>
          <w:lang w:val="zh-CN"/>
        </w:rPr>
      </w:pPr>
    </w:p>
    <w:p w14:paraId="7973F679">
      <w:pPr>
        <w:numPr>
          <w:ilvl w:val="0"/>
          <w:numId w:val="1"/>
        </w:numPr>
        <w:autoSpaceDE w:val="0"/>
        <w:autoSpaceDN w:val="0"/>
        <w:adjustRightInd w:val="0"/>
        <w:snapToGrid w:val="0"/>
        <w:spacing w:line="360" w:lineRule="auto"/>
        <w:ind w:right="-34"/>
        <w:jc w:val="left"/>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合格投标人资格要求：</w:t>
      </w:r>
    </w:p>
    <w:p w14:paraId="739C4DD0">
      <w:pPr>
        <w:pStyle w:val="161"/>
        <w:spacing w:line="360" w:lineRule="auto"/>
        <w:ind w:right="-29" w:rightChars="-14" w:firstLine="0" w:firstLineChars="0"/>
        <w:jc w:val="both"/>
        <w:outlineLvl w:val="9"/>
        <w:rPr>
          <w:rFonts w:hint="eastAsia" w:ascii="宋体" w:hAnsi="宋体" w:eastAsia="宋体" w:cs="宋体"/>
          <w:b/>
          <w:color w:val="auto"/>
          <w:sz w:val="21"/>
          <w:szCs w:val="21"/>
          <w:highlight w:val="none"/>
          <w:lang w:val="zh-CN" w:eastAsia="zh-CN"/>
        </w:rPr>
      </w:pPr>
      <w:r>
        <w:rPr>
          <w:rFonts w:hint="eastAsia" w:ascii="宋体" w:hAnsi="宋体" w:eastAsia="宋体" w:cs="宋体"/>
          <w:b/>
          <w:color w:val="auto"/>
          <w:sz w:val="21"/>
          <w:szCs w:val="21"/>
          <w:highlight w:val="none"/>
          <w:lang w:val="en-US" w:eastAsia="zh-CN"/>
        </w:rPr>
        <w:t xml:space="preserve">2.1 </w:t>
      </w:r>
      <w:r>
        <w:rPr>
          <w:rFonts w:hint="eastAsia" w:ascii="宋体" w:hAnsi="宋体" w:eastAsia="宋体" w:cs="宋体"/>
          <w:b/>
          <w:color w:val="auto"/>
          <w:sz w:val="21"/>
          <w:szCs w:val="21"/>
          <w:highlight w:val="none"/>
          <w:lang w:val="zh-CN" w:eastAsia="zh-CN"/>
        </w:rPr>
        <w:t>在中华人民共和国境内登记注册的、合法存续、正常经营且具有独立承担民事责任能力的法人或其他组织；</w:t>
      </w:r>
    </w:p>
    <w:p w14:paraId="2FF50BCD">
      <w:pPr>
        <w:pStyle w:val="161"/>
        <w:spacing w:line="360" w:lineRule="auto"/>
        <w:ind w:left="422" w:right="-29" w:rightChars="-14" w:hanging="422" w:hangingChars="200"/>
        <w:jc w:val="both"/>
        <w:outlineLvl w:val="9"/>
        <w:rPr>
          <w:rFonts w:hint="eastAsia" w:ascii="宋体" w:hAnsi="宋体" w:eastAsia="宋体" w:cs="宋体"/>
          <w:b/>
          <w:color w:val="auto"/>
          <w:sz w:val="21"/>
          <w:szCs w:val="21"/>
          <w:highlight w:val="none"/>
          <w:lang w:val="zh-CN" w:eastAsia="zh-CN"/>
        </w:rPr>
      </w:pPr>
      <w:r>
        <w:rPr>
          <w:rFonts w:hint="eastAsia" w:ascii="宋体" w:hAnsi="宋体" w:eastAsia="宋体" w:cs="宋体"/>
          <w:b/>
          <w:color w:val="auto"/>
          <w:sz w:val="21"/>
          <w:szCs w:val="21"/>
          <w:highlight w:val="none"/>
          <w:lang w:val="en-US" w:eastAsia="zh-CN"/>
        </w:rPr>
        <w:t xml:space="preserve">2.2 </w:t>
      </w:r>
      <w:r>
        <w:rPr>
          <w:rFonts w:hint="eastAsia" w:ascii="宋体" w:hAnsi="宋体" w:eastAsia="宋体" w:cs="宋体"/>
          <w:b/>
          <w:color w:val="auto"/>
          <w:sz w:val="21"/>
          <w:szCs w:val="21"/>
          <w:highlight w:val="none"/>
          <w:lang w:val="zh-CN" w:eastAsia="zh-CN"/>
        </w:rPr>
        <w:t>投标人须具有食品药品监督管理部门或市场监督管理部门颁发并在有效期内的食品经营许可证。如已实施食品药品经营许可多证合一改革的，提供《食品药品经营许可证》。（食品经营主体业态须为餐饮服务经营者，食品经营项目须包含食品经营管理或食品经营管理中餐饮服务管理。）</w:t>
      </w:r>
    </w:p>
    <w:p w14:paraId="193C9270">
      <w:pPr>
        <w:pStyle w:val="161"/>
        <w:spacing w:line="360" w:lineRule="auto"/>
        <w:ind w:left="422" w:right="-29" w:rightChars="-14" w:hanging="422" w:hangingChars="200"/>
        <w:jc w:val="both"/>
        <w:outlineLvl w:val="9"/>
        <w:rPr>
          <w:rFonts w:hint="eastAsia" w:ascii="宋体" w:hAnsi="宋体" w:eastAsia="宋体" w:cs="宋体"/>
          <w:b/>
          <w:color w:val="auto"/>
          <w:sz w:val="21"/>
          <w:szCs w:val="21"/>
          <w:highlight w:val="none"/>
          <w:lang w:val="zh-CN" w:eastAsia="zh-CN"/>
        </w:rPr>
      </w:pPr>
      <w:bookmarkStart w:id="2" w:name="_Toc4173"/>
      <w:r>
        <w:rPr>
          <w:rFonts w:hint="eastAsia" w:ascii="宋体" w:hAnsi="宋体" w:eastAsia="宋体" w:cs="宋体"/>
          <w:b/>
          <w:color w:val="auto"/>
          <w:sz w:val="21"/>
          <w:szCs w:val="21"/>
          <w:highlight w:val="none"/>
          <w:lang w:val="en-US" w:eastAsia="zh-CN"/>
        </w:rPr>
        <w:t xml:space="preserve">2.3 </w:t>
      </w:r>
      <w:r>
        <w:rPr>
          <w:rFonts w:hint="eastAsia" w:ascii="宋体" w:hAnsi="宋体" w:eastAsia="宋体" w:cs="宋体"/>
          <w:b/>
          <w:color w:val="auto"/>
          <w:sz w:val="21"/>
          <w:szCs w:val="21"/>
          <w:highlight w:val="none"/>
          <w:lang w:val="zh-CN" w:eastAsia="zh-CN"/>
        </w:rPr>
        <w:t>投标人202</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lang w:val="zh-CN" w:eastAsia="zh-CN"/>
        </w:rPr>
        <w:t>年1月1日以来具有一份食堂</w:t>
      </w:r>
      <w:r>
        <w:rPr>
          <w:rFonts w:hint="eastAsia" w:hAnsi="宋体" w:eastAsia="宋体" w:cs="宋体"/>
          <w:b/>
          <w:color w:val="auto"/>
          <w:sz w:val="21"/>
          <w:szCs w:val="21"/>
          <w:highlight w:val="none"/>
          <w:lang w:val="zh-CN" w:eastAsia="zh-CN"/>
        </w:rPr>
        <w:t>（</w:t>
      </w:r>
      <w:r>
        <w:rPr>
          <w:rFonts w:hint="eastAsia" w:ascii="宋体" w:hAnsi="宋体" w:eastAsia="宋体" w:cs="宋体"/>
          <w:b/>
          <w:color w:val="auto"/>
          <w:sz w:val="21"/>
          <w:szCs w:val="21"/>
          <w:highlight w:val="none"/>
          <w:lang w:val="zh-CN" w:eastAsia="zh-CN"/>
        </w:rPr>
        <w:t>或饭堂</w:t>
      </w:r>
      <w:r>
        <w:rPr>
          <w:rFonts w:hint="eastAsia" w:hAnsi="宋体" w:eastAsia="宋体" w:cs="宋体"/>
          <w:b/>
          <w:color w:val="auto"/>
          <w:sz w:val="21"/>
          <w:szCs w:val="21"/>
          <w:highlight w:val="none"/>
          <w:lang w:val="en-US" w:eastAsia="zh-CN"/>
        </w:rPr>
        <w:t>或餐厅</w:t>
      </w:r>
      <w:r>
        <w:rPr>
          <w:rFonts w:hint="eastAsia" w:hAnsi="宋体" w:eastAsia="宋体" w:cs="宋体"/>
          <w:b/>
          <w:color w:val="auto"/>
          <w:sz w:val="21"/>
          <w:szCs w:val="21"/>
          <w:highlight w:val="none"/>
          <w:lang w:val="zh-CN" w:eastAsia="zh-CN"/>
        </w:rPr>
        <w:t>）</w:t>
      </w:r>
      <w:r>
        <w:rPr>
          <w:rFonts w:hint="eastAsia" w:ascii="宋体" w:hAnsi="宋体" w:eastAsia="宋体" w:cs="宋体"/>
          <w:b/>
          <w:color w:val="auto"/>
          <w:sz w:val="21"/>
          <w:szCs w:val="21"/>
          <w:highlight w:val="none"/>
          <w:lang w:val="zh-CN" w:eastAsia="zh-CN"/>
        </w:rPr>
        <w:t>经营管理服务业绩（合同签订日期为202</w:t>
      </w:r>
      <w:r>
        <w:rPr>
          <w:rFonts w:hint="eastAsia"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lang w:val="zh-CN" w:eastAsia="zh-CN"/>
        </w:rPr>
        <w:t>年1月1日或以后）</w:t>
      </w:r>
      <w:r>
        <w:rPr>
          <w:rFonts w:hint="eastAsia"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lang w:val="zh-CN" w:eastAsia="zh-CN"/>
        </w:rPr>
        <w:t>服务内容必须同时包含食品</w:t>
      </w:r>
      <w:r>
        <w:rPr>
          <w:rFonts w:hint="eastAsia" w:hAnsi="宋体" w:eastAsia="宋体" w:cs="宋体"/>
          <w:b/>
          <w:color w:val="auto"/>
          <w:sz w:val="21"/>
          <w:szCs w:val="21"/>
          <w:highlight w:val="none"/>
          <w:lang w:val="zh-CN" w:eastAsia="zh-CN"/>
        </w:rPr>
        <w:t>（</w:t>
      </w:r>
      <w:r>
        <w:rPr>
          <w:rFonts w:hint="eastAsia" w:ascii="宋体" w:hAnsi="宋体" w:eastAsia="宋体" w:cs="宋体"/>
          <w:b/>
          <w:color w:val="auto"/>
          <w:sz w:val="21"/>
          <w:szCs w:val="21"/>
          <w:highlight w:val="none"/>
          <w:lang w:val="zh-CN" w:eastAsia="zh-CN"/>
        </w:rPr>
        <w:t>或食材</w:t>
      </w:r>
      <w:r>
        <w:rPr>
          <w:rFonts w:hint="eastAsia" w:hAnsi="宋体" w:eastAsia="宋体" w:cs="宋体"/>
          <w:b/>
          <w:color w:val="auto"/>
          <w:sz w:val="21"/>
          <w:szCs w:val="21"/>
          <w:highlight w:val="none"/>
          <w:lang w:val="zh-CN" w:eastAsia="zh-CN"/>
        </w:rPr>
        <w:t>）</w:t>
      </w:r>
      <w:r>
        <w:rPr>
          <w:rFonts w:hint="eastAsia" w:ascii="宋体" w:hAnsi="宋体" w:eastAsia="宋体" w:cs="宋体"/>
          <w:b/>
          <w:color w:val="auto"/>
          <w:sz w:val="21"/>
          <w:szCs w:val="21"/>
          <w:highlight w:val="none"/>
          <w:lang w:val="zh-CN" w:eastAsia="zh-CN"/>
        </w:rPr>
        <w:t>配送服务及膳食</w:t>
      </w:r>
      <w:r>
        <w:rPr>
          <w:rFonts w:hint="eastAsia" w:hAnsi="宋体" w:eastAsia="宋体" w:cs="宋体"/>
          <w:b/>
          <w:color w:val="auto"/>
          <w:sz w:val="21"/>
          <w:szCs w:val="21"/>
          <w:highlight w:val="none"/>
          <w:lang w:val="zh-CN" w:eastAsia="zh-CN"/>
        </w:rPr>
        <w:t>（</w:t>
      </w:r>
      <w:r>
        <w:rPr>
          <w:rFonts w:hint="eastAsia" w:ascii="宋体" w:hAnsi="宋体" w:eastAsia="宋体" w:cs="宋体"/>
          <w:b/>
          <w:color w:val="auto"/>
          <w:sz w:val="21"/>
          <w:szCs w:val="21"/>
          <w:highlight w:val="none"/>
          <w:lang w:val="zh-CN" w:eastAsia="zh-CN"/>
        </w:rPr>
        <w:t>或餐饮或食材</w:t>
      </w:r>
      <w:r>
        <w:rPr>
          <w:rFonts w:hint="eastAsia" w:hAnsi="宋体" w:eastAsia="宋体" w:cs="宋体"/>
          <w:b/>
          <w:color w:val="auto"/>
          <w:sz w:val="21"/>
          <w:szCs w:val="21"/>
          <w:highlight w:val="none"/>
          <w:lang w:val="zh-CN" w:eastAsia="zh-CN"/>
        </w:rPr>
        <w:t>）</w:t>
      </w:r>
      <w:r>
        <w:rPr>
          <w:rFonts w:hint="eastAsia" w:ascii="宋体" w:hAnsi="宋体" w:eastAsia="宋体" w:cs="宋体"/>
          <w:b/>
          <w:color w:val="auto"/>
          <w:sz w:val="21"/>
          <w:szCs w:val="21"/>
          <w:highlight w:val="none"/>
          <w:lang w:val="zh-CN" w:eastAsia="zh-CN"/>
        </w:rPr>
        <w:t>加工服务</w:t>
      </w:r>
      <w:r>
        <w:rPr>
          <w:rFonts w:hint="eastAsia"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lang w:val="zh-CN" w:eastAsia="zh-CN"/>
        </w:rPr>
        <w:t>；</w:t>
      </w:r>
    </w:p>
    <w:p w14:paraId="140404F4">
      <w:pPr>
        <w:pStyle w:val="161"/>
        <w:spacing w:line="360" w:lineRule="auto"/>
        <w:ind w:right="-29" w:rightChars="-14" w:firstLine="0" w:firstLineChars="0"/>
        <w:jc w:val="both"/>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en-US" w:eastAsia="zh-CN"/>
        </w:rPr>
        <w:t xml:space="preserve">2.4 </w:t>
      </w:r>
      <w:r>
        <w:rPr>
          <w:rFonts w:hint="eastAsia" w:ascii="宋体" w:hAnsi="宋体" w:eastAsia="宋体" w:cs="宋体"/>
          <w:b/>
          <w:color w:val="auto"/>
          <w:sz w:val="21"/>
          <w:szCs w:val="21"/>
          <w:highlight w:val="none"/>
          <w:lang w:val="zh-CN" w:eastAsia="zh-CN"/>
        </w:rPr>
        <w:t>本项目不接受联合体投标。</w:t>
      </w:r>
      <w:bookmarkEnd w:id="2"/>
    </w:p>
    <w:p w14:paraId="6CD69C6A">
      <w:pPr>
        <w:autoSpaceDE w:val="0"/>
        <w:autoSpaceDN w:val="0"/>
        <w:adjustRightInd w:val="0"/>
        <w:spacing w:line="360" w:lineRule="auto"/>
        <w:ind w:right="-29" w:rightChars="-14" w:firstLine="420" w:firstLineChars="200"/>
        <w:outlineLvl w:val="9"/>
        <w:rPr>
          <w:rFonts w:hint="eastAsia" w:ascii="宋体" w:hAnsi="宋体" w:eastAsia="宋体" w:cs="宋体"/>
          <w:color w:val="auto"/>
          <w:szCs w:val="21"/>
          <w:highlight w:val="none"/>
          <w:lang w:val="zh-CN"/>
        </w:rPr>
      </w:pPr>
    </w:p>
    <w:p w14:paraId="5787B693">
      <w:pPr>
        <w:pStyle w:val="179"/>
        <w:numPr>
          <w:ilvl w:val="0"/>
          <w:numId w:val="1"/>
        </w:numPr>
        <w:spacing w:line="360" w:lineRule="auto"/>
        <w:ind w:left="426" w:right="-34" w:hanging="426" w:firstLineChars="0"/>
        <w:jc w:val="both"/>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Cs w:val="21"/>
          <w:highlight w:val="none"/>
          <w:lang w:val="zh-CN"/>
        </w:rPr>
        <w:t>获取招标文件的方式：本项目采用“不记名网上下载”的方式发布招标文件，有意向的投标人可于本项目投标截止时间前，在本项目招标信息发布媒介</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rPr>
        <w:t>详见本招标公告第7点（除中国招标投标公共服务平台外）</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rPr>
        <w:t>下载招标文件【本招标公告第7点媒介发布招标文件不一致时,以东莞市水务集团有限公司网(www,dgswjt.cn)发布的招标文件为准】。</w:t>
      </w:r>
    </w:p>
    <w:p w14:paraId="5102D4D3">
      <w:pPr>
        <w:autoSpaceDE w:val="0"/>
        <w:autoSpaceDN w:val="0"/>
        <w:adjustRightInd w:val="0"/>
        <w:spacing w:line="360" w:lineRule="auto"/>
        <w:ind w:left="0" w:leftChars="0" w:right="-29" w:rightChars="-14" w:firstLine="420" w:firstLineChars="200"/>
        <w:outlineLvl w:val="9"/>
        <w:rPr>
          <w:rFonts w:hint="eastAsia" w:ascii="宋体" w:hAnsi="宋体" w:eastAsia="宋体" w:cs="宋体"/>
          <w:color w:val="auto"/>
          <w:szCs w:val="21"/>
          <w:highlight w:val="none"/>
          <w:lang w:val="zh-CN"/>
        </w:rPr>
      </w:pPr>
    </w:p>
    <w:p w14:paraId="140D0B4C">
      <w:pPr>
        <w:numPr>
          <w:ilvl w:val="0"/>
          <w:numId w:val="1"/>
        </w:numPr>
        <w:autoSpaceDE w:val="0"/>
        <w:autoSpaceDN w:val="0"/>
        <w:adjustRightInd w:val="0"/>
        <w:snapToGrid w:val="0"/>
        <w:spacing w:line="360" w:lineRule="auto"/>
        <w:ind w:right="-34"/>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招标代理机构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宋体"/>
          <w:color w:val="auto"/>
          <w:szCs w:val="21"/>
          <w:highlight w:val="none"/>
          <w:lang w:val="en-US" w:eastAsia="zh-CN"/>
        </w:rPr>
        <w:t>政府采购</w:t>
      </w:r>
      <w:r>
        <w:rPr>
          <w:rFonts w:hint="eastAsia" w:ascii="宋体" w:hAnsi="宋体" w:eastAsia="宋体" w:cs="宋体"/>
          <w:color w:val="auto"/>
          <w:szCs w:val="21"/>
          <w:highlight w:val="none"/>
          <w:lang w:val="zh-CN"/>
        </w:rPr>
        <w:t>严重违法失信行为记录名单的投标人，做好相关记录（处罚期限届满的除外）。</w:t>
      </w:r>
    </w:p>
    <w:p w14:paraId="759DD1BC">
      <w:pPr>
        <w:autoSpaceDE w:val="0"/>
        <w:autoSpaceDN w:val="0"/>
        <w:adjustRightInd w:val="0"/>
        <w:spacing w:line="360" w:lineRule="auto"/>
        <w:ind w:right="-29" w:rightChars="-14" w:firstLine="420"/>
        <w:outlineLvl w:val="9"/>
        <w:rPr>
          <w:rFonts w:hint="eastAsia" w:ascii="宋体" w:hAnsi="宋体" w:eastAsia="宋体" w:cs="宋体"/>
          <w:color w:val="auto"/>
          <w:szCs w:val="21"/>
          <w:highlight w:val="none"/>
          <w:lang w:val="zh-CN"/>
        </w:rPr>
      </w:pPr>
    </w:p>
    <w:p w14:paraId="25020E79">
      <w:pPr>
        <w:numPr>
          <w:ilvl w:val="0"/>
          <w:numId w:val="1"/>
        </w:numPr>
        <w:autoSpaceDE w:val="0"/>
        <w:autoSpaceDN w:val="0"/>
        <w:adjustRightInd w:val="0"/>
        <w:snapToGrid w:val="0"/>
        <w:spacing w:line="360" w:lineRule="auto"/>
        <w:ind w:right="-34"/>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投标、开标时间及地点：</w:t>
      </w:r>
    </w:p>
    <w:p w14:paraId="521E5687">
      <w:pPr>
        <w:autoSpaceDE w:val="0"/>
        <w:autoSpaceDN w:val="0"/>
        <w:adjustRightInd w:val="0"/>
        <w:spacing w:line="360" w:lineRule="auto"/>
        <w:ind w:right="-29" w:rightChars="-14"/>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 投标文件递交时间：</w:t>
      </w:r>
      <w:r>
        <w:rPr>
          <w:rFonts w:hint="eastAsia" w:ascii="宋体" w:hAnsi="宋体" w:eastAsia="宋体" w:cs="宋体"/>
          <w:color w:val="auto"/>
          <w:szCs w:val="21"/>
          <w:highlight w:val="none"/>
          <w:u w:val="single"/>
          <w:lang w:val="en-US" w:eastAsia="zh-CN"/>
        </w:rPr>
        <w:t xml:space="preserve">   2025  </w:t>
      </w:r>
      <w:r>
        <w:rPr>
          <w:rFonts w:hint="eastAsia" w:ascii="宋体" w:hAnsi="宋体" w:eastAsia="宋体" w:cs="宋体"/>
          <w:bCs/>
          <w:color w:val="auto"/>
          <w:kern w:val="0"/>
          <w:szCs w:val="21"/>
          <w:highlight w:val="none"/>
        </w:rPr>
        <w:t>年</w:t>
      </w:r>
      <w:r>
        <w:rPr>
          <w:rFonts w:hint="eastAsia" w:ascii="宋体" w:hAnsi="宋体" w:eastAsia="宋体" w:cs="宋体"/>
          <w:color w:val="auto"/>
          <w:szCs w:val="21"/>
          <w:highlight w:val="none"/>
          <w:u w:val="single"/>
          <w:lang w:val="en-US" w:eastAsia="zh-CN"/>
        </w:rPr>
        <w:t xml:space="preserve">  5  </w:t>
      </w:r>
      <w:r>
        <w:rPr>
          <w:rFonts w:hint="eastAsia" w:ascii="宋体" w:hAnsi="宋体" w:eastAsia="宋体" w:cs="宋体"/>
          <w:bCs/>
          <w:color w:val="auto"/>
          <w:kern w:val="0"/>
          <w:szCs w:val="21"/>
          <w:highlight w:val="none"/>
        </w:rPr>
        <w:t>月</w:t>
      </w:r>
      <w:r>
        <w:rPr>
          <w:rFonts w:hint="eastAsia" w:ascii="宋体" w:hAnsi="宋体" w:eastAsia="宋体" w:cs="宋体"/>
          <w:bCs/>
          <w:color w:val="auto"/>
          <w:kern w:val="0"/>
          <w:szCs w:val="21"/>
          <w:highlight w:val="none"/>
          <w:u w:val="single"/>
          <w:lang w:val="en-US" w:eastAsia="zh-CN"/>
        </w:rPr>
        <w:t xml:space="preserve">  8  </w:t>
      </w:r>
      <w:r>
        <w:rPr>
          <w:rFonts w:hint="eastAsia" w:ascii="宋体" w:hAnsi="宋体" w:eastAsia="宋体" w:cs="宋体"/>
          <w:bCs/>
          <w:color w:val="auto"/>
          <w:kern w:val="0"/>
          <w:szCs w:val="21"/>
          <w:highlight w:val="none"/>
        </w:rPr>
        <w:t>日</w:t>
      </w:r>
      <w:r>
        <w:rPr>
          <w:rFonts w:hint="eastAsia" w:ascii="宋体" w:hAnsi="宋体" w:eastAsia="宋体" w:cs="宋体"/>
          <w:color w:val="auto"/>
          <w:szCs w:val="21"/>
          <w:highlight w:val="none"/>
          <w:u w:val="single"/>
          <w:lang w:val="en-US" w:eastAsia="zh-CN"/>
        </w:rPr>
        <w:t xml:space="preserve"> 10:00 </w:t>
      </w:r>
      <w:r>
        <w:rPr>
          <w:rFonts w:hint="eastAsia" w:ascii="宋体" w:hAnsi="宋体" w:eastAsia="宋体" w:cs="宋体"/>
          <w:bCs/>
          <w:color w:val="auto"/>
          <w:kern w:val="0"/>
          <w:szCs w:val="21"/>
          <w:highlight w:val="none"/>
        </w:rPr>
        <w:t>～</w:t>
      </w:r>
      <w:r>
        <w:rPr>
          <w:rFonts w:hint="eastAsia" w:ascii="宋体" w:hAnsi="宋体" w:eastAsia="宋体" w:cs="宋体"/>
          <w:color w:val="auto"/>
          <w:szCs w:val="21"/>
          <w:highlight w:val="none"/>
          <w:u w:val="single"/>
          <w:lang w:val="en-US" w:eastAsia="zh-CN"/>
        </w:rPr>
        <w:t xml:space="preserve">10:30 </w:t>
      </w:r>
      <w:r>
        <w:rPr>
          <w:rFonts w:hint="eastAsia" w:ascii="宋体" w:hAnsi="宋体" w:eastAsia="宋体" w:cs="宋体"/>
          <w:bCs/>
          <w:color w:val="auto"/>
          <w:kern w:val="0"/>
          <w:szCs w:val="21"/>
          <w:highlight w:val="none"/>
        </w:rPr>
        <w:t>；</w:t>
      </w:r>
    </w:p>
    <w:p w14:paraId="7C067C76">
      <w:pPr>
        <w:autoSpaceDE w:val="0"/>
        <w:autoSpaceDN w:val="0"/>
        <w:adjustRightInd w:val="0"/>
        <w:spacing w:line="360" w:lineRule="auto"/>
        <w:ind w:right="-29" w:rightChars="-14"/>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5.2 投标截止及开标时间：</w:t>
      </w:r>
      <w:r>
        <w:rPr>
          <w:rFonts w:hint="eastAsia" w:ascii="宋体" w:hAnsi="宋体" w:eastAsia="宋体" w:cs="宋体"/>
          <w:color w:val="auto"/>
          <w:szCs w:val="21"/>
          <w:highlight w:val="none"/>
          <w:u w:val="single"/>
          <w:lang w:val="en-US" w:eastAsia="zh-CN"/>
        </w:rPr>
        <w:t xml:space="preserve">  2025  </w:t>
      </w:r>
      <w:r>
        <w:rPr>
          <w:rFonts w:hint="eastAsia" w:ascii="宋体" w:hAnsi="宋体" w:eastAsia="宋体" w:cs="宋体"/>
          <w:bCs/>
          <w:color w:val="auto"/>
          <w:kern w:val="0"/>
          <w:szCs w:val="21"/>
          <w:highlight w:val="none"/>
        </w:rPr>
        <w:t>年</w:t>
      </w:r>
      <w:r>
        <w:rPr>
          <w:rFonts w:hint="eastAsia" w:ascii="宋体" w:hAnsi="宋体" w:eastAsia="宋体" w:cs="宋体"/>
          <w:color w:val="auto"/>
          <w:szCs w:val="21"/>
          <w:highlight w:val="none"/>
          <w:u w:val="single"/>
          <w:lang w:val="en-US" w:eastAsia="zh-CN"/>
        </w:rPr>
        <w:t xml:space="preserve">  5  </w:t>
      </w:r>
      <w:r>
        <w:rPr>
          <w:rFonts w:hint="eastAsia" w:ascii="宋体" w:hAnsi="宋体" w:eastAsia="宋体" w:cs="宋体"/>
          <w:bCs/>
          <w:color w:val="auto"/>
          <w:kern w:val="0"/>
          <w:szCs w:val="21"/>
          <w:highlight w:val="none"/>
        </w:rPr>
        <w:t>月</w:t>
      </w:r>
      <w:r>
        <w:rPr>
          <w:rFonts w:hint="eastAsia" w:ascii="宋体" w:hAnsi="宋体" w:eastAsia="宋体" w:cs="宋体"/>
          <w:color w:val="auto"/>
          <w:szCs w:val="21"/>
          <w:highlight w:val="none"/>
          <w:u w:val="single"/>
          <w:lang w:val="en-US" w:eastAsia="zh-CN"/>
        </w:rPr>
        <w:t xml:space="preserve">  8  </w:t>
      </w:r>
      <w:r>
        <w:rPr>
          <w:rFonts w:hint="eastAsia" w:ascii="宋体" w:hAnsi="宋体" w:eastAsia="宋体" w:cs="宋体"/>
          <w:bCs/>
          <w:color w:val="auto"/>
          <w:kern w:val="0"/>
          <w:szCs w:val="21"/>
          <w:highlight w:val="none"/>
        </w:rPr>
        <w:t>日</w:t>
      </w:r>
      <w:r>
        <w:rPr>
          <w:rFonts w:hint="eastAsia" w:ascii="宋体" w:hAnsi="宋体" w:eastAsia="宋体" w:cs="宋体"/>
          <w:color w:val="auto"/>
          <w:szCs w:val="21"/>
          <w:highlight w:val="none"/>
          <w:u w:val="single"/>
          <w:lang w:val="en-US" w:eastAsia="zh-CN"/>
        </w:rPr>
        <w:t xml:space="preserve"> 10:30 </w:t>
      </w:r>
      <w:r>
        <w:rPr>
          <w:rFonts w:hint="eastAsia" w:ascii="宋体" w:hAnsi="宋体" w:eastAsia="宋体" w:cs="宋体"/>
          <w:bCs/>
          <w:color w:val="auto"/>
          <w:kern w:val="0"/>
          <w:szCs w:val="21"/>
          <w:highlight w:val="none"/>
        </w:rPr>
        <w:t>；</w:t>
      </w:r>
    </w:p>
    <w:p w14:paraId="106F9617">
      <w:pPr>
        <w:autoSpaceDE w:val="0"/>
        <w:autoSpaceDN w:val="0"/>
        <w:adjustRightInd w:val="0"/>
        <w:spacing w:line="360" w:lineRule="auto"/>
        <w:ind w:right="-29" w:rightChars="-14"/>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5.3 投标及开标地点：广东省东莞市南城街道西平社区宏伟三路45号东莞市公共资源交易中心开标</w:t>
      </w:r>
      <w:r>
        <w:rPr>
          <w:rFonts w:hint="eastAsia" w:ascii="宋体" w:hAnsi="宋体" w:eastAsia="宋体" w:cs="宋体"/>
          <w:color w:val="auto"/>
          <w:szCs w:val="21"/>
          <w:highlight w:val="none"/>
          <w:lang w:val="en-US" w:eastAsia="zh-CN"/>
        </w:rPr>
        <w:t>13</w:t>
      </w:r>
      <w:bookmarkStart w:id="981" w:name="_GoBack"/>
      <w:bookmarkEnd w:id="981"/>
      <w:r>
        <w:rPr>
          <w:rFonts w:hint="eastAsia" w:ascii="宋体" w:hAnsi="宋体" w:eastAsia="宋体" w:cs="宋体"/>
          <w:color w:val="auto"/>
          <w:szCs w:val="21"/>
          <w:highlight w:val="none"/>
          <w:lang w:val="zh-CN"/>
        </w:rPr>
        <w:t>室</w:t>
      </w:r>
      <w:r>
        <w:rPr>
          <w:rFonts w:hint="eastAsia" w:ascii="宋体" w:hAnsi="宋体" w:eastAsia="宋体" w:cs="宋体"/>
          <w:color w:val="auto"/>
          <w:kern w:val="0"/>
          <w:szCs w:val="21"/>
          <w:highlight w:val="none"/>
          <w:u w:val="none"/>
          <w:lang w:val="en-US" w:eastAsia="zh-CN"/>
        </w:rPr>
        <w:t xml:space="preserve"> </w:t>
      </w:r>
      <w:r>
        <w:rPr>
          <w:rFonts w:hint="eastAsia" w:ascii="宋体" w:hAnsi="宋体" w:eastAsia="宋体" w:cs="宋体"/>
          <w:color w:val="auto"/>
          <w:kern w:val="0"/>
          <w:szCs w:val="21"/>
          <w:highlight w:val="none"/>
        </w:rPr>
        <w:t>。</w:t>
      </w:r>
    </w:p>
    <w:p w14:paraId="54ED4719">
      <w:pPr>
        <w:autoSpaceDE w:val="0"/>
        <w:autoSpaceDN w:val="0"/>
        <w:adjustRightInd w:val="0"/>
        <w:spacing w:line="360" w:lineRule="auto"/>
        <w:ind w:right="-29" w:rightChars="-14" w:firstLine="210" w:firstLineChars="100"/>
        <w:outlineLvl w:val="9"/>
        <w:rPr>
          <w:rFonts w:hint="eastAsia" w:ascii="宋体" w:hAnsi="宋体" w:eastAsia="宋体" w:cs="宋体"/>
          <w:color w:val="auto"/>
          <w:kern w:val="0"/>
          <w:szCs w:val="21"/>
          <w:highlight w:val="none"/>
        </w:rPr>
      </w:pPr>
    </w:p>
    <w:p w14:paraId="49BD68CB">
      <w:pPr>
        <w:numPr>
          <w:ilvl w:val="0"/>
          <w:numId w:val="1"/>
        </w:numPr>
        <w:autoSpaceDE w:val="0"/>
        <w:autoSpaceDN w:val="0"/>
        <w:adjustRightInd w:val="0"/>
        <w:snapToGrid w:val="0"/>
        <w:spacing w:line="360" w:lineRule="auto"/>
        <w:ind w:right="-34"/>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宋体"/>
          <w:color w:val="auto"/>
          <w:szCs w:val="21"/>
          <w:highlight w:val="none"/>
          <w:lang w:val="zh-CN"/>
        </w:rPr>
        <w:t>。电报、传真形式的投标概不接受。</w:t>
      </w:r>
    </w:p>
    <w:p w14:paraId="0CA3B1E3">
      <w:pPr>
        <w:autoSpaceDE w:val="0"/>
        <w:autoSpaceDN w:val="0"/>
        <w:adjustRightInd w:val="0"/>
        <w:spacing w:line="360" w:lineRule="auto"/>
        <w:ind w:left="210" w:leftChars="100" w:right="-29" w:rightChars="-14"/>
        <w:outlineLvl w:val="9"/>
        <w:rPr>
          <w:rFonts w:hint="eastAsia" w:ascii="宋体" w:hAnsi="宋体" w:eastAsia="宋体" w:cs="宋体"/>
          <w:color w:val="auto"/>
          <w:szCs w:val="21"/>
          <w:highlight w:val="none"/>
          <w:lang w:val="zh-CN"/>
        </w:rPr>
      </w:pPr>
    </w:p>
    <w:p w14:paraId="720A84D0">
      <w:pPr>
        <w:numPr>
          <w:ilvl w:val="0"/>
          <w:numId w:val="1"/>
        </w:numPr>
        <w:autoSpaceDE w:val="0"/>
        <w:autoSpaceDN w:val="0"/>
        <w:adjustRightInd w:val="0"/>
        <w:snapToGrid w:val="0"/>
        <w:spacing w:line="360" w:lineRule="auto"/>
        <w:ind w:right="-34"/>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本项目相关公告在以下媒介发布：</w:t>
      </w:r>
      <w:r>
        <w:rPr>
          <w:rFonts w:hint="eastAsia" w:ascii="宋体" w:hAnsi="宋体" w:eastAsia="宋体" w:cs="宋体"/>
          <w:bCs/>
          <w:color w:val="auto"/>
          <w:szCs w:val="21"/>
          <w:highlight w:val="none"/>
          <w:lang w:eastAsia="zh-CN"/>
        </w:rPr>
        <w:t>广东省公共资源交易平台（ygp.gdzwfw.gov.cn）、</w:t>
      </w:r>
      <w:r>
        <w:rPr>
          <w:rFonts w:hint="eastAsia" w:ascii="宋体" w:hAnsi="宋体" w:eastAsia="宋体" w:cs="宋体"/>
          <w:bCs/>
          <w:color w:val="auto"/>
          <w:szCs w:val="21"/>
          <w:highlight w:val="none"/>
        </w:rPr>
        <w:t>中国招标投标公共服务平台（www.cebpubservice.com）、东莞市水务集团有限公司网（www.dgswjt.cn）、招标代理</w:t>
      </w:r>
      <w:r>
        <w:rPr>
          <w:rFonts w:hint="eastAsia" w:ascii="宋体" w:hAnsi="宋体" w:eastAsia="宋体" w:cs="宋体"/>
          <w:bCs/>
          <w:color w:val="auto"/>
          <w:szCs w:val="21"/>
          <w:highlight w:val="none"/>
          <w:lang w:val="en-US" w:eastAsia="zh-CN"/>
        </w:rPr>
        <w:t>机构</w:t>
      </w:r>
      <w:r>
        <w:rPr>
          <w:rFonts w:hint="eastAsia" w:ascii="宋体" w:hAnsi="宋体" w:eastAsia="宋体" w:cs="宋体"/>
          <w:bCs/>
          <w:color w:val="auto"/>
          <w:szCs w:val="21"/>
          <w:highlight w:val="none"/>
        </w:rPr>
        <w:t>网站（</w:t>
      </w:r>
      <w:r>
        <w:rPr>
          <w:rFonts w:hint="eastAsia" w:ascii="宋体" w:hAnsi="宋体" w:eastAsia="宋体" w:cs="Times New Roman"/>
          <w:bCs/>
          <w:color w:val="auto"/>
          <w:szCs w:val="21"/>
          <w:highlight w:val="none"/>
        </w:rPr>
        <w:t>www.gzjc.com.cn</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lang w:val="zh-CN"/>
        </w:rPr>
        <w:t>。</w:t>
      </w:r>
    </w:p>
    <w:p w14:paraId="37A658D8">
      <w:pPr>
        <w:numPr>
          <w:ilvl w:val="0"/>
          <w:numId w:val="0"/>
        </w:numPr>
        <w:autoSpaceDE w:val="0"/>
        <w:autoSpaceDN w:val="0"/>
        <w:adjustRightInd w:val="0"/>
        <w:snapToGrid w:val="0"/>
        <w:spacing w:line="360" w:lineRule="auto"/>
        <w:ind w:leftChars="0" w:right="-34" w:rightChars="0"/>
        <w:jc w:val="left"/>
        <w:outlineLvl w:val="9"/>
        <w:rPr>
          <w:rFonts w:hint="eastAsia" w:ascii="宋体" w:hAnsi="宋体" w:eastAsia="宋体" w:cs="宋体"/>
          <w:bCs/>
          <w:color w:val="auto"/>
          <w:szCs w:val="21"/>
          <w:highlight w:val="none"/>
        </w:rPr>
      </w:pPr>
    </w:p>
    <w:p w14:paraId="40C0B88E">
      <w:pPr>
        <w:numPr>
          <w:ilvl w:val="0"/>
          <w:numId w:val="1"/>
        </w:numPr>
        <w:autoSpaceDE w:val="0"/>
        <w:autoSpaceDN w:val="0"/>
        <w:adjustRightInd w:val="0"/>
        <w:snapToGrid w:val="0"/>
        <w:spacing w:line="360" w:lineRule="auto"/>
        <w:ind w:right="-34"/>
        <w:jc w:val="left"/>
        <w:outlineLvl w:val="9"/>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zh-CN"/>
        </w:rPr>
        <w:t>招标人联系方式</w:t>
      </w:r>
    </w:p>
    <w:p w14:paraId="39F7D947">
      <w:pPr>
        <w:widowControl/>
        <w:autoSpaceDE w:val="0"/>
        <w:autoSpaceDN w:val="0"/>
        <w:adjustRightInd w:val="0"/>
        <w:spacing w:line="360" w:lineRule="auto"/>
        <w:ind w:right="-31" w:rightChars="-15" w:firstLine="424" w:firstLineChars="202"/>
        <w:jc w:val="left"/>
        <w:textAlignment w:val="bottom"/>
        <w:outlineLvl w:val="9"/>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招标人：</w:t>
      </w:r>
      <w:r>
        <w:rPr>
          <w:rFonts w:hint="eastAsia" w:ascii="宋体" w:hAnsi="宋体" w:eastAsia="宋体" w:cs="宋体"/>
          <w:color w:val="auto"/>
          <w:kern w:val="0"/>
          <w:szCs w:val="21"/>
          <w:highlight w:val="none"/>
          <w:lang w:eastAsia="zh-CN"/>
        </w:rPr>
        <w:t>东莞市</w:t>
      </w:r>
      <w:r>
        <w:rPr>
          <w:rFonts w:hint="eastAsia" w:ascii="宋体" w:hAnsi="宋体" w:eastAsia="宋体" w:cs="宋体"/>
          <w:color w:val="auto"/>
          <w:kern w:val="0"/>
          <w:szCs w:val="21"/>
          <w:highlight w:val="none"/>
          <w:lang w:val="en-US" w:eastAsia="zh-CN"/>
        </w:rPr>
        <w:t>置拓投资</w:t>
      </w:r>
      <w:r>
        <w:rPr>
          <w:rFonts w:hint="eastAsia" w:ascii="宋体" w:hAnsi="宋体" w:eastAsia="宋体" w:cs="宋体"/>
          <w:color w:val="auto"/>
          <w:kern w:val="0"/>
          <w:szCs w:val="21"/>
          <w:highlight w:val="none"/>
          <w:lang w:eastAsia="zh-CN"/>
        </w:rPr>
        <w:t>有限公司</w:t>
      </w:r>
    </w:p>
    <w:p w14:paraId="6B097F48">
      <w:pPr>
        <w:widowControl/>
        <w:autoSpaceDE w:val="0"/>
        <w:autoSpaceDN w:val="0"/>
        <w:adjustRightInd w:val="0"/>
        <w:spacing w:line="360" w:lineRule="auto"/>
        <w:ind w:right="-31" w:rightChars="-15" w:firstLine="424" w:firstLineChars="202"/>
        <w:jc w:val="left"/>
        <w:textAlignment w:val="bottom"/>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址：东莞市南城街道滨河路100号二期（东莞市水务集团净水有限公司）新大门内3号楼3楼</w:t>
      </w:r>
    </w:p>
    <w:p w14:paraId="1E97DE19">
      <w:pPr>
        <w:widowControl/>
        <w:autoSpaceDE w:val="0"/>
        <w:autoSpaceDN w:val="0"/>
        <w:adjustRightInd w:val="0"/>
        <w:spacing w:line="360" w:lineRule="auto"/>
        <w:ind w:right="-31" w:rightChars="-15" w:firstLine="424" w:firstLineChars="202"/>
        <w:jc w:val="left"/>
        <w:textAlignment w:val="bottom"/>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lang w:val="en-US" w:eastAsia="zh-CN"/>
        </w:rPr>
        <w:t>龚浩</w:t>
      </w:r>
    </w:p>
    <w:p w14:paraId="3D343B37">
      <w:pPr>
        <w:widowControl/>
        <w:autoSpaceDE w:val="0"/>
        <w:autoSpaceDN w:val="0"/>
        <w:adjustRightInd w:val="0"/>
        <w:spacing w:line="360" w:lineRule="auto"/>
        <w:ind w:right="-31" w:rightChars="-15" w:firstLine="424" w:firstLineChars="202"/>
        <w:jc w:val="left"/>
        <w:textAlignment w:val="bottom"/>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话：0769-22621996</w:t>
      </w:r>
    </w:p>
    <w:p w14:paraId="60DD4C2C">
      <w:pPr>
        <w:autoSpaceDE w:val="0"/>
        <w:autoSpaceDN w:val="0"/>
        <w:adjustRightInd w:val="0"/>
        <w:spacing w:line="360" w:lineRule="auto"/>
        <w:ind w:right="-29" w:rightChars="-14" w:firstLine="420"/>
        <w:outlineLvl w:val="9"/>
        <w:rPr>
          <w:rFonts w:hint="eastAsia" w:ascii="宋体" w:hAnsi="宋体" w:eastAsia="宋体" w:cs="宋体"/>
          <w:color w:val="auto"/>
          <w:kern w:val="0"/>
          <w:szCs w:val="21"/>
          <w:highlight w:val="none"/>
        </w:rPr>
      </w:pPr>
    </w:p>
    <w:p w14:paraId="02D6BF80">
      <w:pPr>
        <w:numPr>
          <w:ilvl w:val="0"/>
          <w:numId w:val="1"/>
        </w:numPr>
        <w:autoSpaceDE w:val="0"/>
        <w:autoSpaceDN w:val="0"/>
        <w:adjustRightInd w:val="0"/>
        <w:snapToGrid w:val="0"/>
        <w:spacing w:line="360" w:lineRule="auto"/>
        <w:ind w:right="-34"/>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招标代理机构</w:t>
      </w:r>
      <w:r>
        <w:rPr>
          <w:rFonts w:hint="eastAsia" w:ascii="宋体" w:hAnsi="宋体" w:eastAsia="宋体" w:cs="宋体"/>
          <w:color w:val="auto"/>
          <w:szCs w:val="21"/>
          <w:highlight w:val="none"/>
          <w:lang w:val="en-US" w:eastAsia="zh-CN"/>
        </w:rPr>
        <w:t>及异议受理</w:t>
      </w:r>
      <w:r>
        <w:rPr>
          <w:rFonts w:hint="eastAsia" w:ascii="宋体" w:hAnsi="宋体" w:eastAsia="宋体" w:cs="宋体"/>
          <w:color w:val="auto"/>
          <w:szCs w:val="21"/>
          <w:highlight w:val="none"/>
        </w:rPr>
        <w:t>联系方式</w:t>
      </w:r>
    </w:p>
    <w:p w14:paraId="18D1D3F7">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bookmarkStart w:id="3" w:name="_Toc31764_WPSOffice_Level1"/>
      <w:bookmarkStart w:id="4" w:name="_Toc450662847"/>
      <w:bookmarkStart w:id="5" w:name="_Toc486167661"/>
      <w:r>
        <w:rPr>
          <w:rFonts w:ascii="宋体" w:hAnsi="宋体" w:eastAsia="宋体" w:cs="Times New Roman"/>
          <w:color w:val="auto"/>
          <w:kern w:val="0"/>
          <w:szCs w:val="21"/>
          <w:highlight w:val="none"/>
        </w:rPr>
        <w:t>招标代理机构：</w:t>
      </w:r>
      <w:r>
        <w:rPr>
          <w:rFonts w:hint="eastAsia" w:ascii="宋体" w:hAnsi="宋体" w:eastAsia="宋体" w:cs="Times New Roman"/>
          <w:color w:val="auto"/>
          <w:kern w:val="0"/>
          <w:szCs w:val="21"/>
          <w:highlight w:val="none"/>
          <w:lang w:eastAsia="zh-CN"/>
        </w:rPr>
        <w:t>建成工程咨询股份有限公司</w:t>
      </w:r>
    </w:p>
    <w:p w14:paraId="0BB3735A">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  址：</w:t>
      </w:r>
      <w:r>
        <w:rPr>
          <w:rFonts w:hint="eastAsia" w:ascii="宋体" w:hAnsi="宋体" w:eastAsia="宋体" w:cs="Times New Roman"/>
          <w:color w:val="auto"/>
          <w:kern w:val="0"/>
          <w:szCs w:val="21"/>
          <w:highlight w:val="none"/>
        </w:rPr>
        <w:t>广东省东莞市南城街道西平宏伟三路39号联景商业大厦16层</w:t>
      </w:r>
    </w:p>
    <w:p w14:paraId="21BAD067">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Times New Roman"/>
          <w:color w:val="auto"/>
          <w:kern w:val="0"/>
          <w:szCs w:val="21"/>
          <w:highlight w:val="none"/>
          <w:lang w:val="en-US" w:eastAsia="zh-CN"/>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lang w:val="en-US" w:eastAsia="zh-CN"/>
        </w:rPr>
        <w:t>叶沛琳</w:t>
      </w:r>
    </w:p>
    <w:p w14:paraId="46C4CDF0">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0769-22801999</w:t>
      </w:r>
    </w:p>
    <w:p w14:paraId="1D1E4424">
      <w:pPr>
        <w:pageBreakBefore/>
        <w:tabs>
          <w:tab w:val="left" w:pos="1080"/>
        </w:tabs>
        <w:autoSpaceDE w:val="0"/>
        <w:autoSpaceDN w:val="0"/>
        <w:adjustRightInd w:val="0"/>
        <w:spacing w:line="360" w:lineRule="auto"/>
        <w:ind w:left="-167" w:leftChars="-100" w:hanging="43"/>
        <w:jc w:val="center"/>
        <w:outlineLvl w:val="0"/>
        <w:rPr>
          <w:rFonts w:hint="eastAsia" w:ascii="宋体" w:hAnsi="宋体" w:eastAsia="宋体" w:cs="宋体"/>
          <w:b/>
          <w:bCs/>
          <w:color w:val="auto"/>
          <w:kern w:val="44"/>
          <w:sz w:val="32"/>
          <w:szCs w:val="32"/>
          <w:highlight w:val="none"/>
        </w:rPr>
      </w:pPr>
      <w:bookmarkStart w:id="6" w:name="_Toc142508311"/>
      <w:bookmarkStart w:id="7" w:name="_Toc10529"/>
      <w:bookmarkStart w:id="8" w:name="_Toc8791"/>
      <w:bookmarkStart w:id="9" w:name="_Toc1931"/>
      <w:bookmarkStart w:id="10" w:name="_Toc15111"/>
      <w:bookmarkStart w:id="11" w:name="_Toc19307"/>
      <w:bookmarkStart w:id="12" w:name="_Toc8813"/>
      <w:bookmarkStart w:id="13" w:name="_Toc18212"/>
      <w:bookmarkStart w:id="14" w:name="_Toc31498"/>
      <w:r>
        <w:rPr>
          <w:rFonts w:hint="eastAsia" w:ascii="宋体" w:hAnsi="宋体" w:eastAsia="宋体" w:cs="宋体"/>
          <w:b/>
          <w:bCs/>
          <w:color w:val="auto"/>
          <w:kern w:val="44"/>
          <w:sz w:val="32"/>
          <w:szCs w:val="32"/>
          <w:highlight w:val="none"/>
          <w:lang w:val="zh-CN"/>
        </w:rPr>
        <w:t>第二篇</w:t>
      </w:r>
      <w:r>
        <w:rPr>
          <w:rFonts w:hint="eastAsia"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3"/>
      <w:bookmarkEnd w:id="4"/>
      <w:bookmarkEnd w:id="5"/>
      <w:bookmarkEnd w:id="6"/>
      <w:bookmarkEnd w:id="7"/>
      <w:bookmarkEnd w:id="8"/>
      <w:bookmarkEnd w:id="9"/>
      <w:bookmarkEnd w:id="10"/>
      <w:bookmarkEnd w:id="11"/>
      <w:bookmarkEnd w:id="12"/>
      <w:bookmarkEnd w:id="13"/>
      <w:bookmarkEnd w:id="14"/>
    </w:p>
    <w:p w14:paraId="415F5B17">
      <w:pPr>
        <w:keepNext/>
        <w:keepLines/>
        <w:autoSpaceDE w:val="0"/>
        <w:autoSpaceDN w:val="0"/>
        <w:adjustRightInd w:val="0"/>
        <w:spacing w:line="360" w:lineRule="auto"/>
        <w:jc w:val="left"/>
        <w:outlineLvl w:val="1"/>
        <w:rPr>
          <w:rFonts w:hint="eastAsia" w:ascii="宋体" w:hAnsi="宋体" w:eastAsia="宋体" w:cs="宋体"/>
          <w:b/>
          <w:bCs/>
          <w:color w:val="auto"/>
          <w:kern w:val="44"/>
          <w:szCs w:val="21"/>
          <w:highlight w:val="none"/>
          <w:lang w:val="zh-CN"/>
        </w:rPr>
      </w:pPr>
      <w:bookmarkStart w:id="15" w:name="_Toc140596871"/>
      <w:bookmarkStart w:id="16" w:name="_Toc4110"/>
      <w:bookmarkStart w:id="17" w:name="_Toc450662848"/>
      <w:bookmarkStart w:id="18" w:name="_Toc23534"/>
      <w:bookmarkStart w:id="19" w:name="_Toc11520"/>
      <w:bookmarkStart w:id="20" w:name="_Toc24479"/>
      <w:bookmarkStart w:id="21" w:name="_Toc14889"/>
      <w:bookmarkStart w:id="22" w:name="_Toc14819"/>
      <w:bookmarkStart w:id="23" w:name="_Toc15366_WPSOffice_Level2"/>
      <w:bookmarkStart w:id="24" w:name="_Toc486167662"/>
      <w:bookmarkStart w:id="25" w:name="_Toc22321"/>
      <w:bookmarkStart w:id="26" w:name="_Toc9555"/>
      <w:bookmarkStart w:id="27" w:name="_Toc142508312"/>
      <w:r>
        <w:rPr>
          <w:rFonts w:hint="eastAsia" w:ascii="宋体" w:hAnsi="宋体" w:eastAsia="宋体" w:cs="宋体"/>
          <w:b/>
          <w:bCs/>
          <w:color w:val="auto"/>
          <w:kern w:val="44"/>
          <w:szCs w:val="21"/>
          <w:highlight w:val="none"/>
          <w:lang w:val="zh-CN"/>
        </w:rPr>
        <w:t>一、总则</w:t>
      </w:r>
      <w:bookmarkEnd w:id="15"/>
      <w:bookmarkEnd w:id="16"/>
      <w:bookmarkEnd w:id="17"/>
      <w:bookmarkEnd w:id="18"/>
      <w:bookmarkEnd w:id="19"/>
      <w:bookmarkEnd w:id="20"/>
      <w:bookmarkEnd w:id="21"/>
      <w:bookmarkEnd w:id="22"/>
      <w:bookmarkEnd w:id="23"/>
      <w:bookmarkEnd w:id="24"/>
      <w:bookmarkEnd w:id="25"/>
      <w:bookmarkEnd w:id="26"/>
      <w:bookmarkEnd w:id="27"/>
    </w:p>
    <w:p w14:paraId="3BC0116A">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8" w:name="_Toc450662849"/>
      <w:bookmarkStart w:id="29" w:name="_Toc26510"/>
      <w:bookmarkStart w:id="30" w:name="_Toc23333"/>
      <w:bookmarkStart w:id="31" w:name="_Toc2563"/>
      <w:bookmarkStart w:id="32" w:name="_Toc142508313"/>
      <w:bookmarkStart w:id="33" w:name="_Toc9608"/>
      <w:bookmarkStart w:id="34" w:name="_Toc486167663"/>
      <w:bookmarkStart w:id="35" w:name="_Toc21710_WPSOffice_Level3"/>
      <w:bookmarkStart w:id="36" w:name="_Toc7131"/>
      <w:bookmarkStart w:id="37" w:name="_Toc21456"/>
      <w:bookmarkStart w:id="38" w:name="_Toc1646"/>
      <w:bookmarkStart w:id="39" w:name="_Toc16303"/>
      <w:r>
        <w:rPr>
          <w:rFonts w:hint="eastAsia" w:ascii="宋体" w:hAnsi="宋体" w:eastAsia="宋体" w:cs="宋体"/>
          <w:color w:val="auto"/>
          <w:szCs w:val="21"/>
          <w:highlight w:val="none"/>
          <w:lang w:val="zh-CN"/>
        </w:rPr>
        <w:t>1 资金来源：企业自筹资金。</w:t>
      </w:r>
      <w:bookmarkEnd w:id="28"/>
      <w:bookmarkEnd w:id="29"/>
      <w:bookmarkEnd w:id="30"/>
      <w:bookmarkEnd w:id="31"/>
      <w:bookmarkEnd w:id="32"/>
      <w:bookmarkEnd w:id="33"/>
      <w:bookmarkEnd w:id="34"/>
      <w:bookmarkEnd w:id="35"/>
      <w:bookmarkEnd w:id="36"/>
      <w:bookmarkEnd w:id="37"/>
      <w:bookmarkEnd w:id="38"/>
      <w:bookmarkEnd w:id="39"/>
    </w:p>
    <w:p w14:paraId="0C56FF5B">
      <w:pPr>
        <w:autoSpaceDE w:val="0"/>
        <w:autoSpaceDN w:val="0"/>
        <w:adjustRightInd w:val="0"/>
        <w:jc w:val="left"/>
        <w:outlineLvl w:val="9"/>
        <w:rPr>
          <w:rFonts w:hint="eastAsia" w:ascii="宋体" w:hAnsi="宋体" w:eastAsia="宋体" w:cs="宋体"/>
          <w:color w:val="auto"/>
          <w:kern w:val="0"/>
          <w:sz w:val="24"/>
          <w:szCs w:val="24"/>
          <w:highlight w:val="none"/>
        </w:rPr>
      </w:pPr>
    </w:p>
    <w:p w14:paraId="0AB4FE10">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zh-CN"/>
        </w:rPr>
      </w:pPr>
      <w:bookmarkStart w:id="40" w:name="_Toc18557"/>
      <w:bookmarkStart w:id="41" w:name="_Toc450662850"/>
      <w:bookmarkStart w:id="42" w:name="_Toc80_WPSOffice_Level3"/>
      <w:bookmarkStart w:id="43" w:name="_Toc32244"/>
      <w:bookmarkStart w:id="44" w:name="_Toc31452"/>
      <w:bookmarkStart w:id="45" w:name="_Toc15982"/>
      <w:bookmarkStart w:id="46" w:name="_Toc25789"/>
      <w:bookmarkStart w:id="47" w:name="_Toc9121"/>
      <w:bookmarkStart w:id="48" w:name="_Toc142508314"/>
      <w:bookmarkStart w:id="49" w:name="_Toc486167664"/>
      <w:bookmarkStart w:id="50" w:name="_Toc28698"/>
      <w:bookmarkStart w:id="51" w:name="_Toc11960"/>
      <w:r>
        <w:rPr>
          <w:rFonts w:hint="eastAsia" w:ascii="宋体" w:hAnsi="宋体" w:eastAsia="宋体" w:cs="宋体"/>
          <w:b/>
          <w:color w:val="auto"/>
          <w:szCs w:val="21"/>
          <w:highlight w:val="none"/>
          <w:lang w:val="zh-CN"/>
        </w:rPr>
        <w:t>2 合格的投标人</w:t>
      </w:r>
      <w:bookmarkEnd w:id="40"/>
      <w:bookmarkEnd w:id="41"/>
      <w:bookmarkEnd w:id="42"/>
      <w:bookmarkEnd w:id="43"/>
      <w:bookmarkEnd w:id="44"/>
      <w:bookmarkEnd w:id="45"/>
      <w:bookmarkEnd w:id="46"/>
      <w:bookmarkEnd w:id="47"/>
      <w:bookmarkEnd w:id="48"/>
      <w:bookmarkEnd w:id="49"/>
      <w:bookmarkEnd w:id="50"/>
      <w:bookmarkEnd w:id="51"/>
    </w:p>
    <w:p w14:paraId="7FB703CA">
      <w:pPr>
        <w:autoSpaceDE w:val="0"/>
        <w:autoSpaceDN w:val="0"/>
        <w:adjustRightInd w:val="0"/>
        <w:spacing w:line="360" w:lineRule="auto"/>
        <w:ind w:left="212" w:leftChars="-100" w:hanging="422" w:hangingChars="200"/>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 xml:space="preserve">2.1 </w:t>
      </w:r>
      <w:r>
        <w:rPr>
          <w:rFonts w:hint="eastAsia" w:ascii="宋体" w:hAnsi="宋体" w:eastAsia="宋体" w:cs="宋体"/>
          <w:b/>
          <w:color w:val="auto"/>
          <w:szCs w:val="21"/>
          <w:highlight w:val="none"/>
          <w:u w:val="single"/>
          <w:lang w:val="zh-CN"/>
        </w:rPr>
        <w:t>合格的投标人条件见第一篇《招标公告》中第2条的“合格投标人资格要求”及本条以下2.2款至</w:t>
      </w:r>
      <w:r>
        <w:rPr>
          <w:rFonts w:hint="eastAsia" w:ascii="宋体" w:hAnsi="宋体" w:eastAsia="宋体" w:cs="宋体"/>
          <w:b/>
          <w:color w:val="auto"/>
          <w:szCs w:val="21"/>
          <w:highlight w:val="none"/>
          <w:u w:val="single"/>
          <w:lang w:val="en-US" w:eastAsia="zh-CN"/>
        </w:rPr>
        <w:t>2.5</w:t>
      </w:r>
      <w:r>
        <w:rPr>
          <w:rFonts w:hint="eastAsia" w:ascii="宋体" w:hAnsi="宋体" w:eastAsia="宋体" w:cs="宋体"/>
          <w:b/>
          <w:color w:val="auto"/>
          <w:szCs w:val="21"/>
          <w:highlight w:val="none"/>
          <w:u w:val="single"/>
          <w:lang w:val="zh-CN"/>
        </w:rPr>
        <w:t>款的通用要求。</w:t>
      </w:r>
    </w:p>
    <w:p w14:paraId="20B515D8">
      <w:pPr>
        <w:autoSpaceDE w:val="0"/>
        <w:autoSpaceDN w:val="0"/>
        <w:adjustRightInd w:val="0"/>
        <w:spacing w:line="360" w:lineRule="auto"/>
        <w:ind w:left="212" w:leftChars="-100" w:hanging="422" w:hangingChars="200"/>
        <w:outlineLvl w:val="9"/>
        <w:rPr>
          <w:rFonts w:hint="eastAsia" w:ascii="宋体" w:hAnsi="宋体" w:eastAsia="宋体" w:cs="宋体"/>
          <w:b/>
          <w:color w:val="auto"/>
          <w:kern w:val="0"/>
          <w:szCs w:val="21"/>
          <w:highlight w:val="none"/>
          <w:u w:val="singl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u w:val="single"/>
        </w:rPr>
        <w:t>投标人在参加本项目投标前的三年内不得在投标活动中存在《中华人民共和国招标投标法</w:t>
      </w:r>
      <w:r>
        <w:rPr>
          <w:rFonts w:hint="eastAsia" w:ascii="宋体" w:hAnsi="宋体" w:eastAsia="宋体" w:cs="宋体"/>
          <w:b/>
          <w:color w:val="auto"/>
          <w:kern w:val="0"/>
          <w:szCs w:val="21"/>
          <w:highlight w:val="none"/>
          <w:u w:val="single"/>
          <w:lang w:eastAsia="zh-CN"/>
        </w:rPr>
        <w:t>（</w:t>
      </w:r>
      <w:r>
        <w:rPr>
          <w:rFonts w:hint="eastAsia" w:ascii="宋体" w:hAnsi="宋体" w:eastAsia="宋体" w:cs="宋体"/>
          <w:b/>
          <w:color w:val="auto"/>
          <w:kern w:val="0"/>
          <w:szCs w:val="21"/>
          <w:highlight w:val="none"/>
          <w:u w:val="single"/>
          <w:lang w:val="en-US" w:eastAsia="zh-CN"/>
        </w:rPr>
        <w:t>2023年修订</w:t>
      </w:r>
      <w:r>
        <w:rPr>
          <w:rFonts w:hint="eastAsia" w:ascii="宋体" w:hAnsi="宋体" w:eastAsia="宋体" w:cs="宋体"/>
          <w:b/>
          <w:color w:val="auto"/>
          <w:kern w:val="0"/>
          <w:szCs w:val="21"/>
          <w:highlight w:val="none"/>
          <w:u w:val="single"/>
          <w:lang w:eastAsia="zh-CN"/>
        </w:rPr>
        <w:t>）</w:t>
      </w:r>
      <w:r>
        <w:rPr>
          <w:rFonts w:hint="eastAsia" w:ascii="宋体" w:hAnsi="宋体" w:eastAsia="宋体" w:cs="宋体"/>
          <w:b/>
          <w:color w:val="auto"/>
          <w:kern w:val="0"/>
          <w:szCs w:val="21"/>
          <w:highlight w:val="none"/>
          <w:u w:val="single"/>
        </w:rPr>
        <w:t>》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宋体"/>
          <w:b/>
          <w:color w:val="auto"/>
          <w:kern w:val="0"/>
          <w:szCs w:val="21"/>
          <w:highlight w:val="none"/>
          <w:u w:val="single"/>
          <w:lang w:val="zh-CN"/>
        </w:rPr>
        <w:t>处罚说明</w:t>
      </w:r>
      <w:r>
        <w:rPr>
          <w:rFonts w:hint="eastAsia" w:ascii="宋体" w:hAnsi="宋体" w:eastAsia="宋体" w:cs="宋体"/>
          <w:b/>
          <w:color w:val="auto"/>
          <w:kern w:val="0"/>
          <w:szCs w:val="21"/>
          <w:highlight w:val="none"/>
          <w:u w:val="single"/>
        </w:rPr>
        <w:t>”，如果不主动填报而被事后发现的，将取消其投标（中标）资格，并按有关规定从重处理。</w:t>
      </w:r>
    </w:p>
    <w:p w14:paraId="607AC46B">
      <w:pPr>
        <w:autoSpaceDE w:val="0"/>
        <w:autoSpaceDN w:val="0"/>
        <w:adjustRightInd w:val="0"/>
        <w:spacing w:line="360" w:lineRule="auto"/>
        <w:ind w:left="212" w:leftChars="-100" w:hanging="422" w:hangingChars="200"/>
        <w:outlineLvl w:val="9"/>
        <w:rPr>
          <w:rFonts w:hint="eastAsia" w:ascii="宋体" w:hAnsi="宋体" w:eastAsia="宋体" w:cs="宋体"/>
          <w:b/>
          <w:color w:val="auto"/>
          <w:szCs w:val="21"/>
          <w:highlight w:val="none"/>
          <w:u w:val="single"/>
          <w:lang w:val="zh-CN"/>
        </w:rPr>
      </w:pPr>
      <w:r>
        <w:rPr>
          <w:rFonts w:hint="eastAsia" w:ascii="宋体" w:hAnsi="宋体" w:eastAsia="宋体" w:cs="宋体"/>
          <w:b/>
          <w:color w:val="auto"/>
          <w:kern w:val="0"/>
          <w:szCs w:val="21"/>
          <w:highlight w:val="none"/>
          <w:lang w:val="zh-CN"/>
        </w:rPr>
        <w:t xml:space="preserve">2.3 </w:t>
      </w:r>
      <w:r>
        <w:rPr>
          <w:rFonts w:hint="eastAsia" w:ascii="宋体" w:hAnsi="宋体" w:eastAsia="宋体" w:cs="宋体"/>
          <w:b/>
          <w:color w:val="auto"/>
          <w:kern w:val="0"/>
          <w:szCs w:val="21"/>
          <w:highlight w:val="none"/>
          <w:u w:val="single"/>
          <w:lang w:val="zh-CN"/>
        </w:rPr>
        <w:t>投标人</w:t>
      </w:r>
      <w:r>
        <w:rPr>
          <w:rFonts w:hint="eastAsia" w:ascii="宋体" w:hAnsi="宋体" w:eastAsia="宋体" w:cs="宋体"/>
          <w:b/>
          <w:color w:val="auto"/>
          <w:szCs w:val="21"/>
          <w:highlight w:val="none"/>
          <w:u w:val="single"/>
          <w:lang w:val="zh-CN"/>
        </w:rPr>
        <w:t>符合《中华人民共和国招标投标法》第二十六条规定。</w:t>
      </w:r>
    </w:p>
    <w:p w14:paraId="5A9B4D88">
      <w:pPr>
        <w:autoSpaceDE w:val="0"/>
        <w:autoSpaceDN w:val="0"/>
        <w:adjustRightInd w:val="0"/>
        <w:spacing w:line="360" w:lineRule="auto"/>
        <w:ind w:left="214" w:leftChars="-99" w:hanging="422" w:hangingChars="200"/>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2.4 </w:t>
      </w:r>
      <w:r>
        <w:rPr>
          <w:rFonts w:hint="eastAsia" w:ascii="宋体" w:hAnsi="宋体" w:eastAsia="宋体" w:cs="宋体"/>
          <w:b/>
          <w:color w:val="auto"/>
          <w:kern w:val="0"/>
          <w:szCs w:val="21"/>
          <w:highlight w:val="none"/>
          <w:u w:val="single"/>
        </w:rPr>
        <w:t>投标人（含其不具有独立法人资格的分支机构）未被列入“信用中国”网站（ www.creditchina.gov.cn）失信被执行人、重大税收违法失信主体、</w:t>
      </w:r>
      <w:r>
        <w:rPr>
          <w:rFonts w:hint="eastAsia" w:ascii="宋体" w:hAnsi="宋体" w:eastAsia="宋体" w:cs="宋体"/>
          <w:b/>
          <w:color w:val="auto"/>
          <w:kern w:val="0"/>
          <w:szCs w:val="21"/>
          <w:highlight w:val="none"/>
          <w:u w:val="single"/>
          <w:lang w:val="en-US" w:eastAsia="zh-CN"/>
        </w:rPr>
        <w:t>政府采购</w:t>
      </w:r>
      <w:r>
        <w:rPr>
          <w:rFonts w:hint="eastAsia" w:ascii="宋体" w:hAnsi="宋体" w:eastAsia="宋体" w:cs="宋体"/>
          <w:b/>
          <w:color w:val="auto"/>
          <w:kern w:val="0"/>
          <w:szCs w:val="21"/>
          <w:highlight w:val="none"/>
          <w:u w:val="single"/>
        </w:rPr>
        <w:t>严重违法失信行为记录名单（处罚期限届满的除外）。</w:t>
      </w:r>
    </w:p>
    <w:p w14:paraId="3617219C">
      <w:pPr>
        <w:autoSpaceDE w:val="0"/>
        <w:autoSpaceDN w:val="0"/>
        <w:adjustRightInd w:val="0"/>
        <w:spacing w:line="360" w:lineRule="auto"/>
        <w:ind w:left="212" w:leftChars="-100" w:hanging="422" w:hangingChars="200"/>
        <w:outlineLvl w:val="9"/>
        <w:rPr>
          <w:rFonts w:hint="eastAsia" w:ascii="宋体" w:hAnsi="宋体" w:eastAsia="宋体" w:cs="宋体"/>
          <w:b/>
          <w:color w:val="auto"/>
          <w:kern w:val="0"/>
          <w:szCs w:val="21"/>
          <w:highlight w:val="none"/>
          <w:u w:val="single"/>
          <w:lang w:val="zh-CN"/>
        </w:rPr>
      </w:pPr>
      <w:r>
        <w:rPr>
          <w:rFonts w:hint="eastAsia" w:ascii="宋体" w:hAnsi="宋体" w:eastAsia="宋体" w:cs="宋体"/>
          <w:b/>
          <w:color w:val="auto"/>
          <w:szCs w:val="21"/>
          <w:highlight w:val="none"/>
          <w:lang w:val="zh-CN"/>
        </w:rPr>
        <w:t xml:space="preserve">2.5 </w:t>
      </w:r>
      <w:r>
        <w:rPr>
          <w:rFonts w:hint="eastAsia" w:ascii="宋体" w:hAnsi="宋体" w:eastAsia="宋体" w:cs="宋体"/>
          <w:b/>
          <w:color w:val="auto"/>
          <w:kern w:val="0"/>
          <w:szCs w:val="21"/>
          <w:highlight w:val="none"/>
          <w:u w:val="singl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u w:val="single"/>
          <w:lang w:val="zh-CN"/>
        </w:rPr>
        <w:t>。</w:t>
      </w:r>
    </w:p>
    <w:p w14:paraId="0D3D2CBE">
      <w:pPr>
        <w:tabs>
          <w:tab w:val="left" w:pos="426"/>
        </w:tabs>
        <w:autoSpaceDE w:val="0"/>
        <w:autoSpaceDN w:val="0"/>
        <w:adjustRightInd w:val="0"/>
        <w:spacing w:line="360" w:lineRule="auto"/>
        <w:ind w:left="319" w:leftChars="-100" w:hanging="529" w:hangingChars="252"/>
        <w:outlineLvl w:val="9"/>
        <w:rPr>
          <w:rFonts w:hint="eastAsia" w:ascii="宋体" w:hAnsi="宋体" w:eastAsia="宋体" w:cs="宋体"/>
          <w:color w:val="auto"/>
          <w:kern w:val="0"/>
          <w:szCs w:val="24"/>
          <w:highlight w:val="none"/>
        </w:rPr>
      </w:pPr>
    </w:p>
    <w:p w14:paraId="51057F24">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en-US" w:eastAsia="zh-CN"/>
        </w:rPr>
      </w:pPr>
      <w:bookmarkStart w:id="52" w:name="_Toc142508315"/>
      <w:bookmarkStart w:id="53" w:name="_Toc23847_WPSOffice_Level3"/>
      <w:bookmarkStart w:id="54" w:name="_Toc11689"/>
      <w:bookmarkStart w:id="55" w:name="_Toc19774"/>
      <w:bookmarkStart w:id="56" w:name="_Toc9331"/>
      <w:bookmarkStart w:id="57" w:name="_Toc21527"/>
      <w:bookmarkStart w:id="58" w:name="_Toc9164"/>
      <w:bookmarkStart w:id="59" w:name="_Toc10699"/>
      <w:bookmarkStart w:id="60" w:name="_Toc16100"/>
      <w:bookmarkStart w:id="61" w:name="_Toc1018"/>
      <w:bookmarkStart w:id="62" w:name="_Toc486167665"/>
      <w:bookmarkStart w:id="63" w:name="_Toc450662851"/>
      <w:r>
        <w:rPr>
          <w:rFonts w:hint="eastAsia" w:ascii="宋体" w:hAnsi="宋体" w:eastAsia="宋体" w:cs="宋体"/>
          <w:b/>
          <w:color w:val="auto"/>
          <w:szCs w:val="21"/>
          <w:highlight w:val="none"/>
          <w:lang w:val="zh-CN"/>
        </w:rPr>
        <w:t>3 合格的</w:t>
      </w:r>
      <w:bookmarkEnd w:id="52"/>
      <w:bookmarkEnd w:id="53"/>
      <w:r>
        <w:rPr>
          <w:rFonts w:hint="eastAsia" w:ascii="宋体" w:hAnsi="宋体" w:eastAsia="宋体" w:cs="宋体"/>
          <w:b/>
          <w:color w:val="auto"/>
          <w:szCs w:val="21"/>
          <w:highlight w:val="none"/>
          <w:lang w:val="en-US" w:eastAsia="zh-CN"/>
        </w:rPr>
        <w:t>服务</w:t>
      </w:r>
      <w:bookmarkEnd w:id="54"/>
      <w:bookmarkEnd w:id="55"/>
      <w:bookmarkEnd w:id="56"/>
      <w:bookmarkEnd w:id="57"/>
      <w:bookmarkEnd w:id="58"/>
      <w:bookmarkEnd w:id="59"/>
      <w:bookmarkEnd w:id="60"/>
      <w:bookmarkEnd w:id="61"/>
    </w:p>
    <w:p w14:paraId="4689575C">
      <w:pPr>
        <w:autoSpaceDE w:val="0"/>
        <w:autoSpaceDN w:val="0"/>
        <w:adjustRightInd w:val="0"/>
        <w:spacing w:line="360" w:lineRule="auto"/>
        <w:ind w:left="210" w:leftChars="-100" w:hanging="420" w:hangingChars="2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3.1</w:t>
      </w:r>
      <w:r>
        <w:rPr>
          <w:rFonts w:hint="eastAsia" w:ascii="宋体" w:hAnsi="宋体" w:eastAsia="宋体" w:cs="宋体"/>
          <w:color w:val="auto"/>
          <w:szCs w:val="21"/>
          <w:highlight w:val="none"/>
        </w:rPr>
        <w:t xml:space="preserve"> “服务”是指投标人按招标文件规定完成的全部服务内容，其中包括完成服务所需的货物和工程，及须承担的技术支持、培训和其它伴随服务。</w:t>
      </w:r>
    </w:p>
    <w:p w14:paraId="17A61D0A">
      <w:pPr>
        <w:autoSpaceDE w:val="0"/>
        <w:autoSpaceDN w:val="0"/>
        <w:adjustRightInd w:val="0"/>
        <w:spacing w:line="360" w:lineRule="auto"/>
        <w:ind w:left="210" w:leftChars="-100" w:hanging="420" w:hangingChars="200"/>
        <w:outlineLvl w:val="9"/>
        <w:rPr>
          <w:rFonts w:hint="eastAsia" w:ascii="宋体" w:hAnsi="宋体" w:eastAsia="宋体" w:cs="宋体"/>
          <w:color w:val="auto"/>
          <w:szCs w:val="21"/>
          <w:highlight w:val="none"/>
          <w:lang w:val="zh-CN"/>
        </w:rPr>
      </w:pPr>
      <w:bookmarkStart w:id="64" w:name="_Toc533708063"/>
      <w:bookmarkStart w:id="65" w:name="_Toc1977663"/>
      <w:r>
        <w:rPr>
          <w:rFonts w:hint="eastAsia" w:ascii="宋体" w:hAnsi="宋体" w:eastAsia="宋体" w:cs="宋体"/>
          <w:color w:val="auto"/>
          <w:szCs w:val="21"/>
          <w:highlight w:val="none"/>
          <w:lang w:val="zh-CN"/>
        </w:rPr>
        <w:t xml:space="preserve">3.2 </w:t>
      </w:r>
      <w:bookmarkEnd w:id="64"/>
      <w:bookmarkEnd w:id="65"/>
      <w:bookmarkStart w:id="66" w:name="_Toc533708065"/>
      <w:bookmarkStart w:id="67" w:name="_Toc1977665"/>
      <w:r>
        <w:rPr>
          <w:rFonts w:hint="eastAsia" w:ascii="宋体" w:hAnsi="宋体" w:eastAsia="宋体" w:cs="宋体"/>
          <w:color w:val="auto"/>
          <w:szCs w:val="21"/>
          <w:highlight w:val="none"/>
          <w:lang w:val="zh-CN"/>
        </w:rPr>
        <w:t>投标人必须保证提供的所有</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或</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的任何部分均为最新正式版本。</w:t>
      </w:r>
      <w:bookmarkEnd w:id="66"/>
      <w:bookmarkEnd w:id="67"/>
    </w:p>
    <w:p w14:paraId="4C0F72B1">
      <w:pPr>
        <w:autoSpaceDE w:val="0"/>
        <w:autoSpaceDN w:val="0"/>
        <w:adjustRightInd w:val="0"/>
        <w:spacing w:line="360" w:lineRule="auto"/>
        <w:ind w:left="210" w:leftChars="-100" w:hanging="420" w:hangingChars="200"/>
        <w:outlineLvl w:val="9"/>
        <w:rPr>
          <w:rFonts w:hint="eastAsia" w:ascii="宋体" w:hAnsi="宋体" w:eastAsia="宋体" w:cs="宋体"/>
          <w:color w:val="auto"/>
          <w:szCs w:val="21"/>
          <w:highlight w:val="none"/>
          <w:lang w:val="zh-CN"/>
        </w:rPr>
      </w:pPr>
      <w:bookmarkStart w:id="68" w:name="_Toc1977666"/>
      <w:bookmarkStart w:id="69" w:name="_Toc5337080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 xml:space="preserve"> </w:t>
      </w:r>
      <w:bookmarkEnd w:id="68"/>
      <w:bookmarkEnd w:id="69"/>
      <w:bookmarkStart w:id="70" w:name="_Toc1977667"/>
      <w:bookmarkStart w:id="71" w:name="_Toc533708067"/>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应保证招标人在中华人民共和国使用</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或</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70"/>
      <w:bookmarkEnd w:id="71"/>
    </w:p>
    <w:p w14:paraId="34F4C779">
      <w:pPr>
        <w:autoSpaceDE w:val="0"/>
        <w:autoSpaceDN w:val="0"/>
        <w:adjustRightInd w:val="0"/>
        <w:spacing w:line="360" w:lineRule="auto"/>
        <w:ind w:left="210" w:leftChars="-100" w:hanging="420" w:hangingChars="200"/>
        <w:outlineLvl w:val="9"/>
        <w:rPr>
          <w:rFonts w:hint="eastAsia" w:ascii="宋体" w:hAnsi="宋体" w:eastAsia="宋体" w:cs="宋体"/>
          <w:color w:val="auto"/>
          <w:szCs w:val="21"/>
          <w:highlight w:val="none"/>
          <w:lang w:val="zh-CN"/>
        </w:rPr>
      </w:pPr>
      <w:bookmarkStart w:id="72" w:name="_Toc1977668"/>
      <w:bookmarkStart w:id="73" w:name="_Toc5337080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bookmarkEnd w:id="72"/>
      <w:bookmarkEnd w:id="73"/>
      <w:r>
        <w:rPr>
          <w:rFonts w:hint="eastAsia" w:ascii="宋体" w:hAnsi="宋体" w:eastAsia="宋体" w:cs="宋体"/>
          <w:color w:val="auto"/>
          <w:szCs w:val="21"/>
          <w:highlight w:val="none"/>
          <w:lang w:val="zh-CN"/>
        </w:rPr>
        <w:t>无论投标人</w:t>
      </w:r>
      <w:r>
        <w:rPr>
          <w:rFonts w:hint="eastAsia" w:ascii="宋体" w:hAnsi="宋体" w:eastAsia="宋体" w:cs="宋体"/>
          <w:color w:val="auto"/>
          <w:kern w:val="0"/>
          <w:szCs w:val="21"/>
          <w:highlight w:val="none"/>
        </w:rPr>
        <w:t>是否在投标报价表中明示，均视为投标报价已包含所有应支付的对专利权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宋体"/>
          <w:color w:val="auto"/>
          <w:kern w:val="0"/>
          <w:szCs w:val="21"/>
          <w:highlight w:val="none"/>
          <w:lang w:val="en-US" w:eastAsia="zh-CN"/>
        </w:rPr>
        <w:t>的</w:t>
      </w:r>
      <w:r>
        <w:rPr>
          <w:rFonts w:hint="eastAsia" w:ascii="宋体" w:hAnsi="宋体" w:eastAsia="宋体" w:cs="宋体"/>
          <w:color w:val="auto"/>
          <w:kern w:val="0"/>
          <w:szCs w:val="21"/>
          <w:highlight w:val="none"/>
        </w:rPr>
        <w:t>，造成招标人任何经济损失的，由投标人承担全部赔偿责任</w:t>
      </w:r>
      <w:r>
        <w:rPr>
          <w:rFonts w:hint="eastAsia" w:ascii="宋体" w:hAnsi="宋体" w:eastAsia="宋体" w:cs="宋体"/>
          <w:color w:val="auto"/>
          <w:szCs w:val="21"/>
          <w:highlight w:val="none"/>
          <w:lang w:val="zh-CN"/>
        </w:rPr>
        <w:t>。</w:t>
      </w:r>
    </w:p>
    <w:p w14:paraId="48F4D994">
      <w:pPr>
        <w:autoSpaceDE w:val="0"/>
        <w:autoSpaceDN w:val="0"/>
        <w:adjustRightInd w:val="0"/>
        <w:spacing w:line="360" w:lineRule="auto"/>
        <w:jc w:val="left"/>
        <w:outlineLvl w:val="9"/>
        <w:rPr>
          <w:rFonts w:hint="eastAsia" w:ascii="宋体" w:hAnsi="宋体" w:eastAsia="宋体" w:cs="宋体"/>
          <w:color w:val="auto"/>
          <w:szCs w:val="21"/>
          <w:highlight w:val="none"/>
          <w:lang w:val="zh-CN"/>
        </w:rPr>
      </w:pPr>
    </w:p>
    <w:p w14:paraId="45F0950E">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74" w:name="_Toc23302"/>
      <w:bookmarkStart w:id="75" w:name="_Toc30550"/>
      <w:bookmarkStart w:id="76" w:name="_Toc9753"/>
      <w:bookmarkStart w:id="77" w:name="_Toc2765"/>
      <w:bookmarkStart w:id="78" w:name="_Toc3404"/>
      <w:bookmarkStart w:id="79" w:name="_Toc9658_WPSOffice_Level3"/>
      <w:bookmarkStart w:id="80" w:name="_Toc11781"/>
      <w:bookmarkStart w:id="81" w:name="_Toc142508316"/>
      <w:bookmarkStart w:id="82" w:name="_Toc20576"/>
      <w:bookmarkStart w:id="83" w:name="_Toc11533"/>
      <w:r>
        <w:rPr>
          <w:rFonts w:hint="eastAsia" w:ascii="宋体" w:hAnsi="宋体" w:eastAsia="宋体" w:cs="宋体"/>
          <w:color w:val="auto"/>
          <w:szCs w:val="21"/>
          <w:highlight w:val="none"/>
          <w:lang w:val="zh-CN"/>
        </w:rPr>
        <w:t>4 其它说明</w:t>
      </w:r>
      <w:bookmarkEnd w:id="74"/>
      <w:bookmarkEnd w:id="75"/>
      <w:bookmarkEnd w:id="76"/>
      <w:bookmarkEnd w:id="77"/>
      <w:bookmarkEnd w:id="78"/>
      <w:bookmarkEnd w:id="79"/>
      <w:bookmarkEnd w:id="80"/>
      <w:bookmarkEnd w:id="81"/>
      <w:bookmarkEnd w:id="82"/>
      <w:bookmarkEnd w:id="83"/>
    </w:p>
    <w:p w14:paraId="7B5BAB43">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bookmarkStart w:id="84" w:name="_Toc1977670"/>
      <w:bookmarkStart w:id="85" w:name="_Toc533708070"/>
      <w:r>
        <w:rPr>
          <w:rFonts w:hint="eastAsia" w:ascii="宋体" w:hAnsi="宋体" w:eastAsia="宋体" w:cs="宋体"/>
          <w:color w:val="auto"/>
          <w:szCs w:val="21"/>
          <w:highlight w:val="none"/>
          <w:lang w:val="zh-CN"/>
        </w:rPr>
        <w:t>4.1 投标费用</w:t>
      </w:r>
      <w:bookmarkEnd w:id="84"/>
      <w:bookmarkEnd w:id="85"/>
    </w:p>
    <w:p w14:paraId="34C6DF88">
      <w:pPr>
        <w:autoSpaceDE w:val="0"/>
        <w:autoSpaceDN w:val="0"/>
        <w:adjustRightInd w:val="0"/>
        <w:spacing w:line="360" w:lineRule="auto"/>
        <w:ind w:left="210" w:leftChars="100" w:firstLine="420" w:firstLineChars="200"/>
        <w:outlineLvl w:val="9"/>
        <w:rPr>
          <w:rFonts w:hint="eastAsia" w:ascii="宋体" w:hAnsi="宋体" w:eastAsia="宋体" w:cs="宋体"/>
          <w:color w:val="auto"/>
          <w:szCs w:val="21"/>
          <w:highlight w:val="none"/>
          <w:lang w:val="zh-CN"/>
        </w:rPr>
      </w:pPr>
      <w:bookmarkStart w:id="86" w:name="_Toc533708072"/>
      <w:bookmarkStart w:id="87" w:name="_Toc1977672"/>
      <w:r>
        <w:rPr>
          <w:rFonts w:hint="eastAsia" w:ascii="宋体" w:hAnsi="宋体" w:eastAsia="宋体" w:cs="宋体"/>
          <w:color w:val="auto"/>
          <w:szCs w:val="21"/>
          <w:highlight w:val="none"/>
          <w:lang w:val="zh-CN"/>
        </w:rPr>
        <w:t>无论招标过程中的做法和结果如何，投标人须承担所有与编写和递交投标文件有关的费用，招标人和招标代理机构在任何情况下不负担这些费用。</w:t>
      </w:r>
      <w:bookmarkEnd w:id="86"/>
      <w:bookmarkEnd w:id="87"/>
    </w:p>
    <w:p w14:paraId="5923D911">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bookmarkStart w:id="88" w:name="_Toc533708073"/>
      <w:bookmarkStart w:id="89" w:name="_Toc1977673"/>
      <w:r>
        <w:rPr>
          <w:rFonts w:hint="eastAsia" w:ascii="宋体" w:hAnsi="宋体" w:eastAsia="宋体" w:cs="宋体"/>
          <w:color w:val="auto"/>
          <w:szCs w:val="21"/>
          <w:highlight w:val="none"/>
          <w:lang w:val="zh-CN"/>
        </w:rPr>
        <w:t>4.2 踏勘现场</w:t>
      </w:r>
      <w:bookmarkEnd w:id="88"/>
      <w:bookmarkEnd w:id="89"/>
    </w:p>
    <w:p w14:paraId="6835DB7F">
      <w:pPr>
        <w:autoSpaceDE w:val="0"/>
        <w:autoSpaceDN w:val="0"/>
        <w:adjustRightInd w:val="0"/>
        <w:spacing w:line="360" w:lineRule="auto"/>
        <w:ind w:left="399" w:leftChars="-60" w:hanging="525" w:hangingChars="250"/>
        <w:jc w:val="left"/>
        <w:outlineLvl w:val="9"/>
        <w:rPr>
          <w:rFonts w:hint="eastAsia" w:ascii="宋体" w:hAnsi="宋体" w:eastAsia="宋体" w:cs="宋体"/>
          <w:color w:val="auto"/>
          <w:kern w:val="0"/>
          <w:szCs w:val="21"/>
          <w:highlight w:val="none"/>
        </w:rPr>
      </w:pPr>
      <w:bookmarkStart w:id="90" w:name="_Toc1977676"/>
      <w:bookmarkStart w:id="91" w:name="_Toc533708076"/>
      <w:r>
        <w:rPr>
          <w:rFonts w:hint="eastAsia" w:ascii="宋体" w:hAnsi="宋体" w:eastAsia="宋体" w:cs="宋体"/>
          <w:color w:val="auto"/>
          <w:kern w:val="0"/>
          <w:szCs w:val="21"/>
          <w:highlight w:val="none"/>
        </w:rPr>
        <w:t>（1）本项目不组织集中踏勘现场和答疑，投标人应自行到实地踏勘考察。</w:t>
      </w:r>
    </w:p>
    <w:p w14:paraId="6DDD9B4B">
      <w:pPr>
        <w:autoSpaceDE w:val="0"/>
        <w:autoSpaceDN w:val="0"/>
        <w:adjustRightInd w:val="0"/>
        <w:spacing w:line="360" w:lineRule="auto"/>
        <w:ind w:left="399" w:leftChars="-60" w:hanging="525" w:hangingChars="25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（2）潜在投标人应承担踏勘现场自身所发生的费用。</w:t>
      </w:r>
    </w:p>
    <w:p w14:paraId="0FF02013">
      <w:pPr>
        <w:spacing w:line="360" w:lineRule="auto"/>
        <w:ind w:left="399" w:leftChars="-60" w:hanging="525" w:hangingChars="25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45A7025C">
      <w:pPr>
        <w:spacing w:line="360" w:lineRule="auto"/>
        <w:ind w:left="399" w:leftChars="-60" w:hanging="525" w:hangingChars="25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427C2233">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纪律与保密事项</w:t>
      </w:r>
      <w:bookmarkEnd w:id="62"/>
      <w:bookmarkEnd w:id="63"/>
      <w:bookmarkEnd w:id="90"/>
      <w:bookmarkEnd w:id="91"/>
    </w:p>
    <w:p w14:paraId="730459CA">
      <w:pPr>
        <w:autoSpaceDE w:val="0"/>
        <w:autoSpaceDN w:val="0"/>
        <w:adjustRightInd w:val="0"/>
        <w:spacing w:line="360" w:lineRule="auto"/>
        <w:ind w:left="399" w:leftChars="-60" w:hanging="525" w:hangingChars="25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（1）获得本招标文件的投标人，不得用作本次投标以外的任何用途。</w:t>
      </w:r>
    </w:p>
    <w:p w14:paraId="21FCFAD9">
      <w:pPr>
        <w:autoSpaceDE w:val="0"/>
        <w:autoSpaceDN w:val="0"/>
        <w:adjustRightInd w:val="0"/>
        <w:spacing w:line="360" w:lineRule="auto"/>
        <w:ind w:left="399" w:leftChars="-60" w:hanging="525" w:hangingChars="25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（2</w:t>
      </w:r>
      <w:r>
        <w:rPr>
          <w:rFonts w:hint="eastAsia" w:ascii="宋体" w:hAnsi="宋体" w:eastAsia="宋体" w:cs="宋体"/>
          <w:color w:val="auto"/>
          <w:kern w:val="0"/>
          <w:szCs w:val="21"/>
          <w:highlight w:val="none"/>
        </w:rPr>
        <w:t>）凡参与招标工作的有关人员均应自觉接受有关主管部门的监督，不得向他人透露可能影响公平竞争的情况。</w:t>
      </w:r>
    </w:p>
    <w:p w14:paraId="27A46ACA">
      <w:pPr>
        <w:autoSpaceDE w:val="0"/>
        <w:autoSpaceDN w:val="0"/>
        <w:adjustRightInd w:val="0"/>
        <w:spacing w:line="360" w:lineRule="auto"/>
        <w:ind w:left="399" w:leftChars="-60" w:hanging="525" w:hangingChars="25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（3）开标后，直至向中标人</w:t>
      </w:r>
      <w:r>
        <w:rPr>
          <w:rFonts w:hint="eastAsia" w:ascii="宋体" w:hAnsi="宋体" w:eastAsia="宋体" w:cs="宋体"/>
          <w:color w:val="auto"/>
          <w:kern w:val="0"/>
          <w:szCs w:val="21"/>
          <w:highlight w:val="none"/>
          <w:lang w:eastAsia="zh-CN"/>
        </w:rPr>
        <w:t>授予合同期间</w:t>
      </w:r>
      <w:r>
        <w:rPr>
          <w:rFonts w:hint="eastAsia" w:ascii="宋体" w:hAnsi="宋体" w:eastAsia="宋体" w:cs="宋体"/>
          <w:color w:val="auto"/>
          <w:kern w:val="0"/>
          <w:szCs w:val="21"/>
          <w:highlight w:val="none"/>
        </w:rPr>
        <w:t>，凡与审查、澄清、评价和比较报价的有关资料以及授标意见等，参与评标工作的有关人员均不得向投标人及与评标无关的其他人透露。</w:t>
      </w:r>
    </w:p>
    <w:p w14:paraId="5F0FF69C">
      <w:pPr>
        <w:autoSpaceDE w:val="0"/>
        <w:autoSpaceDN w:val="0"/>
        <w:adjustRightInd w:val="0"/>
        <w:spacing w:line="360" w:lineRule="auto"/>
        <w:ind w:left="399" w:leftChars="-60" w:hanging="525" w:hangingChars="25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1F04D593">
      <w:pPr>
        <w:autoSpaceDE w:val="0"/>
        <w:autoSpaceDN w:val="0"/>
        <w:adjustRightInd w:val="0"/>
        <w:spacing w:line="360" w:lineRule="auto"/>
        <w:ind w:left="399" w:leftChars="-60" w:hanging="525" w:hangingChars="25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18FD5268">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（6）投标人不得串通作弊，以不正当的手段妨碍、排挤其他投标人，扰乱采购市场，破坏公平竞争原则。</w:t>
      </w:r>
    </w:p>
    <w:p w14:paraId="05582DE5">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rPr>
      </w:pPr>
    </w:p>
    <w:p w14:paraId="5B66C16E">
      <w:pPr>
        <w:keepNext/>
        <w:keepLines/>
        <w:autoSpaceDE w:val="0"/>
        <w:autoSpaceDN w:val="0"/>
        <w:adjustRightInd w:val="0"/>
        <w:spacing w:line="360" w:lineRule="auto"/>
        <w:jc w:val="left"/>
        <w:outlineLvl w:val="1"/>
        <w:rPr>
          <w:rFonts w:hint="eastAsia" w:ascii="宋体" w:hAnsi="宋体" w:eastAsia="宋体" w:cs="宋体"/>
          <w:b/>
          <w:bCs/>
          <w:color w:val="auto"/>
          <w:kern w:val="44"/>
          <w:szCs w:val="21"/>
          <w:highlight w:val="none"/>
          <w:lang w:val="zh-CN"/>
        </w:rPr>
      </w:pPr>
      <w:bookmarkStart w:id="92" w:name="_Toc20799"/>
      <w:bookmarkStart w:id="93" w:name="_Toc29834"/>
      <w:bookmarkStart w:id="94" w:name="_Toc27649"/>
      <w:bookmarkStart w:id="95" w:name="_Toc450662853"/>
      <w:bookmarkStart w:id="96" w:name="_Toc30507_WPSOffice_Level2"/>
      <w:bookmarkStart w:id="97" w:name="_Toc1370"/>
      <w:bookmarkStart w:id="98" w:name="_Toc23213"/>
      <w:bookmarkStart w:id="99" w:name="_Toc1565"/>
      <w:bookmarkStart w:id="100" w:name="_Toc140596876"/>
      <w:bookmarkStart w:id="101" w:name="_Toc5395"/>
      <w:bookmarkStart w:id="102" w:name="_Toc142508317"/>
      <w:bookmarkStart w:id="103" w:name="_Toc486167667"/>
      <w:bookmarkStart w:id="104" w:name="_Toc25995"/>
      <w:r>
        <w:rPr>
          <w:rFonts w:hint="eastAsia" w:ascii="宋体" w:hAnsi="宋体" w:eastAsia="宋体" w:cs="宋体"/>
          <w:b/>
          <w:bCs/>
          <w:color w:val="auto"/>
          <w:kern w:val="44"/>
          <w:szCs w:val="21"/>
          <w:highlight w:val="none"/>
          <w:lang w:val="zh-CN"/>
        </w:rPr>
        <w:t>二、招标文件</w:t>
      </w:r>
      <w:bookmarkEnd w:id="92"/>
      <w:bookmarkEnd w:id="93"/>
      <w:bookmarkEnd w:id="94"/>
      <w:bookmarkEnd w:id="95"/>
      <w:bookmarkEnd w:id="96"/>
      <w:bookmarkEnd w:id="97"/>
      <w:bookmarkEnd w:id="98"/>
      <w:bookmarkEnd w:id="99"/>
      <w:bookmarkEnd w:id="100"/>
      <w:bookmarkEnd w:id="101"/>
      <w:bookmarkEnd w:id="102"/>
      <w:bookmarkEnd w:id="103"/>
      <w:bookmarkEnd w:id="104"/>
    </w:p>
    <w:p w14:paraId="28BFA5F4">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05" w:name="_Toc7113"/>
      <w:bookmarkStart w:id="106" w:name="_Toc2406"/>
      <w:bookmarkStart w:id="107" w:name="_Toc24823"/>
      <w:bookmarkStart w:id="108" w:name="_Toc142508318"/>
      <w:bookmarkStart w:id="109" w:name="_Toc12003"/>
      <w:bookmarkStart w:id="110" w:name="_Toc28893"/>
      <w:bookmarkStart w:id="111" w:name="_Toc17512"/>
      <w:bookmarkStart w:id="112" w:name="_Toc486167668"/>
      <w:bookmarkStart w:id="113" w:name="_Toc21623"/>
      <w:bookmarkStart w:id="114" w:name="_Toc450662854"/>
      <w:bookmarkStart w:id="115" w:name="_Toc3978"/>
      <w:bookmarkStart w:id="116" w:name="_Toc26635_WPSOffice_Level3"/>
      <w:r>
        <w:rPr>
          <w:rFonts w:hint="eastAsia" w:ascii="宋体" w:hAnsi="宋体" w:eastAsia="宋体" w:cs="宋体"/>
          <w:color w:val="auto"/>
          <w:szCs w:val="21"/>
          <w:highlight w:val="none"/>
          <w:lang w:val="zh-CN"/>
        </w:rPr>
        <w:t>5 招标文件的构成</w:t>
      </w:r>
      <w:bookmarkEnd w:id="105"/>
      <w:bookmarkEnd w:id="106"/>
      <w:bookmarkEnd w:id="107"/>
      <w:bookmarkEnd w:id="108"/>
      <w:bookmarkEnd w:id="109"/>
      <w:bookmarkEnd w:id="110"/>
      <w:bookmarkEnd w:id="111"/>
      <w:bookmarkEnd w:id="112"/>
      <w:bookmarkEnd w:id="113"/>
      <w:bookmarkEnd w:id="114"/>
      <w:bookmarkEnd w:id="115"/>
      <w:bookmarkEnd w:id="116"/>
    </w:p>
    <w:p w14:paraId="5B501BD4">
      <w:pPr>
        <w:tabs>
          <w:tab w:val="left" w:pos="567"/>
        </w:tabs>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招标文件包括：</w:t>
      </w:r>
    </w:p>
    <w:p w14:paraId="69C5E8B8">
      <w:pPr>
        <w:tabs>
          <w:tab w:val="left" w:pos="1890"/>
        </w:tabs>
        <w:autoSpaceDE w:val="0"/>
        <w:autoSpaceDN w:val="0"/>
        <w:adjustRightInd w:val="0"/>
        <w:spacing w:line="360" w:lineRule="auto"/>
        <w:ind w:firstLine="210" w:firstLineChars="1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第一篇 招标公告</w:t>
      </w:r>
    </w:p>
    <w:p w14:paraId="7E6357B0">
      <w:pPr>
        <w:tabs>
          <w:tab w:val="left" w:pos="1890"/>
        </w:tabs>
        <w:autoSpaceDE w:val="0"/>
        <w:autoSpaceDN w:val="0"/>
        <w:adjustRightInd w:val="0"/>
        <w:spacing w:line="360" w:lineRule="auto"/>
        <w:ind w:firstLine="210" w:firstLineChars="1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第二篇 投标人须知</w:t>
      </w:r>
    </w:p>
    <w:p w14:paraId="71ECC344">
      <w:pPr>
        <w:tabs>
          <w:tab w:val="left" w:pos="1890"/>
        </w:tabs>
        <w:autoSpaceDE w:val="0"/>
        <w:autoSpaceDN w:val="0"/>
        <w:adjustRightInd w:val="0"/>
        <w:spacing w:line="360" w:lineRule="auto"/>
        <w:ind w:firstLine="210" w:firstLineChars="1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第三篇 用户需求书</w:t>
      </w:r>
    </w:p>
    <w:p w14:paraId="7C28C16E">
      <w:pPr>
        <w:tabs>
          <w:tab w:val="left" w:pos="1890"/>
        </w:tabs>
        <w:autoSpaceDE w:val="0"/>
        <w:autoSpaceDN w:val="0"/>
        <w:adjustRightInd w:val="0"/>
        <w:spacing w:line="360" w:lineRule="auto"/>
        <w:ind w:firstLine="210" w:firstLineChars="1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第四篇 合同条款</w:t>
      </w:r>
    </w:p>
    <w:p w14:paraId="3D7BEF67">
      <w:pPr>
        <w:tabs>
          <w:tab w:val="left" w:pos="1890"/>
        </w:tabs>
        <w:autoSpaceDE w:val="0"/>
        <w:autoSpaceDN w:val="0"/>
        <w:adjustRightInd w:val="0"/>
        <w:spacing w:line="360" w:lineRule="auto"/>
        <w:ind w:firstLine="210" w:firstLineChars="1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第五篇 相关保函格式</w:t>
      </w:r>
    </w:p>
    <w:p w14:paraId="0F74D613">
      <w:pPr>
        <w:tabs>
          <w:tab w:val="left" w:pos="1890"/>
        </w:tabs>
        <w:autoSpaceDE w:val="0"/>
        <w:autoSpaceDN w:val="0"/>
        <w:adjustRightInd w:val="0"/>
        <w:spacing w:line="360" w:lineRule="auto"/>
        <w:ind w:firstLine="210" w:firstLineChars="1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第六篇 投标文件格式</w:t>
      </w:r>
    </w:p>
    <w:p w14:paraId="350B01E2">
      <w:pPr>
        <w:tabs>
          <w:tab w:val="left" w:pos="1890"/>
        </w:tabs>
        <w:autoSpaceDE w:val="0"/>
        <w:autoSpaceDN w:val="0"/>
        <w:adjustRightInd w:val="0"/>
        <w:spacing w:line="360" w:lineRule="auto"/>
        <w:ind w:firstLine="210" w:firstLineChars="1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附件一：评标工作大纲</w:t>
      </w:r>
    </w:p>
    <w:p w14:paraId="15CB9D7B">
      <w:pPr>
        <w:autoSpaceDE/>
        <w:autoSpaceDN/>
        <w:adjustRightInd w:val="0"/>
        <w:spacing w:line="360" w:lineRule="auto"/>
        <w:ind w:left="212" w:leftChars="-99" w:hanging="420" w:hangingChars="200"/>
        <w:outlineLvl w:val="9"/>
        <w:rPr>
          <w:rFonts w:hint="eastAsia" w:ascii="宋体" w:hAnsi="宋体" w:eastAsia="宋体" w:cs="宋体"/>
          <w:b/>
          <w:bCs/>
          <w:color w:val="auto"/>
          <w:szCs w:val="21"/>
          <w:highlight w:val="none"/>
          <w:u w:val="singl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en-US" w:eastAsia="zh-CN"/>
        </w:rPr>
        <w:t xml:space="preserve"> </w:t>
      </w:r>
      <w:r>
        <w:rPr>
          <w:rFonts w:hint="eastAsia" w:ascii="宋体" w:hAnsi="宋体" w:eastAsia="宋体" w:cs="宋体"/>
          <w:b/>
          <w:bCs/>
          <w:color w:val="auto"/>
          <w:szCs w:val="21"/>
          <w:highlight w:val="none"/>
          <w:u w:val="single"/>
          <w:lang w:val="zh-CN"/>
        </w:rPr>
        <w:t>投标人应审阅招标文件中所有须知、格式、条款和规格。投标人未按招标文件要求提供全部资料或提交的投标文件未对招标文件作出实质性响应（★标志的部分为投标人、投标拟供服务必备的条件或重要指示），那么投标人的投标文件将有可能被拒绝接收或评审为无效投标文件。</w:t>
      </w:r>
    </w:p>
    <w:p w14:paraId="67EE579B">
      <w:pPr>
        <w:autoSpaceDE w:val="0"/>
        <w:autoSpaceDN w:val="0"/>
        <w:adjustRightInd w:val="0"/>
        <w:spacing w:line="360" w:lineRule="auto"/>
        <w:ind w:left="356" w:leftChars="-99" w:hanging="564" w:hangingChars="269"/>
        <w:outlineLvl w:val="9"/>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14:paraId="5C4BCE9A">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（1）“招标人”指</w:t>
      </w:r>
      <w:r>
        <w:rPr>
          <w:rFonts w:hint="eastAsia" w:ascii="宋体" w:hAnsi="宋体" w:eastAsia="宋体" w:cs="宋体"/>
          <w:color w:val="auto"/>
          <w:kern w:val="0"/>
          <w:szCs w:val="21"/>
          <w:highlight w:val="none"/>
          <w:lang w:eastAsia="zh-CN"/>
        </w:rPr>
        <w:t>东莞市</w:t>
      </w:r>
      <w:r>
        <w:rPr>
          <w:rFonts w:hint="eastAsia" w:ascii="宋体" w:hAnsi="宋体" w:eastAsia="宋体" w:cs="宋体"/>
          <w:color w:val="auto"/>
          <w:kern w:val="0"/>
          <w:szCs w:val="21"/>
          <w:highlight w:val="none"/>
          <w:lang w:val="en-US" w:eastAsia="zh-CN"/>
        </w:rPr>
        <w:t>置拓投资</w:t>
      </w:r>
      <w:r>
        <w:rPr>
          <w:rFonts w:hint="eastAsia" w:ascii="宋体" w:hAnsi="宋体" w:eastAsia="宋体" w:cs="宋体"/>
          <w:color w:val="auto"/>
          <w:kern w:val="0"/>
          <w:szCs w:val="21"/>
          <w:highlight w:val="none"/>
          <w:lang w:eastAsia="zh-CN"/>
        </w:rPr>
        <w:t>有限公司</w:t>
      </w:r>
      <w:r>
        <w:rPr>
          <w:rFonts w:hint="eastAsia" w:ascii="宋体" w:hAnsi="宋体" w:eastAsia="宋体" w:cs="宋体"/>
          <w:color w:val="auto"/>
          <w:kern w:val="0"/>
          <w:szCs w:val="21"/>
          <w:highlight w:val="none"/>
        </w:rPr>
        <w:t>；</w:t>
      </w:r>
    </w:p>
    <w:p w14:paraId="46484C1B">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（2）“招标代理机构”指</w:t>
      </w:r>
      <w:r>
        <w:rPr>
          <w:rFonts w:hint="eastAsia" w:ascii="宋体" w:hAnsi="宋体" w:eastAsia="宋体" w:cs="宋体"/>
          <w:color w:val="auto"/>
          <w:kern w:val="0"/>
          <w:szCs w:val="21"/>
          <w:highlight w:val="none"/>
          <w:lang w:val="en-US" w:eastAsia="zh-CN"/>
        </w:rPr>
        <w:t>建成工程咨询股份有限公司</w:t>
      </w:r>
      <w:r>
        <w:rPr>
          <w:rFonts w:hint="eastAsia" w:ascii="宋体" w:hAnsi="宋体" w:eastAsia="宋体" w:cs="宋体"/>
          <w:color w:val="auto"/>
          <w:kern w:val="0"/>
          <w:szCs w:val="21"/>
          <w:highlight w:val="none"/>
        </w:rPr>
        <w:t>；</w:t>
      </w:r>
    </w:p>
    <w:p w14:paraId="4705901D">
      <w:pPr>
        <w:autoSpaceDE w:val="0"/>
        <w:autoSpaceDN w:val="0"/>
        <w:adjustRightInd w:val="0"/>
        <w:spacing w:line="360" w:lineRule="auto"/>
        <w:ind w:left="399" w:leftChars="-60" w:hanging="525" w:hangingChars="25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（3）“投标人”指在</w:t>
      </w:r>
      <w:r>
        <w:rPr>
          <w:rFonts w:hint="eastAsia" w:ascii="宋体" w:hAnsi="宋体" w:eastAsia="宋体" w:cs="宋体"/>
          <w:color w:val="auto"/>
          <w:szCs w:val="21"/>
          <w:highlight w:val="none"/>
          <w:lang w:val="zh-CN"/>
        </w:rPr>
        <w:t>东莞市置拓投资有限公司水业大厦食堂经营服务采购项目</w:t>
      </w:r>
      <w:r>
        <w:rPr>
          <w:rFonts w:hint="eastAsia" w:ascii="宋体" w:hAnsi="宋体" w:eastAsia="宋体" w:cs="宋体"/>
          <w:color w:val="auto"/>
          <w:kern w:val="0"/>
          <w:szCs w:val="21"/>
          <w:highlight w:val="none"/>
        </w:rPr>
        <w:t>所需的</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的投标，并向招标代理机构提交投标文件的当事人；</w:t>
      </w:r>
    </w:p>
    <w:p w14:paraId="157DA53A">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（4）“评标委员会”是</w:t>
      </w:r>
      <w:r>
        <w:rPr>
          <w:rFonts w:hint="eastAsia" w:ascii="宋体" w:hAnsi="宋体" w:eastAsia="宋体" w:cs="宋体"/>
          <w:color w:val="auto"/>
          <w:kern w:val="0"/>
          <w:szCs w:val="21"/>
          <w:highlight w:val="none"/>
          <w:lang w:val="en-US" w:eastAsia="zh-CN"/>
        </w:rPr>
        <w:t>指招标人</w:t>
      </w:r>
      <w:r>
        <w:rPr>
          <w:rFonts w:hint="eastAsia" w:ascii="宋体" w:hAnsi="宋体" w:eastAsia="宋体" w:cs="宋体"/>
          <w:color w:val="auto"/>
          <w:kern w:val="0"/>
          <w:szCs w:val="21"/>
          <w:highlight w:val="none"/>
        </w:rPr>
        <w:t>组建的专门负责本次评标工作的临时性机构；</w:t>
      </w:r>
    </w:p>
    <w:p w14:paraId="4677867F">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（5）“中标人”指其投标被招标人接受，并与招标人签订合同的当事人；</w:t>
      </w:r>
    </w:p>
    <w:p w14:paraId="3454E16C">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（6）“甲方”指在合同条款中指明的购买服务的单位，即</w:t>
      </w:r>
      <w:r>
        <w:rPr>
          <w:rFonts w:hint="eastAsia" w:ascii="宋体" w:hAnsi="宋体" w:eastAsia="宋体" w:cs="宋体"/>
          <w:color w:val="auto"/>
          <w:kern w:val="0"/>
          <w:szCs w:val="21"/>
          <w:highlight w:val="none"/>
          <w:lang w:eastAsia="zh-CN"/>
        </w:rPr>
        <w:t>东莞市</w:t>
      </w:r>
      <w:r>
        <w:rPr>
          <w:rFonts w:hint="eastAsia" w:ascii="宋体" w:hAnsi="宋体" w:eastAsia="宋体" w:cs="宋体"/>
          <w:color w:val="auto"/>
          <w:kern w:val="0"/>
          <w:szCs w:val="21"/>
          <w:highlight w:val="none"/>
          <w:lang w:val="en-US" w:eastAsia="zh-CN"/>
        </w:rPr>
        <w:t>置拓投资</w:t>
      </w:r>
      <w:r>
        <w:rPr>
          <w:rFonts w:hint="eastAsia" w:ascii="宋体" w:hAnsi="宋体" w:eastAsia="宋体" w:cs="宋体"/>
          <w:color w:val="auto"/>
          <w:kern w:val="0"/>
          <w:szCs w:val="21"/>
          <w:highlight w:val="none"/>
          <w:lang w:eastAsia="zh-CN"/>
        </w:rPr>
        <w:t>有限公司</w:t>
      </w:r>
      <w:r>
        <w:rPr>
          <w:rFonts w:hint="eastAsia" w:ascii="宋体" w:hAnsi="宋体" w:eastAsia="宋体" w:cs="宋体"/>
          <w:color w:val="auto"/>
          <w:kern w:val="0"/>
          <w:szCs w:val="21"/>
          <w:highlight w:val="none"/>
        </w:rPr>
        <w:t>；</w:t>
      </w:r>
    </w:p>
    <w:p w14:paraId="3EA673FA">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（7）“乙方”指在合同条款中指明的本合同项下提供服务的公司或实体；</w:t>
      </w:r>
    </w:p>
    <w:p w14:paraId="10798320">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（8）“招标文件”指由招标代理机构发出的本招标文件，包括全部章节和附件；</w:t>
      </w:r>
    </w:p>
    <w:p w14:paraId="1F473897">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（9）“投标文件”指投标人根据本招标文件向招标代理机构提交的全部文件；</w:t>
      </w:r>
    </w:p>
    <w:p w14:paraId="3B3830C8">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（10）“书面函件”指手写、打字或印刷的函件，包括电传、电报和传真；</w:t>
      </w:r>
    </w:p>
    <w:p w14:paraId="41441D7B">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（11）“合同”指由本次招标所产生的合同或合约文件；</w:t>
      </w:r>
    </w:p>
    <w:p w14:paraId="66EFA372">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（12）“日期”指公历日，“时间”指北京时间；</w:t>
      </w:r>
    </w:p>
    <w:p w14:paraId="2AB122EF">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（13）本招标文件中的“境内”特指中华人民共和国海关关境以内，“境外”特指中华人民共和国海关关境以外；</w:t>
      </w:r>
    </w:p>
    <w:p w14:paraId="0688532A">
      <w:pPr>
        <w:autoSpaceDE/>
        <w:autoSpaceDN/>
        <w:adjustRightInd w:val="0"/>
        <w:spacing w:line="360" w:lineRule="auto"/>
        <w:ind w:left="504" w:leftChars="-60" w:hanging="630" w:hangingChars="3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（14）本招标文件所称的含税价和</w:t>
      </w:r>
      <w:r>
        <w:rPr>
          <w:rFonts w:hint="eastAsia" w:ascii="宋体" w:hAnsi="宋体" w:eastAsia="宋体" w:cs="宋体"/>
          <w:color w:val="auto"/>
          <w:kern w:val="0"/>
          <w:szCs w:val="21"/>
          <w:highlight w:val="none"/>
          <w:lang w:val="en-US" w:eastAsia="zh-CN"/>
        </w:rPr>
        <w:t>暂定</w:t>
      </w:r>
      <w:r>
        <w:rPr>
          <w:rFonts w:hint="eastAsia" w:ascii="宋体" w:hAnsi="宋体" w:eastAsia="宋体" w:cs="宋体"/>
          <w:color w:val="auto"/>
          <w:kern w:val="0"/>
          <w:szCs w:val="21"/>
          <w:highlight w:val="none"/>
        </w:rPr>
        <w:t>合同价是指含本采购项目投标人的销项税额，包含了投标人完成合同义务（含投标人代缴代扣、分包及委外服务、施工、采购货物等所产生的价税）的其他全部费用。</w:t>
      </w:r>
    </w:p>
    <w:p w14:paraId="7C822A58">
      <w:pPr>
        <w:autoSpaceDE w:val="0"/>
        <w:autoSpaceDN w:val="0"/>
        <w:adjustRightInd w:val="0"/>
        <w:spacing w:line="360" w:lineRule="auto"/>
        <w:ind w:left="951" w:leftChars="78" w:hanging="787" w:hangingChars="375"/>
        <w:outlineLvl w:val="9"/>
        <w:rPr>
          <w:rFonts w:hint="eastAsia" w:ascii="宋体" w:hAnsi="宋体" w:eastAsia="宋体" w:cs="宋体"/>
          <w:color w:val="auto"/>
          <w:szCs w:val="21"/>
          <w:highlight w:val="none"/>
          <w:lang w:val="zh-CN"/>
        </w:rPr>
      </w:pPr>
    </w:p>
    <w:p w14:paraId="400266BD">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17" w:name="_Toc142508319"/>
      <w:bookmarkStart w:id="118" w:name="_Toc3727"/>
      <w:bookmarkStart w:id="119" w:name="_Toc486167669"/>
      <w:bookmarkStart w:id="120" w:name="_Toc450662855"/>
      <w:bookmarkStart w:id="121" w:name="_Toc29125_WPSOffice_Level3"/>
      <w:bookmarkStart w:id="122" w:name="_Toc18669"/>
      <w:bookmarkStart w:id="123" w:name="_Toc12812"/>
      <w:bookmarkStart w:id="124" w:name="_Toc1433"/>
      <w:bookmarkStart w:id="125" w:name="_Toc5261"/>
      <w:bookmarkStart w:id="126" w:name="_Toc11346"/>
      <w:bookmarkStart w:id="127" w:name="_Toc4227"/>
      <w:bookmarkStart w:id="128" w:name="_Toc18520"/>
      <w:r>
        <w:rPr>
          <w:rFonts w:hint="eastAsia" w:ascii="宋体" w:hAnsi="宋体" w:eastAsia="宋体" w:cs="宋体"/>
          <w:color w:val="auto"/>
          <w:szCs w:val="21"/>
          <w:highlight w:val="none"/>
          <w:lang w:val="zh-CN"/>
        </w:rPr>
        <w:t>6 招标文件的异议</w:t>
      </w:r>
      <w:bookmarkEnd w:id="117"/>
      <w:bookmarkEnd w:id="118"/>
      <w:bookmarkEnd w:id="119"/>
      <w:bookmarkEnd w:id="120"/>
      <w:bookmarkEnd w:id="121"/>
      <w:bookmarkEnd w:id="122"/>
      <w:bookmarkEnd w:id="123"/>
      <w:bookmarkEnd w:id="124"/>
      <w:bookmarkEnd w:id="125"/>
      <w:bookmarkEnd w:id="126"/>
      <w:bookmarkEnd w:id="127"/>
      <w:bookmarkEnd w:id="128"/>
    </w:p>
    <w:p w14:paraId="6A7E2B96">
      <w:pPr>
        <w:autoSpaceDE w:val="0"/>
        <w:autoSpaceDN w:val="0"/>
        <w:adjustRightInd w:val="0"/>
        <w:spacing w:line="360" w:lineRule="auto"/>
        <w:ind w:left="288" w:leftChars="137" w:firstLine="420" w:firstLineChars="200"/>
        <w:outlineLvl w:val="9"/>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投标人或者其他利害关系人对招标文件有异议的，应当在投标截止时间10日前</w:t>
      </w:r>
      <w:r>
        <w:rPr>
          <w:rFonts w:hint="eastAsia" w:ascii="宋体" w:hAnsi="宋体" w:eastAsia="宋体" w:cs="宋体"/>
          <w:color w:val="auto"/>
          <w:szCs w:val="21"/>
          <w:highlight w:val="none"/>
          <w:lang w:val="zh-CN"/>
        </w:rPr>
        <w:t>以书面形式向招标代理机构提出，并将材料原件送达招标代理机构，逾期则视为对招标文件所有内容无异议。</w:t>
      </w:r>
      <w:r>
        <w:rPr>
          <w:rFonts w:hint="eastAsia" w:ascii="宋体" w:hAnsi="宋体" w:eastAsia="宋体" w:cs="宋体"/>
          <w:bCs/>
          <w:color w:val="auto"/>
          <w:szCs w:val="21"/>
          <w:highlight w:val="none"/>
          <w:lang w:val="zh-CN"/>
        </w:rPr>
        <w:t>异议</w:t>
      </w:r>
      <w:r>
        <w:rPr>
          <w:rFonts w:hint="eastAsia" w:ascii="宋体" w:hAnsi="宋体" w:eastAsia="宋体" w:cs="宋体"/>
          <w:color w:val="auto"/>
          <w:szCs w:val="21"/>
          <w:highlight w:val="none"/>
          <w:lang w:val="zh-CN"/>
        </w:rPr>
        <w:t>书面材料必须加盖投标人法人公章，并注明联系人、联系电话、联系地址。</w:t>
      </w:r>
      <w:r>
        <w:rPr>
          <w:rFonts w:hint="eastAsia" w:ascii="宋体" w:hAnsi="宋体" w:eastAsia="宋体" w:cs="宋体"/>
          <w:bCs/>
          <w:color w:val="auto"/>
          <w:szCs w:val="21"/>
          <w:highlight w:val="none"/>
          <w:lang w:val="zh-CN"/>
        </w:rPr>
        <w:t>超出</w:t>
      </w:r>
      <w:r>
        <w:rPr>
          <w:rFonts w:hint="eastAsia" w:ascii="宋体" w:hAnsi="宋体" w:eastAsia="宋体" w:cs="宋体"/>
          <w:color w:val="auto"/>
          <w:szCs w:val="21"/>
          <w:highlight w:val="none"/>
          <w:lang w:val="zh-CN"/>
        </w:rPr>
        <w:t>提交接收异议截止时间而</w:t>
      </w:r>
      <w:r>
        <w:rPr>
          <w:rFonts w:hint="eastAsia" w:ascii="宋体" w:hAnsi="宋体" w:eastAsia="宋体" w:cs="宋体"/>
          <w:bCs/>
          <w:color w:val="auto"/>
          <w:szCs w:val="21"/>
          <w:highlight w:val="none"/>
          <w:lang w:val="zh-CN"/>
        </w:rPr>
        <w:t>提出的任何疑问，招标代理机构可不予答复。</w:t>
      </w:r>
      <w:r>
        <w:rPr>
          <w:rFonts w:hint="eastAsia" w:ascii="宋体" w:hAnsi="宋体" w:eastAsia="宋体" w:cs="宋体"/>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447DC4A5">
      <w:pPr>
        <w:autoSpaceDE w:val="0"/>
        <w:autoSpaceDN w:val="0"/>
        <w:adjustRightInd w:val="0"/>
        <w:spacing w:line="360" w:lineRule="auto"/>
        <w:ind w:left="290" w:leftChars="137" w:hanging="2" w:hangingChars="1"/>
        <w:outlineLvl w:val="9"/>
        <w:rPr>
          <w:rFonts w:hint="eastAsia" w:ascii="宋体" w:hAnsi="宋体" w:eastAsia="宋体" w:cs="宋体"/>
          <w:b/>
          <w:bCs/>
          <w:color w:val="auto"/>
          <w:szCs w:val="21"/>
          <w:highlight w:val="none"/>
          <w:lang w:val="zh-CN"/>
        </w:rPr>
      </w:pPr>
    </w:p>
    <w:p w14:paraId="13DEBDCB">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29" w:name="_Toc26081"/>
      <w:bookmarkStart w:id="130" w:name="_Toc25289"/>
      <w:bookmarkStart w:id="131" w:name="_Toc29864"/>
      <w:bookmarkStart w:id="132" w:name="_Toc17145"/>
      <w:bookmarkStart w:id="133" w:name="_Toc20896"/>
      <w:bookmarkStart w:id="134" w:name="_Toc142508320"/>
      <w:bookmarkStart w:id="135" w:name="_Toc39"/>
      <w:bookmarkStart w:id="136" w:name="_Toc27165"/>
      <w:bookmarkStart w:id="137" w:name="_Toc450662856"/>
      <w:bookmarkStart w:id="138" w:name="_Toc20355"/>
      <w:bookmarkStart w:id="139" w:name="_Toc486167670"/>
      <w:bookmarkStart w:id="140" w:name="_Toc23483_WPSOffice_Level3"/>
      <w:r>
        <w:rPr>
          <w:rFonts w:hint="eastAsia" w:ascii="宋体" w:hAnsi="宋体" w:eastAsia="宋体" w:cs="宋体"/>
          <w:color w:val="auto"/>
          <w:szCs w:val="21"/>
          <w:highlight w:val="none"/>
          <w:lang w:val="zh-CN"/>
        </w:rPr>
        <w:t>7 招标文件的澄清及修改</w:t>
      </w:r>
      <w:bookmarkEnd w:id="129"/>
      <w:bookmarkEnd w:id="130"/>
      <w:bookmarkEnd w:id="131"/>
      <w:bookmarkEnd w:id="132"/>
      <w:bookmarkEnd w:id="133"/>
      <w:bookmarkEnd w:id="134"/>
      <w:bookmarkEnd w:id="135"/>
      <w:bookmarkEnd w:id="136"/>
      <w:bookmarkEnd w:id="137"/>
      <w:bookmarkEnd w:id="138"/>
      <w:bookmarkEnd w:id="139"/>
      <w:bookmarkEnd w:id="140"/>
    </w:p>
    <w:p w14:paraId="7B5423BD">
      <w:pPr>
        <w:tabs>
          <w:tab w:val="left" w:pos="567"/>
        </w:tabs>
        <w:autoSpaceDE/>
        <w:autoSpaceDN/>
        <w:adjustRightInd w:val="0"/>
        <w:spacing w:line="360" w:lineRule="auto"/>
        <w:ind w:left="210" w:leftChars="-100" w:hanging="420" w:hangingChars="2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15日前，在招标信息发布媒介上发布更正公告，请各投标人密切留意。该澄清或者修改的内容为招标文件的组成部分。</w:t>
      </w:r>
    </w:p>
    <w:p w14:paraId="55524444">
      <w:pPr>
        <w:autoSpaceDE/>
        <w:autoSpaceDN/>
        <w:adjustRightInd w:val="0"/>
        <w:spacing w:line="360" w:lineRule="auto"/>
        <w:ind w:left="210" w:leftChars="-100" w:hanging="420" w:hangingChars="2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5E19EB3D">
      <w:pPr>
        <w:autoSpaceDE/>
        <w:autoSpaceDN/>
        <w:adjustRightInd w:val="0"/>
        <w:spacing w:line="360" w:lineRule="auto"/>
        <w:ind w:left="210" w:leftChars="-100" w:hanging="420" w:hangingChars="2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hint="eastAsia" w:ascii="宋体" w:hAnsi="宋体" w:eastAsia="宋体" w:cs="宋体"/>
          <w:bCs/>
          <w:color w:val="auto"/>
          <w:szCs w:val="21"/>
          <w:highlight w:val="none"/>
          <w:lang w:eastAsia="zh-CN"/>
        </w:rPr>
        <w:t>广东省公共资源交易平台（ygp.gdzwfw.gov.cn）、</w:t>
      </w:r>
      <w:r>
        <w:rPr>
          <w:rFonts w:hint="eastAsia" w:ascii="宋体" w:hAnsi="宋体" w:eastAsia="宋体" w:cs="宋体"/>
          <w:color w:val="auto"/>
          <w:szCs w:val="21"/>
          <w:highlight w:val="none"/>
          <w:lang w:val="zh-CN"/>
        </w:rPr>
        <w:t>中国招标投标公共服务平台</w:t>
      </w:r>
      <w:r>
        <w:rPr>
          <w:rFonts w:hint="eastAsia" w:ascii="宋体" w:hAnsi="宋体" w:eastAsia="宋体" w:cs="宋体"/>
          <w:color w:val="auto"/>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"http://www.cebpubservice.com）、广东省招标投标监管"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www.cebpubservice.com）</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t>东莞市水务集团有限公司网</w:t>
      </w:r>
      <w:r>
        <w:rPr>
          <w:rFonts w:hint="eastAsia" w:ascii="宋体" w:hAnsi="宋体" w:eastAsia="宋体" w:cs="宋体"/>
          <w:color w:val="auto"/>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"www.dgswjt.cn）、招标代理公司网站（http://%20%20%20%20%20%20%20%20%20%20%20%20%20%20）" </w:instrText>
      </w:r>
      <w:r>
        <w:rPr>
          <w:rFonts w:hint="eastAsia" w:ascii="宋体" w:hAnsi="宋体" w:eastAsia="宋体" w:cs="宋体"/>
          <w:color w:val="auto"/>
          <w:highlight w:val="none"/>
        </w:rPr>
        <w:fldChar w:fldCharType="separate"/>
      </w:r>
      <w:r>
        <w:rPr>
          <w:rStyle w:val="44"/>
          <w:rFonts w:hint="eastAsia" w:ascii="宋体" w:hAnsi="宋体" w:eastAsia="宋体" w:cs="宋体"/>
          <w:color w:val="auto"/>
          <w:sz w:val="21"/>
          <w:szCs w:val="21"/>
          <w:highlight w:val="none"/>
        </w:rPr>
        <w:t>www.dgswjt.cn）</w:t>
      </w:r>
      <w:r>
        <w:rPr>
          <w:rStyle w:val="44"/>
          <w:rFonts w:hint="eastAsia" w:ascii="宋体" w:hAnsi="宋体" w:eastAsia="宋体" w:cs="宋体"/>
          <w:color w:val="auto"/>
          <w:sz w:val="21"/>
          <w:szCs w:val="21"/>
          <w:highlight w:val="none"/>
          <w:lang w:val="zh-CN"/>
        </w:rPr>
        <w:t>、</w:t>
      </w:r>
      <w:r>
        <w:rPr>
          <w:rStyle w:val="44"/>
          <w:rFonts w:hint="eastAsia" w:ascii="宋体" w:hAnsi="宋体" w:eastAsia="宋体" w:cs="宋体"/>
          <w:bCs/>
          <w:color w:val="auto"/>
          <w:kern w:val="0"/>
          <w:sz w:val="21"/>
          <w:szCs w:val="21"/>
          <w:highlight w:val="none"/>
        </w:rPr>
        <w:t>招标代理</w:t>
      </w:r>
      <w:r>
        <w:rPr>
          <w:rStyle w:val="44"/>
          <w:rFonts w:hint="eastAsia" w:ascii="宋体" w:hAnsi="宋体" w:eastAsia="宋体" w:cs="宋体"/>
          <w:bCs/>
          <w:color w:val="auto"/>
          <w:kern w:val="0"/>
          <w:sz w:val="21"/>
          <w:szCs w:val="21"/>
          <w:highlight w:val="none"/>
          <w:lang w:val="en-US" w:eastAsia="zh-CN"/>
        </w:rPr>
        <w:t>机构</w:t>
      </w:r>
      <w:r>
        <w:rPr>
          <w:rStyle w:val="44"/>
          <w:rFonts w:hint="eastAsia" w:ascii="宋体" w:hAnsi="宋体" w:eastAsia="宋体" w:cs="宋体"/>
          <w:bCs/>
          <w:color w:val="auto"/>
          <w:kern w:val="0"/>
          <w:sz w:val="21"/>
          <w:szCs w:val="21"/>
          <w:highlight w:val="none"/>
        </w:rPr>
        <w:t>网站（</w:t>
      </w:r>
      <w:r>
        <w:rPr>
          <w:rFonts w:hint="eastAsia" w:ascii="宋体" w:hAnsi="宋体" w:eastAsia="宋体" w:cs="Times New Roman"/>
          <w:bCs/>
          <w:color w:val="auto"/>
          <w:szCs w:val="21"/>
          <w:highlight w:val="none"/>
        </w:rPr>
        <w:t>www.gzjc.com.cn</w:t>
      </w:r>
      <w:r>
        <w:rPr>
          <w:rStyle w:val="44"/>
          <w:rFonts w:hint="eastAsia" w:ascii="宋体" w:hAnsi="宋体" w:eastAsia="宋体" w:cs="宋体"/>
          <w:bCs/>
          <w:color w:val="auto"/>
          <w:kern w:val="0"/>
          <w:sz w:val="21"/>
          <w:szCs w:val="21"/>
          <w:highlight w:val="none"/>
        </w:rPr>
        <w:t>）</w:t>
      </w:r>
      <w:r>
        <w:rPr>
          <w:rStyle w:val="44"/>
          <w:rFonts w:hint="eastAsia" w:ascii="宋体" w:hAnsi="宋体" w:eastAsia="宋体" w:cs="宋体"/>
          <w:bCs/>
          <w:color w:val="auto"/>
          <w:kern w:val="0"/>
          <w:sz w:val="21"/>
          <w:szCs w:val="21"/>
          <w:highlight w:val="none"/>
        </w:rPr>
        <w:fldChar w:fldCharType="end"/>
      </w:r>
      <w:r>
        <w:rPr>
          <w:rFonts w:hint="eastAsia" w:ascii="宋体" w:hAnsi="宋体" w:eastAsia="宋体" w:cs="宋体"/>
          <w:color w:val="auto"/>
          <w:szCs w:val="21"/>
          <w:highlight w:val="none"/>
          <w:lang w:val="zh-CN"/>
        </w:rPr>
        <w:t>公布，请各投标人密切留意。</w:t>
      </w:r>
    </w:p>
    <w:p w14:paraId="2B7562A4">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rPr>
      </w:pPr>
    </w:p>
    <w:p w14:paraId="2C2DF185">
      <w:pPr>
        <w:keepNext/>
        <w:keepLines/>
        <w:tabs>
          <w:tab w:val="left" w:pos="509"/>
        </w:tabs>
        <w:autoSpaceDE w:val="0"/>
        <w:autoSpaceDN w:val="0"/>
        <w:adjustRightInd w:val="0"/>
        <w:spacing w:line="360" w:lineRule="auto"/>
        <w:jc w:val="left"/>
        <w:outlineLvl w:val="1"/>
        <w:rPr>
          <w:rFonts w:hint="eastAsia" w:ascii="宋体" w:hAnsi="宋体" w:eastAsia="宋体" w:cs="宋体"/>
          <w:b/>
          <w:bCs/>
          <w:color w:val="auto"/>
          <w:kern w:val="44"/>
          <w:szCs w:val="21"/>
          <w:highlight w:val="none"/>
          <w:lang w:val="zh-CN"/>
        </w:rPr>
      </w:pPr>
      <w:bookmarkStart w:id="141" w:name="_Toc23342"/>
      <w:bookmarkStart w:id="142" w:name="_Toc140596880"/>
      <w:bookmarkStart w:id="143" w:name="_Toc142508321"/>
      <w:bookmarkStart w:id="144" w:name="_Toc27196"/>
      <w:bookmarkStart w:id="145" w:name="_Toc21427"/>
      <w:bookmarkStart w:id="146" w:name="_Toc29659_WPSOffice_Level2"/>
      <w:bookmarkStart w:id="147" w:name="_Toc4666"/>
      <w:bookmarkStart w:id="148" w:name="_Toc12169"/>
      <w:bookmarkStart w:id="149" w:name="_Toc31630"/>
      <w:bookmarkStart w:id="150" w:name="_Toc486167671"/>
      <w:bookmarkStart w:id="151" w:name="_Toc8711"/>
      <w:bookmarkStart w:id="152" w:name="_Toc450662857"/>
      <w:bookmarkStart w:id="153" w:name="_Toc16203"/>
      <w:r>
        <w:rPr>
          <w:rFonts w:hint="eastAsia" w:ascii="宋体" w:hAnsi="宋体" w:eastAsia="宋体" w:cs="宋体"/>
          <w:b/>
          <w:bCs/>
          <w:color w:val="auto"/>
          <w:kern w:val="44"/>
          <w:szCs w:val="21"/>
          <w:highlight w:val="none"/>
          <w:lang w:val="zh-CN"/>
        </w:rPr>
        <w:t>三、投标文件的编制</w:t>
      </w:r>
      <w:bookmarkEnd w:id="141"/>
      <w:bookmarkEnd w:id="142"/>
      <w:bookmarkEnd w:id="143"/>
      <w:bookmarkEnd w:id="144"/>
      <w:bookmarkEnd w:id="145"/>
      <w:bookmarkEnd w:id="146"/>
      <w:bookmarkEnd w:id="147"/>
      <w:bookmarkEnd w:id="148"/>
      <w:bookmarkEnd w:id="149"/>
      <w:bookmarkEnd w:id="150"/>
      <w:bookmarkEnd w:id="151"/>
      <w:bookmarkEnd w:id="152"/>
      <w:bookmarkEnd w:id="153"/>
    </w:p>
    <w:p w14:paraId="796BABB5">
      <w:pPr>
        <w:tabs>
          <w:tab w:val="left" w:pos="675"/>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54" w:name="_Toc6244"/>
      <w:bookmarkStart w:id="155" w:name="_Toc6378"/>
      <w:bookmarkStart w:id="156" w:name="_Toc20694"/>
      <w:bookmarkStart w:id="157" w:name="_Toc31162"/>
      <w:bookmarkStart w:id="158" w:name="_Toc142508322"/>
      <w:bookmarkStart w:id="159" w:name="_Toc450662858"/>
      <w:bookmarkStart w:id="160" w:name="_Toc486167672"/>
      <w:bookmarkStart w:id="161" w:name="_Toc3827"/>
      <w:bookmarkStart w:id="162" w:name="_Toc26766"/>
      <w:bookmarkStart w:id="163" w:name="_Toc24353"/>
      <w:bookmarkStart w:id="164" w:name="_Toc10015_WPSOffice_Level3"/>
      <w:bookmarkStart w:id="165" w:name="_Toc24427"/>
      <w:r>
        <w:rPr>
          <w:rFonts w:hint="eastAsia" w:ascii="宋体" w:hAnsi="宋体" w:eastAsia="宋体" w:cs="宋体"/>
          <w:color w:val="auto"/>
          <w:szCs w:val="21"/>
          <w:highlight w:val="none"/>
          <w:lang w:val="zh-CN"/>
        </w:rPr>
        <w:t>8 投标使用的文字及度量衡单位</w:t>
      </w:r>
      <w:bookmarkEnd w:id="154"/>
      <w:bookmarkEnd w:id="155"/>
      <w:bookmarkEnd w:id="156"/>
      <w:bookmarkEnd w:id="157"/>
      <w:bookmarkEnd w:id="158"/>
      <w:bookmarkEnd w:id="159"/>
      <w:bookmarkEnd w:id="160"/>
      <w:bookmarkEnd w:id="161"/>
      <w:bookmarkEnd w:id="162"/>
      <w:bookmarkEnd w:id="163"/>
      <w:bookmarkEnd w:id="164"/>
      <w:bookmarkEnd w:id="165"/>
    </w:p>
    <w:p w14:paraId="28434F4F">
      <w:pPr>
        <w:tabs>
          <w:tab w:val="left" w:pos="567"/>
        </w:tabs>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1642D69F">
      <w:pPr>
        <w:tabs>
          <w:tab w:val="left" w:pos="567"/>
        </w:tabs>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7A4440AA">
      <w:pPr>
        <w:autoSpaceDE w:val="0"/>
        <w:autoSpaceDN w:val="0"/>
        <w:adjustRightInd w:val="0"/>
        <w:spacing w:line="360" w:lineRule="auto"/>
        <w:outlineLvl w:val="9"/>
        <w:rPr>
          <w:rFonts w:hint="eastAsia" w:ascii="宋体" w:hAnsi="宋体" w:eastAsia="宋体" w:cs="宋体"/>
          <w:color w:val="auto"/>
          <w:szCs w:val="21"/>
          <w:highlight w:val="none"/>
          <w:lang w:val="zh-CN"/>
        </w:rPr>
      </w:pPr>
    </w:p>
    <w:p w14:paraId="775DD59B">
      <w:pPr>
        <w:tabs>
          <w:tab w:val="left" w:pos="540"/>
        </w:tabs>
        <w:autoSpaceDE w:val="0"/>
        <w:autoSpaceDN w:val="0"/>
        <w:adjustRightInd w:val="0"/>
        <w:spacing w:line="360" w:lineRule="auto"/>
        <w:ind w:left="357" w:leftChars="-100" w:hanging="567"/>
        <w:jc w:val="left"/>
        <w:outlineLvl w:val="2"/>
        <w:rPr>
          <w:rFonts w:hint="eastAsia" w:ascii="宋体" w:hAnsi="宋体" w:eastAsia="宋体" w:cs="宋体"/>
          <w:color w:val="auto"/>
          <w:sz w:val="24"/>
          <w:szCs w:val="24"/>
          <w:highlight w:val="none"/>
          <w:lang w:val="zh-CN"/>
        </w:rPr>
      </w:pPr>
      <w:bookmarkStart w:id="166" w:name="_Toc7348"/>
      <w:bookmarkStart w:id="167" w:name="_Toc24916_WPSOffice_Level3"/>
      <w:bookmarkStart w:id="168" w:name="_Toc3220"/>
      <w:bookmarkStart w:id="169" w:name="_Toc14943"/>
      <w:bookmarkStart w:id="170" w:name="_Toc17979"/>
      <w:bookmarkStart w:id="171" w:name="_Toc26462"/>
      <w:bookmarkStart w:id="172" w:name="_Toc486167673"/>
      <w:bookmarkStart w:id="173" w:name="_Toc142508323"/>
      <w:bookmarkStart w:id="174" w:name="_Toc21110"/>
      <w:bookmarkStart w:id="175" w:name="_Toc10663"/>
      <w:bookmarkStart w:id="176" w:name="_Toc18196"/>
      <w:bookmarkStart w:id="177" w:name="_Toc450662859"/>
      <w:r>
        <w:rPr>
          <w:rFonts w:hint="eastAsia" w:ascii="宋体" w:hAnsi="宋体" w:eastAsia="宋体" w:cs="宋体"/>
          <w:color w:val="auto"/>
          <w:szCs w:val="21"/>
          <w:highlight w:val="none"/>
          <w:lang w:val="zh-CN"/>
        </w:rPr>
        <w:t>9</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66"/>
      <w:bookmarkEnd w:id="167"/>
      <w:bookmarkEnd w:id="168"/>
      <w:bookmarkEnd w:id="169"/>
      <w:bookmarkEnd w:id="170"/>
      <w:bookmarkEnd w:id="171"/>
      <w:bookmarkEnd w:id="172"/>
      <w:bookmarkEnd w:id="173"/>
      <w:bookmarkEnd w:id="174"/>
      <w:bookmarkEnd w:id="175"/>
      <w:bookmarkEnd w:id="176"/>
      <w:bookmarkEnd w:id="177"/>
    </w:p>
    <w:p w14:paraId="561016F6">
      <w:pPr>
        <w:autoSpaceDE w:val="0"/>
        <w:autoSpaceDN w:val="0"/>
        <w:adjustRightInd w:val="0"/>
        <w:spacing w:line="360" w:lineRule="auto"/>
        <w:ind w:left="212" w:leftChars="-100" w:hanging="422" w:hangingChars="200"/>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宋体"/>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宋体"/>
          <w:b/>
          <w:color w:val="auto"/>
          <w:kern w:val="0"/>
          <w:szCs w:val="21"/>
          <w:highlight w:val="none"/>
        </w:rPr>
        <w:t>。</w:t>
      </w:r>
    </w:p>
    <w:p w14:paraId="29FEA107">
      <w:pPr>
        <w:autoSpaceDE w:val="0"/>
        <w:autoSpaceDN w:val="0"/>
        <w:adjustRightInd w:val="0"/>
        <w:spacing w:line="360" w:lineRule="auto"/>
        <w:ind w:left="422" w:leftChars="-100" w:hanging="632" w:hangingChars="300"/>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9.1.1 商务文件：</w:t>
      </w:r>
    </w:p>
    <w:p w14:paraId="63D87242">
      <w:pPr>
        <w:autoSpaceDE w:val="0"/>
        <w:autoSpaceDN w:val="0"/>
        <w:adjustRightInd w:val="0"/>
        <w:spacing w:line="360" w:lineRule="auto"/>
        <w:jc w:val="left"/>
        <w:outlineLvl w:val="9"/>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b/>
          <w:color w:val="auto"/>
          <w:kern w:val="0"/>
          <w:szCs w:val="21"/>
          <w:highlight w:val="none"/>
          <w:lang w:val="zh-CN"/>
        </w:rPr>
        <w:t>目录：</w:t>
      </w:r>
    </w:p>
    <w:p w14:paraId="449733FC">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125842DC">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4FC6A53B">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（3）供货及/或提供服务过程承诺函；</w:t>
      </w:r>
    </w:p>
    <w:p w14:paraId="4438F672">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）投标报价</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表；</w:t>
      </w:r>
    </w:p>
    <w:p w14:paraId="2BCE3416">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14:paraId="7EB82424">
      <w:pPr>
        <w:autoSpaceDE w:val="0"/>
        <w:autoSpaceDN w:val="0"/>
        <w:adjustRightInd w:val="0"/>
        <w:spacing w:line="360" w:lineRule="auto"/>
        <w:ind w:left="283" w:hanging="283" w:hangingChars="135"/>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1）多证合一营业执照</w:t>
      </w:r>
      <w:r>
        <w:rPr>
          <w:rFonts w:hint="eastAsia" w:ascii="宋体" w:hAnsi="宋体" w:eastAsia="宋体" w:cs="宋体"/>
          <w:color w:val="auto"/>
          <w:kern w:val="0"/>
          <w:szCs w:val="21"/>
          <w:highlight w:val="none"/>
        </w:rPr>
        <w:t>（或事业单位法人证书）</w:t>
      </w:r>
      <w:r>
        <w:rPr>
          <w:rFonts w:hint="eastAsia" w:ascii="宋体" w:hAnsi="宋体" w:eastAsia="宋体" w:cs="宋体"/>
          <w:color w:val="auto"/>
          <w:szCs w:val="21"/>
          <w:highlight w:val="none"/>
          <w:lang w:val="zh-CN"/>
        </w:rPr>
        <w:t>复印件；</w:t>
      </w:r>
    </w:p>
    <w:p w14:paraId="5A102AC3">
      <w:pPr>
        <w:autoSpaceDE w:val="0"/>
        <w:autoSpaceDN w:val="0"/>
        <w:adjustRightInd w:val="0"/>
        <w:spacing w:line="360" w:lineRule="auto"/>
        <w:ind w:left="283" w:hanging="283" w:hangingChars="135"/>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p>
    <w:p w14:paraId="7E08EEB7">
      <w:pPr>
        <w:autoSpaceDE w:val="0"/>
        <w:autoSpaceDN w:val="0"/>
        <w:adjustRightInd w:val="0"/>
        <w:spacing w:line="360" w:lineRule="auto"/>
        <w:ind w:left="283" w:hanging="283" w:hangingChars="135"/>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）法定代表人身份证明书和法定代表人授权书原件（法定代表人投标时只提供法定代表人身份证明书，委托</w:t>
      </w:r>
      <w:r>
        <w:rPr>
          <w:rFonts w:hint="eastAsia" w:ascii="宋体" w:hAnsi="宋体" w:eastAsia="宋体" w:cs="宋体"/>
          <w:color w:val="auto"/>
          <w:szCs w:val="21"/>
          <w:highlight w:val="none"/>
        </w:rPr>
        <w:t>他人</w:t>
      </w:r>
      <w:r>
        <w:rPr>
          <w:rFonts w:hint="eastAsia" w:ascii="宋体" w:hAnsi="宋体" w:eastAsia="宋体" w:cs="宋体"/>
          <w:color w:val="auto"/>
          <w:szCs w:val="21"/>
          <w:highlight w:val="none"/>
          <w:lang w:val="zh-CN"/>
        </w:rPr>
        <w:t>为投标代表时同时提供法定代表人授权书）；</w:t>
      </w:r>
    </w:p>
    <w:p w14:paraId="2A1414B1">
      <w:pPr>
        <w:tabs>
          <w:tab w:val="left" w:pos="1276"/>
        </w:tabs>
        <w:spacing w:line="360" w:lineRule="auto"/>
        <w:ind w:left="283" w:hanging="283" w:hangingChars="135"/>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eastAsia="zh-CN"/>
        </w:rPr>
        <w:t>食品药品监督管理部门或市场监督管理部门颁发并在有效期内的食品经营许可证</w:t>
      </w:r>
      <w:r>
        <w:rPr>
          <w:rFonts w:hint="eastAsia" w:ascii="宋体" w:hAnsi="宋体" w:eastAsia="宋体" w:cs="宋体"/>
          <w:color w:val="auto"/>
          <w:szCs w:val="21"/>
          <w:highlight w:val="none"/>
          <w:lang w:val="en-US" w:eastAsia="zh-CN"/>
        </w:rPr>
        <w:t>复印件；</w:t>
      </w:r>
    </w:p>
    <w:p w14:paraId="55EDC827">
      <w:pPr>
        <w:tabs>
          <w:tab w:val="left" w:pos="1276"/>
        </w:tabs>
        <w:spacing w:line="360" w:lineRule="auto"/>
        <w:ind w:left="283" w:hanging="283" w:hangingChars="135"/>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）资格业绩【投标人提供一份</w:t>
      </w:r>
      <w:r>
        <w:rPr>
          <w:rFonts w:hint="eastAsia" w:ascii="宋体" w:hAnsi="宋体" w:eastAsia="宋体" w:cs="宋体"/>
          <w:color w:val="auto"/>
          <w:szCs w:val="21"/>
          <w:highlight w:val="none"/>
          <w:lang w:val="en-US" w:eastAsia="zh-CN"/>
        </w:rPr>
        <w:t>2022</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日以来</w:t>
      </w:r>
      <w:r>
        <w:rPr>
          <w:rFonts w:hint="eastAsia" w:ascii="宋体" w:hAnsi="宋体" w:eastAsia="宋体" w:cs="宋体"/>
          <w:color w:val="auto"/>
          <w:szCs w:val="21"/>
          <w:highlight w:val="none"/>
          <w:lang w:val="en-US" w:eastAsia="zh-CN"/>
        </w:rPr>
        <w:t>具有</w:t>
      </w:r>
      <w:r>
        <w:rPr>
          <w:rFonts w:hint="eastAsia" w:ascii="宋体" w:hAnsi="宋体" w:eastAsia="宋体" w:cs="宋体"/>
          <w:b/>
          <w:bCs/>
          <w:color w:val="auto"/>
          <w:szCs w:val="21"/>
          <w:highlight w:val="none"/>
          <w:lang w:val="en-US" w:eastAsia="zh-CN"/>
        </w:rPr>
        <w:t>食堂（或饭堂或餐厅）经营管理服务业绩</w:t>
      </w:r>
      <w:r>
        <w:rPr>
          <w:rFonts w:hint="eastAsia" w:ascii="宋体" w:hAnsi="宋体" w:eastAsia="宋体" w:cs="宋体"/>
          <w:color w:val="auto"/>
          <w:szCs w:val="21"/>
          <w:highlight w:val="none"/>
        </w:rPr>
        <w:t>（合同签订日期为</w:t>
      </w:r>
      <w:r>
        <w:rPr>
          <w:rFonts w:hint="eastAsia" w:ascii="宋体" w:hAnsi="宋体" w:eastAsia="宋体" w:cs="宋体"/>
          <w:color w:val="auto"/>
          <w:szCs w:val="21"/>
          <w:highlight w:val="none"/>
          <w:lang w:val="en-US" w:eastAsia="zh-CN"/>
        </w:rPr>
        <w:t>2022</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日或以后），资格业绩证明材料提交要求详见招标文件第六篇投标文件格式</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p>
    <w:p w14:paraId="4790B38F">
      <w:pPr>
        <w:autoSpaceDE w:val="0"/>
        <w:autoSpaceDN w:val="0"/>
        <w:adjustRightInd w:val="0"/>
        <w:spacing w:line="360" w:lineRule="auto"/>
        <w:ind w:left="913" w:hanging="913" w:hangingChars="435"/>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14:paraId="747C7ED7">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14:paraId="691C9977">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）投标人财务状况表；</w:t>
      </w:r>
    </w:p>
    <w:p w14:paraId="169A3A9A">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（8）</w:t>
      </w:r>
      <w:r>
        <w:rPr>
          <w:rFonts w:hint="eastAsia" w:ascii="宋体" w:hAnsi="宋体" w:eastAsia="宋体" w:cs="宋体"/>
          <w:color w:val="auto"/>
          <w:kern w:val="0"/>
          <w:szCs w:val="21"/>
          <w:highlight w:val="none"/>
          <w:lang w:val="zh-CN"/>
        </w:rPr>
        <w:t>标准化体系认证；</w:t>
      </w:r>
    </w:p>
    <w:p w14:paraId="4795C6E9">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）合同条款响应程度（合同条款偏离表）；</w:t>
      </w:r>
    </w:p>
    <w:p w14:paraId="20F87E99">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）业绩表；</w:t>
      </w:r>
    </w:p>
    <w:p w14:paraId="4A3BD66D">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val="zh-CN"/>
        </w:rPr>
        <w:t>）投标保证金汇入情况说明；</w:t>
      </w:r>
    </w:p>
    <w:p w14:paraId="66B67758">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投标人服务便利性</w:t>
      </w:r>
      <w:r>
        <w:rPr>
          <w:rFonts w:hint="eastAsia" w:ascii="宋体" w:hAnsi="宋体" w:eastAsia="宋体" w:cs="宋体"/>
          <w:color w:val="auto"/>
          <w:szCs w:val="21"/>
          <w:highlight w:val="none"/>
          <w:lang w:val="zh-CN"/>
        </w:rPr>
        <w:t>；</w:t>
      </w:r>
    </w:p>
    <w:p w14:paraId="5E622DD6">
      <w:pPr>
        <w:tabs>
          <w:tab w:val="left" w:pos="567"/>
        </w:tabs>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p>
    <w:p w14:paraId="6AC56C4D">
      <w:pPr>
        <w:autoSpaceDE w:val="0"/>
        <w:autoSpaceDN w:val="0"/>
        <w:adjustRightInd w:val="0"/>
        <w:spacing w:line="360" w:lineRule="auto"/>
        <w:ind w:left="422" w:leftChars="-100" w:hanging="632" w:hangingChars="300"/>
        <w:outlineLvl w:val="9"/>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14:paraId="30B3F262">
      <w:pPr>
        <w:autoSpaceDE w:val="0"/>
        <w:autoSpaceDN w:val="0"/>
        <w:adjustRightInd w:val="0"/>
        <w:spacing w:line="360" w:lineRule="auto"/>
        <w:ind w:right="-23" w:rightChars="-11"/>
        <w:jc w:val="left"/>
        <w:outlineLvl w:val="9"/>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 xml:space="preserve">    目录：</w:t>
      </w:r>
    </w:p>
    <w:p w14:paraId="47145712">
      <w:pPr>
        <w:spacing w:line="360" w:lineRule="auto"/>
        <w:ind w:left="105" w:leftChars="-100" w:hanging="315" w:hangingChars="15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（1）用户需求响应程度（即用户需求偏离表格式）；</w:t>
      </w:r>
    </w:p>
    <w:p w14:paraId="467678DC">
      <w:pPr>
        <w:spacing w:line="360" w:lineRule="auto"/>
        <w:ind w:left="315" w:leftChars="-100" w:hanging="525" w:hangingChars="25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食堂总体运营服务方案</w:t>
      </w:r>
      <w:r>
        <w:rPr>
          <w:rFonts w:hint="eastAsia" w:ascii="宋体" w:hAnsi="宋体" w:eastAsia="宋体" w:cs="宋体"/>
          <w:color w:val="auto"/>
          <w:kern w:val="0"/>
          <w:szCs w:val="21"/>
          <w:highlight w:val="none"/>
          <w:lang w:val="zh-CN"/>
        </w:rPr>
        <w:t>；</w:t>
      </w:r>
    </w:p>
    <w:p w14:paraId="122CC2E4">
      <w:pPr>
        <w:spacing w:line="360" w:lineRule="auto"/>
        <w:ind w:left="315" w:leftChars="-100" w:hanging="525" w:hangingChars="250"/>
        <w:outlineLvl w:val="9"/>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供餐服务方案</w:t>
      </w:r>
      <w:r>
        <w:rPr>
          <w:rFonts w:hint="eastAsia" w:ascii="宋体" w:hAnsi="宋体" w:eastAsia="宋体" w:cs="宋体"/>
          <w:color w:val="auto"/>
          <w:kern w:val="0"/>
          <w:szCs w:val="21"/>
          <w:highlight w:val="none"/>
          <w:lang w:eastAsia="zh-CN"/>
        </w:rPr>
        <w:t>；</w:t>
      </w:r>
    </w:p>
    <w:p w14:paraId="2BBB1DF8">
      <w:pPr>
        <w:spacing w:line="360" w:lineRule="auto"/>
        <w:ind w:left="315" w:leftChars="-100" w:hanging="525" w:hangingChars="250"/>
        <w:outlineLvl w:val="9"/>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食材配送方案</w:t>
      </w:r>
      <w:r>
        <w:rPr>
          <w:rFonts w:hint="eastAsia" w:ascii="宋体" w:hAnsi="宋体" w:eastAsia="宋体" w:cs="宋体"/>
          <w:color w:val="auto"/>
          <w:kern w:val="0"/>
          <w:szCs w:val="21"/>
          <w:highlight w:val="none"/>
          <w:lang w:eastAsia="zh-CN"/>
        </w:rPr>
        <w:t>；</w:t>
      </w:r>
    </w:p>
    <w:p w14:paraId="6513BAFF">
      <w:pPr>
        <w:spacing w:line="360" w:lineRule="auto"/>
        <w:ind w:left="315" w:leftChars="-100" w:hanging="525" w:hangingChars="250"/>
        <w:outlineLvl w:val="9"/>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食品安全卫生与安全生产管理措施</w:t>
      </w:r>
      <w:r>
        <w:rPr>
          <w:rFonts w:hint="eastAsia" w:ascii="宋体" w:hAnsi="宋体" w:eastAsia="宋体" w:cs="宋体"/>
          <w:color w:val="auto"/>
          <w:kern w:val="0"/>
          <w:szCs w:val="21"/>
          <w:highlight w:val="none"/>
          <w:lang w:eastAsia="zh-CN"/>
        </w:rPr>
        <w:t>；</w:t>
      </w:r>
    </w:p>
    <w:p w14:paraId="759D92C5">
      <w:pPr>
        <w:spacing w:line="360" w:lineRule="auto"/>
        <w:ind w:left="315" w:leftChars="-100" w:hanging="525" w:hangingChars="250"/>
        <w:outlineLvl w:val="9"/>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拟投入本项目的食堂经营团队</w:t>
      </w:r>
      <w:r>
        <w:rPr>
          <w:rFonts w:hint="eastAsia" w:ascii="宋体" w:hAnsi="宋体" w:eastAsia="宋体" w:cs="宋体"/>
          <w:color w:val="auto"/>
          <w:kern w:val="0"/>
          <w:szCs w:val="21"/>
          <w:highlight w:val="none"/>
          <w:lang w:eastAsia="zh-CN"/>
        </w:rPr>
        <w:t>；</w:t>
      </w:r>
    </w:p>
    <w:p w14:paraId="6138F4FC">
      <w:pPr>
        <w:spacing w:line="360" w:lineRule="auto"/>
        <w:ind w:left="105" w:leftChars="-100" w:hanging="315" w:hangingChars="150"/>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拟投入本项目的食堂智能支付系统及称重设备；</w:t>
      </w:r>
    </w:p>
    <w:p w14:paraId="56FBE4E1">
      <w:pPr>
        <w:spacing w:line="360" w:lineRule="auto"/>
        <w:ind w:left="105" w:leftChars="-100" w:hanging="315" w:hangingChars="150"/>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食堂应急预案和保障措施</w:t>
      </w:r>
    </w:p>
    <w:p w14:paraId="1895401A">
      <w:pPr>
        <w:spacing w:line="360" w:lineRule="auto"/>
        <w:ind w:left="105" w:leftChars="-100" w:hanging="315" w:hangingChars="15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）投标人认为有必要提供的其它材料（不做强制要求）。</w:t>
      </w:r>
    </w:p>
    <w:p w14:paraId="6D37B5DB">
      <w:pPr>
        <w:autoSpaceDE w:val="0"/>
        <w:autoSpaceDN w:val="0"/>
        <w:adjustRightInd w:val="0"/>
        <w:spacing w:line="360" w:lineRule="auto"/>
        <w:ind w:left="422" w:leftChars="-100" w:hanging="632" w:hangingChars="300"/>
        <w:outlineLvl w:val="9"/>
        <w:rPr>
          <w:rFonts w:hint="eastAsia"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9.1.3</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（详细要求见本篇第17.5款）</w:t>
      </w:r>
    </w:p>
    <w:p w14:paraId="56C10208">
      <w:pPr>
        <w:autoSpaceDE w:val="0"/>
        <w:autoSpaceDN w:val="0"/>
        <w:adjustRightInd w:val="0"/>
        <w:spacing w:line="360" w:lineRule="auto"/>
        <w:ind w:left="35" w:leftChars="-118" w:hanging="283" w:hangingChars="13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14:paraId="14DA493F">
      <w:pPr>
        <w:autoSpaceDE w:val="0"/>
        <w:autoSpaceDN w:val="0"/>
        <w:adjustRightInd w:val="0"/>
        <w:spacing w:line="360" w:lineRule="auto"/>
        <w:ind w:left="422" w:leftChars="-100" w:hanging="632" w:hangingChars="300"/>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14:paraId="677E20E5">
      <w:pPr>
        <w:spacing w:line="360" w:lineRule="auto"/>
        <w:ind w:left="105" w:leftChars="-100" w:hanging="315" w:hangingChars="15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lang w:val="zh-CN"/>
        </w:rPr>
        <w:t>表；</w:t>
      </w:r>
    </w:p>
    <w:p w14:paraId="6B8C88E9">
      <w:pPr>
        <w:spacing w:line="360" w:lineRule="auto"/>
        <w:ind w:left="105" w:leftChars="-100" w:hanging="315" w:hangingChars="15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14:paraId="7D9CEC17">
      <w:pPr>
        <w:autoSpaceDE w:val="0"/>
        <w:autoSpaceDN w:val="0"/>
        <w:adjustRightInd w:val="0"/>
        <w:spacing w:line="360" w:lineRule="auto"/>
        <w:ind w:left="210" w:leftChars="-100" w:hanging="420" w:hangingChars="2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42C10E26">
      <w:pPr>
        <w:tabs>
          <w:tab w:val="left" w:pos="567"/>
        </w:tabs>
        <w:autoSpaceDE w:val="0"/>
        <w:autoSpaceDN w:val="0"/>
        <w:adjustRightInd w:val="0"/>
        <w:spacing w:line="360" w:lineRule="auto"/>
        <w:ind w:left="210" w:leftChars="-100" w:hanging="420" w:hangingChars="2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发票、照片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4A1B981E">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p>
    <w:p w14:paraId="5969800C">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78" w:name="_Toc450662860"/>
      <w:bookmarkStart w:id="179" w:name="_Toc142508324"/>
      <w:bookmarkStart w:id="180" w:name="_Toc31771"/>
      <w:bookmarkStart w:id="181" w:name="_Toc31151"/>
      <w:bookmarkStart w:id="182" w:name="_Toc27421"/>
      <w:bookmarkStart w:id="183" w:name="_Toc10212"/>
      <w:bookmarkStart w:id="184" w:name="_Toc13214"/>
      <w:bookmarkStart w:id="185" w:name="_Toc31652"/>
      <w:bookmarkStart w:id="186" w:name="_Toc12824"/>
      <w:bookmarkStart w:id="187" w:name="_Toc8675_WPSOffice_Level3"/>
      <w:bookmarkStart w:id="188" w:name="_Toc486167674"/>
      <w:bookmarkStart w:id="189" w:name="_Toc11170"/>
      <w:r>
        <w:rPr>
          <w:rFonts w:hint="eastAsia" w:ascii="宋体" w:hAnsi="宋体" w:eastAsia="宋体" w:cs="宋体"/>
          <w:color w:val="auto"/>
          <w:szCs w:val="21"/>
          <w:highlight w:val="none"/>
          <w:lang w:val="zh-CN"/>
        </w:rPr>
        <w:t>10 投标函</w:t>
      </w:r>
      <w:bookmarkEnd w:id="178"/>
      <w:bookmarkEnd w:id="179"/>
      <w:bookmarkEnd w:id="180"/>
      <w:bookmarkEnd w:id="181"/>
      <w:bookmarkEnd w:id="182"/>
      <w:bookmarkEnd w:id="183"/>
      <w:bookmarkEnd w:id="184"/>
      <w:bookmarkEnd w:id="185"/>
      <w:bookmarkEnd w:id="186"/>
      <w:bookmarkEnd w:id="187"/>
      <w:bookmarkEnd w:id="188"/>
      <w:bookmarkEnd w:id="189"/>
    </w:p>
    <w:p w14:paraId="12D3D360">
      <w:pPr>
        <w:autoSpaceDE w:val="0"/>
        <w:autoSpaceDN w:val="0"/>
        <w:adjustRightInd w:val="0"/>
        <w:spacing w:line="360" w:lineRule="auto"/>
        <w:ind w:left="265" w:leftChars="119" w:hanging="15"/>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14:paraId="5DF8C1F6">
      <w:pPr>
        <w:autoSpaceDE w:val="0"/>
        <w:autoSpaceDN w:val="0"/>
        <w:adjustRightInd w:val="0"/>
        <w:spacing w:line="360" w:lineRule="auto"/>
        <w:ind w:left="265" w:leftChars="119" w:hanging="15"/>
        <w:outlineLvl w:val="9"/>
        <w:rPr>
          <w:rFonts w:hint="eastAsia" w:ascii="宋体" w:hAnsi="宋体" w:eastAsia="宋体" w:cs="宋体"/>
          <w:color w:val="auto"/>
          <w:szCs w:val="21"/>
          <w:highlight w:val="none"/>
          <w:lang w:val="zh-CN"/>
        </w:rPr>
      </w:pPr>
    </w:p>
    <w:p w14:paraId="7C966CAD">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90" w:name="_Toc142508325"/>
      <w:bookmarkStart w:id="191" w:name="_Toc15427"/>
      <w:bookmarkStart w:id="192" w:name="_Toc450662861"/>
      <w:bookmarkStart w:id="193" w:name="_Toc28282"/>
      <w:bookmarkStart w:id="194" w:name="_Toc2088"/>
      <w:bookmarkStart w:id="195" w:name="_Toc20186"/>
      <w:bookmarkStart w:id="196" w:name="_Toc24311"/>
      <w:bookmarkStart w:id="197" w:name="_Toc948"/>
      <w:bookmarkStart w:id="198" w:name="_Toc15514"/>
      <w:bookmarkStart w:id="199" w:name="_Toc486167675"/>
      <w:bookmarkStart w:id="200" w:name="_Toc4385_WPSOffice_Level3"/>
      <w:bookmarkStart w:id="201" w:name="_Toc8704"/>
      <w:r>
        <w:rPr>
          <w:rFonts w:hint="eastAsia" w:ascii="宋体" w:hAnsi="宋体" w:eastAsia="宋体" w:cs="宋体"/>
          <w:color w:val="auto"/>
          <w:szCs w:val="21"/>
          <w:highlight w:val="none"/>
          <w:lang w:val="zh-CN"/>
        </w:rPr>
        <w:t>11 投标报价</w:t>
      </w:r>
      <w:bookmarkEnd w:id="190"/>
      <w:bookmarkEnd w:id="191"/>
      <w:bookmarkEnd w:id="192"/>
      <w:bookmarkEnd w:id="193"/>
      <w:bookmarkEnd w:id="194"/>
      <w:bookmarkEnd w:id="195"/>
      <w:bookmarkEnd w:id="196"/>
      <w:bookmarkEnd w:id="197"/>
      <w:bookmarkEnd w:id="198"/>
      <w:bookmarkEnd w:id="199"/>
      <w:bookmarkEnd w:id="200"/>
      <w:bookmarkEnd w:id="201"/>
    </w:p>
    <w:p w14:paraId="14364F3D">
      <w:pPr>
        <w:tabs>
          <w:tab w:val="left" w:pos="567"/>
        </w:tabs>
        <w:autoSpaceDE/>
        <w:autoSpaceDN/>
        <w:adjustRightInd w:val="0"/>
        <w:spacing w:line="360" w:lineRule="auto"/>
        <w:ind w:left="317" w:leftChars="-100" w:hanging="527" w:hangingChars="250"/>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 xml:space="preserve">11.1 </w:t>
      </w:r>
      <w:r>
        <w:rPr>
          <w:rFonts w:hint="eastAsia" w:ascii="宋体" w:hAnsi="宋体" w:eastAsia="宋体" w:cs="宋体"/>
          <w:b/>
          <w:color w:val="auto"/>
          <w:szCs w:val="21"/>
          <w:highlight w:val="none"/>
          <w:u w:val="single"/>
          <w:lang w:val="zh-CN"/>
        </w:rPr>
        <w:t>本项目</w:t>
      </w:r>
      <w:r>
        <w:rPr>
          <w:rFonts w:hint="eastAsia" w:ascii="宋体" w:hAnsi="宋体" w:eastAsia="宋体" w:cs="宋体"/>
          <w:b/>
          <w:color w:val="auto"/>
          <w:szCs w:val="21"/>
          <w:highlight w:val="none"/>
          <w:u w:val="single"/>
          <w:lang w:val="en-US" w:eastAsia="zh-CN"/>
        </w:rPr>
        <w:t>不需要进行投标报价</w:t>
      </w:r>
      <w:r>
        <w:rPr>
          <w:rFonts w:hint="eastAsia" w:ascii="宋体" w:hAnsi="宋体" w:eastAsia="宋体" w:cs="宋体"/>
          <w:b/>
          <w:color w:val="auto"/>
          <w:szCs w:val="21"/>
          <w:highlight w:val="none"/>
          <w:u w:val="none"/>
          <w:lang w:val="zh-CN"/>
        </w:rPr>
        <w:t>。</w:t>
      </w:r>
    </w:p>
    <w:p w14:paraId="7F1C254F">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rPr>
      </w:pPr>
    </w:p>
    <w:p w14:paraId="74B93A42">
      <w:pPr>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zh-CN"/>
        </w:rPr>
      </w:pPr>
      <w:bookmarkStart w:id="202" w:name="_Toc32064"/>
      <w:bookmarkStart w:id="203" w:name="_Toc486167676"/>
      <w:bookmarkStart w:id="204" w:name="_Toc142508326"/>
      <w:bookmarkStart w:id="205" w:name="_Toc30042_WPSOffice_Level3"/>
      <w:bookmarkStart w:id="206" w:name="_Toc15706"/>
      <w:bookmarkStart w:id="207" w:name="_Toc8937"/>
      <w:bookmarkStart w:id="208" w:name="_Toc20312"/>
      <w:bookmarkStart w:id="209" w:name="_Toc1376"/>
      <w:bookmarkStart w:id="210" w:name="_Toc450662862"/>
      <w:bookmarkStart w:id="211" w:name="_Toc3469"/>
      <w:bookmarkStart w:id="212" w:name="_Toc7530"/>
      <w:bookmarkStart w:id="213" w:name="_Toc18009"/>
      <w:r>
        <w:rPr>
          <w:rFonts w:hint="eastAsia" w:ascii="宋体" w:hAnsi="宋体" w:eastAsia="宋体" w:cs="宋体"/>
          <w:b/>
          <w:color w:val="auto"/>
          <w:szCs w:val="21"/>
          <w:highlight w:val="none"/>
          <w:lang w:val="zh-CN"/>
        </w:rPr>
        <w:t>12 投标报价货币</w:t>
      </w:r>
      <w:bookmarkEnd w:id="202"/>
      <w:bookmarkEnd w:id="203"/>
      <w:bookmarkEnd w:id="204"/>
      <w:bookmarkEnd w:id="205"/>
      <w:bookmarkEnd w:id="206"/>
      <w:bookmarkEnd w:id="207"/>
      <w:bookmarkEnd w:id="208"/>
      <w:bookmarkEnd w:id="209"/>
      <w:bookmarkEnd w:id="210"/>
      <w:bookmarkEnd w:id="211"/>
      <w:bookmarkEnd w:id="212"/>
      <w:bookmarkEnd w:id="213"/>
    </w:p>
    <w:p w14:paraId="58E2800B">
      <w:pPr>
        <w:autoSpaceDE w:val="0"/>
        <w:autoSpaceDN w:val="0"/>
        <w:adjustRightInd w:val="0"/>
        <w:spacing w:line="360" w:lineRule="auto"/>
        <w:ind w:left="265" w:leftChars="119" w:hanging="15"/>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u w:val="single"/>
          <w:lang w:val="en-US" w:eastAsia="zh-CN"/>
        </w:rPr>
        <w:t>本项目投标人需按要求提供投标报价响应表，</w:t>
      </w:r>
      <w:r>
        <w:rPr>
          <w:rFonts w:hint="eastAsia" w:ascii="宋体" w:hAnsi="宋体" w:eastAsia="宋体" w:cs="宋体"/>
          <w:b/>
          <w:color w:val="auto"/>
          <w:szCs w:val="21"/>
          <w:highlight w:val="none"/>
          <w:u w:val="single"/>
          <w:lang w:val="zh-CN"/>
        </w:rPr>
        <w:t>投标报价</w:t>
      </w:r>
      <w:r>
        <w:rPr>
          <w:rFonts w:hint="eastAsia" w:ascii="宋体" w:hAnsi="宋体" w:eastAsia="宋体" w:cs="宋体"/>
          <w:b/>
          <w:color w:val="auto"/>
          <w:szCs w:val="21"/>
          <w:highlight w:val="none"/>
          <w:u w:val="single"/>
          <w:lang w:val="en-US" w:eastAsia="zh-CN"/>
        </w:rPr>
        <w:t>响应</w:t>
      </w:r>
      <w:r>
        <w:rPr>
          <w:rFonts w:hint="eastAsia" w:ascii="宋体" w:hAnsi="宋体" w:eastAsia="宋体" w:cs="宋体"/>
          <w:b/>
          <w:color w:val="auto"/>
          <w:szCs w:val="21"/>
          <w:highlight w:val="none"/>
          <w:u w:val="single"/>
          <w:lang w:val="zh-CN"/>
        </w:rPr>
        <w:t>表上的</w:t>
      </w:r>
      <w:r>
        <w:rPr>
          <w:rFonts w:hint="eastAsia" w:ascii="宋体" w:hAnsi="宋体" w:eastAsia="宋体" w:cs="宋体"/>
          <w:b/>
          <w:color w:val="auto"/>
          <w:szCs w:val="21"/>
          <w:highlight w:val="none"/>
          <w:u w:val="single"/>
          <w:lang w:val="en-US" w:eastAsia="zh-CN"/>
        </w:rPr>
        <w:t>货币</w:t>
      </w:r>
      <w:r>
        <w:rPr>
          <w:rFonts w:hint="eastAsia" w:ascii="宋体" w:hAnsi="宋体" w:eastAsia="宋体" w:cs="宋体"/>
          <w:b/>
          <w:color w:val="auto"/>
          <w:szCs w:val="21"/>
          <w:highlight w:val="none"/>
          <w:u w:val="single"/>
          <w:lang w:val="zh-CN"/>
        </w:rPr>
        <w:t>须</w:t>
      </w:r>
      <w:r>
        <w:rPr>
          <w:rFonts w:hint="eastAsia" w:ascii="宋体" w:hAnsi="宋体" w:eastAsia="宋体" w:cs="宋体"/>
          <w:b/>
          <w:color w:val="auto"/>
          <w:szCs w:val="21"/>
          <w:highlight w:val="none"/>
          <w:u w:val="single"/>
          <w:lang w:val="en-US" w:eastAsia="zh-CN"/>
        </w:rPr>
        <w:t>为</w:t>
      </w:r>
      <w:r>
        <w:rPr>
          <w:rFonts w:hint="eastAsia" w:ascii="宋体" w:hAnsi="宋体" w:eastAsia="宋体" w:cs="宋体"/>
          <w:b/>
          <w:color w:val="auto"/>
          <w:szCs w:val="21"/>
          <w:highlight w:val="none"/>
          <w:u w:val="single"/>
          <w:lang w:val="zh-CN"/>
        </w:rPr>
        <w:t>人民币</w:t>
      </w:r>
      <w:r>
        <w:rPr>
          <w:rFonts w:hint="eastAsia" w:ascii="宋体" w:hAnsi="宋体" w:eastAsia="宋体" w:cs="宋体"/>
          <w:b/>
          <w:color w:val="auto"/>
          <w:szCs w:val="21"/>
          <w:highlight w:val="none"/>
          <w:lang w:val="zh-CN"/>
        </w:rPr>
        <w:t>。</w:t>
      </w:r>
    </w:p>
    <w:p w14:paraId="461966AD">
      <w:pPr>
        <w:autoSpaceDE w:val="0"/>
        <w:autoSpaceDN w:val="0"/>
        <w:adjustRightInd w:val="0"/>
        <w:spacing w:line="360" w:lineRule="auto"/>
        <w:ind w:left="265" w:leftChars="119" w:hanging="15"/>
        <w:outlineLvl w:val="9"/>
        <w:rPr>
          <w:rFonts w:hint="eastAsia" w:ascii="宋体" w:hAnsi="宋体" w:eastAsia="宋体" w:cs="宋体"/>
          <w:color w:val="auto"/>
          <w:szCs w:val="21"/>
          <w:highlight w:val="none"/>
        </w:rPr>
      </w:pPr>
    </w:p>
    <w:p w14:paraId="0D2E7E48">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14" w:name="_Toc1091"/>
      <w:bookmarkStart w:id="215" w:name="_Toc3961"/>
      <w:bookmarkStart w:id="216" w:name="_Toc486167677"/>
      <w:bookmarkStart w:id="217" w:name="_Toc5525"/>
      <w:bookmarkStart w:id="218" w:name="_Toc17487"/>
      <w:bookmarkStart w:id="219" w:name="_Toc5824"/>
      <w:bookmarkStart w:id="220" w:name="_Toc12523"/>
      <w:bookmarkStart w:id="221" w:name="_Toc142508327"/>
      <w:bookmarkStart w:id="222" w:name="_Toc450662863"/>
      <w:bookmarkStart w:id="223" w:name="_Toc4519"/>
      <w:bookmarkStart w:id="224" w:name="_Toc20031"/>
      <w:bookmarkStart w:id="225" w:name="_Toc9411_WPSOffice_Level3"/>
      <w:r>
        <w:rPr>
          <w:rFonts w:hint="eastAsia" w:ascii="宋体" w:hAnsi="宋体" w:eastAsia="宋体" w:cs="宋体"/>
          <w:color w:val="auto"/>
          <w:szCs w:val="21"/>
          <w:highlight w:val="none"/>
          <w:lang w:val="zh-CN"/>
        </w:rPr>
        <w:t>13 证明投标人的合格性和资格的声明文件</w:t>
      </w:r>
      <w:bookmarkEnd w:id="214"/>
      <w:bookmarkEnd w:id="215"/>
      <w:bookmarkEnd w:id="216"/>
      <w:bookmarkEnd w:id="217"/>
      <w:bookmarkEnd w:id="218"/>
      <w:bookmarkEnd w:id="219"/>
      <w:bookmarkEnd w:id="220"/>
      <w:bookmarkEnd w:id="221"/>
      <w:bookmarkEnd w:id="222"/>
      <w:bookmarkEnd w:id="223"/>
      <w:bookmarkEnd w:id="224"/>
      <w:bookmarkEnd w:id="225"/>
    </w:p>
    <w:p w14:paraId="4E44FDF3">
      <w:pPr>
        <w:tabs>
          <w:tab w:val="left" w:pos="567"/>
        </w:tabs>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57B51980">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投标人提供的履行合同的资格声明文件应符合：</w:t>
      </w:r>
    </w:p>
    <w:p w14:paraId="50CD6AF5">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3FEFE832">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1A3DDF62">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（3）投标人证明其相应资格符合或优于招标文件要求的其它文件。</w:t>
      </w:r>
    </w:p>
    <w:p w14:paraId="6AD0DCB4">
      <w:pPr>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 投标人根据招标文件载明的相关服务要求的实际情况，拟在中标后将中标项目的非主体、非关键性专业工作交由他人完成的，应当在投标文件中载明，并提供他人的资质、能力证明材料。</w:t>
      </w:r>
    </w:p>
    <w:p w14:paraId="5F6E01FA">
      <w:pPr>
        <w:autoSpaceDE w:val="0"/>
        <w:autoSpaceDN w:val="0"/>
        <w:adjustRightInd w:val="0"/>
        <w:spacing w:line="360" w:lineRule="auto"/>
        <w:ind w:left="560" w:leftChars="128" w:hanging="291" w:hangingChars="139"/>
        <w:outlineLvl w:val="9"/>
        <w:rPr>
          <w:rFonts w:hint="eastAsia" w:ascii="宋体" w:hAnsi="宋体" w:eastAsia="宋体" w:cs="宋体"/>
          <w:color w:val="auto"/>
          <w:szCs w:val="21"/>
          <w:highlight w:val="none"/>
        </w:rPr>
      </w:pPr>
    </w:p>
    <w:p w14:paraId="1903807B">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26" w:name="_Toc29754"/>
      <w:bookmarkStart w:id="227" w:name="_Toc142508328"/>
      <w:bookmarkStart w:id="228" w:name="_Toc8615"/>
      <w:bookmarkStart w:id="229" w:name="_Toc486167678"/>
      <w:bookmarkStart w:id="230" w:name="_Toc15593"/>
      <w:bookmarkStart w:id="231" w:name="_Toc16467"/>
      <w:bookmarkStart w:id="232" w:name="_Toc1948"/>
      <w:bookmarkStart w:id="233" w:name="_Toc10997"/>
      <w:bookmarkStart w:id="234" w:name="_Toc27771_WPSOffice_Level3"/>
      <w:bookmarkStart w:id="235" w:name="_Toc7128"/>
      <w:bookmarkStart w:id="236" w:name="_Toc16657"/>
      <w:bookmarkStart w:id="237" w:name="_Toc450662864"/>
      <w:r>
        <w:rPr>
          <w:rFonts w:hint="eastAsia" w:ascii="宋体" w:hAnsi="宋体" w:eastAsia="宋体" w:cs="宋体"/>
          <w:color w:val="auto"/>
          <w:szCs w:val="21"/>
          <w:highlight w:val="none"/>
          <w:lang w:val="zh-CN"/>
        </w:rPr>
        <w:t>14 证明服务的合格性并符合招标文件规定的声明文件</w:t>
      </w:r>
      <w:bookmarkEnd w:id="226"/>
      <w:bookmarkEnd w:id="227"/>
      <w:bookmarkEnd w:id="228"/>
      <w:bookmarkEnd w:id="229"/>
      <w:bookmarkEnd w:id="230"/>
      <w:bookmarkEnd w:id="231"/>
      <w:bookmarkEnd w:id="232"/>
      <w:bookmarkEnd w:id="233"/>
      <w:bookmarkEnd w:id="234"/>
      <w:bookmarkEnd w:id="235"/>
      <w:bookmarkEnd w:id="236"/>
      <w:bookmarkEnd w:id="237"/>
    </w:p>
    <w:p w14:paraId="25EB3874">
      <w:pPr>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的合格性并符合招标文件规定的声明文件，作为投标文件的一部分。</w:t>
      </w:r>
    </w:p>
    <w:p w14:paraId="268536EB">
      <w:pPr>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证明</w:t>
      </w:r>
      <w:r>
        <w:rPr>
          <w:rFonts w:hint="eastAsia" w:ascii="宋体" w:hAnsi="宋体" w:eastAsia="宋体" w:cs="宋体"/>
          <w:color w:val="auto"/>
          <w:kern w:val="0"/>
          <w:szCs w:val="21"/>
          <w:highlight w:val="none"/>
          <w:lang w:eastAsia="zh-CN"/>
        </w:rPr>
        <w:t>相关</w:t>
      </w:r>
      <w:r>
        <w:rPr>
          <w:rFonts w:hint="eastAsia" w:ascii="宋体" w:hAnsi="宋体" w:eastAsia="宋体" w:cs="宋体"/>
          <w:color w:val="auto"/>
          <w:kern w:val="0"/>
          <w:szCs w:val="21"/>
          <w:highlight w:val="none"/>
        </w:rPr>
        <w:t>服务</w:t>
      </w:r>
      <w:r>
        <w:rPr>
          <w:rFonts w:hint="eastAsia" w:ascii="宋体" w:hAnsi="宋体" w:eastAsia="宋体" w:cs="宋体"/>
          <w:color w:val="auto"/>
          <w:szCs w:val="21"/>
          <w:highlight w:val="none"/>
          <w:lang w:val="zh-CN"/>
        </w:rPr>
        <w:t>与招标文件的要求相一致的文件可以是文字资料、图纸和数据资料。</w:t>
      </w:r>
    </w:p>
    <w:p w14:paraId="189E0437">
      <w:pPr>
        <w:autoSpaceDE w:val="0"/>
        <w:autoSpaceDN w:val="0"/>
        <w:adjustRightInd w:val="0"/>
        <w:spacing w:line="360" w:lineRule="auto"/>
        <w:ind w:left="317" w:leftChars="-100" w:hanging="527" w:hangingChars="251"/>
        <w:outlineLvl w:val="9"/>
        <w:rPr>
          <w:rFonts w:hint="eastAsia"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u w:val="single"/>
          <w:lang w:val="zh-CN"/>
        </w:rPr>
        <w:t>为说明第14.2款的规定，投标人应注意本招标文件在《用户需求书》中对服务要求</w:t>
      </w:r>
      <w:r>
        <w:rPr>
          <w:rFonts w:hint="eastAsia" w:ascii="宋体" w:hAnsi="宋体" w:eastAsia="宋体" w:cs="宋体"/>
          <w:b/>
          <w:color w:val="auto"/>
          <w:szCs w:val="21"/>
          <w:highlight w:val="none"/>
          <w:u w:val="single"/>
          <w:lang w:val="en-US" w:eastAsia="zh-CN"/>
        </w:rPr>
        <w:t>的</w:t>
      </w:r>
      <w:r>
        <w:rPr>
          <w:rFonts w:hint="eastAsia" w:ascii="宋体" w:hAnsi="宋体" w:eastAsia="宋体" w:cs="宋体"/>
          <w:b/>
          <w:color w:val="auto"/>
          <w:szCs w:val="21"/>
          <w:highlight w:val="none"/>
          <w:u w:val="single"/>
          <w:lang w:val="zh-CN"/>
        </w:rPr>
        <w:t>说明只是概括性的，不能理解为所需要的全部服务的要求，投标人应按国家、行业相关技术标准、规范和以往的服务经验，合格优质的完成采购内容和包含的全部服务。但凡标有“★”的地方均被视为重要的技术指标要求或性能要求。投标人要特别加以注意，必须对此回答并完全满足这些要求，否则若有一项带“★”的指标未响应或不满足，将按无效投标处理。</w:t>
      </w:r>
    </w:p>
    <w:p w14:paraId="7E6CB6F7">
      <w:pPr>
        <w:autoSpaceDE w:val="0"/>
        <w:autoSpaceDN w:val="0"/>
        <w:adjustRightInd w:val="0"/>
        <w:spacing w:line="360" w:lineRule="auto"/>
        <w:outlineLvl w:val="9"/>
        <w:rPr>
          <w:rFonts w:hint="eastAsia" w:ascii="宋体" w:hAnsi="宋体" w:eastAsia="宋体" w:cs="宋体"/>
          <w:color w:val="auto"/>
          <w:kern w:val="0"/>
          <w:sz w:val="24"/>
          <w:szCs w:val="24"/>
          <w:highlight w:val="none"/>
        </w:rPr>
      </w:pPr>
    </w:p>
    <w:p w14:paraId="29F72640">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38" w:name="_Toc8644"/>
      <w:bookmarkStart w:id="239" w:name="_Toc486167679"/>
      <w:bookmarkStart w:id="240" w:name="_Toc3735"/>
      <w:bookmarkStart w:id="241" w:name="_Toc16828"/>
      <w:bookmarkStart w:id="242" w:name="_Toc142508329"/>
      <w:bookmarkStart w:id="243" w:name="_Toc6035"/>
      <w:bookmarkStart w:id="244" w:name="_Toc5356_WPSOffice_Level3"/>
      <w:bookmarkStart w:id="245" w:name="_Toc20006"/>
      <w:bookmarkStart w:id="246" w:name="_Toc17887"/>
      <w:bookmarkStart w:id="247" w:name="_Toc30555"/>
      <w:bookmarkStart w:id="248" w:name="_Toc27209"/>
      <w:r>
        <w:rPr>
          <w:rFonts w:hint="eastAsia" w:ascii="宋体" w:hAnsi="宋体" w:eastAsia="宋体" w:cs="宋体"/>
          <w:color w:val="auto"/>
          <w:szCs w:val="21"/>
          <w:highlight w:val="none"/>
          <w:lang w:val="zh-CN"/>
        </w:rPr>
        <w:t>15 投标保证金</w:t>
      </w:r>
      <w:bookmarkEnd w:id="238"/>
      <w:bookmarkEnd w:id="239"/>
      <w:bookmarkEnd w:id="240"/>
      <w:bookmarkEnd w:id="241"/>
      <w:bookmarkEnd w:id="242"/>
      <w:bookmarkEnd w:id="243"/>
      <w:bookmarkEnd w:id="244"/>
      <w:bookmarkEnd w:id="245"/>
      <w:bookmarkEnd w:id="246"/>
      <w:bookmarkEnd w:id="247"/>
      <w:bookmarkEnd w:id="248"/>
    </w:p>
    <w:p w14:paraId="74565855">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hint="eastAsia"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kern w:val="0"/>
          <w:szCs w:val="21"/>
          <w:highlight w:val="none"/>
          <w:u w:val="single"/>
          <w:lang w:val="en-US" w:eastAsia="zh-CN"/>
        </w:rPr>
        <w:t>240,000.00</w:t>
      </w:r>
      <w:r>
        <w:rPr>
          <w:rFonts w:hint="eastAsia" w:ascii="宋体" w:hAnsi="宋体" w:eastAsia="宋体" w:cs="宋体"/>
          <w:b/>
          <w:color w:val="auto"/>
          <w:kern w:val="0"/>
          <w:szCs w:val="21"/>
          <w:highlight w:val="none"/>
          <w:u w:val="single"/>
        </w:rPr>
        <w:t>元（大写：人民币</w:t>
      </w:r>
      <w:r>
        <w:rPr>
          <w:rFonts w:hint="eastAsia" w:ascii="宋体" w:hAnsi="宋体" w:eastAsia="宋体" w:cs="宋体"/>
          <w:b/>
          <w:color w:val="auto"/>
          <w:kern w:val="0"/>
          <w:szCs w:val="21"/>
          <w:highlight w:val="none"/>
          <w:u w:val="single"/>
          <w:lang w:val="en-US" w:eastAsia="zh-CN"/>
        </w:rPr>
        <w:t>贰拾肆</w:t>
      </w:r>
      <w:r>
        <w:rPr>
          <w:rFonts w:hint="eastAsia" w:ascii="宋体" w:hAnsi="宋体" w:eastAsia="宋体" w:cs="宋体"/>
          <w:b/>
          <w:color w:val="auto"/>
          <w:kern w:val="0"/>
          <w:szCs w:val="21"/>
          <w:highlight w:val="none"/>
          <w:u w:val="single"/>
          <w:lang w:eastAsia="zh-CN"/>
        </w:rPr>
        <w:t>万元整</w:t>
      </w:r>
      <w:r>
        <w:rPr>
          <w:rFonts w:hint="eastAsia" w:ascii="宋体" w:hAnsi="宋体" w:eastAsia="宋体" w:cs="宋体"/>
          <w:b/>
          <w:color w:val="auto"/>
          <w:kern w:val="0"/>
          <w:szCs w:val="21"/>
          <w:highlight w:val="none"/>
          <w:u w:val="single"/>
        </w:rPr>
        <w:t>）</w:t>
      </w:r>
      <w:r>
        <w:rPr>
          <w:rFonts w:hint="eastAsia" w:ascii="宋体" w:hAnsi="宋体" w:eastAsia="宋体" w:cs="宋体"/>
          <w:b/>
          <w:color w:val="auto"/>
          <w:kern w:val="0"/>
          <w:szCs w:val="21"/>
          <w:highlight w:val="none"/>
        </w:rPr>
        <w:t>。</w:t>
      </w:r>
    </w:p>
    <w:p w14:paraId="7F99DA48">
      <w:pPr>
        <w:spacing w:line="360" w:lineRule="auto"/>
        <w:ind w:left="315" w:leftChars="-100" w:hanging="525" w:hangingChars="250"/>
        <w:outlineLvl w:val="9"/>
        <w:rPr>
          <w:rFonts w:hint="eastAsia"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宋体"/>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14:paraId="54EC6926">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14:paraId="70B54D10">
      <w:pPr>
        <w:spacing w:line="360" w:lineRule="auto"/>
        <w:ind w:firstLine="777" w:firstLineChars="37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必须通过本单位基本账户采用银行转账、电汇方式提交，且在递交投标文件截止时间前到达以下账户上。</w:t>
      </w:r>
    </w:p>
    <w:p w14:paraId="26B9AD7B">
      <w:pPr>
        <w:spacing w:line="360" w:lineRule="auto"/>
        <w:ind w:left="210" w:leftChars="100" w:firstLine="210" w:firstLineChars="10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开户名称：东莞市</w:t>
      </w:r>
      <w:r>
        <w:rPr>
          <w:rFonts w:hint="eastAsia" w:ascii="宋体" w:hAnsi="宋体" w:eastAsia="宋体" w:cs="宋体"/>
          <w:color w:val="auto"/>
          <w:kern w:val="0"/>
          <w:szCs w:val="21"/>
          <w:highlight w:val="none"/>
          <w:lang w:val="en-US" w:eastAsia="zh-CN"/>
        </w:rPr>
        <w:t>置拓投资</w:t>
      </w:r>
      <w:r>
        <w:rPr>
          <w:rFonts w:hint="eastAsia" w:ascii="宋体" w:hAnsi="宋体" w:eastAsia="宋体" w:cs="宋体"/>
          <w:color w:val="auto"/>
          <w:kern w:val="0"/>
          <w:szCs w:val="21"/>
          <w:highlight w:val="none"/>
          <w:lang w:val="zh-CN"/>
        </w:rPr>
        <w:t>有限公司</w:t>
      </w:r>
    </w:p>
    <w:p w14:paraId="33111168">
      <w:pPr>
        <w:spacing w:line="360" w:lineRule="auto"/>
        <w:ind w:left="210" w:leftChars="100" w:firstLine="210" w:firstLineChars="100"/>
        <w:outlineLvl w:val="9"/>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zh-CN"/>
        </w:rPr>
        <w:t>银行账号：</w:t>
      </w:r>
      <w:r>
        <w:rPr>
          <w:rFonts w:hint="eastAsia" w:ascii="宋体" w:hAnsi="宋体" w:eastAsia="宋体" w:cs="宋体"/>
          <w:color w:val="auto"/>
          <w:kern w:val="0"/>
          <w:szCs w:val="21"/>
          <w:highlight w:val="none"/>
          <w:lang w:val="en-US" w:eastAsia="zh-CN"/>
        </w:rPr>
        <w:t>2010021319200579580</w:t>
      </w:r>
    </w:p>
    <w:p w14:paraId="787DA7F6">
      <w:pPr>
        <w:spacing w:line="360" w:lineRule="auto"/>
        <w:ind w:left="210" w:leftChars="100" w:firstLine="210" w:firstLineChars="10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开户银行：</w:t>
      </w:r>
      <w:r>
        <w:rPr>
          <w:rFonts w:hint="eastAsia" w:ascii="宋体" w:hAnsi="宋体" w:eastAsia="宋体" w:cs="宋体"/>
          <w:color w:val="auto"/>
          <w:kern w:val="0"/>
          <w:szCs w:val="21"/>
          <w:highlight w:val="none"/>
          <w:lang w:val="en-US" w:eastAsia="zh-CN"/>
        </w:rPr>
        <w:t>中国工商银行</w:t>
      </w:r>
      <w:r>
        <w:rPr>
          <w:rFonts w:hint="eastAsia" w:ascii="宋体" w:hAnsi="宋体" w:eastAsia="宋体" w:cs="宋体"/>
          <w:color w:val="auto"/>
          <w:kern w:val="0"/>
          <w:szCs w:val="21"/>
          <w:highlight w:val="none"/>
          <w:lang w:val="zh-CN"/>
        </w:rPr>
        <w:t>股份有限公司</w:t>
      </w:r>
      <w:r>
        <w:rPr>
          <w:rFonts w:hint="eastAsia" w:ascii="宋体" w:hAnsi="宋体" w:eastAsia="宋体" w:cs="宋体"/>
          <w:color w:val="auto"/>
          <w:kern w:val="0"/>
          <w:szCs w:val="21"/>
          <w:highlight w:val="none"/>
          <w:lang w:val="en-US" w:eastAsia="zh-CN"/>
        </w:rPr>
        <w:t>东莞分</w:t>
      </w:r>
      <w:r>
        <w:rPr>
          <w:rFonts w:hint="eastAsia" w:ascii="宋体" w:hAnsi="宋体" w:eastAsia="宋体" w:cs="宋体"/>
          <w:color w:val="auto"/>
          <w:kern w:val="0"/>
          <w:szCs w:val="21"/>
          <w:highlight w:val="none"/>
          <w:lang w:val="zh-CN"/>
        </w:rPr>
        <w:t>行</w:t>
      </w:r>
    </w:p>
    <w:p w14:paraId="24BFA710">
      <w:pPr>
        <w:spacing w:line="360" w:lineRule="auto"/>
        <w:ind w:left="210" w:leftChars="100" w:firstLine="211" w:firstLineChars="100"/>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14:paraId="0725F6F3">
      <w:pPr>
        <w:autoSpaceDE w:val="0"/>
        <w:autoSpaceDN w:val="0"/>
        <w:adjustRightInd w:val="0"/>
        <w:spacing w:line="360" w:lineRule="auto"/>
        <w:ind w:left="357" w:leftChars="-100" w:hanging="567" w:hangingChars="270"/>
        <w:jc w:val="left"/>
        <w:outlineLvl w:val="9"/>
        <w:rPr>
          <w:rFonts w:hint="eastAsia" w:ascii="宋体" w:hAnsi="宋体" w:eastAsia="宋体" w:cs="宋体"/>
          <w:b/>
          <w:color w:val="auto"/>
          <w:kern w:val="0"/>
          <w:szCs w:val="24"/>
          <w:highlight w:val="none"/>
        </w:rPr>
      </w:pPr>
      <w:r>
        <w:rPr>
          <w:rFonts w:hint="eastAsia" w:ascii="宋体" w:hAnsi="宋体" w:eastAsia="宋体" w:cs="宋体"/>
          <w:bCs/>
          <w:color w:val="auto"/>
          <w:szCs w:val="21"/>
          <w:highlight w:val="none"/>
          <w:lang w:val="zh-CN"/>
        </w:rPr>
        <w:t xml:space="preserve">15.4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14:paraId="075201DA">
      <w:pPr>
        <w:tabs>
          <w:tab w:val="left" w:pos="567"/>
        </w:tabs>
        <w:autoSpaceDE w:val="0"/>
        <w:autoSpaceDN w:val="0"/>
        <w:adjustRightInd w:val="0"/>
        <w:spacing w:line="360" w:lineRule="auto"/>
        <w:ind w:left="315" w:leftChars="150" w:firstLine="0" w:firstLineChars="0"/>
        <w:jc w:val="left"/>
        <w:outlineLvl w:val="9"/>
        <w:rPr>
          <w:rFonts w:hint="eastAsia" w:ascii="宋体" w:hAnsi="宋体" w:eastAsia="宋体" w:cs="宋体"/>
          <w:b/>
          <w:bCs/>
          <w:color w:val="auto"/>
          <w:kern w:val="0"/>
          <w:szCs w:val="21"/>
          <w:highlight w:val="none"/>
          <w:u w:val="single"/>
          <w:lang w:val="zh-CN" w:eastAsia="zh-CN"/>
        </w:rPr>
      </w:pPr>
      <w:r>
        <w:rPr>
          <w:rFonts w:hint="eastAsia" w:ascii="宋体" w:hAnsi="宋体" w:eastAsia="宋体" w:cs="宋体"/>
          <w:b/>
          <w:bCs/>
          <w:color w:val="auto"/>
          <w:kern w:val="0"/>
          <w:szCs w:val="21"/>
          <w:highlight w:val="none"/>
          <w:u w:val="single"/>
          <w:lang w:val="zh-CN" w:eastAsia="zh-CN"/>
        </w:rPr>
        <w:t>为更快捷将投标保证金关联到本项目，投标人应在转账时</w:t>
      </w:r>
      <w:r>
        <w:rPr>
          <w:rFonts w:hint="eastAsia" w:ascii="宋体" w:hAnsi="宋体" w:eastAsia="宋体" w:cs="宋体"/>
          <w:b/>
          <w:bCs/>
          <w:color w:val="auto"/>
          <w:kern w:val="0"/>
          <w:szCs w:val="21"/>
          <w:highlight w:val="none"/>
          <w:u w:val="single"/>
          <w:lang w:val="zh-CN"/>
        </w:rPr>
        <w:t>注明招标编号</w:t>
      </w:r>
      <w:r>
        <w:rPr>
          <w:rFonts w:hint="eastAsia" w:ascii="宋体" w:hAnsi="宋体" w:eastAsia="宋体" w:cs="宋体"/>
          <w:b/>
          <w:bCs/>
          <w:color w:val="auto"/>
          <w:kern w:val="0"/>
          <w:szCs w:val="21"/>
          <w:highlight w:val="none"/>
          <w:u w:val="single"/>
          <w:lang w:val="zh-CN" w:eastAsia="zh-CN"/>
        </w:rPr>
        <w:t>，否则</w:t>
      </w:r>
      <w:r>
        <w:rPr>
          <w:rFonts w:hint="eastAsia" w:ascii="宋体" w:hAnsi="宋体" w:eastAsia="宋体" w:cs="宋体"/>
          <w:b/>
          <w:bCs/>
          <w:color w:val="auto"/>
          <w:kern w:val="0"/>
          <w:szCs w:val="21"/>
          <w:highlight w:val="none"/>
          <w:u w:val="single"/>
          <w:lang w:val="en-US" w:eastAsia="zh-CN"/>
        </w:rPr>
        <w:t>因此</w:t>
      </w:r>
      <w:r>
        <w:rPr>
          <w:rFonts w:hint="eastAsia" w:ascii="宋体" w:hAnsi="宋体" w:eastAsia="宋体" w:cs="宋体"/>
          <w:b/>
          <w:bCs/>
          <w:color w:val="auto"/>
          <w:kern w:val="0"/>
          <w:szCs w:val="21"/>
          <w:highlight w:val="none"/>
          <w:u w:val="single"/>
          <w:lang w:val="zh-CN" w:eastAsia="zh-CN"/>
        </w:rPr>
        <w:t>导致</w:t>
      </w:r>
      <w:r>
        <w:rPr>
          <w:rFonts w:hint="eastAsia" w:ascii="宋体" w:hAnsi="宋体" w:eastAsia="宋体" w:cs="宋体"/>
          <w:b/>
          <w:bCs/>
          <w:color w:val="auto"/>
          <w:kern w:val="0"/>
          <w:szCs w:val="21"/>
          <w:highlight w:val="none"/>
          <w:u w:val="single"/>
          <w:lang w:val="en-US" w:eastAsia="zh-CN"/>
        </w:rPr>
        <w:t>的无法识别投标保证金对应项目等</w:t>
      </w:r>
      <w:r>
        <w:rPr>
          <w:rFonts w:hint="eastAsia" w:ascii="宋体" w:hAnsi="宋体" w:eastAsia="宋体" w:cs="宋体"/>
          <w:b/>
          <w:bCs/>
          <w:color w:val="auto"/>
          <w:kern w:val="0"/>
          <w:szCs w:val="21"/>
          <w:highlight w:val="none"/>
          <w:u w:val="single"/>
          <w:lang w:val="zh-CN" w:eastAsia="zh-CN"/>
        </w:rPr>
        <w:t>不利后果将由投标人承担。</w:t>
      </w:r>
    </w:p>
    <w:p w14:paraId="4F70F351">
      <w:pPr>
        <w:spacing w:line="360" w:lineRule="auto"/>
        <w:ind w:left="315" w:leftChars="-100" w:hanging="525" w:hangingChars="250"/>
        <w:outlineLvl w:val="9"/>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的投标人的投标保证金，最迟应在本项目的书面合同签订后5日内，按照其投标保证金支付凭证上注明的收款人名称和账号予以退还，除非投标保证金有效期已延长。</w:t>
      </w:r>
    </w:p>
    <w:p w14:paraId="3979173A">
      <w:pPr>
        <w:spacing w:line="360" w:lineRule="auto"/>
        <w:ind w:left="357" w:leftChars="-100" w:hanging="567" w:hangingChars="270"/>
        <w:outlineLvl w:val="9"/>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中标人的投标保证金，满足下列要求，并最迟应在本项目的书面合同签订后5日内退还。</w:t>
      </w:r>
    </w:p>
    <w:p w14:paraId="7CCD602D">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14:paraId="286330B7">
      <w:pPr>
        <w:autoSpaceDE w:val="0"/>
        <w:autoSpaceDN w:val="0"/>
        <w:adjustRightInd w:val="0"/>
        <w:spacing w:line="360" w:lineRule="auto"/>
        <w:ind w:left="357" w:leftChars="-100" w:hanging="567"/>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14:paraId="5A46A6BF">
      <w:pPr>
        <w:spacing w:line="360" w:lineRule="auto"/>
        <w:ind w:left="315" w:leftChars="-100" w:hanging="525" w:hangingChars="250"/>
        <w:outlineLvl w:val="9"/>
        <w:rPr>
          <w:rFonts w:hint="eastAsia"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14:paraId="2F09AD1F">
      <w:pPr>
        <w:numPr>
          <w:ilvl w:val="2"/>
          <w:numId w:val="0"/>
        </w:numPr>
        <w:autoSpaceDE w:val="0"/>
        <w:autoSpaceDN w:val="0"/>
        <w:adjustRightInd w:val="0"/>
        <w:spacing w:line="360" w:lineRule="auto"/>
        <w:ind w:left="853" w:leftChars="136" w:hanging="567"/>
        <w:jc w:val="left"/>
        <w:outlineLvl w:val="9"/>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14:paraId="6E5C390A">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14:paraId="282D9E2B">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14:paraId="178899C1">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14:paraId="2FBFE1C8">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（4）将中标项目转让给他人，或者在投标文件中未说明，且未经招标人同意，将中标项目的合同的权利义务转让给第三方的；</w:t>
      </w:r>
    </w:p>
    <w:p w14:paraId="57FA6529">
      <w:pPr>
        <w:autoSpaceDE w:val="0"/>
        <w:autoSpaceDN w:val="0"/>
        <w:adjustRightInd w:val="0"/>
        <w:spacing w:line="360" w:lineRule="auto"/>
        <w:ind w:left="357" w:leftChars="-100" w:hanging="567"/>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（5）提供虚假投标文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14:paraId="0655D4DA">
      <w:pPr>
        <w:tabs>
          <w:tab w:val="left" w:pos="1134"/>
        </w:tabs>
        <w:autoSpaceDE w:val="0"/>
        <w:autoSpaceDN w:val="0"/>
        <w:adjustRightInd w:val="0"/>
        <w:spacing w:line="360" w:lineRule="auto"/>
        <w:ind w:left="840" w:leftChars="150" w:hanging="525" w:hangingChars="250"/>
        <w:jc w:val="left"/>
        <w:outlineLvl w:val="9"/>
        <w:rPr>
          <w:rFonts w:hint="eastAsia" w:ascii="宋体" w:hAnsi="宋体" w:eastAsia="宋体" w:cs="宋体"/>
          <w:color w:val="auto"/>
          <w:kern w:val="0"/>
          <w:szCs w:val="21"/>
          <w:highlight w:val="none"/>
        </w:rPr>
      </w:pPr>
    </w:p>
    <w:p w14:paraId="6322E06F">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49" w:name="_Toc450662865"/>
      <w:bookmarkStart w:id="250" w:name="_Toc142508330"/>
      <w:bookmarkStart w:id="251" w:name="_Toc8722"/>
      <w:bookmarkStart w:id="252" w:name="_Toc29607"/>
      <w:bookmarkStart w:id="253" w:name="_Toc31115"/>
      <w:bookmarkStart w:id="254" w:name="_Toc13953"/>
      <w:bookmarkStart w:id="255" w:name="_Toc22649_WPSOffice_Level3"/>
      <w:bookmarkStart w:id="256" w:name="_Toc1458"/>
      <w:bookmarkStart w:id="257" w:name="_Toc21964"/>
      <w:bookmarkStart w:id="258" w:name="_Toc23267"/>
      <w:bookmarkStart w:id="259" w:name="_Toc15809"/>
      <w:bookmarkStart w:id="260" w:name="_Toc486167680"/>
      <w:r>
        <w:rPr>
          <w:rFonts w:hint="eastAsia" w:ascii="宋体" w:hAnsi="宋体" w:eastAsia="宋体" w:cs="宋体"/>
          <w:color w:val="auto"/>
          <w:szCs w:val="21"/>
          <w:highlight w:val="none"/>
          <w:lang w:val="zh-CN"/>
        </w:rPr>
        <w:t>16 投标有效期</w:t>
      </w:r>
      <w:bookmarkEnd w:id="249"/>
      <w:bookmarkEnd w:id="250"/>
      <w:bookmarkEnd w:id="251"/>
      <w:bookmarkEnd w:id="252"/>
      <w:bookmarkEnd w:id="253"/>
      <w:bookmarkEnd w:id="254"/>
      <w:bookmarkEnd w:id="255"/>
      <w:bookmarkEnd w:id="256"/>
      <w:bookmarkEnd w:id="257"/>
      <w:bookmarkEnd w:id="258"/>
      <w:bookmarkEnd w:id="259"/>
      <w:bookmarkEnd w:id="260"/>
    </w:p>
    <w:p w14:paraId="3F2C5B89">
      <w:pPr>
        <w:tabs>
          <w:tab w:val="left" w:pos="567"/>
        </w:tabs>
        <w:autoSpaceDE w:val="0"/>
        <w:autoSpaceDN w:val="0"/>
        <w:adjustRightInd w:val="0"/>
        <w:spacing w:line="360" w:lineRule="auto"/>
        <w:ind w:left="357" w:leftChars="-100" w:hanging="567"/>
        <w:outlineLvl w:val="9"/>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5AE37C5D">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中标人的投标文件作为合同附件，合同失效时同时失效。</w:t>
      </w:r>
    </w:p>
    <w:p w14:paraId="38DA1456">
      <w:pPr>
        <w:autoSpaceDE/>
        <w:autoSpaceDN/>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将退还其投标保证金。对于同意该要求的投标人，既不要求也不允许其修改投标文件，但将要求其相应延长投标保证金的有效期。第15条投标保证金的有关规定在投标保证金延长期内仍适用。</w:t>
      </w:r>
    </w:p>
    <w:p w14:paraId="65F466A7">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p>
    <w:p w14:paraId="33A676ED">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61" w:name="_Toc15544"/>
      <w:bookmarkStart w:id="262" w:name="_Toc486167681"/>
      <w:bookmarkStart w:id="263" w:name="_Toc29724"/>
      <w:bookmarkStart w:id="264" w:name="_Toc932"/>
      <w:bookmarkStart w:id="265" w:name="_Toc18270"/>
      <w:bookmarkStart w:id="266" w:name="_Toc450662866"/>
      <w:bookmarkStart w:id="267" w:name="_Toc22910"/>
      <w:bookmarkStart w:id="268" w:name="_Toc20111"/>
      <w:bookmarkStart w:id="269" w:name="_Toc25637_WPSOffice_Level3"/>
      <w:bookmarkStart w:id="270" w:name="_Toc142508331"/>
      <w:bookmarkStart w:id="271" w:name="_Toc21101"/>
      <w:bookmarkStart w:id="272" w:name="_Toc20422"/>
      <w:r>
        <w:rPr>
          <w:rFonts w:hint="eastAsia" w:ascii="宋体" w:hAnsi="宋体" w:eastAsia="宋体" w:cs="宋体"/>
          <w:color w:val="auto"/>
          <w:szCs w:val="21"/>
          <w:highlight w:val="none"/>
          <w:lang w:val="zh-CN"/>
        </w:rPr>
        <w:t>17 投标文件的式样和签署</w:t>
      </w:r>
      <w:bookmarkEnd w:id="261"/>
      <w:bookmarkEnd w:id="262"/>
      <w:bookmarkEnd w:id="263"/>
      <w:bookmarkEnd w:id="264"/>
      <w:bookmarkEnd w:id="265"/>
      <w:bookmarkEnd w:id="266"/>
      <w:bookmarkEnd w:id="267"/>
      <w:bookmarkEnd w:id="268"/>
      <w:bookmarkEnd w:id="269"/>
      <w:bookmarkEnd w:id="270"/>
      <w:bookmarkEnd w:id="271"/>
      <w:bookmarkEnd w:id="272"/>
    </w:p>
    <w:p w14:paraId="74AA58D5">
      <w:pPr>
        <w:tabs>
          <w:tab w:val="left" w:pos="567"/>
        </w:tabs>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b/>
          <w:color w:val="auto"/>
          <w:szCs w:val="21"/>
          <w:highlight w:val="none"/>
          <w:u w:val="single"/>
          <w:lang w:val="zh-CN"/>
        </w:rPr>
        <w:t>投标人应准备一份“唱标信封”、一份投标文件电子文件、一份正本和</w:t>
      </w:r>
      <w:r>
        <w:rPr>
          <w:rFonts w:hint="eastAsia" w:ascii="宋体" w:hAnsi="宋体" w:eastAsia="宋体" w:cs="宋体"/>
          <w:b/>
          <w:color w:val="auto"/>
          <w:szCs w:val="21"/>
          <w:highlight w:val="none"/>
          <w:u w:val="single"/>
          <w:lang w:val="en-US" w:eastAsia="zh-CN"/>
        </w:rPr>
        <w:t>七</w:t>
      </w:r>
      <w:r>
        <w:rPr>
          <w:rFonts w:hint="eastAsia" w:ascii="宋体" w:hAnsi="宋体" w:eastAsia="宋体" w:cs="宋体"/>
          <w:b/>
          <w:color w:val="auto"/>
          <w:szCs w:val="21"/>
          <w:highlight w:val="none"/>
          <w:u w:val="single"/>
          <w:lang w:val="zh-CN"/>
        </w:rPr>
        <w:t>份副本“投标文件”</w:t>
      </w:r>
      <w:r>
        <w:rPr>
          <w:rFonts w:hint="eastAsia" w:ascii="宋体" w:hAnsi="宋体" w:eastAsia="宋体" w:cs="宋体"/>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p>
    <w:p w14:paraId="5B3949D6">
      <w:pPr>
        <w:tabs>
          <w:tab w:val="left" w:pos="567"/>
        </w:tabs>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法人授权委托证明书”以书面形式附在投标文件中。</w:t>
      </w:r>
      <w:r>
        <w:rPr>
          <w:rFonts w:hint="eastAsia" w:ascii="宋体" w:hAnsi="宋体" w:eastAsia="宋体" w:cs="宋体"/>
          <w:color w:val="auto"/>
          <w:szCs w:val="21"/>
          <w:highlight w:val="none"/>
          <w:lang w:val="zh-CN"/>
        </w:rPr>
        <w:t>副本文件可由正本文件复印而成。</w:t>
      </w:r>
    </w:p>
    <w:p w14:paraId="5E66DC90">
      <w:pPr>
        <w:autoSpaceDE w:val="0"/>
        <w:autoSpaceDN w:val="0"/>
        <w:adjustRightInd w:val="0"/>
        <w:spacing w:line="360" w:lineRule="auto"/>
        <w:ind w:left="315" w:leftChars="-100" w:hanging="525" w:hangingChars="250"/>
        <w:outlineLvl w:val="9"/>
        <w:rPr>
          <w:rFonts w:hint="eastAsia"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17.3</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若有修改须由签署投标文件的人进行签字（或盖私章），并加盖投标人法人公章。</w:t>
      </w:r>
    </w:p>
    <w:p w14:paraId="711E8BD3">
      <w:pPr>
        <w:autoSpaceDE w:val="0"/>
        <w:autoSpaceDN w:val="0"/>
        <w:adjustRightInd w:val="0"/>
        <w:spacing w:line="360" w:lineRule="auto"/>
        <w:ind w:left="315" w:leftChars="-100" w:hanging="525" w:hangingChars="250"/>
        <w:outlineLvl w:val="9"/>
        <w:rPr>
          <w:rFonts w:hint="eastAsia"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17.4 投标文件的封面应注明“项目名称、招标编号、投标人名称、投标日期等”。</w:t>
      </w:r>
    </w:p>
    <w:p w14:paraId="15D5AB76">
      <w:pPr>
        <w:autoSpaceDE w:val="0"/>
        <w:autoSpaceDN w:val="0"/>
        <w:adjustRightInd w:val="0"/>
        <w:spacing w:line="360" w:lineRule="auto"/>
        <w:ind w:left="315" w:leftChars="-100" w:hanging="525" w:hangingChars="250"/>
        <w:outlineLvl w:val="9"/>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17.5</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电子文件内容包括：电子文件不可设置密码，用DVD或CD-R光盘或U盘储存，可密封于“唱标信封”内（若电子文件单独密封，其包装封面需注明项目名称、招标编号、投标人单位名称，并加盖投标人法人公章）。</w:t>
      </w:r>
    </w:p>
    <w:p w14:paraId="3458B4BF">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17.6</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电报、电传、传真的投标概不接受。</w:t>
      </w:r>
    </w:p>
    <w:p w14:paraId="16D95841">
      <w:pPr>
        <w:autoSpaceDE w:val="0"/>
        <w:autoSpaceDN w:val="0"/>
        <w:adjustRightInd w:val="0"/>
        <w:jc w:val="left"/>
        <w:outlineLvl w:val="9"/>
        <w:rPr>
          <w:rFonts w:hint="eastAsia" w:ascii="宋体" w:hAnsi="宋体" w:eastAsia="宋体" w:cs="宋体"/>
          <w:color w:val="auto"/>
          <w:kern w:val="0"/>
          <w:sz w:val="24"/>
          <w:szCs w:val="24"/>
          <w:highlight w:val="none"/>
        </w:rPr>
      </w:pPr>
      <w:bookmarkStart w:id="273" w:name="_Toc450662867"/>
    </w:p>
    <w:p w14:paraId="09C4C924">
      <w:pPr>
        <w:keepNext/>
        <w:keepLines/>
        <w:tabs>
          <w:tab w:val="left" w:pos="509"/>
        </w:tabs>
        <w:autoSpaceDE w:val="0"/>
        <w:autoSpaceDN w:val="0"/>
        <w:adjustRightInd w:val="0"/>
        <w:spacing w:line="360" w:lineRule="auto"/>
        <w:jc w:val="left"/>
        <w:outlineLvl w:val="1"/>
        <w:rPr>
          <w:rFonts w:hint="eastAsia" w:ascii="宋体" w:hAnsi="宋体" w:eastAsia="宋体" w:cs="宋体"/>
          <w:color w:val="auto"/>
          <w:kern w:val="0"/>
          <w:sz w:val="24"/>
          <w:szCs w:val="24"/>
          <w:highlight w:val="none"/>
        </w:rPr>
      </w:pPr>
      <w:bookmarkStart w:id="274" w:name="_Toc22919"/>
      <w:bookmarkStart w:id="275" w:name="_Toc810"/>
      <w:bookmarkStart w:id="276" w:name="_Toc16145"/>
      <w:bookmarkStart w:id="277" w:name="_Toc22356_WPSOffice_Level2"/>
      <w:bookmarkStart w:id="278" w:name="_Toc16760"/>
      <w:bookmarkStart w:id="279" w:name="_Toc486167682"/>
      <w:bookmarkStart w:id="280" w:name="_Toc2957"/>
      <w:bookmarkStart w:id="281" w:name="_Toc26605"/>
      <w:bookmarkStart w:id="282" w:name="_Toc142508332"/>
      <w:bookmarkStart w:id="283" w:name="_Toc140596891"/>
      <w:bookmarkStart w:id="284" w:name="_Toc20808"/>
      <w:bookmarkStart w:id="285" w:name="_Toc17199"/>
      <w:r>
        <w:rPr>
          <w:rFonts w:hint="eastAsia" w:ascii="宋体" w:hAnsi="宋体" w:eastAsia="宋体" w:cs="宋体"/>
          <w:b/>
          <w:bCs/>
          <w:color w:val="auto"/>
          <w:kern w:val="44"/>
          <w:szCs w:val="21"/>
          <w:highlight w:val="none"/>
          <w:lang w:val="zh-CN"/>
        </w:rPr>
        <w:t>四、投标文件的递交</w:t>
      </w:r>
      <w:bookmarkEnd w:id="273"/>
      <w:bookmarkEnd w:id="274"/>
      <w:bookmarkEnd w:id="275"/>
      <w:bookmarkEnd w:id="276"/>
      <w:bookmarkEnd w:id="277"/>
      <w:bookmarkEnd w:id="278"/>
      <w:bookmarkEnd w:id="279"/>
      <w:bookmarkEnd w:id="280"/>
      <w:bookmarkEnd w:id="281"/>
      <w:bookmarkEnd w:id="282"/>
      <w:bookmarkEnd w:id="283"/>
      <w:bookmarkEnd w:id="284"/>
      <w:bookmarkEnd w:id="285"/>
    </w:p>
    <w:p w14:paraId="3970667D">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86" w:name="_Toc20097"/>
      <w:bookmarkStart w:id="287" w:name="_Toc486167683"/>
      <w:bookmarkStart w:id="288" w:name="_Toc29038"/>
      <w:bookmarkStart w:id="289" w:name="_Toc450662868"/>
      <w:bookmarkStart w:id="290" w:name="_Toc31022"/>
      <w:bookmarkStart w:id="291" w:name="_Toc11550"/>
      <w:bookmarkStart w:id="292" w:name="_Toc31551"/>
      <w:bookmarkStart w:id="293" w:name="_Toc29885"/>
      <w:bookmarkStart w:id="294" w:name="_Toc142508333"/>
      <w:bookmarkStart w:id="295" w:name="_Toc3248"/>
      <w:bookmarkStart w:id="296" w:name="_Toc12192_WPSOffice_Level3"/>
      <w:bookmarkStart w:id="297" w:name="_Toc353"/>
      <w:r>
        <w:rPr>
          <w:rFonts w:hint="eastAsia" w:ascii="宋体" w:hAnsi="宋体" w:eastAsia="宋体" w:cs="宋体"/>
          <w:color w:val="auto"/>
          <w:szCs w:val="21"/>
          <w:highlight w:val="none"/>
          <w:lang w:val="zh-CN"/>
        </w:rPr>
        <w:t>18 投标文件的密封和标记</w:t>
      </w:r>
      <w:bookmarkEnd w:id="286"/>
      <w:bookmarkEnd w:id="287"/>
      <w:bookmarkEnd w:id="288"/>
      <w:bookmarkEnd w:id="289"/>
      <w:bookmarkEnd w:id="290"/>
      <w:bookmarkEnd w:id="291"/>
      <w:bookmarkEnd w:id="292"/>
      <w:bookmarkEnd w:id="293"/>
      <w:bookmarkEnd w:id="294"/>
      <w:bookmarkEnd w:id="295"/>
      <w:bookmarkEnd w:id="296"/>
      <w:bookmarkEnd w:id="297"/>
    </w:p>
    <w:p w14:paraId="1DF2EE5F">
      <w:pPr>
        <w:tabs>
          <w:tab w:val="left" w:pos="567"/>
        </w:tabs>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投标人应将正本和副本投标文件（本处不含唱标信封、投标文件电子文件）密封在不透明的外层封装中。</w:t>
      </w:r>
    </w:p>
    <w:p w14:paraId="49B0B66A">
      <w:pPr>
        <w:autoSpaceDE w:val="0"/>
        <w:autoSpaceDN w:val="0"/>
        <w:adjustRightInd w:val="0"/>
        <w:spacing w:line="360" w:lineRule="auto"/>
        <w:ind w:left="357" w:leftChars="-100" w:hanging="567"/>
        <w:outlineLvl w:val="9"/>
        <w:rPr>
          <w:rFonts w:hint="eastAsia"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b/>
          <w:bCs/>
          <w:color w:val="auto"/>
          <w:szCs w:val="21"/>
          <w:highlight w:val="none"/>
          <w:u w:val="single"/>
          <w:lang w:val="zh-CN"/>
        </w:rPr>
        <w:t>唱标信封应单独密封，与18.1款的投标文件一同提交</w:t>
      </w:r>
      <w:r>
        <w:rPr>
          <w:rFonts w:hint="eastAsia" w:ascii="宋体" w:hAnsi="宋体" w:eastAsia="宋体" w:cs="宋体"/>
          <w:b/>
          <w:bCs/>
          <w:color w:val="auto"/>
          <w:szCs w:val="21"/>
          <w:highlight w:val="none"/>
          <w:lang w:val="zh-CN"/>
        </w:rPr>
        <w:t>。</w:t>
      </w:r>
    </w:p>
    <w:p w14:paraId="61543D54">
      <w:pPr>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投标文件密封封装标记：</w:t>
      </w:r>
    </w:p>
    <w:p w14:paraId="657A5F25">
      <w:pPr>
        <w:autoSpaceDE w:val="0"/>
        <w:autoSpaceDN w:val="0"/>
        <w:adjustRightInd w:val="0"/>
        <w:spacing w:line="360" w:lineRule="auto"/>
        <w:ind w:left="319" w:leftChars="-118" w:hanging="567" w:hangingChars="27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14:paraId="7603A3C4">
      <w:pPr>
        <w:autoSpaceDE w:val="0"/>
        <w:autoSpaceDN w:val="0"/>
        <w:adjustRightInd w:val="0"/>
        <w:spacing w:line="360" w:lineRule="auto"/>
        <w:ind w:left="319" w:leftChars="-118" w:hanging="567" w:hangingChars="27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）投标文件已密封但不按前述标志封包，由此而引起的提前开封或错放责任由投标人承担；</w:t>
      </w:r>
    </w:p>
    <w:p w14:paraId="0B316523">
      <w:pPr>
        <w:autoSpaceDE w:val="0"/>
        <w:autoSpaceDN w:val="0"/>
        <w:adjustRightInd w:val="0"/>
        <w:spacing w:line="360" w:lineRule="auto"/>
        <w:ind w:left="319" w:leftChars="-118" w:hanging="567" w:hangingChars="27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（3）不足以造成投标文件可以从外包装内散出而导致投标文件泄密的，不认定为投标文件未密封。</w:t>
      </w:r>
    </w:p>
    <w:p w14:paraId="03951F55">
      <w:pPr>
        <w:tabs>
          <w:tab w:val="left" w:pos="567"/>
        </w:tabs>
        <w:autoSpaceDE w:val="0"/>
        <w:autoSpaceDN w:val="0"/>
        <w:adjustRightInd w:val="0"/>
        <w:spacing w:line="360" w:lineRule="auto"/>
        <w:ind w:left="317" w:leftChars="-100" w:right="15" w:rightChars="7" w:hanging="527" w:hangingChars="250"/>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en-US" w:eastAsia="zh-CN"/>
        </w:rPr>
        <w:t xml:space="preserve"> </w:t>
      </w:r>
      <w:r>
        <w:rPr>
          <w:rFonts w:hint="eastAsia" w:ascii="宋体" w:hAnsi="宋体" w:eastAsia="宋体" w:cs="宋体"/>
          <w:b/>
          <w:color w:val="auto"/>
          <w:szCs w:val="21"/>
          <w:highlight w:val="none"/>
          <w:u w:val="single"/>
          <w:lang w:val="zh-CN"/>
        </w:rPr>
        <w:t>如果密封封装未按本款规定密封和标记，招标代理机构对投标文件的误投或提前拆封不负责任。对由此造成提前开封的投标文件，招标代理机构予以拒绝，并退回投标人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14:paraId="5343559E">
      <w:pPr>
        <w:autoSpaceDE w:val="0"/>
        <w:autoSpaceDN w:val="0"/>
        <w:adjustRightInd w:val="0"/>
        <w:spacing w:line="360" w:lineRule="auto"/>
        <w:ind w:left="315" w:leftChars="-100" w:right="15" w:rightChars="7"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开标前，由投标人代表（第一位递交投标文件的投标人代表及主动自愿参与检查的投标人代表）和招标人代表</w:t>
      </w:r>
      <w:r>
        <w:rPr>
          <w:rFonts w:hint="eastAsia" w:ascii="宋体" w:hAnsi="宋体" w:eastAsia="宋体" w:cs="宋体"/>
          <w:color w:val="auto"/>
          <w:kern w:val="0"/>
          <w:szCs w:val="21"/>
          <w:highlight w:val="none"/>
          <w:lang w:val="zh-CN"/>
        </w:rPr>
        <w:t>将对所有的投标文件的密封性进行检查</w:t>
      </w:r>
      <w:r>
        <w:rPr>
          <w:rFonts w:hint="eastAsia" w:ascii="宋体" w:hAnsi="宋体" w:eastAsia="宋体" w:cs="宋体"/>
          <w:color w:val="auto"/>
          <w:szCs w:val="21"/>
          <w:highlight w:val="none"/>
          <w:lang w:val="zh-CN"/>
        </w:rPr>
        <w:t>，并签署进行确认。</w:t>
      </w:r>
    </w:p>
    <w:p w14:paraId="1965E1C8">
      <w:pPr>
        <w:tabs>
          <w:tab w:val="left" w:pos="567"/>
        </w:tabs>
        <w:autoSpaceDE w:val="0"/>
        <w:autoSpaceDN w:val="0"/>
        <w:adjustRightInd w:val="0"/>
        <w:spacing w:line="360" w:lineRule="auto"/>
        <w:ind w:right="15" w:rightChars="7" w:firstLine="525" w:firstLineChars="250"/>
        <w:outlineLvl w:val="9"/>
        <w:rPr>
          <w:rFonts w:hint="eastAsia" w:ascii="宋体" w:hAnsi="宋体" w:eastAsia="宋体" w:cs="宋体"/>
          <w:color w:val="auto"/>
          <w:szCs w:val="21"/>
          <w:highlight w:val="none"/>
          <w:lang w:val="zh-CN"/>
        </w:rPr>
      </w:pPr>
    </w:p>
    <w:p w14:paraId="50B45BE4">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98" w:name="_Toc23369"/>
      <w:bookmarkStart w:id="299" w:name="_Toc450662869"/>
      <w:bookmarkStart w:id="300" w:name="_Toc29665_WPSOffice_Level3"/>
      <w:bookmarkStart w:id="301" w:name="_Toc17245"/>
      <w:bookmarkStart w:id="302" w:name="_Toc486167684"/>
      <w:bookmarkStart w:id="303" w:name="_Toc4979"/>
      <w:bookmarkStart w:id="304" w:name="_Toc3917"/>
      <w:bookmarkStart w:id="305" w:name="_Toc15280"/>
      <w:bookmarkStart w:id="306" w:name="_Toc5575"/>
      <w:bookmarkStart w:id="307" w:name="_Toc12582"/>
      <w:bookmarkStart w:id="308" w:name="_Toc142508334"/>
      <w:bookmarkStart w:id="309" w:name="_Toc6168"/>
      <w:r>
        <w:rPr>
          <w:rFonts w:hint="eastAsia" w:ascii="宋体" w:hAnsi="宋体" w:eastAsia="宋体" w:cs="宋体"/>
          <w:color w:val="auto"/>
          <w:szCs w:val="21"/>
          <w:highlight w:val="none"/>
          <w:lang w:val="zh-CN"/>
        </w:rPr>
        <w:t>19 递交投标文件的截止日期</w:t>
      </w:r>
      <w:bookmarkEnd w:id="298"/>
      <w:bookmarkEnd w:id="299"/>
      <w:bookmarkEnd w:id="300"/>
      <w:bookmarkEnd w:id="301"/>
      <w:bookmarkEnd w:id="302"/>
      <w:bookmarkEnd w:id="303"/>
      <w:bookmarkEnd w:id="304"/>
      <w:bookmarkEnd w:id="305"/>
      <w:bookmarkEnd w:id="306"/>
      <w:bookmarkEnd w:id="307"/>
      <w:bookmarkEnd w:id="308"/>
      <w:bookmarkEnd w:id="309"/>
    </w:p>
    <w:p w14:paraId="7ED6F3D6">
      <w:pPr>
        <w:tabs>
          <w:tab w:val="left" w:pos="567"/>
        </w:tabs>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招标代理机构收到投标文件的时间不得迟于第一篇“招标公告”中规定的截止时间。</w:t>
      </w:r>
    </w:p>
    <w:p w14:paraId="11D4518E">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招标代理机构可按照第7条的规定修改招标文件并酌情延长递交投标文件的截止时间，因此，已规定的招标代理机构和投标人的一切权利和义务将按延期后的递交投标文件截止时间履行。</w:t>
      </w:r>
    </w:p>
    <w:p w14:paraId="0DC87487">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p>
    <w:p w14:paraId="01CDD925">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kern w:val="0"/>
          <w:sz w:val="24"/>
          <w:szCs w:val="24"/>
          <w:highlight w:val="none"/>
        </w:rPr>
      </w:pPr>
      <w:bookmarkStart w:id="310" w:name="_Toc450662870"/>
      <w:bookmarkStart w:id="311" w:name="_Toc2501"/>
      <w:bookmarkStart w:id="312" w:name="_Toc20835"/>
      <w:bookmarkStart w:id="313" w:name="_Toc10872"/>
      <w:bookmarkStart w:id="314" w:name="_Toc142508335"/>
      <w:bookmarkStart w:id="315" w:name="_Toc19888"/>
      <w:bookmarkStart w:id="316" w:name="_Toc32610"/>
      <w:bookmarkStart w:id="317" w:name="_Toc23067"/>
      <w:bookmarkStart w:id="318" w:name="_Toc21327"/>
      <w:bookmarkStart w:id="319" w:name="_Toc22431_WPSOffice_Level3"/>
      <w:bookmarkStart w:id="320" w:name="_Toc30287"/>
      <w:bookmarkStart w:id="321" w:name="_Toc486167685"/>
      <w:r>
        <w:rPr>
          <w:rFonts w:hint="eastAsia" w:ascii="宋体" w:hAnsi="宋体" w:eastAsia="宋体" w:cs="宋体"/>
          <w:color w:val="auto"/>
          <w:szCs w:val="21"/>
          <w:highlight w:val="none"/>
          <w:lang w:val="zh-CN"/>
        </w:rPr>
        <w:t>20 迟交的投标文件</w:t>
      </w:r>
      <w:bookmarkEnd w:id="310"/>
      <w:bookmarkEnd w:id="311"/>
      <w:bookmarkEnd w:id="312"/>
      <w:bookmarkEnd w:id="313"/>
      <w:bookmarkEnd w:id="314"/>
      <w:bookmarkEnd w:id="315"/>
      <w:bookmarkEnd w:id="316"/>
      <w:bookmarkEnd w:id="317"/>
      <w:bookmarkEnd w:id="318"/>
      <w:bookmarkEnd w:id="319"/>
      <w:bookmarkEnd w:id="320"/>
      <w:bookmarkEnd w:id="321"/>
    </w:p>
    <w:p w14:paraId="68175756">
      <w:pPr>
        <w:autoSpaceDE w:val="0"/>
        <w:autoSpaceDN w:val="0"/>
        <w:adjustRightInd w:val="0"/>
        <w:spacing w:line="360" w:lineRule="auto"/>
        <w:ind w:firstLine="315" w:firstLineChars="150"/>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14:paraId="32F6F1E4">
      <w:pPr>
        <w:autoSpaceDE w:val="0"/>
        <w:autoSpaceDN w:val="0"/>
        <w:adjustRightInd w:val="0"/>
        <w:jc w:val="left"/>
        <w:outlineLvl w:val="9"/>
        <w:rPr>
          <w:rFonts w:hint="eastAsia" w:ascii="宋体" w:hAnsi="宋体" w:eastAsia="宋体" w:cs="宋体"/>
          <w:color w:val="auto"/>
          <w:kern w:val="0"/>
          <w:sz w:val="24"/>
          <w:szCs w:val="24"/>
          <w:highlight w:val="none"/>
        </w:rPr>
      </w:pPr>
    </w:p>
    <w:p w14:paraId="0E2CF954">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22" w:name="_Toc486167686"/>
      <w:bookmarkStart w:id="323" w:name="_Toc11949"/>
      <w:bookmarkStart w:id="324" w:name="_Toc27851"/>
      <w:bookmarkStart w:id="325" w:name="_Toc7412"/>
      <w:bookmarkStart w:id="326" w:name="_Toc22518"/>
      <w:bookmarkStart w:id="327" w:name="_Toc450662871"/>
      <w:bookmarkStart w:id="328" w:name="_Toc4883_WPSOffice_Level3"/>
      <w:bookmarkStart w:id="329" w:name="_Toc142508336"/>
      <w:bookmarkStart w:id="330" w:name="_Toc1788"/>
      <w:bookmarkStart w:id="331" w:name="_Toc24876"/>
      <w:bookmarkStart w:id="332" w:name="_Toc3814"/>
      <w:bookmarkStart w:id="333" w:name="_Toc30445"/>
      <w:r>
        <w:rPr>
          <w:rFonts w:hint="eastAsia" w:ascii="宋体" w:hAnsi="宋体" w:eastAsia="宋体" w:cs="宋体"/>
          <w:color w:val="auto"/>
          <w:szCs w:val="21"/>
          <w:highlight w:val="none"/>
          <w:lang w:val="zh-CN"/>
        </w:rPr>
        <w:t>21 投标文件的修改和撤回</w:t>
      </w:r>
      <w:bookmarkEnd w:id="322"/>
      <w:bookmarkEnd w:id="323"/>
      <w:bookmarkEnd w:id="324"/>
      <w:bookmarkEnd w:id="325"/>
      <w:bookmarkEnd w:id="326"/>
      <w:bookmarkEnd w:id="327"/>
      <w:bookmarkEnd w:id="328"/>
      <w:bookmarkEnd w:id="329"/>
      <w:bookmarkEnd w:id="330"/>
      <w:bookmarkEnd w:id="331"/>
      <w:bookmarkEnd w:id="332"/>
      <w:bookmarkEnd w:id="333"/>
    </w:p>
    <w:p w14:paraId="0A27DA8B">
      <w:pPr>
        <w:tabs>
          <w:tab w:val="left" w:pos="567"/>
        </w:tabs>
        <w:autoSpaceDE w:val="0"/>
        <w:autoSpaceDN w:val="0"/>
        <w:adjustRightInd w:val="0"/>
        <w:spacing w:line="360" w:lineRule="auto"/>
        <w:ind w:left="315" w:leftChars="-100" w:right="15" w:rightChars="7"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14:paraId="1BC5B456">
      <w:pPr>
        <w:autoSpaceDE w:val="0"/>
        <w:autoSpaceDN w:val="0"/>
        <w:adjustRightInd w:val="0"/>
        <w:spacing w:line="360" w:lineRule="auto"/>
        <w:ind w:left="315" w:leftChars="-100" w:right="15" w:rightChars="7"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投标人对投标文件的修改或撤回的通知应按第17条和第18条规定进行准备、密封、标注和递送。</w:t>
      </w:r>
    </w:p>
    <w:p w14:paraId="697DDEA4">
      <w:pPr>
        <w:autoSpaceDE w:val="0"/>
        <w:autoSpaceDN w:val="0"/>
        <w:adjustRightInd w:val="0"/>
        <w:spacing w:line="360" w:lineRule="auto"/>
        <w:ind w:left="315" w:leftChars="-100" w:right="15" w:rightChars="7"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递交投标文件截止时间后不得修改投标文件。</w:t>
      </w:r>
    </w:p>
    <w:p w14:paraId="7869F098">
      <w:pPr>
        <w:autoSpaceDE w:val="0"/>
        <w:autoSpaceDN w:val="0"/>
        <w:adjustRightInd w:val="0"/>
        <w:spacing w:line="360" w:lineRule="auto"/>
        <w:ind w:left="315" w:leftChars="-100" w:right="15" w:rightChars="7"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14:paraId="777BEE99">
      <w:pPr>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p>
    <w:p w14:paraId="0279FB07">
      <w:pPr>
        <w:keepNext/>
        <w:keepLines/>
        <w:tabs>
          <w:tab w:val="left" w:pos="509"/>
        </w:tabs>
        <w:autoSpaceDE w:val="0"/>
        <w:autoSpaceDN w:val="0"/>
        <w:adjustRightInd w:val="0"/>
        <w:spacing w:line="360" w:lineRule="auto"/>
        <w:jc w:val="left"/>
        <w:outlineLvl w:val="1"/>
        <w:rPr>
          <w:rFonts w:hint="eastAsia" w:ascii="宋体" w:hAnsi="宋体" w:eastAsia="宋体" w:cs="宋体"/>
          <w:b/>
          <w:bCs/>
          <w:color w:val="auto"/>
          <w:kern w:val="44"/>
          <w:szCs w:val="21"/>
          <w:highlight w:val="none"/>
          <w:lang w:val="zh-CN"/>
        </w:rPr>
      </w:pPr>
      <w:bookmarkStart w:id="334" w:name="_Toc450662872"/>
      <w:bookmarkStart w:id="335" w:name="_Toc14042"/>
      <w:bookmarkStart w:id="336" w:name="_Toc28824"/>
      <w:bookmarkStart w:id="337" w:name="_Toc12643"/>
      <w:bookmarkStart w:id="338" w:name="_Toc32547"/>
      <w:bookmarkStart w:id="339" w:name="_Toc30428"/>
      <w:bookmarkStart w:id="340" w:name="_Toc20869"/>
      <w:bookmarkStart w:id="341" w:name="_Toc142508337"/>
      <w:bookmarkStart w:id="342" w:name="_Toc20923"/>
      <w:bookmarkStart w:id="343" w:name="_Toc140596896"/>
      <w:bookmarkStart w:id="344" w:name="_Toc486167687"/>
      <w:bookmarkStart w:id="345" w:name="_Toc1049_WPSOffice_Level2"/>
      <w:bookmarkStart w:id="346" w:name="_Toc23311"/>
      <w:r>
        <w:rPr>
          <w:rFonts w:hint="eastAsia" w:ascii="宋体" w:hAnsi="宋体" w:eastAsia="宋体" w:cs="宋体"/>
          <w:b/>
          <w:bCs/>
          <w:color w:val="auto"/>
          <w:kern w:val="44"/>
          <w:szCs w:val="21"/>
          <w:highlight w:val="none"/>
          <w:lang w:val="zh-CN"/>
        </w:rPr>
        <w:t>五、开标与评标</w:t>
      </w:r>
      <w:bookmarkEnd w:id="334"/>
      <w:bookmarkEnd w:id="335"/>
      <w:bookmarkEnd w:id="336"/>
      <w:bookmarkEnd w:id="337"/>
      <w:bookmarkEnd w:id="338"/>
      <w:bookmarkEnd w:id="339"/>
      <w:bookmarkEnd w:id="340"/>
      <w:bookmarkEnd w:id="341"/>
      <w:bookmarkEnd w:id="342"/>
      <w:bookmarkEnd w:id="343"/>
      <w:bookmarkEnd w:id="344"/>
      <w:bookmarkEnd w:id="345"/>
      <w:bookmarkEnd w:id="346"/>
    </w:p>
    <w:p w14:paraId="0BDD786C">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47" w:name="_Toc144_WPSOffice_Level3"/>
      <w:bookmarkStart w:id="348" w:name="_Toc22677"/>
      <w:bookmarkStart w:id="349" w:name="_Toc9266"/>
      <w:bookmarkStart w:id="350" w:name="_Toc20514"/>
      <w:bookmarkStart w:id="351" w:name="_Toc450662873"/>
      <w:bookmarkStart w:id="352" w:name="_Toc1760"/>
      <w:bookmarkStart w:id="353" w:name="_Toc142508338"/>
      <w:bookmarkStart w:id="354" w:name="_Toc8728"/>
      <w:bookmarkStart w:id="355" w:name="_Toc11256"/>
      <w:bookmarkStart w:id="356" w:name="_Toc32206"/>
      <w:bookmarkStart w:id="357" w:name="_Toc486167688"/>
      <w:bookmarkStart w:id="358" w:name="_Toc19352"/>
      <w:r>
        <w:rPr>
          <w:rFonts w:hint="eastAsia" w:ascii="宋体" w:hAnsi="宋体" w:eastAsia="宋体" w:cs="宋体"/>
          <w:color w:val="auto"/>
          <w:szCs w:val="21"/>
          <w:highlight w:val="none"/>
          <w:lang w:val="zh-CN"/>
        </w:rPr>
        <w:t>22 开标</w:t>
      </w:r>
      <w:bookmarkEnd w:id="347"/>
      <w:bookmarkEnd w:id="348"/>
      <w:bookmarkEnd w:id="349"/>
      <w:bookmarkEnd w:id="350"/>
      <w:bookmarkEnd w:id="351"/>
      <w:bookmarkEnd w:id="352"/>
      <w:bookmarkEnd w:id="353"/>
      <w:bookmarkEnd w:id="354"/>
      <w:bookmarkEnd w:id="355"/>
      <w:bookmarkEnd w:id="356"/>
      <w:bookmarkEnd w:id="357"/>
      <w:bookmarkEnd w:id="358"/>
    </w:p>
    <w:p w14:paraId="7B490DDB">
      <w:pPr>
        <w:tabs>
          <w:tab w:val="left" w:pos="567"/>
        </w:tabs>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14:paraId="0EAC774C">
      <w:pPr>
        <w:tabs>
          <w:tab w:val="left" w:pos="567"/>
        </w:tabs>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按照第21条规定，提交了可接受的“撤回”通知的投标文件将不予开封。</w:t>
      </w:r>
    </w:p>
    <w:p w14:paraId="649F57FF">
      <w:pPr>
        <w:tabs>
          <w:tab w:val="left" w:pos="567"/>
        </w:tabs>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14:paraId="1D4C30FB">
      <w:pPr>
        <w:tabs>
          <w:tab w:val="left" w:pos="567"/>
        </w:tabs>
        <w:autoSpaceDE w:val="0"/>
        <w:autoSpaceDN w:val="0"/>
        <w:adjustRightInd w:val="0"/>
        <w:spacing w:line="360" w:lineRule="auto"/>
        <w:ind w:left="315" w:leftChars="-100" w:right="15" w:rightChars="7"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对不同文字文本投标文件的解释发生异议的，以中文文本为准。</w:t>
      </w:r>
    </w:p>
    <w:p w14:paraId="624C8C86">
      <w:pPr>
        <w:tabs>
          <w:tab w:val="left" w:pos="567"/>
        </w:tabs>
        <w:autoSpaceDE w:val="0"/>
        <w:autoSpaceDN w:val="0"/>
        <w:adjustRightInd w:val="0"/>
        <w:spacing w:line="360" w:lineRule="auto"/>
        <w:ind w:left="315" w:leftChars="-100" w:right="15" w:rightChars="7"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14:paraId="361B7E7F">
      <w:pPr>
        <w:tabs>
          <w:tab w:val="left" w:pos="567"/>
        </w:tabs>
        <w:autoSpaceDE w:val="0"/>
        <w:autoSpaceDN w:val="0"/>
        <w:adjustRightInd w:val="0"/>
        <w:spacing w:line="360" w:lineRule="auto"/>
        <w:ind w:left="315" w:leftChars="-100" w:right="15" w:rightChars="7"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14:paraId="0F3E0CEE">
      <w:pPr>
        <w:autoSpaceDE w:val="0"/>
        <w:autoSpaceDN w:val="0"/>
        <w:adjustRightInd w:val="0"/>
        <w:spacing w:line="360" w:lineRule="auto"/>
        <w:ind w:left="357" w:leftChars="-100" w:right="15" w:rightChars="7" w:hanging="567"/>
        <w:outlineLvl w:val="9"/>
        <w:rPr>
          <w:rFonts w:hint="eastAsia" w:ascii="宋体" w:hAnsi="宋体" w:eastAsia="宋体" w:cs="宋体"/>
          <w:color w:val="auto"/>
          <w:kern w:val="0"/>
          <w:szCs w:val="21"/>
          <w:highlight w:val="none"/>
        </w:rPr>
      </w:pPr>
    </w:p>
    <w:p w14:paraId="66D0AB3E">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59" w:name="_Toc23059"/>
      <w:bookmarkStart w:id="360" w:name="_Toc32534"/>
      <w:bookmarkStart w:id="361" w:name="_Toc12165_WPSOffice_Level3"/>
      <w:bookmarkStart w:id="362" w:name="_Toc4419"/>
      <w:bookmarkStart w:id="363" w:name="_Toc450662874"/>
      <w:bookmarkStart w:id="364" w:name="_Toc8225"/>
      <w:bookmarkStart w:id="365" w:name="_Toc486167689"/>
      <w:bookmarkStart w:id="366" w:name="_Toc142508339"/>
      <w:bookmarkStart w:id="367" w:name="_Toc13599"/>
      <w:bookmarkStart w:id="368" w:name="_Toc2233"/>
      <w:bookmarkStart w:id="369" w:name="_Toc4785"/>
      <w:bookmarkStart w:id="370" w:name="_Toc23491"/>
      <w:r>
        <w:rPr>
          <w:rFonts w:hint="eastAsia" w:ascii="宋体" w:hAnsi="宋体" w:eastAsia="宋体" w:cs="宋体"/>
          <w:color w:val="auto"/>
          <w:szCs w:val="21"/>
          <w:highlight w:val="none"/>
          <w:lang w:val="zh-CN"/>
        </w:rPr>
        <w:t xml:space="preserve">23 </w:t>
      </w:r>
      <w:r>
        <w:rPr>
          <w:rFonts w:hint="eastAsia" w:ascii="宋体" w:hAnsi="宋体" w:eastAsia="宋体" w:cs="宋体"/>
          <w:color w:val="auto"/>
          <w:kern w:val="0"/>
          <w:szCs w:val="24"/>
          <w:highlight w:val="none"/>
        </w:rPr>
        <w:t>评标过程的保密性</w:t>
      </w:r>
      <w:bookmarkEnd w:id="359"/>
      <w:bookmarkEnd w:id="360"/>
      <w:bookmarkEnd w:id="361"/>
      <w:bookmarkEnd w:id="362"/>
      <w:bookmarkEnd w:id="363"/>
      <w:bookmarkEnd w:id="364"/>
      <w:bookmarkEnd w:id="365"/>
      <w:bookmarkEnd w:id="366"/>
      <w:bookmarkEnd w:id="367"/>
      <w:bookmarkEnd w:id="368"/>
      <w:bookmarkEnd w:id="369"/>
      <w:bookmarkEnd w:id="370"/>
    </w:p>
    <w:p w14:paraId="0AB2A940">
      <w:pPr>
        <w:tabs>
          <w:tab w:val="left" w:pos="567"/>
        </w:tabs>
        <w:autoSpaceDE w:val="0"/>
        <w:autoSpaceDN w:val="0"/>
        <w:adjustRightInd w:val="0"/>
        <w:spacing w:line="360" w:lineRule="auto"/>
        <w:ind w:left="315" w:leftChars="-100" w:right="15" w:rightChars="7"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递交投标文件后，直至向中标人授予合同期间，凡与审查、澄清、评估和比较投标报价的有关资料以及意见等，均不得向投标人及与评审无关的其他人透露，否则追究有关当事人的法律责任。</w:t>
      </w:r>
    </w:p>
    <w:p w14:paraId="02862197">
      <w:pPr>
        <w:tabs>
          <w:tab w:val="left" w:pos="567"/>
        </w:tabs>
        <w:autoSpaceDE w:val="0"/>
        <w:autoSpaceDN w:val="0"/>
        <w:adjustRightInd w:val="0"/>
        <w:spacing w:line="360" w:lineRule="auto"/>
        <w:ind w:left="315" w:leftChars="-100" w:right="15" w:rightChars="7"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6944DEB5">
      <w:pPr>
        <w:tabs>
          <w:tab w:val="left" w:pos="567"/>
        </w:tabs>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p>
    <w:p w14:paraId="40DA54E3">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71" w:name="_Toc800"/>
      <w:bookmarkStart w:id="372" w:name="_Toc15565_WPSOffice_Level3"/>
      <w:bookmarkStart w:id="373" w:name="_Toc15989"/>
      <w:bookmarkStart w:id="374" w:name="_Toc18693"/>
      <w:bookmarkStart w:id="375" w:name="_Toc15256"/>
      <w:bookmarkStart w:id="376" w:name="_Toc450662875"/>
      <w:bookmarkStart w:id="377" w:name="_Toc5558"/>
      <w:bookmarkStart w:id="378" w:name="_Toc16920"/>
      <w:bookmarkStart w:id="379" w:name="_Toc486167690"/>
      <w:bookmarkStart w:id="380" w:name="_Toc142508340"/>
      <w:bookmarkStart w:id="381" w:name="_Toc30409"/>
      <w:bookmarkStart w:id="382" w:name="_Toc32178"/>
      <w:r>
        <w:rPr>
          <w:rFonts w:hint="eastAsia" w:ascii="宋体" w:hAnsi="宋体" w:eastAsia="宋体" w:cs="宋体"/>
          <w:color w:val="auto"/>
          <w:szCs w:val="21"/>
          <w:highlight w:val="none"/>
          <w:lang w:val="zh-CN"/>
        </w:rPr>
        <w:t>24 评标委员会</w:t>
      </w:r>
      <w:bookmarkEnd w:id="371"/>
      <w:bookmarkEnd w:id="372"/>
      <w:bookmarkEnd w:id="373"/>
      <w:bookmarkEnd w:id="374"/>
      <w:bookmarkEnd w:id="375"/>
      <w:bookmarkEnd w:id="376"/>
      <w:bookmarkEnd w:id="377"/>
      <w:bookmarkEnd w:id="378"/>
      <w:bookmarkEnd w:id="379"/>
      <w:bookmarkEnd w:id="380"/>
      <w:bookmarkEnd w:id="381"/>
      <w:bookmarkEnd w:id="382"/>
    </w:p>
    <w:p w14:paraId="61B03950">
      <w:pPr>
        <w:tabs>
          <w:tab w:val="left" w:pos="567"/>
        </w:tabs>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3E409BC1">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7A13D559">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p>
    <w:p w14:paraId="3B487F4A">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zh-CN"/>
        </w:rPr>
      </w:pPr>
      <w:bookmarkStart w:id="383" w:name="_Toc18668"/>
      <w:bookmarkStart w:id="384" w:name="_Toc16397"/>
      <w:bookmarkStart w:id="385" w:name="_Toc12715"/>
      <w:bookmarkStart w:id="386" w:name="_Toc28910_WPSOffice_Level3"/>
      <w:bookmarkStart w:id="387" w:name="_Toc15953"/>
      <w:bookmarkStart w:id="388" w:name="_Toc27296"/>
      <w:bookmarkStart w:id="389" w:name="_Toc486167691"/>
      <w:bookmarkStart w:id="390" w:name="_Toc28058"/>
      <w:bookmarkStart w:id="391" w:name="_Toc8908"/>
      <w:bookmarkStart w:id="392" w:name="_Toc16257"/>
      <w:bookmarkStart w:id="393" w:name="_Toc450662876"/>
      <w:bookmarkStart w:id="394" w:name="_Toc142508341"/>
      <w:r>
        <w:rPr>
          <w:rFonts w:hint="eastAsia" w:ascii="宋体" w:hAnsi="宋体" w:eastAsia="宋体" w:cs="宋体"/>
          <w:b/>
          <w:color w:val="auto"/>
          <w:szCs w:val="21"/>
          <w:highlight w:val="none"/>
          <w:lang w:val="zh-CN"/>
        </w:rPr>
        <w:t>25 投标文件的初审</w:t>
      </w:r>
      <w:bookmarkEnd w:id="383"/>
      <w:bookmarkEnd w:id="384"/>
      <w:bookmarkEnd w:id="385"/>
      <w:bookmarkEnd w:id="386"/>
      <w:bookmarkEnd w:id="387"/>
      <w:bookmarkEnd w:id="388"/>
      <w:bookmarkEnd w:id="389"/>
      <w:bookmarkEnd w:id="390"/>
      <w:bookmarkEnd w:id="391"/>
      <w:bookmarkEnd w:id="392"/>
      <w:bookmarkEnd w:id="393"/>
      <w:bookmarkEnd w:id="394"/>
    </w:p>
    <w:p w14:paraId="00523B82">
      <w:pPr>
        <w:autoSpaceDE w:val="0"/>
        <w:autoSpaceDN w:val="0"/>
        <w:adjustRightInd w:val="0"/>
        <w:spacing w:line="360" w:lineRule="auto"/>
        <w:ind w:left="357" w:leftChars="-100" w:hanging="567"/>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zh-CN"/>
        </w:rPr>
        <w:t xml:space="preserve">25.1 </w:t>
      </w:r>
      <w:r>
        <w:rPr>
          <w:rFonts w:hint="eastAsia" w:ascii="宋体" w:hAnsi="宋体" w:eastAsia="宋体" w:cs="宋体"/>
          <w:b/>
          <w:color w:val="auto"/>
          <w:szCs w:val="21"/>
          <w:highlight w:val="none"/>
          <w:u w:val="single"/>
          <w:lang w:val="zh-CN"/>
        </w:rPr>
        <w:t>资格性检查：依据法律法规和招标文件的规定，对投标文件中的资格证明、投标保证金等进行审查，以确定投标人是否具备投标资格</w:t>
      </w:r>
      <w:r>
        <w:rPr>
          <w:rFonts w:hint="eastAsia" w:ascii="宋体" w:hAnsi="宋体" w:eastAsia="宋体" w:cs="宋体"/>
          <w:b/>
          <w:color w:val="auto"/>
          <w:szCs w:val="21"/>
          <w:highlight w:val="none"/>
          <w:lang w:val="zh-CN"/>
        </w:rPr>
        <w:t>。</w:t>
      </w:r>
    </w:p>
    <w:p w14:paraId="28A98E4F">
      <w:pPr>
        <w:autoSpaceDE w:val="0"/>
        <w:autoSpaceDN w:val="0"/>
        <w:adjustRightInd w:val="0"/>
        <w:spacing w:line="360" w:lineRule="auto"/>
        <w:ind w:left="330" w:leftChars="-100" w:hanging="540"/>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 xml:space="preserve">25.2 </w:t>
      </w:r>
      <w:r>
        <w:rPr>
          <w:rFonts w:hint="eastAsia" w:ascii="宋体" w:hAnsi="宋体" w:eastAsia="宋体" w:cs="宋体"/>
          <w:b/>
          <w:color w:val="auto"/>
          <w:szCs w:val="21"/>
          <w:highlight w:val="none"/>
          <w:u w:val="single"/>
          <w:lang w:val="zh-CN"/>
        </w:rPr>
        <w:t>符合性检查：依据招标文件的规定，从投标文件的有效性、完整性和对招标文件的响应程度进行审查，以确定是否对招标文件的实质性要求作出响应</w:t>
      </w:r>
      <w:r>
        <w:rPr>
          <w:rFonts w:hint="eastAsia" w:ascii="宋体" w:hAnsi="宋体" w:eastAsia="宋体" w:cs="宋体"/>
          <w:b/>
          <w:color w:val="auto"/>
          <w:szCs w:val="21"/>
          <w:highlight w:val="none"/>
          <w:lang w:val="zh-CN"/>
        </w:rPr>
        <w:t>。</w:t>
      </w:r>
    </w:p>
    <w:p w14:paraId="4EEAA0A7">
      <w:pPr>
        <w:autoSpaceDE w:val="0"/>
        <w:autoSpaceDN w:val="0"/>
        <w:adjustRightInd w:val="0"/>
        <w:spacing w:line="360" w:lineRule="auto"/>
        <w:ind w:left="330" w:leftChars="-100" w:hanging="540"/>
        <w:outlineLvl w:val="9"/>
        <w:rPr>
          <w:rFonts w:hint="eastAsia" w:ascii="宋体" w:hAnsi="宋体" w:eastAsia="宋体" w:cs="宋体"/>
          <w:b/>
          <w:color w:val="auto"/>
          <w:szCs w:val="21"/>
          <w:highlight w:val="none"/>
          <w:lang w:val="zh-CN"/>
        </w:rPr>
      </w:pPr>
    </w:p>
    <w:p w14:paraId="5371B24A">
      <w:pPr>
        <w:tabs>
          <w:tab w:val="left" w:pos="525"/>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95" w:name="_Toc142508342"/>
      <w:bookmarkStart w:id="396" w:name="_Toc642"/>
      <w:bookmarkStart w:id="397" w:name="_Toc4837"/>
      <w:bookmarkStart w:id="398" w:name="_Toc19456"/>
      <w:bookmarkStart w:id="399" w:name="_Toc486167692"/>
      <w:bookmarkStart w:id="400" w:name="_Toc12526"/>
      <w:bookmarkStart w:id="401" w:name="_Toc27705"/>
      <w:bookmarkStart w:id="402" w:name="_Toc16315"/>
      <w:bookmarkStart w:id="403" w:name="_Toc30225"/>
      <w:bookmarkStart w:id="404" w:name="_Toc12970"/>
      <w:bookmarkStart w:id="405" w:name="_Toc450662877"/>
      <w:bookmarkStart w:id="406" w:name="_Toc338_WPSOffice_Level3"/>
      <w:r>
        <w:rPr>
          <w:rFonts w:hint="eastAsia" w:ascii="宋体" w:hAnsi="宋体" w:eastAsia="宋体" w:cs="宋体"/>
          <w:color w:val="auto"/>
          <w:szCs w:val="21"/>
          <w:highlight w:val="none"/>
          <w:lang w:val="zh-CN"/>
        </w:rPr>
        <w:t>26 投标文件的澄清</w:t>
      </w:r>
      <w:bookmarkEnd w:id="395"/>
      <w:bookmarkEnd w:id="396"/>
      <w:bookmarkEnd w:id="397"/>
      <w:bookmarkEnd w:id="398"/>
      <w:bookmarkEnd w:id="399"/>
      <w:bookmarkEnd w:id="400"/>
      <w:bookmarkEnd w:id="401"/>
      <w:bookmarkEnd w:id="402"/>
      <w:bookmarkEnd w:id="403"/>
      <w:bookmarkEnd w:id="404"/>
      <w:bookmarkEnd w:id="405"/>
      <w:bookmarkEnd w:id="406"/>
    </w:p>
    <w:p w14:paraId="2DE3A0D0">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2E6D2D9E">
      <w:pPr>
        <w:autoSpaceDE w:val="0"/>
        <w:autoSpaceDN w:val="0"/>
        <w:adjustRightInd w:val="0"/>
        <w:spacing w:line="360" w:lineRule="auto"/>
        <w:ind w:left="330" w:leftChars="-100" w:right="15" w:rightChars="7" w:hanging="540"/>
        <w:outlineLvl w:val="9"/>
        <w:rPr>
          <w:rFonts w:hint="eastAsia" w:ascii="宋体" w:hAnsi="宋体" w:eastAsia="宋体" w:cs="宋体"/>
          <w:color w:val="auto"/>
          <w:szCs w:val="21"/>
          <w:highlight w:val="none"/>
          <w:lang w:val="zh-CN"/>
        </w:rPr>
      </w:pPr>
      <w:bookmarkStart w:id="407"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14:paraId="4FAA18A1">
      <w:pPr>
        <w:autoSpaceDE w:val="0"/>
        <w:autoSpaceDN w:val="0"/>
        <w:adjustRightInd w:val="0"/>
        <w:spacing w:line="360" w:lineRule="auto"/>
        <w:ind w:left="330" w:leftChars="-100" w:right="15" w:rightChars="7" w:hanging="540"/>
        <w:outlineLvl w:val="9"/>
        <w:rPr>
          <w:rFonts w:hint="eastAsia" w:ascii="宋体" w:hAnsi="宋体" w:eastAsia="宋体" w:cs="宋体"/>
          <w:color w:val="auto"/>
          <w:szCs w:val="21"/>
          <w:highlight w:val="none"/>
          <w:lang w:val="zh-CN"/>
        </w:rPr>
      </w:pPr>
    </w:p>
    <w:bookmarkEnd w:id="407"/>
    <w:p w14:paraId="11068D44">
      <w:pPr>
        <w:tabs>
          <w:tab w:val="left" w:pos="525"/>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408" w:name="_Toc19454"/>
      <w:bookmarkStart w:id="409" w:name="_Toc521918096"/>
      <w:bookmarkStart w:id="410" w:name="_Toc22451"/>
      <w:bookmarkStart w:id="411" w:name="_Toc17755"/>
      <w:bookmarkStart w:id="412" w:name="_Toc6970"/>
      <w:bookmarkStart w:id="413" w:name="_Toc522047355"/>
      <w:bookmarkStart w:id="414" w:name="_Toc9446"/>
      <w:bookmarkStart w:id="415" w:name="_Toc22065"/>
      <w:bookmarkStart w:id="416" w:name="_Toc18400"/>
      <w:bookmarkStart w:id="417" w:name="_Toc10967"/>
      <w:bookmarkStart w:id="418" w:name="_Toc18368_WPSOffice_Level3"/>
      <w:bookmarkStart w:id="419" w:name="_Toc142508343"/>
      <w:r>
        <w:rPr>
          <w:rFonts w:hint="eastAsia" w:ascii="宋体" w:hAnsi="宋体" w:eastAsia="宋体" w:cs="宋体"/>
          <w:color w:val="auto"/>
          <w:szCs w:val="21"/>
          <w:highlight w:val="none"/>
          <w:lang w:val="zh-CN"/>
        </w:rPr>
        <w:t>27 对投标文件的比较和评价</w:t>
      </w:r>
      <w:bookmarkEnd w:id="408"/>
      <w:bookmarkEnd w:id="409"/>
      <w:bookmarkEnd w:id="410"/>
      <w:bookmarkEnd w:id="411"/>
      <w:bookmarkEnd w:id="412"/>
      <w:bookmarkEnd w:id="413"/>
      <w:bookmarkEnd w:id="414"/>
      <w:bookmarkEnd w:id="415"/>
      <w:bookmarkEnd w:id="416"/>
      <w:bookmarkEnd w:id="417"/>
      <w:bookmarkEnd w:id="418"/>
      <w:bookmarkEnd w:id="419"/>
    </w:p>
    <w:p w14:paraId="2BD2DFF3">
      <w:pPr>
        <w:tabs>
          <w:tab w:val="left" w:pos="540"/>
        </w:tabs>
        <w:autoSpaceDE w:val="0"/>
        <w:autoSpaceDN w:val="0"/>
        <w:adjustRightInd w:val="0"/>
        <w:spacing w:line="360" w:lineRule="auto"/>
        <w:ind w:left="315" w:leftChars="-100" w:right="15" w:rightChars="7"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评标委员会将对资格性检查和符合性检查合格的投标文件进行比较和评价，包括商务</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lang w:val="zh-CN"/>
        </w:rPr>
        <w:t>技术的详细评审。</w:t>
      </w:r>
    </w:p>
    <w:p w14:paraId="5A92AC92">
      <w:pPr>
        <w:autoSpaceDE w:val="0"/>
        <w:autoSpaceDN w:val="0"/>
        <w:adjustRightInd w:val="0"/>
        <w:spacing w:line="360" w:lineRule="auto"/>
        <w:ind w:left="330" w:leftChars="-100" w:right="15" w:rightChars="7" w:hanging="54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对投标文件商务的评审详见评标工作大纲。</w:t>
      </w:r>
    </w:p>
    <w:p w14:paraId="2F684EA3">
      <w:pPr>
        <w:autoSpaceDE w:val="0"/>
        <w:autoSpaceDN w:val="0"/>
        <w:adjustRightInd w:val="0"/>
        <w:spacing w:line="360" w:lineRule="auto"/>
        <w:ind w:left="330" w:leftChars="-100" w:right="15" w:rightChars="7" w:hanging="54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对投标文件技术的评审详见评标工作大纲。</w:t>
      </w:r>
    </w:p>
    <w:p w14:paraId="66770448">
      <w:pPr>
        <w:autoSpaceDE w:val="0"/>
        <w:autoSpaceDN w:val="0"/>
        <w:adjustRightInd w:val="0"/>
        <w:spacing w:line="360" w:lineRule="auto"/>
        <w:ind w:left="330" w:leftChars="-100" w:right="15" w:rightChars="7" w:hanging="54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w:t>
      </w:r>
      <w:r>
        <w:rPr>
          <w:rFonts w:hint="eastAsia" w:ascii="宋体" w:hAnsi="宋体" w:eastAsia="宋体" w:cs="宋体"/>
          <w:color w:val="auto"/>
          <w:szCs w:val="21"/>
          <w:highlight w:val="none"/>
          <w:lang w:val="en-US" w:eastAsia="zh-CN"/>
        </w:rPr>
        <w:t xml:space="preserve">4 </w:t>
      </w:r>
      <w:r>
        <w:rPr>
          <w:rFonts w:hint="eastAsia" w:ascii="宋体" w:hAnsi="宋体" w:eastAsia="宋体" w:cs="宋体"/>
          <w:color w:val="auto"/>
          <w:szCs w:val="21"/>
          <w:highlight w:val="none"/>
          <w:lang w:val="zh-CN"/>
        </w:rPr>
        <w:t>本次评标的评分权重详见评标工作大纲。</w:t>
      </w:r>
    </w:p>
    <w:p w14:paraId="53D441A2">
      <w:pPr>
        <w:autoSpaceDE w:val="0"/>
        <w:autoSpaceDN w:val="0"/>
        <w:adjustRightInd w:val="0"/>
        <w:spacing w:line="360" w:lineRule="auto"/>
        <w:ind w:left="330" w:leftChars="-100" w:right="15" w:rightChars="7" w:hanging="54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w:t>
      </w:r>
      <w:r>
        <w:rPr>
          <w:rFonts w:hint="eastAsia" w:ascii="宋体" w:hAnsi="宋体" w:eastAsia="宋体" w:cs="宋体"/>
          <w:color w:val="auto"/>
          <w:szCs w:val="21"/>
          <w:highlight w:val="none"/>
          <w:lang w:val="en-US" w:eastAsia="zh-CN"/>
        </w:rPr>
        <w:t xml:space="preserve">5 </w:t>
      </w:r>
      <w:r>
        <w:rPr>
          <w:rFonts w:hint="eastAsia" w:ascii="宋体" w:hAnsi="宋体" w:eastAsia="宋体" w:cs="宋体"/>
          <w:color w:val="auto"/>
          <w:szCs w:val="21"/>
          <w:highlight w:val="none"/>
          <w:lang w:val="zh-CN"/>
        </w:rPr>
        <w:t>根据上述商务及技术综合评价的权重分配计算出各投标人的综合得分。</w:t>
      </w:r>
    </w:p>
    <w:p w14:paraId="19F0634C">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color w:val="auto"/>
          <w:szCs w:val="21"/>
          <w:highlight w:val="none"/>
          <w:lang w:val="zh-CN"/>
        </w:rPr>
      </w:pPr>
      <w:bookmarkStart w:id="420" w:name="_Toc522047356"/>
      <w:bookmarkStart w:id="421" w:name="_Toc521918097"/>
    </w:p>
    <w:p w14:paraId="604BDBAA">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422" w:name="_Toc30782"/>
      <w:bookmarkStart w:id="423" w:name="_Toc12567"/>
      <w:bookmarkStart w:id="424" w:name="_Toc15988"/>
      <w:bookmarkStart w:id="425" w:name="_Toc142508344"/>
      <w:bookmarkStart w:id="426" w:name="_Toc14804"/>
      <w:bookmarkStart w:id="427" w:name="_Toc12070"/>
      <w:bookmarkStart w:id="428" w:name="_Toc21460_WPSOffice_Level3"/>
      <w:bookmarkStart w:id="429" w:name="_Toc10278"/>
      <w:bookmarkStart w:id="430" w:name="_Toc16829"/>
      <w:bookmarkStart w:id="431" w:name="_Toc27026"/>
      <w:r>
        <w:rPr>
          <w:rFonts w:hint="eastAsia" w:ascii="宋体" w:hAnsi="宋体" w:eastAsia="宋体" w:cs="宋体"/>
          <w:color w:val="auto"/>
          <w:szCs w:val="21"/>
          <w:highlight w:val="none"/>
          <w:lang w:val="zh-CN"/>
        </w:rPr>
        <w:t>28 评标原则及方法</w:t>
      </w:r>
      <w:bookmarkEnd w:id="420"/>
      <w:bookmarkEnd w:id="421"/>
      <w:bookmarkEnd w:id="422"/>
      <w:bookmarkEnd w:id="423"/>
      <w:bookmarkEnd w:id="424"/>
      <w:bookmarkEnd w:id="425"/>
      <w:bookmarkEnd w:id="426"/>
      <w:bookmarkEnd w:id="427"/>
      <w:bookmarkEnd w:id="428"/>
      <w:bookmarkEnd w:id="429"/>
      <w:bookmarkEnd w:id="430"/>
      <w:bookmarkEnd w:id="431"/>
    </w:p>
    <w:p w14:paraId="708B66A7">
      <w:pPr>
        <w:tabs>
          <w:tab w:val="left" w:pos="567"/>
        </w:tabs>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对所有投标文件的评审，都采用相同的程序和标准。按步骤先进行初步评审，再进行商务</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lang w:val="zh-CN"/>
        </w:rPr>
        <w:t>技术评审。</w:t>
      </w:r>
    </w:p>
    <w:p w14:paraId="324A856E">
      <w:pPr>
        <w:tabs>
          <w:tab w:val="left" w:pos="360"/>
        </w:tabs>
        <w:autoSpaceDE w:val="0"/>
        <w:autoSpaceDN w:val="0"/>
        <w:adjustRightInd w:val="0"/>
        <w:spacing w:line="360" w:lineRule="auto"/>
        <w:ind w:left="330" w:leftChars="-100" w:right="44" w:rightChars="21" w:hanging="54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14:paraId="75835E58">
      <w:pPr>
        <w:tabs>
          <w:tab w:val="left" w:pos="360"/>
        </w:tabs>
        <w:autoSpaceDE w:val="0"/>
        <w:autoSpaceDN w:val="0"/>
        <w:adjustRightInd w:val="0"/>
        <w:spacing w:line="360" w:lineRule="auto"/>
        <w:ind w:left="330" w:leftChars="-100" w:right="44" w:rightChars="21" w:hanging="54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在评标时将根据第27条，采用综合评分法的评审方法，对所有实质响应性投标文件进行综合打分。</w:t>
      </w:r>
    </w:p>
    <w:p w14:paraId="111BA1CF">
      <w:pPr>
        <w:autoSpaceDE w:val="0"/>
        <w:autoSpaceDN w:val="0"/>
        <w:adjustRightInd w:val="0"/>
        <w:spacing w:line="360" w:lineRule="auto"/>
        <w:ind w:left="357" w:leftChars="-100" w:hanging="567" w:hangingChars="27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u w:val="single"/>
          <w:lang w:val="zh-CN"/>
        </w:rPr>
        <w:t>若</w:t>
      </w:r>
      <w:r>
        <w:rPr>
          <w:rFonts w:hint="eastAsia" w:ascii="宋体" w:hAnsi="宋体" w:eastAsia="宋体" w:cs="宋体"/>
          <w:b/>
          <w:bCs/>
          <w:color w:val="auto"/>
          <w:szCs w:val="21"/>
          <w:highlight w:val="none"/>
          <w:u w:val="single"/>
        </w:rPr>
        <w:t>本次招标过程中有效投标人不足三个时，公开招标失败</w:t>
      </w:r>
      <w:r>
        <w:rPr>
          <w:rFonts w:hint="eastAsia" w:ascii="宋体" w:hAnsi="宋体" w:eastAsia="宋体" w:cs="宋体"/>
          <w:b/>
          <w:bCs/>
          <w:color w:val="auto"/>
          <w:szCs w:val="21"/>
          <w:highlight w:val="none"/>
        </w:rPr>
        <w:t>。</w:t>
      </w:r>
    </w:p>
    <w:p w14:paraId="3A6945C4">
      <w:pPr>
        <w:tabs>
          <w:tab w:val="left" w:pos="360"/>
        </w:tabs>
        <w:autoSpaceDE w:val="0"/>
        <w:autoSpaceDN w:val="0"/>
        <w:adjustRightInd w:val="0"/>
        <w:spacing w:line="360" w:lineRule="auto"/>
        <w:ind w:left="330" w:leftChars="-100" w:right="44" w:rightChars="21" w:hanging="540"/>
        <w:outlineLvl w:val="9"/>
        <w:rPr>
          <w:rFonts w:hint="eastAsia" w:ascii="宋体" w:hAnsi="宋体" w:eastAsia="宋体" w:cs="宋体"/>
          <w:color w:val="auto"/>
          <w:szCs w:val="21"/>
          <w:highlight w:val="none"/>
          <w:lang w:val="zh-CN"/>
        </w:rPr>
      </w:pPr>
    </w:p>
    <w:p w14:paraId="46260845">
      <w:pPr>
        <w:tabs>
          <w:tab w:val="left" w:pos="525"/>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432" w:name="_Toc29588"/>
      <w:bookmarkStart w:id="433" w:name="_Toc486167694"/>
      <w:bookmarkStart w:id="434" w:name="_Toc466882017"/>
      <w:bookmarkStart w:id="435" w:name="_Toc26327"/>
      <w:bookmarkStart w:id="436" w:name="_Toc142508345"/>
      <w:bookmarkStart w:id="437" w:name="_Toc465358969"/>
      <w:bookmarkStart w:id="438" w:name="_Toc4892"/>
      <w:bookmarkStart w:id="439" w:name="_Toc32662"/>
      <w:bookmarkStart w:id="440" w:name="_Toc32498_WPSOffice_Level3"/>
      <w:bookmarkStart w:id="441" w:name="_Toc11615"/>
      <w:bookmarkStart w:id="442" w:name="_Toc6204"/>
      <w:bookmarkStart w:id="443" w:name="_Toc394"/>
      <w:bookmarkStart w:id="444" w:name="_Toc4819"/>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评标结果公示及异议、投诉</w:t>
      </w:r>
      <w:bookmarkEnd w:id="432"/>
      <w:bookmarkEnd w:id="433"/>
      <w:bookmarkEnd w:id="434"/>
      <w:bookmarkEnd w:id="435"/>
      <w:bookmarkEnd w:id="436"/>
      <w:bookmarkEnd w:id="437"/>
      <w:bookmarkEnd w:id="438"/>
      <w:bookmarkEnd w:id="439"/>
      <w:bookmarkEnd w:id="440"/>
      <w:bookmarkEnd w:id="441"/>
      <w:bookmarkEnd w:id="442"/>
      <w:bookmarkEnd w:id="443"/>
      <w:bookmarkEnd w:id="444"/>
    </w:p>
    <w:p w14:paraId="0F0AD5EA">
      <w:pPr>
        <w:tabs>
          <w:tab w:val="left" w:pos="360"/>
        </w:tabs>
        <w:autoSpaceDE w:val="0"/>
        <w:autoSpaceDN w:val="0"/>
        <w:adjustRightInd w:val="0"/>
        <w:spacing w:line="360" w:lineRule="auto"/>
        <w:ind w:left="330" w:leftChars="-100" w:right="44" w:rightChars="21" w:hanging="54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 招标代理机构在招标公告发布媒介公示中标候选人，公示期</w:t>
      </w:r>
      <w:r>
        <w:rPr>
          <w:rFonts w:hint="eastAsia" w:ascii="宋体" w:hAnsi="宋体" w:eastAsia="宋体" w:cs="宋体"/>
          <w:color w:val="auto"/>
          <w:szCs w:val="21"/>
          <w:highlight w:val="none"/>
          <w:lang w:val="en-US" w:eastAsia="zh-CN"/>
        </w:rPr>
        <w:t>不得少于</w:t>
      </w:r>
      <w:r>
        <w:rPr>
          <w:rFonts w:hint="eastAsia" w:ascii="宋体" w:hAnsi="宋体" w:eastAsia="宋体" w:cs="宋体"/>
          <w:color w:val="auto"/>
          <w:szCs w:val="21"/>
          <w:highlight w:val="none"/>
          <w:lang w:val="zh-CN"/>
        </w:rPr>
        <w:t>3日（</w:t>
      </w:r>
      <w:r>
        <w:rPr>
          <w:rFonts w:hint="eastAsia" w:ascii="宋体" w:hAnsi="宋体" w:eastAsia="宋体" w:cs="宋体"/>
          <w:color w:val="auto"/>
          <w:szCs w:val="21"/>
          <w:highlight w:val="none"/>
          <w:lang w:val="en-US" w:eastAsia="zh-CN"/>
        </w:rPr>
        <w:t>最后一日是节假日或公休日的，顺延到节假日或公休日后第一个工作日</w:t>
      </w:r>
      <w:r>
        <w:rPr>
          <w:rFonts w:hint="eastAsia" w:ascii="宋体" w:hAnsi="宋体" w:eastAsia="宋体" w:cs="宋体"/>
          <w:color w:val="auto"/>
          <w:szCs w:val="21"/>
          <w:highlight w:val="none"/>
          <w:lang w:val="zh-CN"/>
        </w:rPr>
        <w:t>）。投标人或者其他利害关系人对评标结果有异议的，应当在</w:t>
      </w:r>
      <w:r>
        <w:rPr>
          <w:rFonts w:hint="eastAsia" w:ascii="宋体" w:hAnsi="宋体" w:eastAsia="宋体" w:cs="宋体"/>
          <w:color w:val="auto"/>
          <w:szCs w:val="21"/>
          <w:highlight w:val="none"/>
        </w:rPr>
        <w:t>评标结果</w:t>
      </w:r>
      <w:r>
        <w:rPr>
          <w:rFonts w:hint="eastAsia" w:ascii="宋体" w:hAnsi="宋体" w:eastAsia="宋体" w:cs="宋体"/>
          <w:color w:val="auto"/>
          <w:szCs w:val="21"/>
          <w:highlight w:val="none"/>
          <w:lang w:val="zh-CN"/>
        </w:rPr>
        <w:t>公示期间向招标代理机构以书面的形式提出，并将完整的异议书面材料原件送达招标代理机构，逾期则视为对评标结果无异议。超出提交异议截止时间而提出的任何疑问，招标代理机构可不予答复。</w:t>
      </w:r>
    </w:p>
    <w:p w14:paraId="3328A226">
      <w:pPr>
        <w:autoSpaceDE w:val="0"/>
        <w:autoSpaceDN w:val="0"/>
        <w:adjustRightInd w:val="0"/>
        <w:snapToGrid w:val="0"/>
        <w:spacing w:line="360" w:lineRule="auto"/>
        <w:ind w:left="210" w:leftChars="100" w:firstLine="525" w:firstLineChars="250"/>
        <w:jc w:val="left"/>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招标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r>
        <w:rPr>
          <w:rFonts w:hint="eastAsia" w:ascii="宋体" w:hAnsi="宋体" w:eastAsia="宋体" w:cs="宋体"/>
          <w:color w:val="auto"/>
          <w:kern w:val="0"/>
          <w:szCs w:val="21"/>
          <w:highlight w:val="none"/>
          <w:lang w:val="zh-CN"/>
        </w:rPr>
        <w:t>。</w:t>
      </w:r>
    </w:p>
    <w:p w14:paraId="45D86BC8">
      <w:pPr>
        <w:autoSpaceDE/>
        <w:autoSpaceDN/>
        <w:adjustRightInd w:val="0"/>
        <w:spacing w:line="360" w:lineRule="auto"/>
        <w:ind w:left="317" w:leftChars="-100" w:hanging="527" w:hangingChars="250"/>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 xml:space="preserve">29.2 </w:t>
      </w:r>
      <w:r>
        <w:rPr>
          <w:rFonts w:hint="eastAsia" w:ascii="宋体" w:hAnsi="宋体" w:eastAsia="宋体" w:cs="宋体"/>
          <w:b/>
          <w:color w:val="auto"/>
          <w:szCs w:val="21"/>
          <w:highlight w:val="none"/>
          <w:u w:val="single"/>
          <w:lang w:val="zh-CN"/>
        </w:rPr>
        <w:t>结果公示后，招标人有权要求中标候选人在结果公示之日起3日（</w:t>
      </w:r>
      <w:r>
        <w:rPr>
          <w:rFonts w:hint="eastAsia" w:ascii="宋体" w:hAnsi="宋体" w:eastAsia="宋体" w:cs="宋体"/>
          <w:b/>
          <w:color w:val="auto"/>
          <w:szCs w:val="21"/>
          <w:highlight w:val="none"/>
          <w:u w:val="single"/>
          <w:lang w:val="en-US" w:eastAsia="zh-CN"/>
        </w:rPr>
        <w:t>最后一日是节假日或公休日的，顺延到节假日或公休日后第一个工作日</w:t>
      </w:r>
      <w:r>
        <w:rPr>
          <w:rFonts w:hint="eastAsia" w:ascii="宋体" w:hAnsi="宋体" w:eastAsia="宋体" w:cs="宋体"/>
          <w:b/>
          <w:color w:val="auto"/>
          <w:szCs w:val="21"/>
          <w:highlight w:val="none"/>
          <w:u w:val="single"/>
          <w:lang w:val="zh-CN"/>
        </w:rPr>
        <w:t>）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移交司法机关处理</w:t>
      </w:r>
      <w:r>
        <w:rPr>
          <w:rFonts w:hint="eastAsia" w:ascii="宋体" w:hAnsi="宋体" w:eastAsia="宋体" w:cs="宋体"/>
          <w:b/>
          <w:color w:val="auto"/>
          <w:szCs w:val="21"/>
          <w:highlight w:val="none"/>
          <w:lang w:val="zh-CN"/>
        </w:rPr>
        <w:t>。</w:t>
      </w:r>
    </w:p>
    <w:p w14:paraId="70B7AF69">
      <w:pPr>
        <w:autoSpaceDE w:val="0"/>
        <w:autoSpaceDN w:val="0"/>
        <w:adjustRightInd w:val="0"/>
        <w:snapToGrid w:val="0"/>
        <w:spacing w:line="360" w:lineRule="auto"/>
        <w:ind w:left="246" w:leftChars="117" w:firstLine="422" w:firstLineChars="200"/>
        <w:jc w:val="left"/>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u w:val="singl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宋体"/>
          <w:b/>
          <w:color w:val="auto"/>
          <w:kern w:val="0"/>
          <w:szCs w:val="21"/>
          <w:highlight w:val="none"/>
          <w:u w:val="single"/>
        </w:rPr>
        <w:t>第一中标候选人未能在招标人（或其委托的招标代理机构) 书面要求的时间(一般不少于三个工作日) 内提供完整的材料原件进行核查的</w:t>
      </w:r>
      <w:r>
        <w:rPr>
          <w:rFonts w:hint="eastAsia" w:ascii="宋体" w:hAnsi="宋体" w:eastAsia="宋体" w:cs="宋体"/>
          <w:b/>
          <w:color w:val="auto"/>
          <w:szCs w:val="21"/>
          <w:highlight w:val="none"/>
          <w:u w:val="single"/>
          <w:lang w:val="zh-CN"/>
        </w:rPr>
        <w:t>，视为其无法提供真实的资料，招标人有权取消其中标候选人资格</w:t>
      </w:r>
      <w:r>
        <w:rPr>
          <w:rFonts w:hint="eastAsia" w:ascii="宋体" w:hAnsi="宋体" w:eastAsia="宋体" w:cs="宋体"/>
          <w:b/>
          <w:color w:val="auto"/>
          <w:szCs w:val="21"/>
          <w:highlight w:val="none"/>
          <w:lang w:val="zh-CN"/>
        </w:rPr>
        <w:t>。</w:t>
      </w:r>
    </w:p>
    <w:p w14:paraId="78F3A535">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51FF0ABE">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5BC4803E">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0E04036B">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3491F951">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3D2BFA80">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53D6106F">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0D58EDAD">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11E9C87D">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投诉人投诉的事项不得超出已异议事项的范围，但基于异议答复内容提出的投诉事项除外。</w:t>
      </w:r>
    </w:p>
    <w:p w14:paraId="4F0EDCF4">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监督部门：东莞市水务集团有限公司，联系人：莫先生，联系电话：0769-28823251。</w:t>
      </w:r>
    </w:p>
    <w:p w14:paraId="35E4016C">
      <w:pPr>
        <w:autoSpaceDE w:val="0"/>
        <w:autoSpaceDN w:val="0"/>
        <w:adjustRightInd w:val="0"/>
        <w:snapToGrid w:val="0"/>
        <w:spacing w:line="360" w:lineRule="auto"/>
        <w:ind w:left="296" w:leftChars="100" w:hanging="86" w:hangingChars="41"/>
        <w:jc w:val="left"/>
        <w:outlineLvl w:val="9"/>
        <w:rPr>
          <w:rFonts w:hint="eastAsia" w:ascii="宋体" w:hAnsi="宋体" w:eastAsia="宋体" w:cs="宋体"/>
          <w:color w:val="auto"/>
          <w:szCs w:val="21"/>
          <w:highlight w:val="none"/>
          <w:lang w:val="zh-CN"/>
        </w:rPr>
      </w:pPr>
    </w:p>
    <w:p w14:paraId="3A23D2AF">
      <w:pPr>
        <w:tabs>
          <w:tab w:val="left" w:pos="567"/>
        </w:tabs>
        <w:autoSpaceDE w:val="0"/>
        <w:autoSpaceDN w:val="0"/>
        <w:adjustRightInd w:val="0"/>
        <w:spacing w:line="360" w:lineRule="auto"/>
        <w:ind w:left="288" w:leftChars="-100" w:hanging="498" w:hangingChars="236"/>
        <w:outlineLvl w:val="2"/>
        <w:rPr>
          <w:rFonts w:hint="eastAsia" w:ascii="宋体" w:hAnsi="宋体" w:eastAsia="宋体" w:cs="宋体"/>
          <w:b/>
          <w:color w:val="auto"/>
          <w:szCs w:val="21"/>
          <w:highlight w:val="none"/>
          <w:lang w:val="zh-CN"/>
        </w:rPr>
      </w:pPr>
      <w:bookmarkStart w:id="445" w:name="_Toc26354"/>
      <w:bookmarkStart w:id="446" w:name="_Toc142508346"/>
      <w:bookmarkStart w:id="447" w:name="_Toc9958"/>
      <w:bookmarkStart w:id="448" w:name="_Toc3154"/>
      <w:bookmarkStart w:id="449" w:name="_Toc1848_WPSOffice_Level3"/>
      <w:bookmarkStart w:id="450" w:name="_Toc20025"/>
      <w:bookmarkStart w:id="451" w:name="_Toc465358970"/>
      <w:bookmarkStart w:id="452" w:name="_Toc2077"/>
      <w:bookmarkStart w:id="453" w:name="_Toc15998"/>
      <w:bookmarkStart w:id="454" w:name="_Toc466882018"/>
      <w:bookmarkStart w:id="455" w:name="_Toc486167695"/>
      <w:bookmarkStart w:id="456" w:name="_Toc20021"/>
      <w:bookmarkStart w:id="457" w:name="_Toc7095"/>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445"/>
      <w:bookmarkEnd w:id="446"/>
      <w:bookmarkEnd w:id="447"/>
      <w:bookmarkEnd w:id="448"/>
      <w:bookmarkEnd w:id="449"/>
      <w:bookmarkEnd w:id="450"/>
      <w:bookmarkEnd w:id="451"/>
      <w:bookmarkEnd w:id="452"/>
      <w:bookmarkEnd w:id="453"/>
      <w:bookmarkEnd w:id="454"/>
      <w:bookmarkEnd w:id="455"/>
      <w:bookmarkEnd w:id="456"/>
      <w:bookmarkEnd w:id="457"/>
    </w:p>
    <w:p w14:paraId="34E94169">
      <w:pPr>
        <w:autoSpaceDE w:val="0"/>
        <w:autoSpaceDN w:val="0"/>
        <w:adjustRightInd w:val="0"/>
        <w:snapToGrid w:val="0"/>
        <w:spacing w:line="360" w:lineRule="auto"/>
        <w:ind w:left="321" w:leftChars="-100" w:hanging="531" w:hangingChars="252"/>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30.1 </w:t>
      </w:r>
      <w:r>
        <w:rPr>
          <w:rFonts w:hint="eastAsia" w:ascii="宋体" w:hAnsi="宋体" w:eastAsia="宋体" w:cs="宋体"/>
          <w:b/>
          <w:color w:val="auto"/>
          <w:szCs w:val="21"/>
          <w:highlight w:val="none"/>
          <w:u w:val="single"/>
        </w:rPr>
        <w:t>在</w:t>
      </w:r>
      <w:r>
        <w:rPr>
          <w:rFonts w:hint="eastAsia" w:ascii="宋体" w:hAnsi="宋体" w:eastAsia="宋体" w:cs="宋体"/>
          <w:b/>
          <w:color w:val="auto"/>
          <w:kern w:val="0"/>
          <w:szCs w:val="21"/>
          <w:highlight w:val="none"/>
          <w:u w:val="singl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宋体"/>
          <w:b/>
          <w:color w:val="auto"/>
          <w:szCs w:val="21"/>
          <w:highlight w:val="none"/>
          <w:u w:val="single"/>
          <w:lang w:val="zh-CN"/>
        </w:rPr>
        <w:t>如有需要，投标人有义务提供投标文件外其他相关证明资料原件（包括但不限于业绩合同对应的发票等）供招标人核查。</w:t>
      </w:r>
      <w:r>
        <w:rPr>
          <w:rFonts w:hint="eastAsia" w:ascii="宋体" w:hAnsi="宋体" w:eastAsia="宋体" w:cs="宋体"/>
          <w:b/>
          <w:color w:val="auto"/>
          <w:kern w:val="0"/>
          <w:szCs w:val="21"/>
          <w:highlight w:val="none"/>
          <w:u w:val="singl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504C33CE">
      <w:pPr>
        <w:autoSpaceDE w:val="0"/>
        <w:autoSpaceDN w:val="0"/>
        <w:adjustRightInd w:val="0"/>
        <w:snapToGrid w:val="0"/>
        <w:spacing w:line="360" w:lineRule="auto"/>
        <w:ind w:left="321" w:leftChars="-100" w:hanging="531" w:hangingChars="252"/>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30.2 </w:t>
      </w:r>
      <w:r>
        <w:rPr>
          <w:rFonts w:hint="eastAsia" w:ascii="宋体" w:hAnsi="宋体" w:eastAsia="宋体" w:cs="宋体"/>
          <w:b/>
          <w:color w:val="auto"/>
          <w:szCs w:val="21"/>
          <w:highlight w:val="none"/>
          <w:u w:val="single"/>
        </w:rPr>
        <w:t>投标人</w:t>
      </w:r>
      <w:r>
        <w:rPr>
          <w:rFonts w:hint="eastAsia" w:ascii="宋体" w:hAnsi="宋体" w:eastAsia="宋体" w:cs="宋体"/>
          <w:b/>
          <w:color w:val="auto"/>
          <w:kern w:val="0"/>
          <w:szCs w:val="21"/>
          <w:highlight w:val="none"/>
          <w:u w:val="single"/>
        </w:rPr>
        <w:t>在招标人（或其委托的招标代理机构）、或评标委员会通知其提供</w:t>
      </w:r>
      <w:r>
        <w:rPr>
          <w:rFonts w:hint="eastAsia" w:ascii="宋体" w:hAnsi="宋体" w:eastAsia="宋体" w:cs="宋体"/>
          <w:b/>
          <w:color w:val="auto"/>
          <w:szCs w:val="21"/>
          <w:highlight w:val="none"/>
          <w:u w:val="single"/>
          <w:lang w:val="zh-CN"/>
        </w:rPr>
        <w:t>上述投标文件或投标文件外其他相关（包括但不限于业绩合同对应的发票等）的证明资料原件</w:t>
      </w:r>
      <w:r>
        <w:rPr>
          <w:rFonts w:hint="eastAsia" w:ascii="宋体" w:hAnsi="宋体" w:eastAsia="宋体" w:cs="宋体"/>
          <w:b/>
          <w:color w:val="auto"/>
          <w:kern w:val="0"/>
          <w:szCs w:val="21"/>
          <w:highlight w:val="none"/>
          <w:u w:val="singl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013422F9">
      <w:pPr>
        <w:autoSpaceDE w:val="0"/>
        <w:autoSpaceDN w:val="0"/>
        <w:adjustRightInd w:val="0"/>
        <w:snapToGrid w:val="0"/>
        <w:spacing w:line="360" w:lineRule="auto"/>
        <w:ind w:left="321" w:leftChars="-100" w:hanging="531" w:hangingChars="252"/>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30.3 </w:t>
      </w:r>
      <w:r>
        <w:rPr>
          <w:rFonts w:hint="eastAsia" w:ascii="宋体" w:hAnsi="宋体" w:eastAsia="宋体" w:cs="宋体"/>
          <w:b/>
          <w:color w:val="auto"/>
          <w:szCs w:val="21"/>
          <w:highlight w:val="none"/>
          <w:u w:val="single"/>
        </w:rPr>
        <w:t>若投标人在投标或履约过程中存在提供虚假材料、虚假响应招标文件要求等弄虚作假行为，或未能根据本须知29.2款约定按时提供原件进行核查的，或不按照投标文件承诺履约或撤回投标或放弃中标资格或不按要求与招标人签订合同等影响中标结果的行为，因此导致投标人无法参与东莞市水务集团有限公司相关招标采购等活动的，由投标人自行承担全部后果</w:t>
      </w:r>
      <w:r>
        <w:rPr>
          <w:rFonts w:hint="eastAsia" w:ascii="宋体" w:hAnsi="宋体" w:eastAsia="宋体" w:cs="宋体"/>
          <w:b/>
          <w:color w:val="auto"/>
          <w:szCs w:val="21"/>
          <w:highlight w:val="none"/>
        </w:rPr>
        <w:t>。</w:t>
      </w:r>
    </w:p>
    <w:p w14:paraId="17E52380">
      <w:pPr>
        <w:autoSpaceDE w:val="0"/>
        <w:autoSpaceDN w:val="0"/>
        <w:adjustRightInd w:val="0"/>
        <w:snapToGrid w:val="0"/>
        <w:spacing w:line="360" w:lineRule="auto"/>
        <w:jc w:val="left"/>
        <w:outlineLvl w:val="9"/>
        <w:rPr>
          <w:rFonts w:hint="eastAsia" w:ascii="宋体" w:hAnsi="宋体" w:eastAsia="宋体" w:cs="宋体"/>
          <w:color w:val="auto"/>
          <w:szCs w:val="21"/>
          <w:highlight w:val="none"/>
        </w:rPr>
      </w:pPr>
      <w:bookmarkStart w:id="458" w:name="_Toc465358971"/>
      <w:bookmarkStart w:id="459" w:name="_Toc466882019"/>
    </w:p>
    <w:p w14:paraId="54F403AA">
      <w:pPr>
        <w:tabs>
          <w:tab w:val="left" w:pos="567"/>
        </w:tabs>
        <w:autoSpaceDE w:val="0"/>
        <w:autoSpaceDN w:val="0"/>
        <w:adjustRightInd w:val="0"/>
        <w:spacing w:line="360" w:lineRule="auto"/>
        <w:ind w:left="16" w:leftChars="-59" w:hanging="140" w:hangingChars="67"/>
        <w:outlineLvl w:val="2"/>
        <w:rPr>
          <w:rFonts w:hint="eastAsia" w:ascii="宋体" w:hAnsi="宋体" w:eastAsia="宋体" w:cs="宋体"/>
          <w:color w:val="auto"/>
          <w:szCs w:val="21"/>
          <w:highlight w:val="none"/>
          <w:lang w:val="zh-CN"/>
        </w:rPr>
      </w:pPr>
      <w:bookmarkStart w:id="460" w:name="_Toc10867_WPSOffice_Level3"/>
      <w:bookmarkStart w:id="461" w:name="_Toc23672"/>
      <w:bookmarkStart w:id="462" w:name="_Toc9432"/>
      <w:bookmarkStart w:id="463" w:name="_Toc30562"/>
      <w:bookmarkStart w:id="464" w:name="_Toc8654"/>
      <w:bookmarkStart w:id="465" w:name="_Toc142508347"/>
      <w:bookmarkStart w:id="466" w:name="_Toc13307"/>
      <w:bookmarkStart w:id="467" w:name="_Toc27328"/>
      <w:bookmarkStart w:id="468" w:name="_Toc15815"/>
      <w:bookmarkStart w:id="469" w:name="_Toc19025"/>
      <w:bookmarkStart w:id="470" w:name="_Toc486167696"/>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458"/>
      <w:bookmarkEnd w:id="459"/>
      <w:bookmarkEnd w:id="460"/>
      <w:bookmarkEnd w:id="461"/>
      <w:bookmarkEnd w:id="462"/>
      <w:bookmarkEnd w:id="463"/>
      <w:bookmarkEnd w:id="464"/>
      <w:bookmarkEnd w:id="465"/>
      <w:bookmarkEnd w:id="466"/>
      <w:bookmarkEnd w:id="467"/>
      <w:bookmarkEnd w:id="468"/>
      <w:bookmarkEnd w:id="469"/>
      <w:bookmarkEnd w:id="470"/>
    </w:p>
    <w:p w14:paraId="73F768C3">
      <w:pPr>
        <w:autoSpaceDE w:val="0"/>
        <w:autoSpaceDN w:val="0"/>
        <w:adjustRightInd w:val="0"/>
        <w:spacing w:line="360" w:lineRule="auto"/>
        <w:ind w:left="248" w:leftChars="118"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1A8A29C6">
      <w:pPr>
        <w:autoSpaceDE w:val="0"/>
        <w:autoSpaceDN w:val="0"/>
        <w:adjustRightInd w:val="0"/>
        <w:snapToGrid w:val="0"/>
        <w:spacing w:line="360" w:lineRule="auto"/>
        <w:ind w:left="436" w:leftChars="-158" w:hanging="768" w:hangingChars="320"/>
        <w:jc w:val="left"/>
        <w:outlineLvl w:val="9"/>
        <w:rPr>
          <w:rFonts w:hint="eastAsia" w:ascii="宋体" w:hAnsi="宋体" w:eastAsia="宋体" w:cs="宋体"/>
          <w:color w:val="auto"/>
          <w:kern w:val="44"/>
          <w:sz w:val="24"/>
          <w:szCs w:val="24"/>
          <w:highlight w:val="none"/>
          <w:lang w:val="zh-CN"/>
        </w:rPr>
      </w:pPr>
      <w:bookmarkStart w:id="471" w:name="_Toc450662880"/>
    </w:p>
    <w:p w14:paraId="183657C6">
      <w:pPr>
        <w:keepNext/>
        <w:keepLines/>
        <w:autoSpaceDE w:val="0"/>
        <w:autoSpaceDN w:val="0"/>
        <w:adjustRightInd w:val="0"/>
        <w:spacing w:line="360" w:lineRule="auto"/>
        <w:jc w:val="left"/>
        <w:outlineLvl w:val="1"/>
        <w:rPr>
          <w:rFonts w:hint="eastAsia" w:ascii="宋体" w:hAnsi="宋体" w:eastAsia="宋体" w:cs="宋体"/>
          <w:b/>
          <w:bCs/>
          <w:color w:val="auto"/>
          <w:kern w:val="44"/>
          <w:szCs w:val="21"/>
          <w:highlight w:val="none"/>
          <w:lang w:val="zh-CN"/>
        </w:rPr>
      </w:pPr>
      <w:bookmarkStart w:id="472" w:name="_Toc16848_WPSOffice_Level2"/>
      <w:bookmarkStart w:id="473" w:name="_Toc140596907"/>
      <w:bookmarkStart w:id="474" w:name="_Toc11941"/>
      <w:bookmarkStart w:id="475" w:name="_Toc27936"/>
      <w:bookmarkStart w:id="476" w:name="_Toc29585"/>
      <w:bookmarkStart w:id="477" w:name="_Toc6059"/>
      <w:bookmarkStart w:id="478" w:name="_Toc16789"/>
      <w:bookmarkStart w:id="479" w:name="_Toc142508348"/>
      <w:bookmarkStart w:id="480" w:name="_Toc486167697"/>
      <w:bookmarkStart w:id="481" w:name="_Toc30538"/>
      <w:bookmarkStart w:id="482" w:name="_Toc2960"/>
      <w:bookmarkStart w:id="483" w:name="_Toc6958"/>
      <w:r>
        <w:rPr>
          <w:rFonts w:hint="eastAsia" w:ascii="宋体" w:hAnsi="宋体" w:eastAsia="宋体" w:cs="宋体"/>
          <w:b/>
          <w:bCs/>
          <w:color w:val="auto"/>
          <w:kern w:val="44"/>
          <w:szCs w:val="21"/>
          <w:highlight w:val="none"/>
          <w:lang w:val="zh-CN"/>
        </w:rPr>
        <w:t>六、授予合同</w:t>
      </w:r>
      <w:bookmarkEnd w:id="471"/>
      <w:bookmarkEnd w:id="472"/>
      <w:bookmarkEnd w:id="473"/>
      <w:bookmarkEnd w:id="474"/>
      <w:bookmarkEnd w:id="475"/>
      <w:bookmarkEnd w:id="476"/>
      <w:bookmarkEnd w:id="477"/>
      <w:bookmarkEnd w:id="478"/>
      <w:bookmarkEnd w:id="479"/>
      <w:bookmarkEnd w:id="480"/>
      <w:bookmarkEnd w:id="481"/>
      <w:bookmarkEnd w:id="482"/>
      <w:bookmarkEnd w:id="483"/>
    </w:p>
    <w:p w14:paraId="741C0934">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484" w:name="_Toc6401_WPSOffice_Level3"/>
      <w:bookmarkStart w:id="485" w:name="_Toc23139"/>
      <w:bookmarkStart w:id="486" w:name="_Toc31713"/>
      <w:bookmarkStart w:id="487" w:name="_Toc9067"/>
      <w:bookmarkStart w:id="488" w:name="_Toc4948"/>
      <w:bookmarkStart w:id="489" w:name="_Toc486167698"/>
      <w:bookmarkStart w:id="490" w:name="_Toc3957"/>
      <w:bookmarkStart w:id="491" w:name="_Toc29383"/>
      <w:bookmarkStart w:id="492" w:name="_Toc16690"/>
      <w:bookmarkStart w:id="493" w:name="_Toc142508349"/>
      <w:bookmarkStart w:id="494" w:name="_Toc25080"/>
      <w:bookmarkStart w:id="495" w:name="_Toc450662881"/>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 xml:space="preserve"> 授予合同的准则</w:t>
      </w:r>
      <w:bookmarkEnd w:id="484"/>
      <w:bookmarkEnd w:id="485"/>
      <w:bookmarkEnd w:id="486"/>
      <w:bookmarkEnd w:id="487"/>
      <w:bookmarkEnd w:id="488"/>
      <w:bookmarkEnd w:id="489"/>
      <w:bookmarkEnd w:id="490"/>
      <w:bookmarkEnd w:id="491"/>
      <w:bookmarkEnd w:id="492"/>
      <w:bookmarkEnd w:id="493"/>
      <w:bookmarkEnd w:id="494"/>
      <w:bookmarkEnd w:id="495"/>
    </w:p>
    <w:p w14:paraId="61439A4E">
      <w:pPr>
        <w:tabs>
          <w:tab w:val="left" w:pos="645"/>
        </w:tabs>
        <w:autoSpaceDE w:val="0"/>
        <w:autoSpaceDN w:val="0"/>
        <w:adjustRightInd w:val="0"/>
        <w:spacing w:line="360" w:lineRule="auto"/>
        <w:ind w:left="315" w:leftChars="-100" w:right="44" w:rightChars="21"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14:paraId="5E011E98">
      <w:pPr>
        <w:numPr>
          <w:ilvl w:val="1"/>
          <w:numId w:val="0"/>
        </w:numPr>
        <w:tabs>
          <w:tab w:val="left" w:pos="540"/>
        </w:tabs>
        <w:autoSpaceDE w:val="0"/>
        <w:autoSpaceDN w:val="0"/>
        <w:adjustRightInd w:val="0"/>
        <w:spacing w:line="360" w:lineRule="auto"/>
        <w:ind w:left="330" w:leftChars="-100" w:right="44" w:rightChars="21" w:hanging="54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041B493E">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14:paraId="6854A6B4">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lang w:val="zh-CN"/>
        </w:rPr>
      </w:pPr>
      <w:bookmarkStart w:id="496" w:name="_Toc450662885"/>
    </w:p>
    <w:p w14:paraId="2A699BB6">
      <w:pPr>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497" w:name="_Toc25680"/>
      <w:bookmarkStart w:id="498" w:name="_Toc486167699"/>
      <w:bookmarkStart w:id="499" w:name="_Toc18984"/>
      <w:bookmarkStart w:id="500" w:name="_Toc6726_WPSOffice_Level3"/>
      <w:bookmarkStart w:id="501" w:name="_Toc8196"/>
      <w:bookmarkStart w:id="502" w:name="_Toc17317"/>
      <w:bookmarkStart w:id="503" w:name="_Toc142508350"/>
      <w:bookmarkStart w:id="504" w:name="_Toc29042"/>
      <w:bookmarkStart w:id="505" w:name="_Toc14377"/>
      <w:bookmarkStart w:id="506" w:name="_Toc23010"/>
      <w:bookmarkStart w:id="507" w:name="_Toc155"/>
      <w:r>
        <w:rPr>
          <w:rFonts w:hint="eastAsia" w:ascii="宋体" w:hAnsi="宋体" w:eastAsia="宋体" w:cs="宋体"/>
          <w:color w:val="auto"/>
          <w:szCs w:val="21"/>
          <w:highlight w:val="none"/>
          <w:lang w:val="zh-CN"/>
        </w:rPr>
        <w:t>33 中标通知</w:t>
      </w:r>
      <w:bookmarkEnd w:id="496"/>
      <w:bookmarkEnd w:id="497"/>
      <w:bookmarkEnd w:id="498"/>
      <w:bookmarkEnd w:id="499"/>
      <w:bookmarkEnd w:id="500"/>
      <w:bookmarkEnd w:id="501"/>
      <w:bookmarkEnd w:id="502"/>
      <w:bookmarkEnd w:id="503"/>
      <w:bookmarkEnd w:id="504"/>
      <w:bookmarkEnd w:id="505"/>
      <w:bookmarkEnd w:id="506"/>
      <w:bookmarkEnd w:id="507"/>
    </w:p>
    <w:p w14:paraId="5A125284">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lang w:val="zh-CN"/>
        </w:rPr>
      </w:pPr>
      <w:bookmarkStart w:id="508"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招标代理机构向中标人发出书面通知，中标通知书是合同的一个组成部分。</w:t>
      </w:r>
    </w:p>
    <w:p w14:paraId="2844D906">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590CEC53">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lang w:val="zh-CN"/>
        </w:rPr>
      </w:pPr>
    </w:p>
    <w:p w14:paraId="656CB848">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509" w:name="_Toc7404"/>
      <w:bookmarkStart w:id="510" w:name="_Toc28020"/>
      <w:bookmarkStart w:id="511" w:name="_Toc19127"/>
      <w:bookmarkStart w:id="512" w:name="_Toc13715"/>
      <w:bookmarkStart w:id="513" w:name="_Toc9694_WPSOffice_Level3"/>
      <w:bookmarkStart w:id="514" w:name="_Toc12053"/>
      <w:bookmarkStart w:id="515" w:name="_Toc24361"/>
      <w:bookmarkStart w:id="516" w:name="_Toc1331"/>
      <w:bookmarkStart w:id="517" w:name="_Toc486167700"/>
      <w:bookmarkStart w:id="518" w:name="_Toc2153"/>
      <w:bookmarkStart w:id="519" w:name="_Toc142508351"/>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 xml:space="preserve"> 签署合同</w:t>
      </w:r>
      <w:bookmarkEnd w:id="508"/>
      <w:bookmarkEnd w:id="509"/>
      <w:bookmarkEnd w:id="510"/>
      <w:bookmarkEnd w:id="511"/>
      <w:bookmarkEnd w:id="512"/>
      <w:bookmarkEnd w:id="513"/>
      <w:bookmarkEnd w:id="514"/>
      <w:bookmarkEnd w:id="515"/>
      <w:bookmarkEnd w:id="516"/>
      <w:bookmarkEnd w:id="517"/>
      <w:bookmarkEnd w:id="518"/>
      <w:bookmarkEnd w:id="519"/>
    </w:p>
    <w:p w14:paraId="587E4FEF">
      <w:pPr>
        <w:tabs>
          <w:tab w:val="left" w:pos="540"/>
        </w:tabs>
        <w:autoSpaceDE w:val="0"/>
        <w:autoSpaceDN w:val="0"/>
        <w:adjustRightInd w:val="0"/>
        <w:spacing w:line="360" w:lineRule="auto"/>
        <w:ind w:left="315" w:leftChars="-100" w:right="15" w:rightChars="7"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14:paraId="296B1340">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lang w:val="zh-CN"/>
        </w:rPr>
      </w:pPr>
    </w:p>
    <w:p w14:paraId="7ABE5E21">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520" w:name="_Toc32166"/>
      <w:bookmarkStart w:id="521" w:name="_Toc5304"/>
      <w:bookmarkStart w:id="522" w:name="_Toc25329"/>
      <w:bookmarkStart w:id="523" w:name="_Toc3830"/>
      <w:bookmarkStart w:id="524" w:name="_Toc486167701"/>
      <w:bookmarkStart w:id="525" w:name="_Toc10771"/>
      <w:bookmarkStart w:id="526" w:name="_Toc8181"/>
      <w:bookmarkStart w:id="527" w:name="_Toc6803"/>
      <w:bookmarkStart w:id="528" w:name="_Toc450662887"/>
      <w:bookmarkStart w:id="529" w:name="_Toc10513_WPSOffice_Level3"/>
      <w:bookmarkStart w:id="530" w:name="_Toc142508352"/>
      <w:bookmarkStart w:id="531" w:name="_Toc1481"/>
      <w:r>
        <w:rPr>
          <w:rFonts w:hint="eastAsia" w:ascii="宋体" w:hAnsi="宋体" w:eastAsia="宋体" w:cs="宋体"/>
          <w:color w:val="auto"/>
          <w:szCs w:val="21"/>
          <w:highlight w:val="none"/>
        </w:rPr>
        <w:t xml:space="preserve">35 </w:t>
      </w:r>
      <w:r>
        <w:rPr>
          <w:rFonts w:hint="eastAsia" w:ascii="宋体" w:hAnsi="宋体" w:eastAsia="宋体" w:cs="宋体"/>
          <w:color w:val="auto"/>
          <w:szCs w:val="21"/>
          <w:highlight w:val="none"/>
          <w:lang w:val="zh-CN"/>
        </w:rPr>
        <w:t>履约担保</w:t>
      </w:r>
      <w:bookmarkEnd w:id="520"/>
      <w:bookmarkEnd w:id="521"/>
      <w:bookmarkEnd w:id="522"/>
      <w:bookmarkEnd w:id="523"/>
      <w:bookmarkEnd w:id="524"/>
      <w:bookmarkEnd w:id="525"/>
      <w:bookmarkEnd w:id="526"/>
      <w:bookmarkEnd w:id="527"/>
      <w:bookmarkEnd w:id="528"/>
      <w:bookmarkEnd w:id="529"/>
      <w:bookmarkEnd w:id="530"/>
      <w:bookmarkEnd w:id="531"/>
    </w:p>
    <w:p w14:paraId="4AE00EFA">
      <w:pPr>
        <w:numPr>
          <w:ilvl w:val="1"/>
          <w:numId w:val="0"/>
        </w:numPr>
        <w:autoSpaceDE w:val="0"/>
        <w:autoSpaceDN w:val="0"/>
        <w:adjustRightInd w:val="0"/>
        <w:spacing w:line="360" w:lineRule="auto"/>
        <w:ind w:left="354" w:leftChars="-100" w:right="15" w:rightChars="7" w:hanging="564" w:hangingChars="269"/>
        <w:outlineLvl w:val="9"/>
        <w:rPr>
          <w:rFonts w:hint="eastAsia" w:ascii="宋体" w:hAnsi="宋体" w:eastAsia="宋体" w:cs="宋体"/>
          <w:b/>
          <w:bCs/>
          <w:color w:val="auto"/>
          <w:szCs w:val="21"/>
          <w:highlight w:val="none"/>
          <w:lang w:val="zh-CN"/>
        </w:rPr>
      </w:pPr>
      <w:bookmarkStart w:id="532" w:name="_Toc466882025"/>
      <w:bookmarkStart w:id="533" w:name="_Toc465358977"/>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宋体"/>
          <w:b/>
          <w:bCs/>
          <w:color w:val="auto"/>
          <w:szCs w:val="21"/>
          <w:highlight w:val="none"/>
          <w:u w:val="single"/>
          <w:lang w:val="zh-CN"/>
        </w:rPr>
        <w:t>中标人应在签订合同前，按本招标文件规定金额及形式要求，向招标人或招标人权属子公司提交不可撤销银行履约保函（或履约保证金</w:t>
      </w:r>
      <w:r>
        <w:rPr>
          <w:rFonts w:hint="eastAsia" w:ascii="宋体" w:hAnsi="宋体" w:eastAsia="宋体" w:cs="宋体"/>
          <w:b/>
          <w:bCs/>
          <w:color w:val="auto"/>
          <w:szCs w:val="21"/>
          <w:highlight w:val="none"/>
          <w:u w:val="single"/>
          <w:lang w:val="en-US" w:eastAsia="zh-CN"/>
        </w:rPr>
        <w:t>或履约保证保险</w:t>
      </w:r>
      <w:r>
        <w:rPr>
          <w:rFonts w:hint="eastAsia" w:ascii="宋体" w:hAnsi="宋体" w:eastAsia="宋体" w:cs="宋体"/>
          <w:b/>
          <w:bCs/>
          <w:color w:val="auto"/>
          <w:szCs w:val="21"/>
          <w:highlight w:val="none"/>
          <w:u w:val="single"/>
          <w:lang w:val="zh-CN"/>
        </w:rPr>
        <w:t>或担保公司履约担保书），作为履约担保（所需费用由中标人自行承担），</w:t>
      </w:r>
      <w:r>
        <w:rPr>
          <w:rFonts w:hint="eastAsia" w:ascii="宋体" w:hAnsi="宋体" w:eastAsia="宋体" w:cs="宋体"/>
          <w:b/>
          <w:bCs/>
          <w:color w:val="auto"/>
          <w:kern w:val="0"/>
          <w:szCs w:val="24"/>
          <w:highlight w:val="none"/>
          <w:u w:val="single"/>
        </w:rPr>
        <w:t>否则招标人可取消中标人的中标资格，不予退还其投标保证金。</w:t>
      </w:r>
      <w:r>
        <w:rPr>
          <w:rFonts w:hint="eastAsia" w:ascii="宋体" w:hAnsi="宋体" w:eastAsia="宋体" w:cs="宋体"/>
          <w:b/>
          <w:bCs/>
          <w:color w:val="auto"/>
          <w:szCs w:val="21"/>
          <w:highlight w:val="none"/>
          <w:u w:val="single"/>
          <w:lang w:val="zh-CN"/>
        </w:rPr>
        <w:t>其中，采用履约保证金（银行转账形式）的金额为</w:t>
      </w:r>
      <w:r>
        <w:rPr>
          <w:rFonts w:hint="eastAsia" w:ascii="宋体" w:hAnsi="宋体" w:eastAsia="宋体" w:cs="宋体"/>
          <w:b/>
          <w:bCs/>
          <w:color w:val="auto"/>
          <w:szCs w:val="21"/>
          <w:highlight w:val="none"/>
          <w:u w:val="single"/>
          <w:lang w:val="en-US" w:eastAsia="zh-CN"/>
        </w:rPr>
        <w:t>人民币陆拾万元整（</w:t>
      </w:r>
      <w:r>
        <w:rPr>
          <w:rFonts w:hint="eastAsia" w:ascii="宋体" w:hAnsi="宋体" w:eastAsia="宋体" w:cs="宋体"/>
          <w:b/>
          <w:bCs/>
          <w:color w:val="000000" w:themeColor="text1"/>
          <w:szCs w:val="21"/>
          <w:highlight w:val="none"/>
          <w:u w:val="single"/>
          <w:lang w:val="zh-CN"/>
          <w14:textFill>
            <w14:solidFill>
              <w14:schemeClr w14:val="tx1"/>
            </w14:solidFill>
          </w14:textFill>
        </w:rPr>
        <w:t>￥</w:t>
      </w:r>
      <w:r>
        <w:rPr>
          <w:rFonts w:hint="eastAsia" w:ascii="宋体" w:hAnsi="宋体" w:eastAsia="宋体" w:cs="宋体"/>
          <w:b/>
          <w:bCs/>
          <w:color w:val="000000" w:themeColor="text1"/>
          <w:szCs w:val="21"/>
          <w:highlight w:val="none"/>
          <w:u w:val="single"/>
          <w:lang w:val="en-US" w:eastAsia="zh-CN"/>
          <w14:textFill>
            <w14:solidFill>
              <w14:schemeClr w14:val="tx1"/>
            </w14:solidFill>
          </w14:textFill>
        </w:rPr>
        <w:t>60</w:t>
      </w:r>
      <w:r>
        <w:rPr>
          <w:rFonts w:hint="eastAsia" w:ascii="宋体" w:hAnsi="宋体" w:eastAsia="宋体" w:cs="宋体"/>
          <w:b/>
          <w:bCs/>
          <w:color w:val="000000" w:themeColor="text1"/>
          <w:szCs w:val="21"/>
          <w:highlight w:val="none"/>
          <w:u w:val="single"/>
          <w:lang w:val="zh-CN"/>
          <w14:textFill>
            <w14:solidFill>
              <w14:schemeClr w14:val="tx1"/>
            </w14:solidFill>
          </w14:textFill>
        </w:rPr>
        <w:t>0,000.00</w:t>
      </w:r>
      <w:r>
        <w:rPr>
          <w:rFonts w:hint="eastAsia" w:ascii="宋体" w:hAnsi="宋体" w:eastAsia="宋体" w:cs="宋体"/>
          <w:b/>
          <w:bCs/>
          <w:color w:val="000000" w:themeColor="text1"/>
          <w:szCs w:val="21"/>
          <w:highlight w:val="none"/>
          <w:u w:val="single"/>
          <w:lang w:val="en-US" w:eastAsia="zh-CN"/>
          <w14:textFill>
            <w14:solidFill>
              <w14:schemeClr w14:val="tx1"/>
            </w14:solidFill>
          </w14:textFill>
        </w:rPr>
        <w:t>元</w:t>
      </w:r>
      <w:r>
        <w:rPr>
          <w:rFonts w:hint="eastAsia" w:ascii="宋体" w:hAnsi="宋体" w:eastAsia="宋体" w:cs="宋体"/>
          <w:b/>
          <w:bCs/>
          <w:color w:val="auto"/>
          <w:szCs w:val="21"/>
          <w:highlight w:val="none"/>
          <w:u w:val="single"/>
          <w:lang w:val="en-US" w:eastAsia="zh-CN"/>
        </w:rPr>
        <w:t>）</w:t>
      </w:r>
      <w:r>
        <w:rPr>
          <w:rFonts w:hint="eastAsia" w:ascii="宋体" w:hAnsi="宋体" w:eastAsia="宋体" w:cs="宋体"/>
          <w:b/>
          <w:bCs/>
          <w:color w:val="auto"/>
          <w:szCs w:val="21"/>
          <w:highlight w:val="none"/>
          <w:u w:val="single"/>
          <w:lang w:val="zh-CN"/>
        </w:rPr>
        <w:t>，采用不可撤销银行履约保函形式的金额为</w:t>
      </w:r>
      <w:r>
        <w:rPr>
          <w:rFonts w:hint="eastAsia" w:ascii="宋体" w:hAnsi="宋体" w:eastAsia="宋体" w:cs="宋体"/>
          <w:b/>
          <w:bCs/>
          <w:color w:val="auto"/>
          <w:szCs w:val="21"/>
          <w:highlight w:val="none"/>
          <w:u w:val="single"/>
          <w:lang w:val="en-US" w:eastAsia="zh-CN"/>
        </w:rPr>
        <w:t>人民币玖拾陆万元整（</w:t>
      </w:r>
      <w:r>
        <w:rPr>
          <w:rFonts w:hint="eastAsia" w:ascii="宋体" w:hAnsi="宋体" w:eastAsia="宋体" w:cs="宋体"/>
          <w:b/>
          <w:bCs/>
          <w:color w:val="000000" w:themeColor="text1"/>
          <w:szCs w:val="21"/>
          <w:highlight w:val="none"/>
          <w:u w:val="single"/>
          <w:lang w:val="zh-CN"/>
          <w14:textFill>
            <w14:solidFill>
              <w14:schemeClr w14:val="tx1"/>
            </w14:solidFill>
          </w14:textFill>
        </w:rPr>
        <w:t>￥</w:t>
      </w:r>
      <w:r>
        <w:rPr>
          <w:rFonts w:hint="eastAsia" w:ascii="宋体" w:hAnsi="宋体" w:eastAsia="宋体" w:cs="宋体"/>
          <w:b/>
          <w:bCs/>
          <w:color w:val="000000" w:themeColor="text1"/>
          <w:szCs w:val="21"/>
          <w:highlight w:val="none"/>
          <w:u w:val="single"/>
          <w:lang w:val="en-US" w:eastAsia="zh-CN"/>
          <w14:textFill>
            <w14:solidFill>
              <w14:schemeClr w14:val="tx1"/>
            </w14:solidFill>
          </w14:textFill>
        </w:rPr>
        <w:t>96</w:t>
      </w:r>
      <w:r>
        <w:rPr>
          <w:rFonts w:hint="eastAsia" w:ascii="宋体" w:hAnsi="宋体" w:eastAsia="宋体" w:cs="宋体"/>
          <w:b/>
          <w:bCs/>
          <w:color w:val="000000" w:themeColor="text1"/>
          <w:szCs w:val="21"/>
          <w:highlight w:val="none"/>
          <w:u w:val="single"/>
          <w:lang w:val="zh-CN"/>
          <w14:textFill>
            <w14:solidFill>
              <w14:schemeClr w14:val="tx1"/>
            </w14:solidFill>
          </w14:textFill>
        </w:rPr>
        <w:t>0,000.00</w:t>
      </w:r>
      <w:r>
        <w:rPr>
          <w:rFonts w:hint="eastAsia" w:ascii="宋体" w:hAnsi="宋体" w:eastAsia="宋体" w:cs="宋体"/>
          <w:b/>
          <w:bCs/>
          <w:color w:val="000000" w:themeColor="text1"/>
          <w:szCs w:val="21"/>
          <w:highlight w:val="none"/>
          <w:u w:val="single"/>
          <w:lang w:val="en-US" w:eastAsia="zh-CN"/>
          <w14:textFill>
            <w14:solidFill>
              <w14:schemeClr w14:val="tx1"/>
            </w14:solidFill>
          </w14:textFill>
        </w:rPr>
        <w:t>元</w:t>
      </w:r>
      <w:r>
        <w:rPr>
          <w:rFonts w:hint="eastAsia" w:ascii="宋体" w:hAnsi="宋体" w:eastAsia="宋体" w:cs="宋体"/>
          <w:b/>
          <w:bCs/>
          <w:color w:val="auto"/>
          <w:szCs w:val="21"/>
          <w:highlight w:val="none"/>
          <w:u w:val="single"/>
          <w:lang w:val="en-US" w:eastAsia="zh-CN"/>
        </w:rPr>
        <w:t>）</w:t>
      </w:r>
      <w:r>
        <w:rPr>
          <w:rFonts w:hint="eastAsia" w:ascii="宋体" w:hAnsi="宋体" w:eastAsia="宋体" w:cs="宋体"/>
          <w:b/>
          <w:bCs/>
          <w:color w:val="auto"/>
          <w:szCs w:val="21"/>
          <w:highlight w:val="none"/>
          <w:u w:val="single"/>
          <w:lang w:val="zh-CN"/>
        </w:rPr>
        <w:t>，采用</w:t>
      </w:r>
      <w:r>
        <w:rPr>
          <w:rFonts w:hint="eastAsia" w:ascii="宋体" w:hAnsi="宋体" w:eastAsia="宋体" w:cs="宋体"/>
          <w:b/>
          <w:bCs/>
          <w:color w:val="auto"/>
          <w:szCs w:val="21"/>
          <w:highlight w:val="none"/>
          <w:u w:val="single"/>
          <w:lang w:val="en-US" w:eastAsia="zh-CN"/>
        </w:rPr>
        <w:t>履约保证保险</w:t>
      </w:r>
      <w:r>
        <w:rPr>
          <w:rFonts w:hint="eastAsia" w:ascii="宋体" w:hAnsi="宋体" w:eastAsia="宋体" w:cs="宋体"/>
          <w:b/>
          <w:bCs/>
          <w:color w:val="auto"/>
          <w:szCs w:val="21"/>
          <w:highlight w:val="none"/>
          <w:u w:val="single"/>
          <w:lang w:val="zh-CN"/>
        </w:rPr>
        <w:t>形式的金额为</w:t>
      </w:r>
      <w:r>
        <w:rPr>
          <w:rFonts w:hint="eastAsia" w:ascii="宋体" w:hAnsi="宋体" w:eastAsia="宋体" w:cs="宋体"/>
          <w:b/>
          <w:bCs/>
          <w:color w:val="auto"/>
          <w:szCs w:val="21"/>
          <w:highlight w:val="none"/>
          <w:u w:val="single"/>
          <w:lang w:val="en-US" w:eastAsia="zh-CN"/>
        </w:rPr>
        <w:t>人民币壹佰贰拾万元整（</w:t>
      </w:r>
      <w:r>
        <w:rPr>
          <w:rFonts w:hint="eastAsia" w:ascii="宋体" w:hAnsi="宋体" w:eastAsia="宋体" w:cs="宋体"/>
          <w:b/>
          <w:bCs/>
          <w:color w:val="000000" w:themeColor="text1"/>
          <w:szCs w:val="21"/>
          <w:highlight w:val="none"/>
          <w:u w:val="single"/>
          <w:lang w:val="zh-CN"/>
          <w14:textFill>
            <w14:solidFill>
              <w14:schemeClr w14:val="tx1"/>
            </w14:solidFill>
          </w14:textFill>
        </w:rPr>
        <w:t>￥</w:t>
      </w:r>
      <w:r>
        <w:rPr>
          <w:rFonts w:hint="eastAsia" w:ascii="宋体" w:hAnsi="宋体" w:eastAsia="宋体" w:cs="宋体"/>
          <w:b/>
          <w:bCs/>
          <w:color w:val="000000" w:themeColor="text1"/>
          <w:szCs w:val="21"/>
          <w:highlight w:val="none"/>
          <w:u w:val="single"/>
          <w:lang w:val="en-US" w:eastAsia="zh-CN"/>
          <w14:textFill>
            <w14:solidFill>
              <w14:schemeClr w14:val="tx1"/>
            </w14:solidFill>
          </w14:textFill>
        </w:rPr>
        <w:t>1,20</w:t>
      </w:r>
      <w:r>
        <w:rPr>
          <w:rFonts w:hint="eastAsia" w:ascii="宋体" w:hAnsi="宋体" w:eastAsia="宋体" w:cs="宋体"/>
          <w:b/>
          <w:bCs/>
          <w:color w:val="000000" w:themeColor="text1"/>
          <w:szCs w:val="21"/>
          <w:highlight w:val="none"/>
          <w:u w:val="single"/>
          <w:lang w:val="zh-CN"/>
          <w14:textFill>
            <w14:solidFill>
              <w14:schemeClr w14:val="tx1"/>
            </w14:solidFill>
          </w14:textFill>
        </w:rPr>
        <w:t>0,000.00</w:t>
      </w:r>
      <w:r>
        <w:rPr>
          <w:rFonts w:hint="eastAsia" w:ascii="宋体" w:hAnsi="宋体" w:eastAsia="宋体" w:cs="宋体"/>
          <w:b/>
          <w:bCs/>
          <w:color w:val="000000" w:themeColor="text1"/>
          <w:szCs w:val="21"/>
          <w:highlight w:val="none"/>
          <w:u w:val="single"/>
          <w:lang w:val="en-US" w:eastAsia="zh-CN"/>
          <w14:textFill>
            <w14:solidFill>
              <w14:schemeClr w14:val="tx1"/>
            </w14:solidFill>
          </w14:textFill>
        </w:rPr>
        <w:t>元</w:t>
      </w:r>
      <w:r>
        <w:rPr>
          <w:rFonts w:hint="eastAsia" w:ascii="宋体" w:hAnsi="宋体" w:eastAsia="宋体" w:cs="宋体"/>
          <w:b/>
          <w:bCs/>
          <w:color w:val="auto"/>
          <w:szCs w:val="21"/>
          <w:highlight w:val="none"/>
          <w:u w:val="single"/>
          <w:lang w:val="en-US" w:eastAsia="zh-CN"/>
        </w:rPr>
        <w:t>）</w:t>
      </w:r>
      <w:r>
        <w:rPr>
          <w:rFonts w:hint="eastAsia" w:ascii="宋体" w:hAnsi="宋体" w:eastAsia="宋体" w:cs="宋体"/>
          <w:b/>
          <w:bCs/>
          <w:color w:val="auto"/>
          <w:szCs w:val="21"/>
          <w:highlight w:val="none"/>
          <w:u w:val="single"/>
          <w:lang w:val="zh-CN"/>
        </w:rPr>
        <w:t>，采用担保公司履约担保书形式的金额为</w:t>
      </w:r>
      <w:r>
        <w:rPr>
          <w:rFonts w:hint="eastAsia" w:ascii="宋体" w:hAnsi="宋体" w:eastAsia="宋体" w:cs="宋体"/>
          <w:b/>
          <w:bCs/>
          <w:color w:val="auto"/>
          <w:szCs w:val="21"/>
          <w:highlight w:val="none"/>
          <w:u w:val="single"/>
          <w:lang w:val="en-US" w:eastAsia="zh-CN"/>
        </w:rPr>
        <w:t>人民币壹佰贰拾万元整（</w:t>
      </w:r>
      <w:r>
        <w:rPr>
          <w:rFonts w:hint="eastAsia" w:ascii="宋体" w:hAnsi="宋体" w:eastAsia="宋体" w:cs="宋体"/>
          <w:b/>
          <w:bCs/>
          <w:color w:val="000000" w:themeColor="text1"/>
          <w:szCs w:val="21"/>
          <w:highlight w:val="none"/>
          <w:u w:val="single"/>
          <w:lang w:val="zh-CN"/>
          <w14:textFill>
            <w14:solidFill>
              <w14:schemeClr w14:val="tx1"/>
            </w14:solidFill>
          </w14:textFill>
        </w:rPr>
        <w:t>￥</w:t>
      </w:r>
      <w:r>
        <w:rPr>
          <w:rFonts w:hint="eastAsia" w:ascii="宋体" w:hAnsi="宋体" w:eastAsia="宋体" w:cs="宋体"/>
          <w:b/>
          <w:bCs/>
          <w:color w:val="000000" w:themeColor="text1"/>
          <w:szCs w:val="21"/>
          <w:highlight w:val="none"/>
          <w:u w:val="single"/>
          <w:lang w:val="en-US" w:eastAsia="zh-CN"/>
          <w14:textFill>
            <w14:solidFill>
              <w14:schemeClr w14:val="tx1"/>
            </w14:solidFill>
          </w14:textFill>
        </w:rPr>
        <w:t>1,20</w:t>
      </w:r>
      <w:r>
        <w:rPr>
          <w:rFonts w:hint="eastAsia" w:ascii="宋体" w:hAnsi="宋体" w:eastAsia="宋体" w:cs="宋体"/>
          <w:b/>
          <w:bCs/>
          <w:color w:val="000000" w:themeColor="text1"/>
          <w:szCs w:val="21"/>
          <w:highlight w:val="none"/>
          <w:u w:val="single"/>
          <w:lang w:val="zh-CN"/>
          <w14:textFill>
            <w14:solidFill>
              <w14:schemeClr w14:val="tx1"/>
            </w14:solidFill>
          </w14:textFill>
        </w:rPr>
        <w:t>0,000.00</w:t>
      </w:r>
      <w:r>
        <w:rPr>
          <w:rFonts w:hint="eastAsia" w:ascii="宋体" w:hAnsi="宋体" w:eastAsia="宋体" w:cs="宋体"/>
          <w:b/>
          <w:bCs/>
          <w:color w:val="000000" w:themeColor="text1"/>
          <w:szCs w:val="21"/>
          <w:highlight w:val="none"/>
          <w:u w:val="single"/>
          <w:lang w:val="en-US" w:eastAsia="zh-CN"/>
          <w14:textFill>
            <w14:solidFill>
              <w14:schemeClr w14:val="tx1"/>
            </w14:solidFill>
          </w14:textFill>
        </w:rPr>
        <w:t>元</w:t>
      </w:r>
      <w:r>
        <w:rPr>
          <w:rFonts w:hint="eastAsia" w:ascii="宋体" w:hAnsi="宋体" w:eastAsia="宋体" w:cs="宋体"/>
          <w:b/>
          <w:bCs/>
          <w:color w:val="auto"/>
          <w:szCs w:val="21"/>
          <w:highlight w:val="none"/>
          <w:u w:val="single"/>
          <w:lang w:val="en-US" w:eastAsia="zh-CN"/>
        </w:rPr>
        <w:t>）</w:t>
      </w:r>
      <w:r>
        <w:rPr>
          <w:rFonts w:hint="eastAsia" w:ascii="宋体" w:hAnsi="宋体" w:eastAsia="宋体" w:cs="宋体"/>
          <w:b/>
          <w:bCs/>
          <w:color w:val="auto"/>
          <w:szCs w:val="21"/>
          <w:highlight w:val="none"/>
          <w:u w:val="single"/>
          <w:lang w:val="zh-CN"/>
        </w:rPr>
        <w:t>。</w:t>
      </w:r>
      <w:r>
        <w:rPr>
          <w:rFonts w:hint="eastAsia" w:ascii="宋体" w:hAnsi="宋体" w:eastAsia="宋体" w:cs="宋体"/>
          <w:bCs/>
          <w:color w:val="auto"/>
          <w:kern w:val="0"/>
          <w:szCs w:val="24"/>
          <w:highlight w:val="none"/>
        </w:rPr>
        <w:t>合同履行过程中，中标人</w:t>
      </w:r>
      <w:r>
        <w:rPr>
          <w:rFonts w:hint="eastAsia" w:ascii="宋体" w:hAnsi="宋体" w:eastAsia="宋体" w:cs="宋体"/>
          <w:color w:val="auto"/>
          <w:kern w:val="0"/>
          <w:szCs w:val="24"/>
          <w:highlight w:val="none"/>
        </w:rPr>
        <w:t>给招标人造成的损失超过履约担保数额的，中标人还应当对超过部分予以赔偿，招标人并依法追究中标人的相应责任。</w:t>
      </w:r>
    </w:p>
    <w:p w14:paraId="29F95FD4">
      <w:pPr>
        <w:tabs>
          <w:tab w:val="left" w:pos="360"/>
          <w:tab w:val="left" w:pos="4725"/>
        </w:tabs>
        <w:autoSpaceDE w:val="0"/>
        <w:autoSpaceDN w:val="0"/>
        <w:adjustRightInd w:val="0"/>
        <w:spacing w:line="360" w:lineRule="auto"/>
        <w:ind w:left="315" w:leftChars="-100" w:hanging="525" w:hangingChars="25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35.2 履约担保用于补偿招标人因中标人不能完全履行其合同义务而蒙受的损失或其他合同约定的事项。如发生下列任一情况时，招标人有权依合同追究违约责任外，同时有权提取履约担保并进行相应处理：</w:t>
      </w:r>
    </w:p>
    <w:p w14:paraId="21D17679">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（1）中标人将合同项下中标人的权利义务全部转让给第三方，或未经招标人书面同意将部分权利义务转让给第三方的，招标人有权没收其履约担保。</w:t>
      </w:r>
    </w:p>
    <w:p w14:paraId="10096F89">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（2）在合同履行期间，中标人怠于履行合同义务，经招标人通知或要求承担违约金后仍拒不改正的，招标人可依法没收或适当扣除其履约担保。</w:t>
      </w:r>
    </w:p>
    <w:p w14:paraId="62AA8CBF">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在合同履行期间，因中标人货物、服务质量问题造成损害、侵权损失（包括但不限于招标人经济损失、第三人人身财产损失等）、拖欠原材料供应商货款或与其所雇用员工发生劳资纠纷、上访、闹事或其他影响招标人生产经营等情况而其未及时妥善处理的，招标人有权使用履约担保予以支付或作出相应处理，由此产生的一切法律后果由中标人承担。</w:t>
      </w:r>
    </w:p>
    <w:p w14:paraId="59A97C27">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（4）在合同履行期间，中标人违约产生的违约金、赔偿、罚款或其他应付费用等款项，招标人有权直接从未付款项中直接扣除或启用履约担保予以支付。</w:t>
      </w:r>
    </w:p>
    <w:p w14:paraId="73A6122F">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（5）合同期内，中标人不能及时完成合同某项义务的，招标人有权提取履约担保用于处理该项工作。</w:t>
      </w:r>
    </w:p>
    <w:p w14:paraId="67F741BF">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（6）其他根据本合同约定或法律规定，招标人可启用履约担保的情形。</w:t>
      </w:r>
    </w:p>
    <w:p w14:paraId="3EAEC4DD">
      <w:pPr>
        <w:tabs>
          <w:tab w:val="left" w:pos="360"/>
          <w:tab w:val="left" w:pos="4725"/>
        </w:tabs>
        <w:autoSpaceDE w:val="0"/>
        <w:autoSpaceDN w:val="0"/>
        <w:adjustRightInd w:val="0"/>
        <w:spacing w:line="360" w:lineRule="auto"/>
        <w:ind w:left="315" w:leftChars="-100" w:hanging="525" w:hangingChars="25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14:paraId="317E6FA7">
      <w:pPr>
        <w:tabs>
          <w:tab w:val="left" w:pos="360"/>
          <w:tab w:val="left" w:pos="4725"/>
        </w:tabs>
        <w:autoSpaceDE/>
        <w:autoSpaceDN/>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（1）出具履约保函的银行必须是境内支行一级以上机构，并经招标人同意，执行本款时所发生的费用由中标人承担。</w:t>
      </w:r>
    </w:p>
    <w:p w14:paraId="21249E34">
      <w:pPr>
        <w:tabs>
          <w:tab w:val="left" w:pos="360"/>
          <w:tab w:val="left" w:pos="4725"/>
        </w:tabs>
        <w:autoSpaceDE/>
        <w:autoSpaceDN/>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（2）履约担保格式应采用招标文件中提供的（格式参见第五篇），投标人如以履约保函（或履约保证保险或</w:t>
      </w:r>
      <w:r>
        <w:rPr>
          <w:rFonts w:hint="eastAsia" w:ascii="宋体" w:hAnsi="宋体" w:eastAsia="宋体" w:cs="宋体"/>
          <w:color w:val="auto"/>
          <w:kern w:val="0"/>
          <w:szCs w:val="21"/>
          <w:highlight w:val="none"/>
          <w:lang w:val="en-US" w:eastAsia="zh-CN"/>
        </w:rPr>
        <w:t>担保公司</w:t>
      </w:r>
      <w:r>
        <w:rPr>
          <w:rFonts w:hint="eastAsia" w:ascii="宋体" w:hAnsi="宋体" w:eastAsia="宋体" w:cs="宋体"/>
          <w:color w:val="auto"/>
          <w:kern w:val="0"/>
          <w:szCs w:val="21"/>
          <w:highlight w:val="none"/>
        </w:rPr>
        <w:t>履约担保书）形式提供履约担保的，投标前应当自行向其拟申请开具保函的银行（</w:t>
      </w:r>
      <w:r>
        <w:rPr>
          <w:rFonts w:hint="eastAsia" w:ascii="宋体" w:hAnsi="宋体" w:eastAsia="宋体" w:cs="宋体"/>
          <w:color w:val="auto"/>
          <w:kern w:val="0"/>
          <w:szCs w:val="21"/>
          <w:highlight w:val="none"/>
          <w:lang w:val="en-US" w:eastAsia="zh-CN"/>
        </w:rPr>
        <w:t>或保险</w:t>
      </w:r>
      <w:r>
        <w:rPr>
          <w:rFonts w:hint="eastAsia" w:ascii="宋体" w:hAnsi="宋体" w:eastAsia="宋体" w:cs="宋体"/>
          <w:color w:val="auto"/>
          <w:kern w:val="0"/>
          <w:szCs w:val="21"/>
          <w:highlight w:val="none"/>
        </w:rPr>
        <w:t>或担保）机构落实履约保函（或履约保证保险或</w:t>
      </w:r>
      <w:r>
        <w:rPr>
          <w:rFonts w:hint="eastAsia" w:ascii="宋体" w:hAnsi="宋体" w:eastAsia="宋体" w:cs="宋体"/>
          <w:color w:val="auto"/>
          <w:kern w:val="0"/>
          <w:szCs w:val="21"/>
          <w:highlight w:val="none"/>
          <w:lang w:val="en-US" w:eastAsia="zh-CN"/>
        </w:rPr>
        <w:t>担保公司</w:t>
      </w:r>
      <w:r>
        <w:rPr>
          <w:rFonts w:hint="eastAsia" w:ascii="宋体" w:hAnsi="宋体" w:eastAsia="宋体" w:cs="宋体"/>
          <w:color w:val="auto"/>
          <w:kern w:val="0"/>
          <w:szCs w:val="21"/>
          <w:highlight w:val="none"/>
        </w:rPr>
        <w:t>履约担保书）格式情况，以确保能按本招标文件规定的格式提供保函。如使用其他格式的履约保函（或履约保证保险或</w:t>
      </w:r>
      <w:r>
        <w:rPr>
          <w:rFonts w:hint="eastAsia" w:ascii="宋体" w:hAnsi="宋体" w:eastAsia="宋体" w:cs="宋体"/>
          <w:color w:val="auto"/>
          <w:kern w:val="0"/>
          <w:szCs w:val="21"/>
          <w:highlight w:val="none"/>
          <w:lang w:val="en-US" w:eastAsia="zh-CN"/>
        </w:rPr>
        <w:t>担保公司</w:t>
      </w:r>
      <w:r>
        <w:rPr>
          <w:rFonts w:hint="eastAsia" w:ascii="宋体" w:hAnsi="宋体" w:eastAsia="宋体" w:cs="宋体"/>
          <w:color w:val="auto"/>
          <w:kern w:val="0"/>
          <w:szCs w:val="21"/>
          <w:highlight w:val="none"/>
        </w:rPr>
        <w:t>履约担保书），须事先经招标人的书面同意。</w:t>
      </w:r>
    </w:p>
    <w:p w14:paraId="475E3CC1">
      <w:pPr>
        <w:tabs>
          <w:tab w:val="left" w:pos="360"/>
          <w:tab w:val="left" w:pos="4725"/>
        </w:tabs>
        <w:autoSpaceDE/>
        <w:autoSpaceDN/>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（3）提供担保的担保机构经济性质须为</w:t>
      </w:r>
      <w:r>
        <w:rPr>
          <w:rFonts w:hint="eastAsia" w:ascii="宋体" w:hAnsi="宋体" w:eastAsia="宋体" w:cs="宋体"/>
          <w:color w:val="auto"/>
          <w:kern w:val="0"/>
          <w:szCs w:val="21"/>
          <w:highlight w:val="none"/>
          <w:lang w:val="en-US" w:eastAsia="zh-CN"/>
        </w:rPr>
        <w:t>东莞</w:t>
      </w:r>
      <w:r>
        <w:rPr>
          <w:rFonts w:hint="eastAsia" w:ascii="宋体" w:hAnsi="宋体" w:eastAsia="宋体" w:cs="宋体"/>
          <w:color w:val="auto"/>
          <w:kern w:val="0"/>
          <w:szCs w:val="21"/>
          <w:highlight w:val="none"/>
        </w:rPr>
        <w:t>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p>
    <w:p w14:paraId="1840169B">
      <w:pPr>
        <w:tabs>
          <w:tab w:val="left" w:pos="360"/>
          <w:tab w:val="left" w:pos="4725"/>
        </w:tabs>
        <w:autoSpaceDE/>
        <w:autoSpaceDN/>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如果中标人提交的履约担保的有效期届满时间先于招标文件、合同文件要求的，中标人应在原提交的履约担保有效期届满前15日内，无条件办理符合招标人要求的履约担保延期手续，否则视为中标人违约，招标人有权在不可撤销银行履约保函或履约保证保险或担保公司履约担保书到期前向出具履约担保的机构提取履约担保金。在不可撤销银行履约保函</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1"/>
          <w:highlight w:val="none"/>
          <w:lang w:val="en-US" w:eastAsia="zh-CN"/>
        </w:rPr>
        <w:t>或</w:t>
      </w:r>
      <w:r>
        <w:rPr>
          <w:rFonts w:hint="eastAsia" w:ascii="宋体" w:hAnsi="宋体" w:eastAsia="宋体" w:cs="宋体"/>
          <w:color w:val="auto"/>
          <w:kern w:val="0"/>
          <w:szCs w:val="21"/>
          <w:highlight w:val="none"/>
        </w:rPr>
        <w:t>担保公司履约担保书</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到期后中标人未按招标人要求重新提供的，招标人有权要求中标人以履约担保金额为限承担违约金，违约金可直接从未付采购合同费用中扣除。</w:t>
      </w:r>
    </w:p>
    <w:p w14:paraId="5B50F6CA">
      <w:pPr>
        <w:tabs>
          <w:tab w:val="left" w:pos="360"/>
          <w:tab w:val="left" w:pos="4725"/>
        </w:tabs>
        <w:autoSpaceDE/>
        <w:autoSpaceDN/>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在合同履行过程中，不论何种原因导致履约担保金数额不符合招标文件要求的，中标人应当在5日内予以补足。逾期不予补足的，招标人有权按需补足的金额要求中标人承担违约金，并要求限期补足。如中标人仍不补足的，招标人有权单方解除合同，违约金可直接从未付合同款或履约担保中扣除。</w:t>
      </w:r>
    </w:p>
    <w:p w14:paraId="550CC4E2">
      <w:pPr>
        <w:tabs>
          <w:tab w:val="left" w:pos="360"/>
          <w:tab w:val="left" w:pos="4725"/>
        </w:tabs>
        <w:autoSpaceDE/>
        <w:autoSpaceDN/>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（6）不可撤销银行履约保函（或履约保证保险或担保公司履约担保书）应自合同签订之日</w:t>
      </w:r>
      <w:r>
        <w:rPr>
          <w:rFonts w:hint="eastAsia" w:ascii="宋体" w:hAnsi="宋体" w:eastAsia="宋体" w:cs="宋体"/>
          <w:color w:val="auto"/>
          <w:kern w:val="2"/>
          <w:sz w:val="21"/>
          <w:szCs w:val="21"/>
          <w:highlight w:val="none"/>
        </w:rPr>
        <w:t>起至合同期限届满并完成本合同的全部服务</w:t>
      </w:r>
      <w:r>
        <w:rPr>
          <w:rFonts w:hint="eastAsia" w:ascii="宋体" w:hAnsi="宋体" w:eastAsia="宋体" w:cs="宋体"/>
          <w:color w:val="auto"/>
          <w:kern w:val="2"/>
          <w:sz w:val="21"/>
          <w:szCs w:val="21"/>
          <w:highlight w:val="none"/>
          <w:lang w:eastAsia="zh-CN"/>
        </w:rPr>
        <w:t>义务</w:t>
      </w:r>
      <w:r>
        <w:rPr>
          <w:rFonts w:hint="eastAsia" w:ascii="宋体" w:hAnsi="宋体" w:eastAsia="宋体" w:cs="宋体"/>
          <w:color w:val="auto"/>
          <w:kern w:val="0"/>
          <w:szCs w:val="21"/>
          <w:highlight w:val="none"/>
        </w:rPr>
        <w:t>后二十八（28）日内保持有效</w:t>
      </w:r>
      <w:r>
        <w:rPr>
          <w:rFonts w:hint="eastAsia" w:ascii="宋体" w:hAnsi="宋体" w:eastAsia="宋体" w:cs="宋体"/>
          <w:color w:val="auto"/>
          <w:kern w:val="0"/>
          <w:szCs w:val="21"/>
          <w:highlight w:val="none"/>
          <w:lang w:eastAsia="zh-CN"/>
        </w:rPr>
        <w:t>。</w:t>
      </w:r>
    </w:p>
    <w:p w14:paraId="326C02CE">
      <w:pPr>
        <w:tabs>
          <w:tab w:val="left" w:pos="360"/>
          <w:tab w:val="left" w:pos="4725"/>
        </w:tabs>
        <w:autoSpaceDE w:val="0"/>
        <w:autoSpaceDN w:val="0"/>
        <w:adjustRightInd w:val="0"/>
        <w:spacing w:line="360" w:lineRule="auto"/>
        <w:ind w:left="315" w:leftChars="-100" w:hanging="525" w:hangingChars="25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35.4 履约保证金应用本合同货币。</w:t>
      </w:r>
    </w:p>
    <w:p w14:paraId="648F2523">
      <w:pPr>
        <w:tabs>
          <w:tab w:val="left" w:pos="360"/>
          <w:tab w:val="left" w:pos="4725"/>
        </w:tabs>
        <w:autoSpaceDE w:val="0"/>
        <w:autoSpaceDN w:val="0"/>
        <w:adjustRightInd w:val="0"/>
        <w:spacing w:line="360" w:lineRule="auto"/>
        <w:ind w:left="315" w:leftChars="-100" w:hanging="525" w:hangingChars="25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也可以按招标文件约定的额度和时间，向招标人交纳同等数额的履约保证金作为履约担保。如中标人提交的履约保证金是其分支机构以转账形式转入的，要提交中标人的法人书面授权，不接受由私人账户和其它单位转入的保证金，也不接受现金形式提交。履约保证金应以存入招标人指定的以下银行账户为准。</w:t>
      </w:r>
    </w:p>
    <w:p w14:paraId="73FF955C">
      <w:pPr>
        <w:tabs>
          <w:tab w:val="left" w:pos="360"/>
          <w:tab w:val="left" w:pos="4725"/>
        </w:tabs>
        <w:autoSpaceDE w:val="0"/>
        <w:autoSpaceDN w:val="0"/>
        <w:adjustRightInd w:val="0"/>
        <w:spacing w:line="360" w:lineRule="auto"/>
        <w:ind w:firstLine="632" w:firstLineChars="300"/>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履约保证金账户：</w:t>
      </w:r>
    </w:p>
    <w:p w14:paraId="21CA7A74">
      <w:pPr>
        <w:autoSpaceDE w:val="0"/>
        <w:autoSpaceDN w:val="0"/>
        <w:adjustRightInd w:val="0"/>
        <w:snapToGrid w:val="0"/>
        <w:spacing w:line="360" w:lineRule="auto"/>
        <w:ind w:firstLine="632" w:firstLineChars="300"/>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开户名称：</w:t>
      </w:r>
      <w:r>
        <w:rPr>
          <w:rFonts w:hint="eastAsia" w:ascii="宋体" w:hAnsi="宋体" w:eastAsia="宋体" w:cs="宋体"/>
          <w:b/>
          <w:color w:val="auto"/>
          <w:kern w:val="0"/>
          <w:szCs w:val="21"/>
          <w:highlight w:val="none"/>
          <w:lang w:val="en-US" w:eastAsia="zh-CN"/>
        </w:rPr>
        <w:t>东莞市置拓投资有限公司</w:t>
      </w:r>
    </w:p>
    <w:p w14:paraId="4ED848D7">
      <w:pPr>
        <w:autoSpaceDE w:val="0"/>
        <w:autoSpaceDN w:val="0"/>
        <w:adjustRightInd w:val="0"/>
        <w:snapToGrid w:val="0"/>
        <w:spacing w:line="360" w:lineRule="auto"/>
        <w:ind w:firstLine="632" w:firstLineChars="300"/>
        <w:jc w:val="left"/>
        <w:outlineLvl w:val="9"/>
        <w:rPr>
          <w:rFonts w:hint="default"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银行账号：</w:t>
      </w:r>
      <w:r>
        <w:rPr>
          <w:rFonts w:hint="eastAsia" w:ascii="宋体" w:hAnsi="宋体" w:eastAsia="宋体" w:cs="宋体"/>
          <w:b/>
          <w:color w:val="auto"/>
          <w:kern w:val="0"/>
          <w:szCs w:val="21"/>
          <w:highlight w:val="none"/>
          <w:lang w:val="en-US" w:eastAsia="zh-CN"/>
        </w:rPr>
        <w:t>2010021319200579580</w:t>
      </w:r>
    </w:p>
    <w:p w14:paraId="0A865006">
      <w:pPr>
        <w:autoSpaceDE w:val="0"/>
        <w:autoSpaceDN w:val="0"/>
        <w:adjustRightInd w:val="0"/>
        <w:snapToGrid w:val="0"/>
        <w:spacing w:line="360" w:lineRule="auto"/>
        <w:ind w:firstLine="632" w:firstLineChars="300"/>
        <w:jc w:val="left"/>
        <w:outlineLvl w:val="9"/>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开户银行：</w:t>
      </w:r>
      <w:r>
        <w:rPr>
          <w:rFonts w:hint="eastAsia" w:ascii="宋体" w:hAnsi="宋体" w:eastAsia="宋体" w:cs="宋体"/>
          <w:b/>
          <w:color w:val="auto"/>
          <w:kern w:val="0"/>
          <w:szCs w:val="21"/>
          <w:highlight w:val="none"/>
          <w:lang w:val="en-US" w:eastAsia="zh-CN"/>
        </w:rPr>
        <w:t>中国工商银行股份有限公司东莞分</w:t>
      </w:r>
      <w:r>
        <w:rPr>
          <w:rFonts w:hint="eastAsia" w:ascii="宋体" w:hAnsi="宋体" w:eastAsia="宋体" w:cs="宋体"/>
          <w:b/>
          <w:color w:val="auto"/>
          <w:kern w:val="0"/>
          <w:szCs w:val="21"/>
          <w:highlight w:val="none"/>
        </w:rPr>
        <w:t>行</w:t>
      </w:r>
    </w:p>
    <w:p w14:paraId="0338D6C6">
      <w:pPr>
        <w:tabs>
          <w:tab w:val="left" w:pos="360"/>
          <w:tab w:val="left" w:pos="4725"/>
        </w:tabs>
        <w:autoSpaceDE w:val="0"/>
        <w:autoSpaceDN w:val="0"/>
        <w:adjustRightInd w:val="0"/>
        <w:spacing w:line="360" w:lineRule="auto"/>
        <w:ind w:left="315" w:leftChars="-100" w:hanging="525" w:hangingChars="250"/>
        <w:jc w:val="left"/>
        <w:outlineLvl w:val="9"/>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35.</w:t>
      </w:r>
      <w:r>
        <w:rPr>
          <w:rFonts w:hint="eastAsia" w:ascii="宋体" w:hAnsi="宋体" w:eastAsia="宋体" w:cs="宋体"/>
          <w:color w:val="auto"/>
          <w:kern w:val="0"/>
          <w:szCs w:val="24"/>
          <w:highlight w:val="none"/>
          <w:lang w:val="en-US" w:eastAsia="zh-CN"/>
        </w:rPr>
        <w:t>6</w:t>
      </w:r>
      <w:r>
        <w:rPr>
          <w:rFonts w:hint="eastAsia" w:ascii="宋体" w:hAnsi="宋体" w:eastAsia="宋体" w:cs="宋体"/>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在依法完成本项目的所有合同义务后，经招标人确认，中标人可向招标人提交退回履约担保的申请。招标人审核无异议后，办理履约担保退还手续，退回时一律以银行转账的形式无息退回到中标人的</w:t>
      </w:r>
      <w:r>
        <w:rPr>
          <w:rFonts w:hint="eastAsia" w:ascii="宋体" w:hAnsi="宋体" w:eastAsia="宋体" w:cs="宋体"/>
          <w:color w:val="auto"/>
          <w:kern w:val="0"/>
          <w:szCs w:val="21"/>
          <w:highlight w:val="none"/>
          <w:lang w:val="en-US" w:eastAsia="zh-CN"/>
        </w:rPr>
        <w:t>账户</w:t>
      </w:r>
      <w:r>
        <w:rPr>
          <w:rFonts w:hint="eastAsia" w:ascii="宋体" w:hAnsi="宋体" w:eastAsia="宋体" w:cs="宋体"/>
          <w:color w:val="auto"/>
          <w:kern w:val="0"/>
          <w:szCs w:val="21"/>
          <w:highlight w:val="none"/>
        </w:rPr>
        <w:t>。</w:t>
      </w:r>
    </w:p>
    <w:p w14:paraId="27C1DBFF">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rPr>
      </w:pPr>
    </w:p>
    <w:p w14:paraId="56D2815A">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534" w:name="_Toc10548"/>
      <w:bookmarkStart w:id="535" w:name="_Toc14405"/>
      <w:bookmarkStart w:id="536" w:name="_Toc9976"/>
      <w:bookmarkStart w:id="537" w:name="_Toc10865"/>
      <w:bookmarkStart w:id="538" w:name="_Toc12"/>
      <w:bookmarkStart w:id="539" w:name="_Toc31781"/>
      <w:bookmarkStart w:id="540" w:name="_Toc3383"/>
      <w:bookmarkStart w:id="541" w:name="_Toc142508353"/>
      <w:bookmarkStart w:id="542" w:name="_Toc486167702"/>
      <w:bookmarkStart w:id="543" w:name="_Toc27162"/>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532"/>
      <w:bookmarkEnd w:id="533"/>
      <w:bookmarkEnd w:id="534"/>
      <w:bookmarkEnd w:id="535"/>
      <w:bookmarkEnd w:id="536"/>
      <w:bookmarkEnd w:id="537"/>
      <w:bookmarkEnd w:id="538"/>
      <w:bookmarkEnd w:id="539"/>
      <w:bookmarkEnd w:id="540"/>
      <w:bookmarkEnd w:id="541"/>
      <w:bookmarkEnd w:id="542"/>
      <w:bookmarkEnd w:id="543"/>
    </w:p>
    <w:p w14:paraId="27EE1F68">
      <w:pPr>
        <w:autoSpaceDE w:val="0"/>
        <w:autoSpaceDN w:val="0"/>
        <w:adjustRightInd w:val="0"/>
        <w:spacing w:line="360" w:lineRule="auto"/>
        <w:ind w:left="315" w:leftChars="-100" w:hanging="525" w:hangingChars="25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36.1 合同履行中，招标人在合同约定的范围内，招标人有权根据项目实际情况及有关法律法规、政策的规定对采购范围进行变更调整，变更采购范围后，投标人应遵照执行。</w:t>
      </w:r>
    </w:p>
    <w:p w14:paraId="451F809F">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lang w:val="zh-CN"/>
        </w:rPr>
      </w:pPr>
      <w:bookmarkStart w:id="544" w:name="_Toc450662888"/>
    </w:p>
    <w:p w14:paraId="3B15BDD9">
      <w:pPr>
        <w:tabs>
          <w:tab w:val="left" w:pos="465"/>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545" w:name="_Toc27921"/>
      <w:bookmarkStart w:id="546" w:name="_Toc142508354"/>
      <w:bookmarkStart w:id="547" w:name="_Toc28921_WPSOffice_Level3"/>
      <w:bookmarkStart w:id="548" w:name="_Toc32562"/>
      <w:bookmarkStart w:id="549" w:name="_Toc23218"/>
      <w:bookmarkStart w:id="550" w:name="_Toc5353"/>
      <w:bookmarkStart w:id="551" w:name="_Toc30627"/>
      <w:bookmarkStart w:id="552" w:name="_Toc6346"/>
      <w:bookmarkStart w:id="553" w:name="_Toc26429"/>
      <w:bookmarkStart w:id="554" w:name="_Toc486167703"/>
      <w:bookmarkStart w:id="555" w:name="_Toc2401"/>
      <w:r>
        <w:rPr>
          <w:rFonts w:hint="eastAsia" w:ascii="宋体" w:hAnsi="宋体" w:eastAsia="宋体" w:cs="宋体"/>
          <w:color w:val="auto"/>
          <w:szCs w:val="21"/>
          <w:highlight w:val="none"/>
        </w:rPr>
        <w:t>37</w:t>
      </w:r>
      <w:r>
        <w:rPr>
          <w:rFonts w:hint="eastAsia" w:ascii="宋体" w:hAnsi="宋体" w:eastAsia="宋体" w:cs="宋体"/>
          <w:color w:val="auto"/>
          <w:szCs w:val="21"/>
          <w:highlight w:val="none"/>
          <w:lang w:val="zh-CN"/>
        </w:rPr>
        <w:t xml:space="preserve"> 中标服务费</w:t>
      </w:r>
      <w:bookmarkEnd w:id="544"/>
      <w:bookmarkEnd w:id="545"/>
      <w:bookmarkEnd w:id="546"/>
      <w:bookmarkEnd w:id="547"/>
      <w:bookmarkEnd w:id="548"/>
      <w:bookmarkEnd w:id="549"/>
      <w:bookmarkEnd w:id="550"/>
      <w:bookmarkEnd w:id="551"/>
      <w:bookmarkEnd w:id="552"/>
      <w:bookmarkEnd w:id="553"/>
      <w:bookmarkEnd w:id="554"/>
      <w:bookmarkEnd w:id="555"/>
    </w:p>
    <w:p w14:paraId="3734021D">
      <w:pPr>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本项目中标服务费由招标人向招标代理机构支付。</w:t>
      </w:r>
    </w:p>
    <w:p w14:paraId="28ED61AE">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lang w:val="zh-CN"/>
        </w:rPr>
      </w:pPr>
      <w:bookmarkStart w:id="556" w:name="_Toc450662889"/>
    </w:p>
    <w:p w14:paraId="1CEDA900">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557" w:name="_Toc24564"/>
      <w:bookmarkStart w:id="558" w:name="_Toc21757"/>
      <w:bookmarkStart w:id="559" w:name="_Toc142508355"/>
      <w:bookmarkStart w:id="560" w:name="_Toc26584"/>
      <w:bookmarkStart w:id="561" w:name="_Toc22391"/>
      <w:bookmarkStart w:id="562" w:name="_Toc3125"/>
      <w:bookmarkStart w:id="563" w:name="_Toc6796"/>
      <w:bookmarkStart w:id="564" w:name="_Toc1184"/>
      <w:bookmarkStart w:id="565" w:name="_Toc6764_WPSOffice_Level3"/>
      <w:bookmarkStart w:id="566" w:name="_Toc21985"/>
      <w:bookmarkStart w:id="567" w:name="_Toc486167704"/>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556"/>
      <w:bookmarkEnd w:id="557"/>
      <w:bookmarkEnd w:id="558"/>
      <w:bookmarkEnd w:id="559"/>
      <w:bookmarkEnd w:id="560"/>
      <w:bookmarkEnd w:id="561"/>
      <w:bookmarkEnd w:id="562"/>
      <w:bookmarkEnd w:id="563"/>
      <w:bookmarkEnd w:id="564"/>
      <w:bookmarkEnd w:id="565"/>
      <w:bookmarkEnd w:id="566"/>
      <w:bookmarkEnd w:id="567"/>
    </w:p>
    <w:p w14:paraId="4C4F7D5A">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bookmarkStart w:id="568" w:name="_Toc486167705"/>
      <w:bookmarkStart w:id="569" w:name="_Toc31106_WPSOffice_Level3"/>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该项目获得中标的中标人在执行合同过程中，向招标人（或招标人上级单位水务集团或招标人关联公司）出具的发票必须是由中标人开具，不得以其他单位或个人名义出具，本项目中标人向招标人（或招标人上级单位水务集团或招标人关联公司）出具的发票类型为</w:t>
      </w:r>
      <w:r>
        <w:rPr>
          <w:rFonts w:hint="eastAsia" w:ascii="宋体" w:hAnsi="宋体" w:eastAsia="宋体" w:cs="宋体"/>
          <w:b w:val="0"/>
          <w:bCs w:val="0"/>
          <w:color w:val="auto"/>
          <w:sz w:val="21"/>
          <w:szCs w:val="21"/>
          <w:highlight w:val="none"/>
        </w:rPr>
        <w:t>增值税发票（具体发票类型以</w:t>
      </w:r>
      <w:r>
        <w:rPr>
          <w:rFonts w:hint="eastAsia" w:ascii="宋体" w:hAnsi="宋体" w:eastAsia="宋体" w:cs="宋体"/>
          <w:b w:val="0"/>
          <w:bCs w:val="0"/>
          <w:color w:val="auto"/>
          <w:sz w:val="21"/>
          <w:szCs w:val="21"/>
          <w:highlight w:val="none"/>
          <w:lang w:val="en-US" w:eastAsia="zh-CN"/>
        </w:rPr>
        <w:t>招标人</w:t>
      </w:r>
      <w:r>
        <w:rPr>
          <w:rFonts w:hint="eastAsia" w:ascii="宋体" w:hAnsi="宋体" w:eastAsia="宋体" w:cs="宋体"/>
          <w:color w:val="auto"/>
          <w:szCs w:val="21"/>
          <w:highlight w:val="none"/>
          <w:lang w:val="zh-CN"/>
        </w:rPr>
        <w:t>或招标人上级单位水务集团或招标人关联公司</w:t>
      </w:r>
      <w:r>
        <w:rPr>
          <w:rFonts w:hint="eastAsia" w:ascii="宋体" w:hAnsi="宋体" w:eastAsia="宋体" w:cs="宋体"/>
          <w:b w:val="0"/>
          <w:bCs w:val="0"/>
          <w:color w:val="auto"/>
          <w:sz w:val="21"/>
          <w:szCs w:val="21"/>
          <w:highlight w:val="none"/>
        </w:rPr>
        <w:t>要求为准）</w:t>
      </w:r>
      <w:r>
        <w:rPr>
          <w:rFonts w:hint="eastAsia" w:ascii="宋体" w:hAnsi="宋体" w:eastAsia="宋体" w:cs="宋体"/>
          <w:color w:val="auto"/>
          <w:szCs w:val="21"/>
          <w:highlight w:val="none"/>
          <w:lang w:val="zh-CN"/>
        </w:rPr>
        <w:t>。</w:t>
      </w:r>
    </w:p>
    <w:p w14:paraId="7A630A57">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rPr>
      </w:pPr>
    </w:p>
    <w:p w14:paraId="32B21DA3">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rPr>
      </w:pPr>
      <w:bookmarkStart w:id="570" w:name="_Toc27075"/>
      <w:bookmarkStart w:id="571" w:name="_Toc28708"/>
      <w:bookmarkStart w:id="572" w:name="_Toc8619"/>
      <w:bookmarkStart w:id="573" w:name="_Toc13065"/>
      <w:bookmarkStart w:id="574" w:name="_Toc142508356"/>
      <w:bookmarkStart w:id="575" w:name="_Toc12032"/>
      <w:bookmarkStart w:id="576" w:name="_Toc24547"/>
      <w:bookmarkStart w:id="577" w:name="_Toc1193"/>
      <w:bookmarkStart w:id="578" w:name="_Toc13677"/>
      <w:r>
        <w:rPr>
          <w:rFonts w:hint="eastAsia" w:ascii="宋体" w:hAnsi="宋体" w:eastAsia="宋体" w:cs="宋体"/>
          <w:b/>
          <w:color w:val="auto"/>
          <w:szCs w:val="21"/>
          <w:highlight w:val="none"/>
        </w:rPr>
        <w:t>39 招标相关补充约定</w:t>
      </w:r>
      <w:bookmarkEnd w:id="570"/>
      <w:bookmarkEnd w:id="571"/>
      <w:bookmarkEnd w:id="572"/>
      <w:bookmarkEnd w:id="573"/>
      <w:bookmarkEnd w:id="574"/>
      <w:bookmarkEnd w:id="575"/>
      <w:bookmarkEnd w:id="576"/>
      <w:bookmarkEnd w:id="577"/>
      <w:bookmarkEnd w:id="578"/>
    </w:p>
    <w:p w14:paraId="03B495E0">
      <w:pPr>
        <w:autoSpaceDE w:val="0"/>
        <w:autoSpaceDN w:val="0"/>
        <w:adjustRightInd w:val="0"/>
        <w:snapToGrid w:val="0"/>
        <w:spacing w:line="360" w:lineRule="auto"/>
        <w:ind w:left="317" w:leftChars="-100" w:hanging="527" w:hangingChars="25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39.1</w:t>
      </w:r>
      <w:r>
        <w:rPr>
          <w:rFonts w:hint="eastAsia" w:ascii="宋体" w:hAnsi="宋体" w:eastAsia="宋体" w:cs="宋体"/>
          <w:b/>
          <w:color w:val="auto"/>
          <w:szCs w:val="21"/>
          <w:highlight w:val="none"/>
          <w:lang w:val="en-US" w:eastAsia="zh-CN"/>
        </w:rPr>
        <w:t xml:space="preserve"> </w:t>
      </w:r>
      <w:r>
        <w:rPr>
          <w:rFonts w:hint="eastAsia" w:ascii="宋体" w:hAnsi="宋体" w:eastAsia="宋体" w:cs="宋体"/>
          <w:b/>
          <w:color w:val="auto"/>
          <w:szCs w:val="21"/>
          <w:highlight w:val="none"/>
          <w:u w:val="single"/>
        </w:rPr>
        <w:t>本项目投标人须知第2条所述行政处罚信息，以开标</w:t>
      </w:r>
      <w:r>
        <w:rPr>
          <w:rFonts w:hint="eastAsia" w:ascii="宋体" w:hAnsi="宋体" w:eastAsia="宋体" w:cs="宋体"/>
          <w:b/>
          <w:color w:val="auto"/>
          <w:szCs w:val="21"/>
          <w:highlight w:val="none"/>
          <w:u w:val="single"/>
          <w:lang w:val="en-US" w:eastAsia="zh-CN"/>
        </w:rPr>
        <w:t>当天</w:t>
      </w:r>
      <w:r>
        <w:rPr>
          <w:rFonts w:hint="eastAsia" w:ascii="宋体" w:hAnsi="宋体" w:eastAsia="宋体" w:cs="宋体"/>
          <w:b/>
          <w:color w:val="auto"/>
          <w:szCs w:val="21"/>
          <w:highlight w:val="none"/>
          <w:u w:val="single"/>
        </w:rPr>
        <w:t>在“信用中国”网站（www.creditchina.gov.cn）查询结果为准，或以司法、仲裁机构等出具的生效文件予以认定,时间以认定文件的落款时间为准。开标结束后，有关投标单位的行政处罚信息，以</w:t>
      </w:r>
      <w:r>
        <w:rPr>
          <w:rFonts w:hint="eastAsia" w:ascii="宋体" w:hAnsi="宋体" w:eastAsia="宋体" w:cs="宋体"/>
          <w:b/>
          <w:color w:val="auto"/>
          <w:szCs w:val="21"/>
          <w:highlight w:val="none"/>
          <w:u w:val="single"/>
          <w:lang w:val="en-US" w:eastAsia="zh-CN"/>
        </w:rPr>
        <w:t>开标当天查询</w:t>
      </w:r>
      <w:r>
        <w:rPr>
          <w:rFonts w:hint="eastAsia" w:ascii="宋体" w:hAnsi="宋体" w:eastAsia="宋体" w:cs="宋体"/>
          <w:b/>
          <w:color w:val="auto"/>
          <w:szCs w:val="21"/>
          <w:highlight w:val="none"/>
          <w:u w:val="single"/>
        </w:rPr>
        <w:t>结果为准；结果公示期间，如投标人对有关投标单位的行政处罚信息存在异议，但不涉及第一中标候选人的，视为对中标结果没有造成实质影响</w:t>
      </w:r>
      <w:r>
        <w:rPr>
          <w:rFonts w:hint="eastAsia" w:ascii="宋体" w:hAnsi="宋体" w:eastAsia="宋体" w:cs="宋体"/>
          <w:b/>
          <w:color w:val="auto"/>
          <w:szCs w:val="21"/>
          <w:highlight w:val="none"/>
        </w:rPr>
        <w:t>。</w:t>
      </w:r>
    </w:p>
    <w:p w14:paraId="6328482F">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rPr>
      </w:pPr>
    </w:p>
    <w:p w14:paraId="1E573007">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rPr>
      </w:pPr>
      <w:bookmarkStart w:id="579" w:name="_Toc29758"/>
      <w:bookmarkStart w:id="580" w:name="_Toc7054"/>
      <w:bookmarkStart w:id="581" w:name="_Toc7594"/>
      <w:bookmarkStart w:id="582" w:name="_Toc5205"/>
      <w:bookmarkStart w:id="583" w:name="_Toc909"/>
      <w:bookmarkStart w:id="584" w:name="_Toc142508357"/>
      <w:bookmarkStart w:id="585" w:name="_Toc18906"/>
      <w:bookmarkStart w:id="586" w:name="_Toc26594"/>
      <w:bookmarkStart w:id="587" w:name="_Toc23779"/>
      <w:r>
        <w:rPr>
          <w:rFonts w:hint="eastAsia" w:ascii="宋体" w:hAnsi="宋体" w:eastAsia="宋体" w:cs="宋体"/>
          <w:color w:val="auto"/>
          <w:szCs w:val="21"/>
          <w:highlight w:val="none"/>
        </w:rPr>
        <w:t>40 本次招标活动的最终解释权归招标代理机构及招标人所有。</w:t>
      </w:r>
      <w:bookmarkEnd w:id="568"/>
      <w:bookmarkEnd w:id="569"/>
      <w:bookmarkEnd w:id="579"/>
      <w:bookmarkEnd w:id="580"/>
      <w:bookmarkEnd w:id="581"/>
      <w:bookmarkEnd w:id="582"/>
      <w:bookmarkEnd w:id="583"/>
      <w:bookmarkEnd w:id="584"/>
      <w:bookmarkEnd w:id="585"/>
      <w:bookmarkEnd w:id="586"/>
      <w:bookmarkEnd w:id="587"/>
    </w:p>
    <w:p w14:paraId="11CD0F32">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auto"/>
          <w:kern w:val="44"/>
          <w:sz w:val="32"/>
          <w:szCs w:val="32"/>
          <w:highlight w:val="none"/>
          <w:lang w:val="zh-CN"/>
        </w:rPr>
      </w:pPr>
      <w:bookmarkStart w:id="588" w:name="_Toc12084"/>
      <w:bookmarkStart w:id="589" w:name="_Toc21446"/>
      <w:bookmarkStart w:id="590" w:name="_Toc4386"/>
      <w:bookmarkStart w:id="591" w:name="_Toc17171"/>
      <w:bookmarkStart w:id="592" w:name="_Toc486167706"/>
      <w:bookmarkStart w:id="593" w:name="_Toc14879"/>
      <w:bookmarkStart w:id="594" w:name="_Toc450662891"/>
      <w:bookmarkStart w:id="595" w:name="_Toc142508358"/>
      <w:bookmarkStart w:id="596" w:name="_Toc27939_WPSOffice_Level1"/>
      <w:bookmarkStart w:id="597" w:name="_Toc1496"/>
      <w:bookmarkStart w:id="598" w:name="_Toc30115"/>
      <w:bookmarkStart w:id="599" w:name="_Toc32724"/>
      <w:r>
        <w:rPr>
          <w:rFonts w:hint="eastAsia" w:ascii="宋体" w:hAnsi="宋体" w:eastAsia="宋体" w:cs="宋体"/>
          <w:b/>
          <w:bCs/>
          <w:color w:val="auto"/>
          <w:kern w:val="44"/>
          <w:sz w:val="32"/>
          <w:szCs w:val="32"/>
          <w:highlight w:val="none"/>
          <w:lang w:val="zh-CN"/>
        </w:rPr>
        <w:t>第三篇 用户需求书</w:t>
      </w:r>
      <w:bookmarkEnd w:id="588"/>
      <w:bookmarkEnd w:id="589"/>
      <w:bookmarkEnd w:id="590"/>
      <w:bookmarkEnd w:id="591"/>
      <w:bookmarkEnd w:id="592"/>
      <w:bookmarkEnd w:id="593"/>
      <w:bookmarkEnd w:id="594"/>
      <w:bookmarkEnd w:id="595"/>
      <w:bookmarkEnd w:id="596"/>
      <w:bookmarkEnd w:id="597"/>
      <w:bookmarkEnd w:id="598"/>
      <w:bookmarkEnd w:id="599"/>
    </w:p>
    <w:p w14:paraId="4EC3EF77">
      <w:pPr>
        <w:spacing w:line="360" w:lineRule="auto"/>
        <w:ind w:firstLine="422" w:firstLineChars="200"/>
        <w:outlineLvl w:val="0"/>
        <w:rPr>
          <w:rFonts w:hint="eastAsia" w:ascii="宋体" w:hAnsi="宋体" w:eastAsia="宋体" w:cs="宋体"/>
          <w:b/>
          <w:bCs/>
          <w:color w:val="000000"/>
          <w:szCs w:val="21"/>
        </w:rPr>
      </w:pPr>
      <w:r>
        <w:rPr>
          <w:rFonts w:hint="eastAsia" w:ascii="宋体" w:hAnsi="宋体" w:eastAsia="宋体" w:cs="宋体"/>
          <w:b/>
          <w:bCs/>
          <w:szCs w:val="21"/>
        </w:rPr>
        <w:t>一、项目背景</w:t>
      </w:r>
    </w:p>
    <w:p w14:paraId="3C5A7E4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食堂规划于水业大厦三楼，采取“智能餐厅+市场运营”的方式，以称重售餐形式进行经营，</w:t>
      </w:r>
      <w:r>
        <w:rPr>
          <w:rFonts w:hint="eastAsia" w:ascii="宋体" w:hAnsi="宋体" w:eastAsia="宋体" w:cs="宋体"/>
          <w:szCs w:val="21"/>
          <w:lang w:val="en-US" w:eastAsia="zh-CN"/>
        </w:rPr>
        <w:t>中标人以独立法人（按规办理资质）承包食堂经营服务</w:t>
      </w:r>
      <w:r>
        <w:rPr>
          <w:rFonts w:hint="eastAsia" w:ascii="宋体" w:hAnsi="宋体" w:eastAsia="宋体" w:cs="宋体"/>
          <w:szCs w:val="21"/>
        </w:rPr>
        <w:t>。</w:t>
      </w:r>
    </w:p>
    <w:p w14:paraId="288F931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为持续提高运营水平，充分满足食堂各项功能需求，进一步强化精细管理，不断提升就餐人员满意度，招标人拟招标优质膳食投标人，采用对外承包模式运营水业大厦食堂。本项目暂定服务期自</w:t>
      </w:r>
      <w:r>
        <w:rPr>
          <w:rFonts w:hint="eastAsia" w:ascii="宋体" w:hAnsi="宋体" w:eastAsia="宋体" w:cs="宋体"/>
          <w:szCs w:val="21"/>
          <w:lang w:val="en-US" w:eastAsia="zh-CN"/>
        </w:rPr>
        <w:t>招标人</w:t>
      </w:r>
      <w:r>
        <w:rPr>
          <w:rFonts w:hint="eastAsia" w:ascii="宋体" w:hAnsi="宋体" w:eastAsia="宋体" w:cs="宋体"/>
          <w:szCs w:val="21"/>
        </w:rPr>
        <w:t>发出《进场通知书》之日起2年（招标人按月度和年度对中标人进行考核，中标人未通过考核的，招标人有权终止合同）。</w:t>
      </w:r>
    </w:p>
    <w:p w14:paraId="2A4E4179">
      <w:pPr>
        <w:numPr>
          <w:ilvl w:val="0"/>
          <w:numId w:val="2"/>
        </w:numPr>
        <w:spacing w:line="360" w:lineRule="auto"/>
        <w:ind w:firstLine="422" w:firstLineChars="200"/>
        <w:outlineLvl w:val="0"/>
        <w:rPr>
          <w:rFonts w:hint="eastAsia" w:ascii="宋体" w:hAnsi="宋体" w:eastAsia="宋体" w:cs="宋体"/>
          <w:b/>
          <w:bCs/>
          <w:szCs w:val="21"/>
        </w:rPr>
      </w:pPr>
      <w:r>
        <w:rPr>
          <w:rFonts w:hint="eastAsia" w:ascii="宋体" w:hAnsi="宋体" w:eastAsia="宋体" w:cs="宋体"/>
          <w:b/>
          <w:bCs/>
          <w:szCs w:val="21"/>
        </w:rPr>
        <w:t>食堂基本情况</w:t>
      </w:r>
    </w:p>
    <w:p w14:paraId="4049101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一）食堂建设规划：水业大厦食堂以市场化、智能化、专业化为规划目标，建设面积约3590㎡（套内面积约2000㎡），设置厨房区、公共就餐区（暂设436个公区座位，远期可满足800人就餐）、独立就餐区、非就餐区等（就餐人数以实际为准），为招标人员工（指招标人及招标人关联公司、上级单位水务集团等集团内入驻水业大厦的员工，下同）及外来零散人员和外来团体人员及公务接待人员等提供早餐、午餐、晚餐及相关产品。</w:t>
      </w:r>
    </w:p>
    <w:p w14:paraId="7AF9EE20">
      <w:pPr>
        <w:numPr>
          <w:ilvl w:val="0"/>
          <w:numId w:val="3"/>
        </w:num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用餐需求</w:t>
      </w:r>
    </w:p>
    <w:p w14:paraId="52C19AA5">
      <w:pPr>
        <w:numPr>
          <w:ilvl w:val="255"/>
          <w:numId w:val="0"/>
        </w:num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本项目主要满足水务集团办公人员，同时兼顾对外经营的能力，预计本项目投入使用后人员规模为650人，远期可满足800人用餐规模（就餐人数以实际为准）。</w:t>
      </w:r>
    </w:p>
    <w:p w14:paraId="6CB7BEA1">
      <w:pPr>
        <w:numPr>
          <w:ilvl w:val="0"/>
          <w:numId w:val="3"/>
        </w:num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委托方式</w:t>
      </w:r>
    </w:p>
    <w:p w14:paraId="22F8F627">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承包经营方式（承包包干），食材采购、人工、水电及燃气等费用均由中标人承担，自负盈亏。中标人负责采购一切食材原料、配料，负责承包食堂</w:t>
      </w:r>
      <w:r>
        <w:rPr>
          <w:rFonts w:hint="eastAsia" w:ascii="宋体" w:hAnsi="宋体" w:eastAsia="宋体" w:cs="宋体"/>
          <w:szCs w:val="21"/>
          <w:lang w:val="en-US" w:eastAsia="zh-CN"/>
        </w:rPr>
        <w:t>经营</w:t>
      </w:r>
      <w:r>
        <w:rPr>
          <w:rFonts w:hint="eastAsia" w:ascii="宋体" w:hAnsi="宋体" w:eastAsia="宋体" w:cs="宋体"/>
          <w:szCs w:val="21"/>
        </w:rPr>
        <w:t>，按时完成员工常规用餐的开膳工作，并负责服务招标人外来人员接待用餐和团餐的开膳工作，负责食堂范围内所有设备设施（含餐桌椅）的清洁、维护维修。</w:t>
      </w:r>
    </w:p>
    <w:p w14:paraId="19BA62BE">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招标人提供装修设备及餐桌椅，服务期终止或结束，</w:t>
      </w:r>
      <w:r>
        <w:rPr>
          <w:rFonts w:hint="eastAsia" w:ascii="宋体" w:hAnsi="宋体" w:eastAsia="宋体" w:cs="宋体"/>
          <w:szCs w:val="21"/>
          <w:lang w:val="en-US" w:eastAsia="zh-CN"/>
        </w:rPr>
        <w:t>中标人</w:t>
      </w:r>
      <w:r>
        <w:rPr>
          <w:rFonts w:hint="eastAsia" w:ascii="宋体" w:hAnsi="宋体" w:eastAsia="宋体" w:cs="宋体"/>
          <w:szCs w:val="21"/>
        </w:rPr>
        <w:t>按完好状态移交</w:t>
      </w:r>
      <w:r>
        <w:rPr>
          <w:rFonts w:hint="eastAsia" w:ascii="宋体" w:hAnsi="宋体" w:eastAsia="宋体" w:cs="宋体"/>
          <w:szCs w:val="21"/>
          <w:lang w:val="en-US" w:eastAsia="zh-CN"/>
        </w:rPr>
        <w:t>招标人</w:t>
      </w:r>
      <w:r>
        <w:rPr>
          <w:rFonts w:hint="eastAsia" w:ascii="宋体" w:hAnsi="宋体" w:eastAsia="宋体" w:cs="宋体"/>
          <w:szCs w:val="21"/>
        </w:rPr>
        <w:t>；中标人自行采购餐具、智能称重设备、智能管理系统和厨房用品等。服务期终止或结束，</w:t>
      </w:r>
      <w:r>
        <w:rPr>
          <w:rFonts w:hint="eastAsia" w:ascii="宋体" w:hAnsi="宋体" w:eastAsia="宋体" w:cs="宋体"/>
          <w:szCs w:val="21"/>
          <w:lang w:val="en-US" w:eastAsia="zh-CN"/>
        </w:rPr>
        <w:t>中标人</w:t>
      </w:r>
      <w:r>
        <w:rPr>
          <w:rFonts w:hint="eastAsia" w:ascii="宋体" w:hAnsi="宋体" w:eastAsia="宋体" w:cs="宋体"/>
          <w:szCs w:val="21"/>
        </w:rPr>
        <w:t>投入的设备归</w:t>
      </w:r>
      <w:r>
        <w:rPr>
          <w:rFonts w:hint="eastAsia" w:ascii="宋体" w:hAnsi="宋体" w:eastAsia="宋体" w:cs="宋体"/>
          <w:szCs w:val="21"/>
          <w:lang w:val="en-US" w:eastAsia="zh-CN"/>
        </w:rPr>
        <w:t>中标人</w:t>
      </w:r>
      <w:r>
        <w:rPr>
          <w:rFonts w:hint="eastAsia" w:ascii="宋体" w:hAnsi="宋体" w:eastAsia="宋体" w:cs="宋体"/>
          <w:szCs w:val="21"/>
        </w:rPr>
        <w:t>所有。</w:t>
      </w:r>
    </w:p>
    <w:p w14:paraId="0316604E">
      <w:pPr>
        <w:numPr>
          <w:ilvl w:val="0"/>
          <w:numId w:val="3"/>
        </w:numPr>
        <w:spacing w:line="360" w:lineRule="auto"/>
        <w:ind w:firstLine="420" w:firstLineChars="200"/>
        <w:outlineLvl w:val="0"/>
        <w:rPr>
          <w:rFonts w:hint="eastAsia" w:ascii="宋体" w:hAnsi="宋体" w:eastAsia="宋体" w:cs="宋体"/>
          <w:szCs w:val="21"/>
          <w:lang w:bidi="ar"/>
        </w:rPr>
      </w:pPr>
      <w:r>
        <w:rPr>
          <w:rFonts w:hint="eastAsia" w:ascii="宋体" w:hAnsi="宋体" w:eastAsia="宋体" w:cs="宋体"/>
          <w:szCs w:val="21"/>
        </w:rPr>
        <w:t>经营模式</w:t>
      </w:r>
    </w:p>
    <w:p w14:paraId="789A24A8">
      <w:pPr>
        <w:widowControl/>
        <w:spacing w:line="360" w:lineRule="auto"/>
        <w:ind w:firstLine="420" w:firstLineChars="200"/>
        <w:jc w:val="left"/>
        <w:outlineLvl w:val="0"/>
        <w:rPr>
          <w:rFonts w:hint="eastAsia" w:ascii="宋体" w:hAnsi="宋体" w:eastAsia="宋体" w:cs="宋体"/>
          <w:szCs w:val="21"/>
        </w:rPr>
      </w:pPr>
      <w:r>
        <w:rPr>
          <w:rFonts w:hint="eastAsia" w:ascii="宋体" w:hAnsi="宋体" w:eastAsia="宋体" w:cs="宋体"/>
          <w:szCs w:val="21"/>
        </w:rPr>
        <w:t>中标人</w:t>
      </w:r>
      <w:r>
        <w:rPr>
          <w:rFonts w:hint="eastAsia" w:ascii="宋体" w:hAnsi="宋体" w:eastAsia="宋体" w:cs="宋体"/>
          <w:szCs w:val="21"/>
          <w:lang w:val="en-US" w:eastAsia="zh-CN"/>
        </w:rPr>
        <w:t>应做好食堂的经营管理</w:t>
      </w:r>
      <w:r>
        <w:rPr>
          <w:rFonts w:hint="eastAsia" w:ascii="宋体" w:hAnsi="宋体" w:eastAsia="宋体" w:cs="宋体"/>
          <w:szCs w:val="21"/>
        </w:rPr>
        <w:t>，自负盈亏。</w:t>
      </w:r>
    </w:p>
    <w:p w14:paraId="32C7EEED">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（五）餐饮供应需求</w:t>
      </w:r>
    </w:p>
    <w:p w14:paraId="00A371BD">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水业大厦用餐：早餐、中餐、晚餐。大厦</w:t>
      </w:r>
      <w:r>
        <w:rPr>
          <w:rFonts w:hint="eastAsia" w:ascii="宋体" w:hAnsi="宋体" w:eastAsia="宋体" w:cs="宋体"/>
          <w:szCs w:val="21"/>
          <w:lang w:val="en-US" w:eastAsia="zh-CN"/>
        </w:rPr>
        <w:t>用餐人员</w:t>
      </w:r>
      <w:r>
        <w:rPr>
          <w:rFonts w:hint="eastAsia" w:ascii="宋体" w:hAnsi="宋体" w:eastAsia="宋体" w:cs="宋体"/>
          <w:szCs w:val="21"/>
        </w:rPr>
        <w:t>常规用餐工作日每日开餐（有特殊情况另行约定）。具体用餐时间以招标人要求为准，中标人应无条件配合。招标人如需加餐，由招标人购买或委托中标人采购食材，中标人负责加工。如是中标人采购食材，招标人支付合理的食材费用，但不额外支付加工或其他费用；如是招标人自行购买食材，中标人负责加工，招标人不额外支付加工或其他费用给中标人。</w:t>
      </w:r>
    </w:p>
    <w:p w14:paraId="7C66349D">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外来人员用餐：呈不确定性，按照具体要求开展。</w:t>
      </w:r>
    </w:p>
    <w:p w14:paraId="6AA39428">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（六）用餐计价标准</w:t>
      </w:r>
    </w:p>
    <w:p w14:paraId="233DAC87">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招标人员工</w:t>
      </w:r>
      <w:r>
        <w:rPr>
          <w:rFonts w:hint="eastAsia" w:ascii="宋体" w:hAnsi="宋体" w:eastAsia="宋体" w:cs="宋体"/>
          <w:szCs w:val="21"/>
        </w:rPr>
        <w:t>：招标人员工的用餐标准1100</w:t>
      </w:r>
      <w:r>
        <w:rPr>
          <w:rFonts w:hint="eastAsia" w:ascii="宋体" w:hAnsi="宋体" w:eastAsia="宋体" w:cs="宋体"/>
          <w:szCs w:val="21"/>
          <w:lang w:val="en-US" w:eastAsia="zh-CN"/>
        </w:rPr>
        <w:t>元</w:t>
      </w:r>
      <w:r>
        <w:rPr>
          <w:rFonts w:hint="eastAsia" w:ascii="宋体" w:hAnsi="宋体" w:eastAsia="宋体" w:cs="宋体"/>
          <w:szCs w:val="21"/>
        </w:rPr>
        <w:t>/人/月（仅用于食材的补助），折合50元/人/天，每月清零。招标人员工</w:t>
      </w:r>
      <w:r>
        <w:rPr>
          <w:rFonts w:hint="eastAsia" w:ascii="宋体" w:hAnsi="宋体" w:eastAsia="宋体" w:cs="宋体"/>
          <w:szCs w:val="21"/>
          <w:lang w:val="en-US" w:eastAsia="zh-CN"/>
        </w:rPr>
        <w:t>就餐区</w:t>
      </w:r>
      <w:r>
        <w:rPr>
          <w:rFonts w:hint="eastAsia" w:ascii="宋体" w:hAnsi="宋体" w:eastAsia="宋体" w:cs="宋体"/>
          <w:szCs w:val="21"/>
        </w:rPr>
        <w:t>消费按售价70%计价（要求食材成本不低于菜价的70%），在</w:t>
      </w:r>
      <w:r>
        <w:rPr>
          <w:rFonts w:hint="eastAsia" w:ascii="宋体" w:hAnsi="宋体" w:eastAsia="宋体" w:cs="宋体"/>
          <w:szCs w:val="21"/>
          <w:lang w:val="en-US" w:eastAsia="zh-CN"/>
        </w:rPr>
        <w:t>用餐标准（即1100元/人/月）</w:t>
      </w:r>
      <w:r>
        <w:rPr>
          <w:rFonts w:hint="eastAsia" w:ascii="宋体" w:hAnsi="宋体" w:eastAsia="宋体" w:cs="宋体"/>
          <w:szCs w:val="21"/>
        </w:rPr>
        <w:t>范围内的，消费部分从虚拟账户中扣减；超出</w:t>
      </w:r>
      <w:r>
        <w:rPr>
          <w:rFonts w:hint="eastAsia" w:ascii="宋体" w:hAnsi="宋体" w:eastAsia="宋体" w:cs="宋体"/>
          <w:szCs w:val="21"/>
          <w:lang w:val="en-US" w:eastAsia="zh-CN"/>
        </w:rPr>
        <w:t>用餐标准（即1100元/人/月）</w:t>
      </w:r>
      <w:r>
        <w:rPr>
          <w:rFonts w:hint="eastAsia" w:ascii="宋体" w:hAnsi="宋体" w:eastAsia="宋体" w:cs="宋体"/>
          <w:szCs w:val="21"/>
        </w:rPr>
        <w:t>范围的</w:t>
      </w:r>
      <w:r>
        <w:rPr>
          <w:rFonts w:hint="eastAsia" w:ascii="宋体" w:hAnsi="宋体" w:eastAsia="宋体" w:cs="宋体"/>
          <w:szCs w:val="21"/>
          <w:lang w:eastAsia="zh-CN"/>
        </w:rPr>
        <w:t>，</w:t>
      </w:r>
      <w:r>
        <w:rPr>
          <w:rFonts w:hint="eastAsia" w:ascii="宋体" w:hAnsi="宋体" w:eastAsia="宋体" w:cs="宋体"/>
          <w:szCs w:val="21"/>
        </w:rPr>
        <w:t>消费部分从员工充值账户中扣减。</w:t>
      </w:r>
    </w:p>
    <w:p w14:paraId="1341BAF1">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lang w:val="en-US" w:eastAsia="zh-CN"/>
        </w:rPr>
        <w:t>中标人</w:t>
      </w:r>
      <w:r>
        <w:rPr>
          <w:rFonts w:hint="eastAsia" w:ascii="宋体" w:hAnsi="宋体" w:eastAsia="宋体" w:cs="宋体"/>
          <w:szCs w:val="21"/>
        </w:rPr>
        <w:t>在非就餐区配置多元化的商品供应，多元化产品销售价格要求不能高于大型商超同类产品的零售价格。</w:t>
      </w:r>
      <w:r>
        <w:rPr>
          <w:rFonts w:hint="eastAsia" w:ascii="宋体" w:hAnsi="宋体" w:eastAsia="宋体" w:cs="宋体"/>
          <w:szCs w:val="21"/>
          <w:lang w:val="en-US" w:eastAsia="zh-CN"/>
        </w:rPr>
        <w:t>招标人</w:t>
      </w:r>
      <w:r>
        <w:rPr>
          <w:rFonts w:hint="eastAsia" w:ascii="宋体" w:hAnsi="宋体" w:eastAsia="宋体" w:cs="宋体"/>
          <w:szCs w:val="21"/>
        </w:rPr>
        <w:t>员工</w:t>
      </w:r>
      <w:r>
        <w:rPr>
          <w:rFonts w:hint="eastAsia" w:ascii="宋体" w:hAnsi="宋体" w:eastAsia="宋体" w:cs="宋体"/>
          <w:szCs w:val="21"/>
          <w:lang w:val="en-US" w:eastAsia="zh-CN"/>
        </w:rPr>
        <w:t>在非就餐区</w:t>
      </w:r>
      <w:r>
        <w:rPr>
          <w:rFonts w:hint="eastAsia" w:ascii="宋体" w:hAnsi="宋体" w:eastAsia="宋体" w:cs="宋体"/>
          <w:szCs w:val="21"/>
        </w:rPr>
        <w:t>消费按照全价计费，消费在</w:t>
      </w:r>
      <w:r>
        <w:rPr>
          <w:rFonts w:hint="eastAsia" w:ascii="宋体" w:hAnsi="宋体" w:eastAsia="宋体" w:cs="宋体"/>
          <w:szCs w:val="21"/>
          <w:lang w:val="en-US" w:eastAsia="zh-CN"/>
        </w:rPr>
        <w:t>用餐标准（即1100元/人/月）</w:t>
      </w:r>
      <w:r>
        <w:rPr>
          <w:rFonts w:hint="eastAsia" w:ascii="宋体" w:hAnsi="宋体" w:eastAsia="宋体" w:cs="宋体"/>
          <w:szCs w:val="21"/>
        </w:rPr>
        <w:t>范围内的，在虚拟账户中扣减；超出</w:t>
      </w:r>
      <w:r>
        <w:rPr>
          <w:rFonts w:hint="eastAsia" w:ascii="宋体" w:hAnsi="宋体" w:eastAsia="宋体" w:cs="宋体"/>
          <w:szCs w:val="21"/>
          <w:lang w:val="en-US" w:eastAsia="zh-CN"/>
        </w:rPr>
        <w:t>用餐标准（即1100元/人/月）</w:t>
      </w:r>
      <w:r>
        <w:rPr>
          <w:rFonts w:hint="eastAsia" w:ascii="宋体" w:hAnsi="宋体" w:eastAsia="宋体" w:cs="宋体"/>
          <w:szCs w:val="21"/>
        </w:rPr>
        <w:t>范围的，按实际消费从员工充值账户中扣减。</w:t>
      </w:r>
    </w:p>
    <w:p w14:paraId="1564A3B1">
      <w:pPr>
        <w:spacing w:line="360" w:lineRule="auto"/>
        <w:ind w:firstLine="420" w:firstLineChars="200"/>
        <w:outlineLvl w:val="0"/>
        <w:rPr>
          <w:rFonts w:hint="default" w:ascii="宋体" w:hAnsi="宋体" w:eastAsia="宋体" w:cs="宋体"/>
          <w:szCs w:val="21"/>
          <w:highlight w:val="yellow"/>
          <w:lang w:val="en-US" w:eastAsia="zh-CN"/>
        </w:rPr>
      </w:pPr>
      <w:r>
        <w:rPr>
          <w:rFonts w:hint="eastAsia" w:ascii="宋体" w:hAnsi="宋体" w:eastAsia="宋体" w:cs="宋体"/>
          <w:szCs w:val="21"/>
        </w:rPr>
        <w:t>2.外</w:t>
      </w:r>
      <w:r>
        <w:rPr>
          <w:rFonts w:hint="eastAsia" w:ascii="宋体" w:hAnsi="宋体" w:eastAsia="宋体" w:cs="宋体"/>
          <w:szCs w:val="21"/>
          <w:lang w:val="en-US" w:eastAsia="zh-CN"/>
        </w:rPr>
        <w:t>来人员</w:t>
      </w:r>
      <w:r>
        <w:rPr>
          <w:rFonts w:hint="eastAsia" w:ascii="宋体" w:hAnsi="宋体" w:eastAsia="宋体" w:cs="宋体"/>
          <w:szCs w:val="21"/>
        </w:rPr>
        <w:t>消费按全价收取</w:t>
      </w:r>
      <w:r>
        <w:rPr>
          <w:rFonts w:hint="eastAsia" w:ascii="宋体" w:hAnsi="宋体" w:eastAsia="宋体" w:cs="宋体"/>
          <w:szCs w:val="21"/>
          <w:lang w:eastAsia="zh-CN"/>
        </w:rPr>
        <w:t>，</w:t>
      </w:r>
      <w:r>
        <w:rPr>
          <w:rFonts w:hint="eastAsia" w:ascii="宋体" w:hAnsi="宋体" w:eastAsia="宋体" w:cs="宋体"/>
          <w:szCs w:val="21"/>
          <w:lang w:val="en-US" w:eastAsia="zh-CN"/>
        </w:rPr>
        <w:t>外来人员消费费用全部由现金充值金额中结算。</w:t>
      </w:r>
    </w:p>
    <w:p w14:paraId="3608EDDC">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（七）消费统计及结算</w:t>
      </w:r>
    </w:p>
    <w:p w14:paraId="68879707">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中标人负责提供食堂管理系统，可实现各类型用餐群体的消费管理、统计、报餐等功能，此部分功能同步开放权限给</w:t>
      </w:r>
      <w:r>
        <w:rPr>
          <w:rFonts w:hint="eastAsia" w:ascii="宋体" w:hAnsi="宋体" w:eastAsia="宋体" w:cs="宋体"/>
          <w:szCs w:val="21"/>
          <w:lang w:val="en-US" w:eastAsia="zh-CN"/>
        </w:rPr>
        <w:t>招</w:t>
      </w:r>
      <w:r>
        <w:rPr>
          <w:rFonts w:hint="eastAsia" w:ascii="宋体" w:hAnsi="宋体" w:eastAsia="宋体" w:cs="宋体"/>
          <w:szCs w:val="21"/>
        </w:rPr>
        <w:t>标人，便于日常运营。菜品销售收入由招标人设置账户统一收支，收入来源于外</w:t>
      </w:r>
      <w:r>
        <w:rPr>
          <w:rFonts w:hint="eastAsia" w:ascii="宋体" w:hAnsi="宋体" w:eastAsia="宋体" w:cs="宋体"/>
          <w:szCs w:val="21"/>
          <w:lang w:val="en-US" w:eastAsia="zh-CN"/>
        </w:rPr>
        <w:t>来人员</w:t>
      </w:r>
      <w:r>
        <w:rPr>
          <w:rFonts w:hint="eastAsia" w:ascii="宋体" w:hAnsi="宋体" w:eastAsia="宋体" w:cs="宋体"/>
          <w:szCs w:val="21"/>
        </w:rPr>
        <w:t>消费和员工消费。员工餐卡两个账户，一是员工虚拟账户，餐补部分每月充值到虚拟账户，只产生消费记录。餐补额度内消费，按实扣费；二是员工充值账户，超过餐补部分由此账户支出。</w:t>
      </w:r>
    </w:p>
    <w:p w14:paraId="7FB8EB21">
      <w:pPr>
        <w:spacing w:line="360" w:lineRule="auto"/>
        <w:ind w:firstLine="420" w:firstLineChars="200"/>
        <w:outlineLvl w:val="0"/>
        <w:rPr>
          <w:rFonts w:hint="eastAsia" w:ascii="宋体" w:hAnsi="宋体" w:eastAsia="宋体" w:cs="宋体"/>
          <w:szCs w:val="21"/>
          <w:lang w:val="en-US" w:eastAsia="zh-CN"/>
        </w:rPr>
      </w:pPr>
      <w:r>
        <w:rPr>
          <w:rFonts w:hint="eastAsia" w:ascii="宋体" w:hAnsi="宋体" w:eastAsia="宋体" w:cs="宋体"/>
          <w:szCs w:val="21"/>
          <w:lang w:val="en-US" w:eastAsia="zh-CN"/>
        </w:rPr>
        <w:t>2.招标人员工：招标人</w:t>
      </w:r>
      <w:r>
        <w:rPr>
          <w:rFonts w:hint="eastAsia" w:ascii="宋体" w:hAnsi="宋体" w:eastAsia="宋体" w:cs="宋体"/>
          <w:szCs w:val="21"/>
        </w:rPr>
        <w:t>员工消费在</w:t>
      </w:r>
      <w:r>
        <w:rPr>
          <w:rFonts w:hint="eastAsia" w:ascii="宋体" w:hAnsi="宋体" w:eastAsia="宋体" w:cs="宋体"/>
          <w:szCs w:val="21"/>
          <w:lang w:val="en-US" w:eastAsia="zh-CN"/>
        </w:rPr>
        <w:t>用餐标准（即1100元/人/月）</w:t>
      </w:r>
      <w:r>
        <w:rPr>
          <w:rFonts w:hint="eastAsia" w:ascii="宋体" w:hAnsi="宋体" w:eastAsia="宋体" w:cs="宋体"/>
          <w:szCs w:val="21"/>
        </w:rPr>
        <w:t>范围内的，招标人与中标人按照员工消费（</w:t>
      </w:r>
      <w:r>
        <w:rPr>
          <w:rFonts w:hint="eastAsia" w:ascii="宋体" w:hAnsi="宋体" w:eastAsia="宋体" w:cs="宋体"/>
          <w:szCs w:val="21"/>
          <w:lang w:val="en-US" w:eastAsia="zh-CN"/>
        </w:rPr>
        <w:t>就餐区</w:t>
      </w:r>
      <w:r>
        <w:rPr>
          <w:rFonts w:hint="eastAsia" w:ascii="宋体" w:hAnsi="宋体" w:eastAsia="宋体" w:cs="宋体"/>
          <w:szCs w:val="21"/>
        </w:rPr>
        <w:t>消费和</w:t>
      </w:r>
      <w:r>
        <w:rPr>
          <w:rFonts w:hint="eastAsia" w:ascii="宋体" w:hAnsi="宋体" w:eastAsia="宋体" w:cs="宋体"/>
          <w:szCs w:val="21"/>
          <w:lang w:val="en-US" w:eastAsia="zh-CN"/>
        </w:rPr>
        <w:t>非就餐区</w:t>
      </w:r>
      <w:r>
        <w:rPr>
          <w:rFonts w:hint="eastAsia" w:ascii="宋体" w:hAnsi="宋体" w:eastAsia="宋体" w:cs="宋体"/>
          <w:szCs w:val="21"/>
        </w:rPr>
        <w:t>消费）</w:t>
      </w:r>
      <w:r>
        <w:rPr>
          <w:rFonts w:hint="eastAsia" w:ascii="宋体" w:hAnsi="宋体" w:eastAsia="宋体" w:cs="宋体"/>
          <w:szCs w:val="21"/>
          <w:lang w:val="en-US" w:eastAsia="zh-CN"/>
        </w:rPr>
        <w:t>原价的售价</w:t>
      </w:r>
      <w:r>
        <w:rPr>
          <w:rFonts w:hint="eastAsia" w:ascii="宋体" w:hAnsi="宋体" w:eastAsia="宋体" w:cs="宋体"/>
          <w:szCs w:val="21"/>
        </w:rPr>
        <w:t>总额95%结算</w:t>
      </w:r>
      <w:r>
        <w:rPr>
          <w:rFonts w:hint="eastAsia" w:ascii="宋体" w:hAnsi="宋体" w:eastAsia="宋体" w:cs="宋体"/>
          <w:szCs w:val="21"/>
          <w:lang w:eastAsia="zh-CN"/>
        </w:rPr>
        <w:t>（</w:t>
      </w:r>
      <w:r>
        <w:rPr>
          <w:rFonts w:hint="eastAsia" w:ascii="宋体" w:hAnsi="宋体" w:eastAsia="宋体" w:cs="宋体"/>
          <w:szCs w:val="21"/>
          <w:lang w:val="en-US" w:eastAsia="zh-CN"/>
        </w:rPr>
        <w:t>其余5%为招标人固定投入成本</w:t>
      </w:r>
      <w:r>
        <w:rPr>
          <w:rFonts w:hint="eastAsia" w:ascii="宋体" w:hAnsi="宋体" w:eastAsia="宋体" w:cs="宋体"/>
          <w:szCs w:val="21"/>
          <w:lang w:eastAsia="zh-CN"/>
        </w:rPr>
        <w:t>）</w:t>
      </w:r>
      <w:r>
        <w:rPr>
          <w:rFonts w:hint="eastAsia" w:ascii="宋体" w:hAnsi="宋体" w:eastAsia="宋体" w:cs="宋体"/>
          <w:szCs w:val="21"/>
        </w:rPr>
        <w:t>。</w:t>
      </w:r>
      <w:r>
        <w:rPr>
          <w:rFonts w:hint="eastAsia" w:ascii="宋体" w:hAnsi="宋体" w:eastAsia="宋体" w:cs="宋体"/>
          <w:szCs w:val="21"/>
          <w:lang w:val="en-US" w:eastAsia="zh-CN"/>
        </w:rPr>
        <w:t>招标人员工消费（就餐区</w:t>
      </w:r>
      <w:r>
        <w:rPr>
          <w:rFonts w:hint="eastAsia" w:ascii="宋体" w:hAnsi="宋体" w:eastAsia="宋体" w:cs="宋体"/>
          <w:szCs w:val="21"/>
        </w:rPr>
        <w:t>消费和</w:t>
      </w:r>
      <w:r>
        <w:rPr>
          <w:rFonts w:hint="eastAsia" w:ascii="宋体" w:hAnsi="宋体" w:eastAsia="宋体" w:cs="宋体"/>
          <w:szCs w:val="21"/>
          <w:lang w:val="en-US" w:eastAsia="zh-CN"/>
        </w:rPr>
        <w:t>非就餐区</w:t>
      </w:r>
      <w:r>
        <w:rPr>
          <w:rFonts w:hint="eastAsia" w:ascii="宋体" w:hAnsi="宋体" w:eastAsia="宋体" w:cs="宋体"/>
          <w:szCs w:val="21"/>
        </w:rPr>
        <w:t>消费</w:t>
      </w:r>
      <w:r>
        <w:rPr>
          <w:rFonts w:hint="eastAsia" w:ascii="宋体" w:hAnsi="宋体" w:eastAsia="宋体" w:cs="宋体"/>
          <w:szCs w:val="21"/>
          <w:lang w:val="en-US" w:eastAsia="zh-CN"/>
        </w:rPr>
        <w:t>）超出用餐标准（即1100元/人/月）范围的，</w:t>
      </w:r>
      <w:r>
        <w:rPr>
          <w:rFonts w:hint="eastAsia" w:ascii="宋体" w:hAnsi="宋体" w:eastAsia="宋体" w:cs="宋体"/>
          <w:szCs w:val="21"/>
        </w:rPr>
        <w:t>招标人</w:t>
      </w:r>
      <w:r>
        <w:rPr>
          <w:rFonts w:hint="eastAsia" w:ascii="宋体" w:hAnsi="宋体" w:eastAsia="宋体" w:cs="宋体"/>
          <w:szCs w:val="21"/>
          <w:lang w:val="en-US" w:eastAsia="zh-CN"/>
        </w:rPr>
        <w:t>按照超额部分实际支付金额与中标人结算，</w:t>
      </w:r>
      <w:r>
        <w:rPr>
          <w:rFonts w:hint="eastAsia" w:ascii="宋体" w:hAnsi="宋体" w:eastAsia="宋体" w:cs="宋体"/>
          <w:szCs w:val="21"/>
        </w:rPr>
        <w:t>不再向中标人收取5%的固定成本。</w:t>
      </w:r>
      <w:r>
        <w:rPr>
          <w:rFonts w:hint="eastAsia" w:ascii="宋体" w:hAnsi="宋体" w:eastAsia="宋体" w:cs="宋体"/>
          <w:szCs w:val="21"/>
          <w:lang w:val="en-US" w:eastAsia="zh-CN"/>
        </w:rPr>
        <w:t>超额部分的消费结算规定试行一年，一年后由招标人与中标人总结试行情况后再行修改完善。</w:t>
      </w:r>
    </w:p>
    <w:p w14:paraId="32E9370F">
      <w:pPr>
        <w:spacing w:line="360" w:lineRule="auto"/>
        <w:ind w:firstLine="420" w:firstLineChars="200"/>
        <w:outlineLvl w:val="0"/>
        <w:rPr>
          <w:rFonts w:hint="default" w:ascii="宋体" w:hAnsi="宋体" w:eastAsia="宋体" w:cs="宋体"/>
          <w:szCs w:val="21"/>
          <w:lang w:val="en-US" w:eastAsia="zh-CN"/>
        </w:rPr>
      </w:pPr>
      <w:r>
        <w:rPr>
          <w:rFonts w:hint="eastAsia" w:ascii="宋体" w:hAnsi="宋体" w:eastAsia="宋体" w:cs="宋体"/>
          <w:szCs w:val="21"/>
          <w:lang w:val="en-US" w:eastAsia="zh-CN"/>
        </w:rPr>
        <w:t>3.外来人员：招标人按照外来人员消费全额的95%与中标人结算。</w:t>
      </w:r>
    </w:p>
    <w:p w14:paraId="38A65646">
      <w:pPr>
        <w:spacing w:line="360" w:lineRule="auto"/>
        <w:ind w:firstLine="422" w:firstLineChars="200"/>
        <w:outlineLvl w:val="0"/>
        <w:rPr>
          <w:rFonts w:hint="eastAsia" w:ascii="宋体" w:hAnsi="宋体" w:eastAsia="宋体" w:cs="宋体"/>
          <w:b/>
          <w:bCs/>
          <w:szCs w:val="21"/>
        </w:rPr>
      </w:pPr>
      <w:r>
        <w:rPr>
          <w:rFonts w:hint="eastAsia" w:ascii="宋体" w:hAnsi="宋体" w:eastAsia="宋体" w:cs="宋体"/>
          <w:b/>
          <w:bCs/>
          <w:szCs w:val="21"/>
        </w:rPr>
        <w:t>三、服务期</w:t>
      </w:r>
    </w:p>
    <w:p w14:paraId="1C1E73C6">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★（一）合同服务期2年（招标人按月度和年度对中标人进行考核，中标人未通过考核的，招标人有权终止合同）。</w:t>
      </w:r>
    </w:p>
    <w:p w14:paraId="293214D1">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（二）其他事项</w:t>
      </w:r>
    </w:p>
    <w:p w14:paraId="1DB6FBAB">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针对招标人不在本次招标范围的具体用餐需求，需中标人完成开膳工作，费用结算方式为招标人和中标人双方协商，制定相应餐标进行结算。</w:t>
      </w:r>
    </w:p>
    <w:p w14:paraId="26E4D409">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（三）对账结算</w:t>
      </w:r>
    </w:p>
    <w:p w14:paraId="0FDE7840">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中标人应于每月前5个工作日内向招标人提供上一个月的消费记录表等请款资料，招标人根据双方签字的每月实际发生金额进行审核，双方核对无误后，中标人提交等额合法有效的增值税发票</w:t>
      </w:r>
      <w:r>
        <w:rPr>
          <w:rFonts w:hint="eastAsia" w:ascii="宋体" w:hAnsi="宋体" w:eastAsia="宋体" w:cs="宋体"/>
        </w:rPr>
        <w:t>。</w:t>
      </w:r>
      <w:r>
        <w:rPr>
          <w:rFonts w:hint="eastAsia" w:ascii="宋体" w:hAnsi="宋体" w:eastAsia="宋体" w:cs="宋体"/>
          <w:szCs w:val="21"/>
        </w:rPr>
        <w:t>（具体发票类型以招标人或招标人上级单位水务集团或招标人关联公司要求为准）及请款资料，招标人在收到前述资料的15个工作日内向中标人支付上个月食堂服务费用。若中标人迟延提供统计表或发票，招标人付款时间相应顺延。</w:t>
      </w:r>
    </w:p>
    <w:p w14:paraId="1983E4CC">
      <w:pPr>
        <w:spacing w:line="360" w:lineRule="auto"/>
        <w:ind w:firstLine="422" w:firstLineChars="200"/>
        <w:outlineLvl w:val="0"/>
        <w:rPr>
          <w:rFonts w:hint="eastAsia" w:ascii="宋体" w:hAnsi="宋体" w:eastAsia="宋体" w:cs="宋体"/>
          <w:b/>
          <w:bCs/>
          <w:szCs w:val="21"/>
        </w:rPr>
      </w:pPr>
      <w:r>
        <w:rPr>
          <w:rFonts w:hint="eastAsia" w:ascii="宋体" w:hAnsi="宋体" w:eastAsia="宋体" w:cs="宋体"/>
          <w:b/>
          <w:bCs/>
          <w:szCs w:val="21"/>
        </w:rPr>
        <w:t>四、服务要求</w:t>
      </w:r>
    </w:p>
    <w:p w14:paraId="11FE997F">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（一）用餐要求</w:t>
      </w:r>
    </w:p>
    <w:p w14:paraId="68C31272">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1.中标人在餐厅承包经营管理过程中，应有立足为客户提供优质服务的思想素质和职业道德，应充分认识餐厅具有服务性、微利性的特点，坚持薄利、质优、卫生、安全的经营理念，按照招标人的要求，根据就餐人数，每工作日按时足量优质价廉向就餐人员提供一日三餐（早餐、中餐、晚餐）的主、副食品及相关服务。</w:t>
      </w:r>
    </w:p>
    <w:p w14:paraId="04517964">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中标后中标人应按照投标文件中提交的有关内容和标准进行经营和提供各类餐饮服务。如需调整方案需书面得到招标人的同意后方可进行。中标人餐厅出售的各类菜色品种（含风味小吃）及饭价须经招标人依据市场价格和东莞市同类食堂菜品的价格核价同意后明码标价销售。须提供</w:t>
      </w:r>
      <w:r>
        <w:rPr>
          <w:rFonts w:hint="eastAsia" w:ascii="宋体" w:hAnsi="宋体" w:eastAsia="宋体" w:cs="宋体"/>
          <w:szCs w:val="21"/>
          <w:lang w:val="en-US" w:eastAsia="zh-CN"/>
        </w:rPr>
        <w:t>外来</w:t>
      </w:r>
      <w:r>
        <w:rPr>
          <w:rFonts w:hint="eastAsia" w:ascii="宋体" w:hAnsi="宋体" w:eastAsia="宋体" w:cs="宋体"/>
          <w:szCs w:val="21"/>
        </w:rPr>
        <w:t>人员个性化用餐服务，</w:t>
      </w:r>
      <w:r>
        <w:rPr>
          <w:rFonts w:hint="eastAsia" w:ascii="宋体" w:hAnsi="宋体" w:eastAsia="宋体" w:cs="宋体"/>
          <w:szCs w:val="21"/>
          <w:lang w:val="en-US" w:eastAsia="zh-CN"/>
        </w:rPr>
        <w:t>外来</w:t>
      </w:r>
      <w:r>
        <w:rPr>
          <w:rFonts w:hint="eastAsia" w:ascii="宋体" w:hAnsi="宋体" w:eastAsia="宋体" w:cs="宋体"/>
          <w:szCs w:val="21"/>
        </w:rPr>
        <w:t>人员现场充值，充值金额余额随时可退。须提供包间接待用餐服务，提供围餐套餐或单点方式供招标人或其他用餐人员选择。</w:t>
      </w:r>
    </w:p>
    <w:p w14:paraId="296A3F91">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2.餐厅服务时间：每工作日须保证 7:00 至 9:10 提供早餐服务、11:30 至 13:30 提供午餐服务、17:00 至 19:00 提供晚餐服务（餐厅服务时间招标人可按实际需求随时调整）。</w:t>
      </w:r>
    </w:p>
    <w:p w14:paraId="25EB2276">
      <w:pPr>
        <w:spacing w:line="360" w:lineRule="auto"/>
        <w:ind w:firstLine="420" w:firstLineChars="200"/>
        <w:outlineLvl w:val="0"/>
        <w:rPr>
          <w:rFonts w:hint="eastAsia" w:ascii="宋体" w:hAnsi="宋体" w:eastAsia="宋体" w:cs="宋体"/>
          <w:szCs w:val="21"/>
          <w:highlight w:val="yellow"/>
        </w:rPr>
      </w:pPr>
      <w:r>
        <w:rPr>
          <w:rFonts w:hint="eastAsia" w:ascii="宋体" w:hAnsi="宋体" w:eastAsia="宋体" w:cs="宋体"/>
          <w:szCs w:val="21"/>
        </w:rPr>
        <w:t>3.价格要求：</w:t>
      </w:r>
      <w:r>
        <w:rPr>
          <w:rFonts w:hint="eastAsia" w:ascii="宋体" w:hAnsi="宋体" w:eastAsia="宋体" w:cs="宋体"/>
          <w:szCs w:val="21"/>
          <w:highlight w:val="none"/>
        </w:rPr>
        <w:t>菜品定价与招标人进行商定（要求食材成本不低于菜价的70%），且每季度更新。</w:t>
      </w:r>
      <w:r>
        <w:rPr>
          <w:rFonts w:hint="eastAsia" w:ascii="宋体" w:hAnsi="宋体" w:eastAsia="宋体" w:cs="宋体"/>
          <w:szCs w:val="21"/>
        </w:rPr>
        <w:t>价格参考附近</w:t>
      </w:r>
      <w:r>
        <w:rPr>
          <w:rFonts w:hint="eastAsia" w:ascii="宋体" w:hAnsi="宋体" w:eastAsia="宋体" w:cs="宋体"/>
          <w:szCs w:val="21"/>
          <w:lang w:val="en-US" w:eastAsia="zh-CN"/>
        </w:rPr>
        <w:t>3</w:t>
      </w:r>
      <w:r>
        <w:rPr>
          <w:rFonts w:hint="eastAsia" w:ascii="宋体" w:hAnsi="宋体" w:eastAsia="宋体" w:cs="宋体"/>
          <w:szCs w:val="21"/>
        </w:rPr>
        <w:t>公里内，选取不低于3家同类型智慧餐厅或平价快餐店的平均价格计算平均值。售价须</w:t>
      </w:r>
      <w:r>
        <w:rPr>
          <w:rFonts w:hint="eastAsia" w:ascii="宋体" w:hAnsi="宋体" w:eastAsia="宋体" w:cs="宋体"/>
          <w:szCs w:val="21"/>
          <w:lang w:val="en-US" w:eastAsia="zh-CN"/>
        </w:rPr>
        <w:t>与</w:t>
      </w:r>
      <w:r>
        <w:rPr>
          <w:rFonts w:hint="eastAsia" w:ascii="宋体" w:hAnsi="宋体" w:eastAsia="宋体" w:cs="宋体"/>
          <w:szCs w:val="21"/>
        </w:rPr>
        <w:t>招标人</w:t>
      </w:r>
      <w:r>
        <w:rPr>
          <w:rFonts w:hint="eastAsia" w:ascii="宋体" w:hAnsi="宋体" w:eastAsia="宋体" w:cs="宋体"/>
          <w:szCs w:val="21"/>
          <w:lang w:val="en-US" w:eastAsia="zh-CN"/>
        </w:rPr>
        <w:t>商定</w:t>
      </w:r>
      <w:r>
        <w:rPr>
          <w:rFonts w:hint="eastAsia" w:ascii="宋体" w:hAnsi="宋体" w:eastAsia="宋体" w:cs="宋体"/>
          <w:szCs w:val="21"/>
        </w:rPr>
        <w:t>后方可执行，并且在未经招标人同意的情况下，中标人不得随意变更售价，招标人按菜品定价及监督机制进行定价审核、监督。</w:t>
      </w:r>
    </w:p>
    <w:p w14:paraId="6A19DBAD">
      <w:pPr>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rPr>
        <w:t>在非就餐区多元化产品销售价格要求不能高于大型商超同类产品的零售价格。</w:t>
      </w:r>
    </w:p>
    <w:p w14:paraId="1DE7D991">
      <w:pPr>
        <w:spacing w:line="360" w:lineRule="auto"/>
        <w:ind w:firstLine="420" w:firstLineChars="200"/>
        <w:outlineLvl w:val="0"/>
        <w:rPr>
          <w:rFonts w:hint="default" w:ascii="宋体" w:hAnsi="宋体" w:eastAsia="宋体" w:cs="宋体"/>
          <w:szCs w:val="21"/>
          <w:lang w:val="en-US"/>
        </w:rPr>
      </w:pPr>
      <w:r>
        <w:rPr>
          <w:rFonts w:hint="eastAsia" w:ascii="宋体" w:hAnsi="宋体" w:eastAsia="宋体" w:cs="宋体"/>
          <w:szCs w:val="21"/>
        </w:rPr>
        <w:t xml:space="preserve">4.品种要求：根据实际供餐服务人数合理规划，早餐：提供一品一价自选模式供员工自由选择，自选品种不少于 </w:t>
      </w:r>
      <w:r>
        <w:rPr>
          <w:rFonts w:hint="eastAsia" w:ascii="宋体" w:hAnsi="宋体" w:eastAsia="宋体" w:cs="宋体"/>
          <w:szCs w:val="21"/>
          <w:lang w:val="en-US" w:eastAsia="zh-CN"/>
        </w:rPr>
        <w:t>16</w:t>
      </w:r>
      <w:r>
        <w:rPr>
          <w:rFonts w:hint="eastAsia" w:ascii="宋体" w:hAnsi="宋体" w:eastAsia="宋体" w:cs="宋体"/>
          <w:szCs w:val="21"/>
        </w:rPr>
        <w:t>个；中餐提供不少于 16 个品种供选择，其中，</w:t>
      </w:r>
      <w:r>
        <w:rPr>
          <w:rFonts w:hint="eastAsia" w:ascii="宋体" w:hAnsi="宋体" w:eastAsia="宋体" w:cs="宋体"/>
          <w:szCs w:val="21"/>
          <w:lang w:val="en-US" w:eastAsia="zh-CN"/>
        </w:rPr>
        <w:t>全</w:t>
      </w:r>
      <w:r>
        <w:rPr>
          <w:rFonts w:hint="eastAsia" w:ascii="宋体" w:hAnsi="宋体" w:eastAsia="宋体" w:cs="宋体"/>
          <w:szCs w:val="21"/>
        </w:rPr>
        <w:t>荤菜不低于</w:t>
      </w:r>
      <w:r>
        <w:rPr>
          <w:rFonts w:hint="eastAsia" w:ascii="宋体" w:hAnsi="宋体" w:eastAsia="宋体" w:cs="宋体"/>
          <w:szCs w:val="21"/>
          <w:lang w:val="en-US" w:eastAsia="zh-CN"/>
        </w:rPr>
        <w:t>2</w:t>
      </w:r>
      <w:r>
        <w:rPr>
          <w:rFonts w:hint="eastAsia" w:ascii="宋体" w:hAnsi="宋体" w:eastAsia="宋体" w:cs="宋体"/>
          <w:szCs w:val="21"/>
        </w:rPr>
        <w:t>个，</w:t>
      </w:r>
      <w:r>
        <w:rPr>
          <w:rFonts w:hint="eastAsia" w:ascii="宋体" w:hAnsi="宋体" w:eastAsia="宋体" w:cs="宋体"/>
          <w:szCs w:val="21"/>
          <w:lang w:val="en-US" w:eastAsia="zh-CN"/>
        </w:rPr>
        <w:t>主荤菜</w:t>
      </w:r>
      <w:r>
        <w:rPr>
          <w:rFonts w:hint="eastAsia" w:ascii="宋体" w:hAnsi="宋体" w:eastAsia="宋体" w:cs="宋体"/>
          <w:szCs w:val="21"/>
        </w:rPr>
        <w:t>不低于5个，素菜类不低于4个，每日至少提供一种减脂套餐及地方美食；</w:t>
      </w:r>
      <w:r>
        <w:rPr>
          <w:rFonts w:hint="eastAsia" w:ascii="宋体" w:hAnsi="宋体" w:eastAsia="宋体" w:cs="宋体"/>
          <w:sz w:val="21"/>
          <w:szCs w:val="21"/>
          <w:highlight w:val="none"/>
        </w:rPr>
        <w:t>晚餐提供不少于 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 xml:space="preserve"> 个品种供选择</w:t>
      </w:r>
      <w:r>
        <w:rPr>
          <w:rFonts w:hint="eastAsia" w:ascii="宋体" w:hAnsi="宋体" w:eastAsia="宋体" w:cs="宋体"/>
          <w:sz w:val="21"/>
          <w:szCs w:val="21"/>
          <w:highlight w:val="none"/>
          <w:lang w:val="en-US" w:eastAsia="zh-CN"/>
        </w:rPr>
        <w:t>；</w:t>
      </w:r>
      <w:r>
        <w:rPr>
          <w:rFonts w:hint="eastAsia" w:ascii="宋体" w:hAnsi="宋体" w:eastAsia="宋体" w:cs="宋体"/>
          <w:szCs w:val="21"/>
          <w:lang w:val="en-US" w:eastAsia="zh-CN"/>
        </w:rPr>
        <w:t>同时食堂应设置专门的铁板烧功能区，增加菜品的丰富性。</w:t>
      </w:r>
      <w:r>
        <w:rPr>
          <w:rFonts w:hint="eastAsia" w:ascii="宋体" w:hAnsi="宋体" w:eastAsia="宋体" w:cs="宋体"/>
          <w:szCs w:val="21"/>
        </w:rPr>
        <w:t>每个菜品独立定价称重计费。各售卖价格须与招标人商定后执行，白米饭、例汤免费提供。后续应根据就餐人数的增加及时调整，以满足大家的需求。</w:t>
      </w:r>
    </w:p>
    <w:p w14:paraId="025EC31F">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5.中标人须提交餐厅每周菜谱，并在每周一上午将本周菜谱公示；每天菜品与前一天相比更换率必须不低于 30%，菜品烹饪要求干净卫生，制作精细，色、香、味俱全，烹饪调配符合平衡营养健康要求。</w:t>
      </w:r>
    </w:p>
    <w:p w14:paraId="360D7485">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二）中标人依法经营，开展经营服务活动应符合《中华人民共和国食品安全法》《中华人民共和国安全生产法》《餐饮服务食品安全操作规范》等法律、法规以及招标人的相关管理规定和要求。保障在食堂就餐人员的合法权益，确保饮食安全卫生，提供优质的饮食服务。</w:t>
      </w:r>
    </w:p>
    <w:p w14:paraId="4167BA37">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（三）招标人</w:t>
      </w:r>
      <w:r>
        <w:rPr>
          <w:rFonts w:hint="eastAsia" w:ascii="宋体" w:hAnsi="宋体" w:eastAsia="宋体" w:cs="宋体"/>
          <w:szCs w:val="21"/>
          <w:lang w:val="en-US" w:eastAsia="zh-CN"/>
        </w:rPr>
        <w:t>定期</w:t>
      </w:r>
      <w:r>
        <w:rPr>
          <w:rFonts w:hint="eastAsia" w:ascii="宋体" w:hAnsi="宋体" w:eastAsia="宋体" w:cs="宋体"/>
          <w:szCs w:val="21"/>
        </w:rPr>
        <w:t>对就餐人员进行食堂服务质量的满意度调查（中标人可派人参与），内容包括食堂饮食卫生、质量、份量和工作人员的服务态度等。</w:t>
      </w:r>
    </w:p>
    <w:p w14:paraId="15078973">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（四）中标人应全面响应、满足服务要求，完成对招标人的饮食服务。</w:t>
      </w:r>
    </w:p>
    <w:p w14:paraId="0D32C450">
      <w:pPr>
        <w:spacing w:line="360" w:lineRule="auto"/>
        <w:ind w:firstLine="422" w:firstLineChars="200"/>
        <w:outlineLvl w:val="0"/>
        <w:rPr>
          <w:rFonts w:hint="eastAsia" w:ascii="宋体" w:hAnsi="宋体" w:eastAsia="宋体" w:cs="宋体"/>
          <w:b/>
          <w:bCs/>
          <w:szCs w:val="21"/>
        </w:rPr>
      </w:pPr>
      <w:r>
        <w:rPr>
          <w:rFonts w:hint="eastAsia" w:ascii="宋体" w:hAnsi="宋体" w:eastAsia="宋体" w:cs="宋体"/>
          <w:b/>
          <w:bCs/>
          <w:szCs w:val="21"/>
        </w:rPr>
        <w:t xml:space="preserve">五、管理细则 </w:t>
      </w:r>
    </w:p>
    <w:p w14:paraId="15B37EB4">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 xml:space="preserve">★（一）所有的厨房工作人员必须持有有效健康证，并将原件和复印件交招标人查验后才能上岗（原件需在餐厅显眼位置公示，复印件招标人存档备案）。中标人承担工作人员工资、福利、社保、工衣和其他商业保险等一切的费用。工作人员每半年进行一次体检，体检结果报招标人备案，体检不合格的，须立即换人。工作人员保持良好个人卫生，生产经营食品时，应当将手洗净，穿戴清洁的工作衣、帽及口罩，配餐时戴手套操作；不得留长指甲、美甲、佩戴饰物等，手部有外伤、工作期间有感冒、发烧或患有传染性疾病的人员不得从事食品生产经营活动。 </w:t>
      </w:r>
    </w:p>
    <w:p w14:paraId="3AE0F7B0">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二）严把食品卫生安全关，认真遵守《中华人民共和国食品安全法》的各项要求，实行“规范操作，安全监督”机制。承包期间不得采购过期、腐烂、变质等食材，招标人一旦发现，对中标人视情节轻重予以警告、限期整改、赔偿损失等。</w:t>
      </w:r>
    </w:p>
    <w:p w14:paraId="295FC4BF">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三）定期检查和保养厨房内厨具、炉灶、蒸炉等设备设施（含餐桌椅），相关维修和保养费用由投标人承担；如招标人认为需增加或补充餐具、厨具等设备的，相关费用由中标人承担；食堂所需的水、电、煤气等能源均由中标人承担，中标人应以节约为原则按需使用。夏季高温天气应在开餐前至少提前30分钟做好空调开放，提供舒适的用餐环境，保证就餐人员拥有舒适的就餐环境。</w:t>
      </w:r>
    </w:p>
    <w:p w14:paraId="69C2A3BA">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四）遵守招标人规章制度，若有违反则按招标人的有关规定处理。中标人工作人员在工作期间出现任何安全事故，无论是否在招标人区域内外，均由中标人负责处理并承担所有责任，招标人不承担任何责任；如出现不可抗力的事故，则按国家有关条例处理。</w:t>
      </w:r>
    </w:p>
    <w:p w14:paraId="19105D9B">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五）厨房区、用餐区、独立就餐区（含包房外公共区域）及非就餐区的清洁卫生由中标人承担。中标人要合理使用、妥善保管厨房设备设施，餐具必须彻底清洁消毒。搞好室内外环境清洁和消毒工作，清除卫生死角，保持墙壁、墙裙、天花板、地面整洁，疏通下水道，垃圾桶须加盖并保持桶身的清洁，加强灭四害等措施。</w:t>
      </w:r>
    </w:p>
    <w:p w14:paraId="3A54A719">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中标人负责招标人水业大厦值守岗位人员的送餐和餐具回收服务。</w:t>
      </w:r>
    </w:p>
    <w:p w14:paraId="468C43B9">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 xml:space="preserve">（六）食堂的剩余饭菜、废弃油脂由中标人按相关规定进行处理处置。 </w:t>
      </w:r>
    </w:p>
    <w:p w14:paraId="00C0DC64">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 xml:space="preserve">（七）配备符合消防质量要求和对应数量的灭火器、灭火毯等器材，做好食堂的消防安全检查工作，不得出现任何人为的消防安全事故隐患，并定期接受招标人定期或不定期的监督检查。食堂内的消防安全及工具、燃气、电源（炉灶、各种炊事设备）操作事故责任均由中标人承担。 </w:t>
      </w:r>
    </w:p>
    <w:p w14:paraId="6D80F28A">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（八）负责维护好食堂秩序，</w:t>
      </w:r>
      <w:r>
        <w:rPr>
          <w:rFonts w:hint="eastAsia" w:ascii="宋体" w:hAnsi="宋体" w:eastAsia="宋体" w:cs="宋体"/>
          <w:szCs w:val="21"/>
          <w:lang w:val="en-US" w:eastAsia="zh-CN"/>
        </w:rPr>
        <w:t>妥善有序安排人员就餐</w:t>
      </w:r>
      <w:r>
        <w:rPr>
          <w:rFonts w:hint="eastAsia" w:ascii="宋体" w:hAnsi="宋体" w:eastAsia="宋体" w:cs="宋体"/>
          <w:szCs w:val="21"/>
        </w:rPr>
        <w:t>。</w:t>
      </w:r>
    </w:p>
    <w:p w14:paraId="3D3F086E">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（九）工作人员上班期间</w:t>
      </w:r>
      <w:r>
        <w:rPr>
          <w:rFonts w:hint="eastAsia" w:ascii="宋体" w:hAnsi="宋体" w:eastAsia="宋体" w:cs="宋体"/>
          <w:bCs/>
          <w:szCs w:val="21"/>
        </w:rPr>
        <w:t>不准吸烟，佩戴口罩、厨师帽及统一穿厨师/工作服，女工长发必须盘起捆扎，工作期间不能长发披</w:t>
      </w:r>
      <w:r>
        <w:rPr>
          <w:rFonts w:hint="eastAsia" w:ascii="宋体" w:hAnsi="宋体" w:eastAsia="宋体" w:cs="宋体"/>
          <w:szCs w:val="21"/>
        </w:rPr>
        <w:t xml:space="preserve">保持，并保持良好的服务态度和职业道德及各项文明礼仪，并自觉接受就餐人员的监督。 </w:t>
      </w:r>
    </w:p>
    <w:p w14:paraId="74F1B53B">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（十）中标人需制定应急预案，当招标人食堂发生突发情况或因故不能使用及供餐时，中标人须按相关质量、配送要求向招标人提供餐饮配送服务，确保招标人员工正常用餐。</w:t>
      </w:r>
    </w:p>
    <w:p w14:paraId="67AD347B">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 xml:space="preserve">（十一）自觉维护招标人设备、厨具、用具等，节约能源，未经招标人同意，任何设备、厨具、用具、餐具和桌椅等不得搬离餐厅范围或提供给第三者使用。 </w:t>
      </w:r>
    </w:p>
    <w:p w14:paraId="73CD80DE">
      <w:pPr>
        <w:numPr>
          <w:ilvl w:val="255"/>
          <w:numId w:val="0"/>
        </w:numPr>
        <w:spacing w:line="360" w:lineRule="auto"/>
        <w:ind w:firstLine="420" w:firstLineChars="200"/>
        <w:contextualSpacing/>
        <w:rPr>
          <w:rFonts w:hint="eastAsia" w:ascii="宋体" w:hAnsi="宋体" w:eastAsia="宋体" w:cs="宋体"/>
          <w:szCs w:val="21"/>
        </w:rPr>
      </w:pPr>
      <w:r>
        <w:rPr>
          <w:rFonts w:hint="eastAsia" w:ascii="宋体" w:hAnsi="宋体" w:eastAsia="宋体" w:cs="宋体"/>
          <w:szCs w:val="21"/>
        </w:rPr>
        <w:t>★（十二）合同期内，中标人负责购买本餐饮食堂场所公众责任保险，保额不低于1000万元；中标人必须为</w:t>
      </w:r>
      <w:r>
        <w:rPr>
          <w:rFonts w:hint="eastAsia" w:ascii="宋体" w:hAnsi="宋体" w:eastAsia="宋体" w:cs="宋体"/>
          <w:szCs w:val="21"/>
          <w:lang w:val="en-US" w:eastAsia="zh-CN"/>
        </w:rPr>
        <w:t>招标</w:t>
      </w:r>
      <w:r>
        <w:rPr>
          <w:rFonts w:hint="eastAsia" w:ascii="宋体" w:hAnsi="宋体" w:eastAsia="宋体" w:cs="宋体"/>
          <w:szCs w:val="21"/>
        </w:rPr>
        <w:t>人提供一份</w:t>
      </w:r>
      <w:r>
        <w:rPr>
          <w:rFonts w:hint="eastAsia" w:ascii="宋体" w:hAnsi="宋体" w:eastAsia="宋体" w:cs="宋体"/>
          <w:szCs w:val="21"/>
          <w:lang w:val="en-US" w:eastAsia="zh-CN"/>
        </w:rPr>
        <w:t>招标</w:t>
      </w:r>
      <w:r>
        <w:rPr>
          <w:rFonts w:hint="eastAsia" w:ascii="宋体" w:hAnsi="宋体" w:eastAsia="宋体" w:cs="宋体"/>
          <w:szCs w:val="21"/>
        </w:rPr>
        <w:t>人为受益人的食品安全责任险，食品安全责任险不少于1亿元。</w:t>
      </w:r>
    </w:p>
    <w:p w14:paraId="5AA58EAB">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★（十三）中标人负责为本项目服务人员购买不低于300万元的人身意外保险。</w:t>
      </w:r>
    </w:p>
    <w:p w14:paraId="42FF21DC">
      <w:pPr>
        <w:spacing w:line="360" w:lineRule="auto"/>
        <w:ind w:firstLine="422" w:firstLineChars="200"/>
        <w:outlineLvl w:val="0"/>
        <w:rPr>
          <w:rFonts w:hint="eastAsia" w:ascii="宋体" w:hAnsi="宋体" w:eastAsia="宋体" w:cs="宋体"/>
          <w:b/>
          <w:bCs/>
          <w:szCs w:val="21"/>
        </w:rPr>
      </w:pPr>
      <w:r>
        <w:rPr>
          <w:rFonts w:hint="eastAsia" w:ascii="宋体" w:hAnsi="宋体" w:eastAsia="宋体" w:cs="宋体"/>
          <w:b/>
          <w:bCs/>
          <w:szCs w:val="21"/>
        </w:rPr>
        <w:t xml:space="preserve">六、伙食质量要求及标准 </w:t>
      </w:r>
    </w:p>
    <w:p w14:paraId="75BD7EFF">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（一）质量要求</w:t>
      </w:r>
    </w:p>
    <w:p w14:paraId="5470DF9C">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1.严格按《中华人民共和国食品安全法》要求制作各种食品，做到食材新鲜、饭熟菜香，营养搭配科学合理。中标人在承包期间应注意保证提供每天每餐的质量、份量，菜式要经常更新，兼顾南北方特色口味，品种齐全，保证每餐有新鲜鱼/肉/禽/蛋、蔬菜等菜色供应，每天公示菜单。中标人应全力协助招标人实施安全营养膳食，认真完成招标人提出的其他膳食要求或开膳方式。</w:t>
      </w:r>
    </w:p>
    <w:p w14:paraId="43D0D0C7">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 xml:space="preserve">2.中标人所采购、使用的一切原料、辅料须由正规渠道供应，符合国家食品安全管理的有关规定。不使用散装原料，不使用非法生产的食盐。采购票据应当妥善保存，以备检查。 </w:t>
      </w:r>
    </w:p>
    <w:p w14:paraId="6E4E2F28">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 xml:space="preserve">3.法定节假日（如需要提供，届时以招标人需求通知为准）提供与周一至周五相同质量的饭、菜、汤标准。 </w:t>
      </w:r>
    </w:p>
    <w:p w14:paraId="0D7DDF9E">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4.中标人须认真执行市场监督管理部门要求的饭菜留样备案制度，派专人负责收集每日售出饭菜样品封存。若出现食品卫生安全乃至食物中毒现象等，经有关部门检验确定是由中标人提供的饭菜引起的，一切责任和费用由中标人承担。若后果严重，除没收履约保证金外，依法移送有关部门追究其相关法律责任。</w:t>
      </w:r>
    </w:p>
    <w:p w14:paraId="7B8890C8">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5.投标人必须提供食堂食材质量保证，保证肉类、蔬菜每日新鲜。</w:t>
      </w:r>
    </w:p>
    <w:p w14:paraId="30744493">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6.招标人对食堂食材具有监管权力，对不符合要求的食材，招标人有权要求中标人进行更换。食材质量要求如下：</w:t>
      </w:r>
    </w:p>
    <w:p w14:paraId="6703AC1A">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7.蔬菜、水果供应货品质量要求：</w:t>
      </w:r>
    </w:p>
    <w:p w14:paraId="3F2506CF">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1）中标人提供的蔬菜必须保证每日新鲜，品种、质量应符合招标人要求，产品符合食品卫生安全法要求并出具有效的《农产品检验报告》。应保持较好的色泽和新鲜度，不得有黄叶，不得腐烂或有异常味道，不存在泥沙和异物。</w:t>
      </w:r>
    </w:p>
    <w:p w14:paraId="2F8CC183">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（2）提供的水果符合国家食品质量管理条例，果面干净新鲜，果柄鲜绿，果型完整且形好，个体均匀，结实，有光泽，表面光滑，无疤痕，不干皱，不变色，无压伤，无阴伤，无病虫害。</w:t>
      </w:r>
    </w:p>
    <w:p w14:paraId="204FD676">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（3）不得供应转基因产品。</w:t>
      </w:r>
    </w:p>
    <w:p w14:paraId="142C9C3F">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8.禽肉类、水产品类供应货品质量要求：</w:t>
      </w:r>
    </w:p>
    <w:p w14:paraId="65318818">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（1）禽肉类全部来源于正规肉联厂，保证为当日新鲜肉，并提供政府检疫部门出示的《检验检疫合格证明》。</w:t>
      </w:r>
    </w:p>
    <w:p w14:paraId="5967AF3D">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（2）非冰鲜类必须鲜活。</w:t>
      </w:r>
    </w:p>
    <w:p w14:paraId="2E21C34A">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（3）鲜鱼鳞片完整，有光泽无脱落，眼球光亮透明，鳃口紧闭，鱼鳃鲜红，鳍尾完整，确保新鲜。</w:t>
      </w:r>
    </w:p>
    <w:p w14:paraId="3BA87CE0">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（4）身体饱满结实，无腐烂，无异味（如泥腥味、电油味等），肉质紧密有弹性，无离骨脱刺现象。</w:t>
      </w:r>
    </w:p>
    <w:p w14:paraId="6C987ED4">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（5）来源可靠放心，无毒、无害、无污染。</w:t>
      </w:r>
    </w:p>
    <w:p w14:paraId="26A34A48">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9.粮油副食品百货类供应货品质量要求</w:t>
      </w:r>
    </w:p>
    <w:p w14:paraId="7F7D0272">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（1）需要由正规厂家生产，有相应的食品生产许可证号，内外包装完整无变形。</w:t>
      </w:r>
    </w:p>
    <w:p w14:paraId="7E508E0B">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（2）所供应货品需要符合相关质量安全要求，需要通过SC认证的货品必须有SC认证标志。</w:t>
      </w:r>
    </w:p>
    <w:p w14:paraId="0E9A30C9">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（3）颜色品质纯正，不得有掺假、变质、变味等现象出现。</w:t>
      </w:r>
    </w:p>
    <w:p w14:paraId="40B5DF9F">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（4）剩余保质期不得少于标注保质期的70%。</w:t>
      </w:r>
    </w:p>
    <w:p w14:paraId="4B68307C">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（5）必须购买非转基因大豆油，大米必须是国家一级大米。</w:t>
      </w:r>
    </w:p>
    <w:p w14:paraId="305A0B0C">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（6）每天使用的水，例如煲汤，煮饭、炒菜的用水必须是过滤水，经检测需达到国家生活饮用水卫生标准并提供相关检测报告。</w:t>
      </w:r>
    </w:p>
    <w:p w14:paraId="14016C0B">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10.冻品类供应货品质量要求：</w:t>
      </w:r>
    </w:p>
    <w:p w14:paraId="7835ADA2">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（1）必须保证供应的货品均为正规生产的检验合格产品，符合国家有关卫生、质量和包装的标准。</w:t>
      </w:r>
    </w:p>
    <w:p w14:paraId="3848D87B">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（2）有保质期限的货品，其剩余保质期不得少于标注保质期的70%。</w:t>
      </w:r>
    </w:p>
    <w:p w14:paraId="2D3A8A53">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（3）有包装的货品，包装必须完整洁净，清晰列明品牌、规格、生产日期等相关参数。</w:t>
      </w:r>
    </w:p>
    <w:p w14:paraId="79E23902">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冻畜类应色泽均匀，肉边齐整，无血污、碎肉、碎骨，无风干现象，解冻后有肉的正常色泽和味道。冻禽类应外观滋润，无残羽、血污、伤斑，无风干现象，解冻后特征与鲜禽相同。冰鲜鱼应眼球饱满突出、透明清亮，鱼鳃鲜红无异味，鱼皮完整，鳞片有光泽且与鱼体贴附紧密，鱼体有正常的清洁透明粘液，肉质坚实有弹性，骨肉不分离。</w:t>
      </w:r>
    </w:p>
    <w:p w14:paraId="22403E60">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11.食品溯源要求：</w:t>
      </w:r>
    </w:p>
    <w:p w14:paraId="4910D40C">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（1）食品供应链必须明确，所有食品的来源必须清晰，来源应当是受到地方政府部门监管的流通市场或具有相关资质的供应商，中标人与食材供应商要有固定的合法的供应关系。</w:t>
      </w:r>
    </w:p>
    <w:p w14:paraId="759ABD5C">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（2）中标人应保存以下资料备查：①食材购销合同（或协议）；②相关的送货单和销售发票；③与招标人的采购合同及送货单据、销售发票。</w:t>
      </w:r>
    </w:p>
    <w:p w14:paraId="694C64AB">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12.每周菜式不能重复，须根据季节的变化经常轮换菜式，及时推出新菜品。</w:t>
      </w:r>
      <w:r>
        <w:rPr>
          <w:rFonts w:hint="eastAsia" w:ascii="宋体" w:hAnsi="宋体" w:eastAsia="宋体" w:cs="宋体"/>
          <w:color w:val="auto"/>
          <w:sz w:val="21"/>
          <w:szCs w:val="21"/>
          <w:highlight w:val="none"/>
        </w:rPr>
        <w:t>中标人负责制定每周菜谱，每周四提供下周菜单给</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lang w:val="en-US" w:eastAsia="zh-CN"/>
        </w:rPr>
        <w:t>经双方协商一致后</w:t>
      </w:r>
      <w:r>
        <w:rPr>
          <w:rFonts w:hint="eastAsia" w:ascii="宋体" w:hAnsi="宋体" w:eastAsia="宋体" w:cs="宋体"/>
          <w:color w:val="auto"/>
          <w:sz w:val="21"/>
          <w:szCs w:val="21"/>
          <w:highlight w:val="none"/>
        </w:rPr>
        <w:t>实施。</w:t>
      </w:r>
    </w:p>
    <w:p w14:paraId="426845CE">
      <w:pPr>
        <w:spacing w:line="360" w:lineRule="auto"/>
        <w:ind w:firstLine="422" w:firstLineChars="200"/>
        <w:outlineLvl w:val="0"/>
        <w:rPr>
          <w:rFonts w:hint="eastAsia" w:ascii="宋体" w:hAnsi="宋体" w:eastAsia="宋体" w:cs="宋体"/>
          <w:b/>
          <w:bCs/>
          <w:szCs w:val="21"/>
        </w:rPr>
      </w:pPr>
      <w:r>
        <w:rPr>
          <w:rFonts w:hint="eastAsia" w:ascii="宋体" w:hAnsi="宋体" w:eastAsia="宋体" w:cs="宋体"/>
          <w:b/>
          <w:bCs/>
          <w:szCs w:val="21"/>
        </w:rPr>
        <w:t>七、工作人员要求和配置</w:t>
      </w:r>
    </w:p>
    <w:p w14:paraId="1D78BFB9">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1.中标人须严格按照国家的法律法规，合法用工；工作人员必须具有与本项目服务内容有关的合法有效的工作资质及健康证；持证上岗，严格按照各项专业技术规范及有关法律法规提供服务；中标人拟派驻本项目的工作人员必须进行严格调查审核。</w:t>
      </w:r>
    </w:p>
    <w:p w14:paraId="4C06220A">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★2.保证录用的人员无犯罪记录，健康状况良好、无传染性疾病和其他有碍食品安全的疾病，无精神病史，保证队伍良好素质和相对稳定。</w:t>
      </w:r>
    </w:p>
    <w:p w14:paraId="136F4189">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3.中标人应按法律法规规定，与录用的人员签订书面劳动合同并按合同约定为其购买商业保险，自行承担包括但不限于所聘用人员的工资、福利、健康证、社会保险（包含养老、失业、医疗、工伤、生育）、商业保险、劳保福利等一切费用。</w:t>
      </w:r>
    </w:p>
    <w:p w14:paraId="58963DCB">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4.餐厅管理经理(现场负责人)负责对日常综合服务工作进行计划、安排、检查等日常管理工作，负责与招标人管理人员沟通联系，及时解决工作中出现的问题。</w:t>
      </w:r>
    </w:p>
    <w:p w14:paraId="5CCA6726">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餐厅管理经理应熟悉掌握食品安全卫生管理方面的法规制度，拥有5年以上餐饮管理工作经验和较强的管理工作能力，与中标人签订书面劳动合同。中标人授权餐厅管理经理负责本餐厅的管理、统筹、协调和落实相关餐厅经营管理工作。餐厅管理经理不得随意调动，如需调动必须有正当理由并经招标人书面同意后方可调动，同时调动后应委派具有相同资质条件的人员到场负责管理。</w:t>
      </w:r>
    </w:p>
    <w:p w14:paraId="786FD73F">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5.中标人在营业期间应当用明显的标识对外标识中标人员工的身份，该标识不能使任何第三人产生中标人与招标人具有关联关系的误解。中标人应按有关规定对其员工每天进行晨检保证个人卫生符合要求，同时所有员工要穿戴统一的工衣、工裤、工帽、工鞋和带上工牌上岗。</w:t>
      </w:r>
    </w:p>
    <w:p w14:paraId="00CA8901">
      <w:pPr>
        <w:pStyle w:val="17"/>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6.本项目须配置不少于16名餐厅员工，专职食品安全管理员不少于1人、持证中（初）级厨师不少于2人。中标人主要岗位人员必须按招标人的要求和中标人的承诺配置，岗位人员经招标人确定后，中标人不得随意更换，如需更换岗位服务人员，中标人需报招标人同意后方可进行，否则视为中标人违约，招标人有权追究乙方违约责任。</w:t>
      </w:r>
    </w:p>
    <w:p w14:paraId="2207A5FB">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中标人应确保向其工作人员支付的工资不得低于国家、省、市及当地行政主管部门规定的最低工资标准。中标人工作人员的具体要求如下：</w:t>
      </w:r>
    </w:p>
    <w:tbl>
      <w:tblPr>
        <w:tblStyle w:val="38"/>
        <w:tblW w:w="4997" w:type="pct"/>
        <w:tblInd w:w="0" w:type="dxa"/>
        <w:tblLayout w:type="autofit"/>
        <w:tblCellMar>
          <w:top w:w="0" w:type="dxa"/>
          <w:left w:w="108" w:type="dxa"/>
          <w:bottom w:w="0" w:type="dxa"/>
          <w:right w:w="108" w:type="dxa"/>
        </w:tblCellMar>
      </w:tblPr>
      <w:tblGrid>
        <w:gridCol w:w="1850"/>
        <w:gridCol w:w="1275"/>
        <w:gridCol w:w="4228"/>
        <w:gridCol w:w="3011"/>
      </w:tblGrid>
      <w:tr w14:paraId="44031F9E">
        <w:tblPrEx>
          <w:tblCellMar>
            <w:top w:w="0" w:type="dxa"/>
            <w:left w:w="108" w:type="dxa"/>
            <w:bottom w:w="0" w:type="dxa"/>
            <w:right w:w="108" w:type="dxa"/>
          </w:tblCellMar>
        </w:tblPrEx>
        <w:trPr>
          <w:trHeight w:val="421" w:hRule="atLeast"/>
        </w:trPr>
        <w:tc>
          <w:tcPr>
            <w:tcW w:w="892" w:type="pct"/>
            <w:tcBorders>
              <w:top w:val="single" w:color="auto" w:sz="4" w:space="0"/>
              <w:left w:val="single" w:color="auto" w:sz="4" w:space="0"/>
              <w:bottom w:val="single" w:color="auto" w:sz="4" w:space="0"/>
              <w:right w:val="single" w:color="auto" w:sz="4" w:space="0"/>
            </w:tcBorders>
            <w:vAlign w:val="center"/>
          </w:tcPr>
          <w:p w14:paraId="423F6F08">
            <w:pPr>
              <w:spacing w:line="360" w:lineRule="auto"/>
              <w:jc w:val="center"/>
              <w:outlineLvl w:val="0"/>
              <w:rPr>
                <w:rFonts w:hint="eastAsia" w:ascii="宋体" w:hAnsi="宋体" w:eastAsia="宋体" w:cs="宋体"/>
                <w:szCs w:val="21"/>
              </w:rPr>
            </w:pPr>
            <w:r>
              <w:rPr>
                <w:rFonts w:hint="eastAsia" w:ascii="宋体" w:hAnsi="宋体" w:eastAsia="宋体" w:cs="宋体"/>
                <w:szCs w:val="21"/>
              </w:rPr>
              <w:t>岗位</w:t>
            </w:r>
          </w:p>
        </w:tc>
        <w:tc>
          <w:tcPr>
            <w:tcW w:w="615" w:type="pct"/>
            <w:tcBorders>
              <w:top w:val="single" w:color="auto" w:sz="4" w:space="0"/>
              <w:left w:val="nil"/>
              <w:bottom w:val="single" w:color="auto" w:sz="4" w:space="0"/>
              <w:right w:val="single" w:color="auto" w:sz="4" w:space="0"/>
            </w:tcBorders>
            <w:vAlign w:val="center"/>
          </w:tcPr>
          <w:p w14:paraId="24A03075">
            <w:pPr>
              <w:spacing w:line="360" w:lineRule="auto"/>
              <w:jc w:val="center"/>
              <w:outlineLvl w:val="0"/>
              <w:rPr>
                <w:rFonts w:hint="eastAsia" w:ascii="宋体" w:hAnsi="宋体" w:eastAsia="宋体" w:cs="宋体"/>
                <w:szCs w:val="21"/>
              </w:rPr>
            </w:pPr>
            <w:r>
              <w:rPr>
                <w:rFonts w:hint="eastAsia" w:ascii="宋体" w:hAnsi="宋体" w:eastAsia="宋体" w:cs="宋体"/>
                <w:szCs w:val="21"/>
              </w:rPr>
              <w:t>人数</w:t>
            </w:r>
          </w:p>
        </w:tc>
        <w:tc>
          <w:tcPr>
            <w:tcW w:w="2039" w:type="pct"/>
            <w:tcBorders>
              <w:top w:val="single" w:color="auto" w:sz="4" w:space="0"/>
              <w:left w:val="nil"/>
              <w:bottom w:val="single" w:color="auto" w:sz="4" w:space="0"/>
              <w:right w:val="single" w:color="auto" w:sz="4" w:space="0"/>
            </w:tcBorders>
            <w:vAlign w:val="center"/>
          </w:tcPr>
          <w:p w14:paraId="0CB2D9CA">
            <w:pPr>
              <w:spacing w:line="360" w:lineRule="auto"/>
              <w:jc w:val="center"/>
              <w:outlineLvl w:val="0"/>
              <w:rPr>
                <w:rFonts w:hint="eastAsia" w:ascii="宋体" w:hAnsi="宋体" w:eastAsia="宋体" w:cs="宋体"/>
                <w:szCs w:val="21"/>
              </w:rPr>
            </w:pPr>
            <w:r>
              <w:rPr>
                <w:rFonts w:hint="eastAsia" w:ascii="宋体" w:hAnsi="宋体" w:eastAsia="宋体" w:cs="宋体"/>
                <w:szCs w:val="21"/>
              </w:rPr>
              <w:t>岗位简介</w:t>
            </w:r>
          </w:p>
        </w:tc>
        <w:tc>
          <w:tcPr>
            <w:tcW w:w="1452" w:type="pct"/>
            <w:tcBorders>
              <w:top w:val="single" w:color="auto" w:sz="4" w:space="0"/>
              <w:left w:val="nil"/>
              <w:bottom w:val="single" w:color="auto" w:sz="4" w:space="0"/>
              <w:right w:val="single" w:color="auto" w:sz="4" w:space="0"/>
            </w:tcBorders>
            <w:vAlign w:val="center"/>
          </w:tcPr>
          <w:p w14:paraId="67716C2D">
            <w:pPr>
              <w:spacing w:line="360" w:lineRule="auto"/>
              <w:jc w:val="center"/>
              <w:outlineLvl w:val="0"/>
              <w:rPr>
                <w:rFonts w:hint="eastAsia" w:ascii="宋体" w:hAnsi="宋体" w:eastAsia="宋体" w:cs="宋体"/>
                <w:szCs w:val="21"/>
              </w:rPr>
            </w:pPr>
            <w:r>
              <w:rPr>
                <w:rFonts w:hint="eastAsia" w:ascii="宋体" w:hAnsi="宋体" w:eastAsia="宋体" w:cs="宋体"/>
                <w:szCs w:val="21"/>
              </w:rPr>
              <w:t>经验要求</w:t>
            </w:r>
          </w:p>
        </w:tc>
      </w:tr>
      <w:tr w14:paraId="13C001D6">
        <w:tblPrEx>
          <w:tblCellMar>
            <w:top w:w="0" w:type="dxa"/>
            <w:left w:w="108" w:type="dxa"/>
            <w:bottom w:w="0" w:type="dxa"/>
            <w:right w:w="108" w:type="dxa"/>
          </w:tblCellMar>
        </w:tblPrEx>
        <w:trPr>
          <w:trHeight w:val="421" w:hRule="atLeast"/>
        </w:trPr>
        <w:tc>
          <w:tcPr>
            <w:tcW w:w="892" w:type="pct"/>
            <w:tcBorders>
              <w:top w:val="single" w:color="auto" w:sz="4" w:space="0"/>
              <w:left w:val="single" w:color="auto" w:sz="4" w:space="0"/>
              <w:bottom w:val="single" w:color="auto" w:sz="4" w:space="0"/>
              <w:right w:val="single" w:color="auto" w:sz="4" w:space="0"/>
            </w:tcBorders>
            <w:vAlign w:val="center"/>
          </w:tcPr>
          <w:p w14:paraId="43CA0985">
            <w:pPr>
              <w:spacing w:line="360" w:lineRule="auto"/>
              <w:jc w:val="center"/>
              <w:rPr>
                <w:rFonts w:hint="eastAsia" w:ascii="宋体" w:hAnsi="宋体" w:eastAsia="宋体" w:cs="宋体"/>
                <w:szCs w:val="21"/>
              </w:rPr>
            </w:pPr>
            <w:r>
              <w:rPr>
                <w:rFonts w:hint="eastAsia" w:ascii="宋体" w:hAnsi="宋体" w:eastAsia="宋体" w:cs="宋体"/>
                <w:szCs w:val="21"/>
              </w:rPr>
              <w:t>餐厅管理经理</w:t>
            </w:r>
          </w:p>
        </w:tc>
        <w:tc>
          <w:tcPr>
            <w:tcW w:w="615" w:type="pct"/>
            <w:tcBorders>
              <w:top w:val="single" w:color="auto" w:sz="4" w:space="0"/>
              <w:left w:val="single" w:color="auto" w:sz="4" w:space="0"/>
              <w:bottom w:val="single" w:color="auto" w:sz="4" w:space="0"/>
              <w:right w:val="single" w:color="auto" w:sz="4" w:space="0"/>
            </w:tcBorders>
            <w:vAlign w:val="center"/>
          </w:tcPr>
          <w:p w14:paraId="6C1BE6E8">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2039" w:type="pct"/>
            <w:tcBorders>
              <w:top w:val="single" w:color="auto" w:sz="4" w:space="0"/>
              <w:left w:val="single" w:color="auto" w:sz="4" w:space="0"/>
              <w:bottom w:val="single" w:color="auto" w:sz="4" w:space="0"/>
              <w:right w:val="single" w:color="auto" w:sz="4" w:space="0"/>
            </w:tcBorders>
            <w:vAlign w:val="center"/>
          </w:tcPr>
          <w:p w14:paraId="3E2F2FFF">
            <w:pPr>
              <w:spacing w:line="360" w:lineRule="auto"/>
              <w:rPr>
                <w:rFonts w:hint="eastAsia" w:ascii="宋体" w:hAnsi="宋体" w:eastAsia="宋体" w:cs="宋体"/>
                <w:szCs w:val="21"/>
              </w:rPr>
            </w:pPr>
            <w:r>
              <w:rPr>
                <w:rFonts w:hint="eastAsia" w:ascii="宋体" w:hAnsi="宋体" w:eastAsia="宋体" w:cs="宋体"/>
                <w:szCs w:val="21"/>
              </w:rPr>
              <w:t>24小时驻场，食堂直接负责人</w:t>
            </w:r>
          </w:p>
        </w:tc>
        <w:tc>
          <w:tcPr>
            <w:tcW w:w="1452" w:type="pct"/>
            <w:tcBorders>
              <w:top w:val="single" w:color="auto" w:sz="4" w:space="0"/>
              <w:left w:val="single" w:color="auto" w:sz="4" w:space="0"/>
              <w:bottom w:val="single" w:color="auto" w:sz="4" w:space="0"/>
              <w:right w:val="single" w:color="auto" w:sz="4" w:space="0"/>
            </w:tcBorders>
            <w:vAlign w:val="center"/>
          </w:tcPr>
          <w:p w14:paraId="0FA3E85E">
            <w:pPr>
              <w:spacing w:line="360" w:lineRule="auto"/>
              <w:jc w:val="center"/>
              <w:rPr>
                <w:rFonts w:hint="eastAsia" w:ascii="宋体" w:hAnsi="宋体" w:eastAsia="宋体" w:cs="宋体"/>
                <w:szCs w:val="21"/>
              </w:rPr>
            </w:pPr>
            <w:r>
              <w:rPr>
                <w:rFonts w:hint="eastAsia" w:ascii="宋体" w:hAnsi="宋体" w:eastAsia="宋体" w:cs="宋体"/>
                <w:szCs w:val="21"/>
              </w:rPr>
              <w:t>5年及以上</w:t>
            </w:r>
          </w:p>
        </w:tc>
      </w:tr>
      <w:tr w14:paraId="3070E24A">
        <w:tblPrEx>
          <w:tblCellMar>
            <w:top w:w="0" w:type="dxa"/>
            <w:left w:w="108" w:type="dxa"/>
            <w:bottom w:w="0" w:type="dxa"/>
            <w:right w:w="108" w:type="dxa"/>
          </w:tblCellMar>
        </w:tblPrEx>
        <w:trPr>
          <w:trHeight w:val="421" w:hRule="atLeast"/>
        </w:trPr>
        <w:tc>
          <w:tcPr>
            <w:tcW w:w="892" w:type="pct"/>
            <w:tcBorders>
              <w:top w:val="single" w:color="auto" w:sz="4" w:space="0"/>
              <w:left w:val="single" w:color="auto" w:sz="4" w:space="0"/>
              <w:bottom w:val="single" w:color="auto" w:sz="4" w:space="0"/>
              <w:right w:val="single" w:color="auto" w:sz="4" w:space="0"/>
            </w:tcBorders>
            <w:vAlign w:val="center"/>
          </w:tcPr>
          <w:p w14:paraId="0B914837">
            <w:pPr>
              <w:spacing w:line="360" w:lineRule="auto"/>
              <w:jc w:val="center"/>
              <w:rPr>
                <w:rFonts w:hint="eastAsia" w:ascii="宋体" w:hAnsi="宋体" w:eastAsia="宋体" w:cs="宋体"/>
                <w:szCs w:val="21"/>
              </w:rPr>
            </w:pPr>
            <w:r>
              <w:rPr>
                <w:rFonts w:hint="eastAsia" w:ascii="宋体" w:hAnsi="宋体" w:eastAsia="宋体" w:cs="宋体"/>
                <w:szCs w:val="21"/>
              </w:rPr>
              <w:t>仓管</w:t>
            </w:r>
          </w:p>
        </w:tc>
        <w:tc>
          <w:tcPr>
            <w:tcW w:w="615" w:type="pct"/>
            <w:tcBorders>
              <w:top w:val="single" w:color="auto" w:sz="4" w:space="0"/>
              <w:left w:val="single" w:color="auto" w:sz="4" w:space="0"/>
              <w:bottom w:val="single" w:color="auto" w:sz="4" w:space="0"/>
              <w:right w:val="single" w:color="auto" w:sz="4" w:space="0"/>
            </w:tcBorders>
            <w:vAlign w:val="center"/>
          </w:tcPr>
          <w:p w14:paraId="3739AEA4">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2039" w:type="pct"/>
            <w:tcBorders>
              <w:top w:val="single" w:color="auto" w:sz="4" w:space="0"/>
              <w:left w:val="single" w:color="auto" w:sz="4" w:space="0"/>
              <w:bottom w:val="single" w:color="auto" w:sz="4" w:space="0"/>
              <w:right w:val="single" w:color="auto" w:sz="4" w:space="0"/>
            </w:tcBorders>
            <w:vAlign w:val="center"/>
          </w:tcPr>
          <w:p w14:paraId="2CD90869">
            <w:pPr>
              <w:spacing w:line="360" w:lineRule="auto"/>
              <w:rPr>
                <w:rFonts w:hint="eastAsia" w:ascii="宋体" w:hAnsi="宋体" w:eastAsia="宋体" w:cs="宋体"/>
                <w:szCs w:val="21"/>
              </w:rPr>
            </w:pPr>
            <w:r>
              <w:rPr>
                <w:rFonts w:hint="eastAsia" w:ascii="宋体" w:hAnsi="宋体" w:eastAsia="宋体" w:cs="宋体"/>
                <w:szCs w:val="21"/>
              </w:rPr>
              <w:t>仓库管理、台账管理，食品安全管理</w:t>
            </w:r>
          </w:p>
        </w:tc>
        <w:tc>
          <w:tcPr>
            <w:tcW w:w="1452" w:type="pct"/>
            <w:tcBorders>
              <w:top w:val="single" w:color="auto" w:sz="4" w:space="0"/>
              <w:left w:val="single" w:color="auto" w:sz="4" w:space="0"/>
              <w:bottom w:val="single" w:color="auto" w:sz="4" w:space="0"/>
              <w:right w:val="single" w:color="auto" w:sz="4" w:space="0"/>
            </w:tcBorders>
            <w:vAlign w:val="center"/>
          </w:tcPr>
          <w:p w14:paraId="4E08E8A3">
            <w:pPr>
              <w:spacing w:line="360" w:lineRule="auto"/>
              <w:jc w:val="center"/>
              <w:rPr>
                <w:rFonts w:hint="eastAsia" w:ascii="宋体" w:hAnsi="宋体" w:eastAsia="宋体" w:cs="宋体"/>
                <w:szCs w:val="21"/>
              </w:rPr>
            </w:pPr>
            <w:r>
              <w:rPr>
                <w:rFonts w:hint="eastAsia" w:ascii="宋体" w:hAnsi="宋体" w:eastAsia="宋体" w:cs="宋体"/>
                <w:szCs w:val="21"/>
              </w:rPr>
              <w:t>2年及以上</w:t>
            </w:r>
          </w:p>
        </w:tc>
      </w:tr>
      <w:tr w14:paraId="00F21D84">
        <w:tblPrEx>
          <w:tblCellMar>
            <w:top w:w="0" w:type="dxa"/>
            <w:left w:w="108" w:type="dxa"/>
            <w:bottom w:w="0" w:type="dxa"/>
            <w:right w:w="108" w:type="dxa"/>
          </w:tblCellMar>
        </w:tblPrEx>
        <w:trPr>
          <w:trHeight w:val="421" w:hRule="atLeast"/>
        </w:trPr>
        <w:tc>
          <w:tcPr>
            <w:tcW w:w="892" w:type="pct"/>
            <w:tcBorders>
              <w:top w:val="single" w:color="auto" w:sz="4" w:space="0"/>
              <w:left w:val="single" w:color="auto" w:sz="4" w:space="0"/>
              <w:bottom w:val="single" w:color="auto" w:sz="4" w:space="0"/>
              <w:right w:val="single" w:color="auto" w:sz="4" w:space="0"/>
            </w:tcBorders>
            <w:vAlign w:val="center"/>
          </w:tcPr>
          <w:p w14:paraId="087B5DB0">
            <w:pPr>
              <w:spacing w:line="360" w:lineRule="auto"/>
              <w:jc w:val="center"/>
              <w:rPr>
                <w:rFonts w:hint="eastAsia" w:ascii="宋体" w:hAnsi="宋体" w:eastAsia="宋体" w:cs="宋体"/>
                <w:szCs w:val="21"/>
              </w:rPr>
            </w:pPr>
            <w:r>
              <w:rPr>
                <w:rFonts w:hint="eastAsia" w:ascii="宋体" w:hAnsi="宋体" w:eastAsia="宋体" w:cs="宋体"/>
                <w:szCs w:val="21"/>
              </w:rPr>
              <w:t>大厨</w:t>
            </w:r>
          </w:p>
        </w:tc>
        <w:tc>
          <w:tcPr>
            <w:tcW w:w="615" w:type="pct"/>
            <w:tcBorders>
              <w:top w:val="single" w:color="auto" w:sz="4" w:space="0"/>
              <w:left w:val="single" w:color="auto" w:sz="4" w:space="0"/>
              <w:bottom w:val="single" w:color="auto" w:sz="4" w:space="0"/>
              <w:right w:val="single" w:color="auto" w:sz="4" w:space="0"/>
            </w:tcBorders>
            <w:vAlign w:val="center"/>
          </w:tcPr>
          <w:p w14:paraId="66B6C03C">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2039" w:type="pct"/>
            <w:tcBorders>
              <w:top w:val="single" w:color="auto" w:sz="4" w:space="0"/>
              <w:left w:val="single" w:color="auto" w:sz="4" w:space="0"/>
              <w:bottom w:val="single" w:color="auto" w:sz="4" w:space="0"/>
              <w:right w:val="single" w:color="auto" w:sz="4" w:space="0"/>
            </w:tcBorders>
            <w:vAlign w:val="center"/>
          </w:tcPr>
          <w:p w14:paraId="4E46370D">
            <w:pPr>
              <w:spacing w:line="360" w:lineRule="auto"/>
              <w:rPr>
                <w:rFonts w:hint="eastAsia" w:ascii="宋体" w:hAnsi="宋体" w:eastAsia="宋体" w:cs="宋体"/>
                <w:szCs w:val="21"/>
              </w:rPr>
            </w:pPr>
            <w:r>
              <w:rPr>
                <w:rFonts w:hint="eastAsia" w:ascii="宋体" w:hAnsi="宋体" w:eastAsia="宋体" w:cs="宋体"/>
                <w:szCs w:val="21"/>
              </w:rPr>
              <w:t>餐菜式烹饪</w:t>
            </w:r>
          </w:p>
        </w:tc>
        <w:tc>
          <w:tcPr>
            <w:tcW w:w="1452" w:type="pct"/>
            <w:tcBorders>
              <w:top w:val="single" w:color="auto" w:sz="4" w:space="0"/>
              <w:left w:val="single" w:color="auto" w:sz="4" w:space="0"/>
              <w:bottom w:val="single" w:color="auto" w:sz="4" w:space="0"/>
              <w:right w:val="single" w:color="auto" w:sz="4" w:space="0"/>
            </w:tcBorders>
            <w:vAlign w:val="center"/>
          </w:tcPr>
          <w:p w14:paraId="04FA9094">
            <w:pPr>
              <w:spacing w:line="360" w:lineRule="auto"/>
              <w:jc w:val="center"/>
              <w:rPr>
                <w:rFonts w:hint="eastAsia" w:ascii="宋体" w:hAnsi="宋体" w:eastAsia="宋体" w:cs="宋体"/>
                <w:szCs w:val="21"/>
              </w:rPr>
            </w:pPr>
            <w:r>
              <w:rPr>
                <w:rFonts w:hint="eastAsia" w:ascii="宋体" w:hAnsi="宋体" w:eastAsia="宋体" w:cs="宋体"/>
                <w:szCs w:val="21"/>
              </w:rPr>
              <w:t>5年及以上</w:t>
            </w:r>
          </w:p>
        </w:tc>
      </w:tr>
      <w:tr w14:paraId="4F9E7EDB">
        <w:tblPrEx>
          <w:tblCellMar>
            <w:top w:w="0" w:type="dxa"/>
            <w:left w:w="108" w:type="dxa"/>
            <w:bottom w:w="0" w:type="dxa"/>
            <w:right w:w="108" w:type="dxa"/>
          </w:tblCellMar>
        </w:tblPrEx>
        <w:trPr>
          <w:trHeight w:val="421" w:hRule="atLeast"/>
        </w:trPr>
        <w:tc>
          <w:tcPr>
            <w:tcW w:w="892" w:type="pct"/>
            <w:tcBorders>
              <w:top w:val="single" w:color="auto" w:sz="4" w:space="0"/>
              <w:left w:val="single" w:color="auto" w:sz="4" w:space="0"/>
              <w:bottom w:val="single" w:color="auto" w:sz="4" w:space="0"/>
              <w:right w:val="single" w:color="auto" w:sz="4" w:space="0"/>
            </w:tcBorders>
            <w:vAlign w:val="center"/>
          </w:tcPr>
          <w:p w14:paraId="2E8A6FB5">
            <w:pPr>
              <w:spacing w:line="360" w:lineRule="auto"/>
              <w:jc w:val="center"/>
              <w:rPr>
                <w:rFonts w:hint="eastAsia" w:ascii="宋体" w:hAnsi="宋体" w:eastAsia="宋体" w:cs="宋体"/>
                <w:szCs w:val="21"/>
              </w:rPr>
            </w:pPr>
            <w:r>
              <w:rPr>
                <w:rFonts w:hint="eastAsia" w:ascii="宋体" w:hAnsi="宋体" w:eastAsia="宋体" w:cs="宋体"/>
                <w:szCs w:val="21"/>
              </w:rPr>
              <w:t>厨师</w:t>
            </w:r>
          </w:p>
        </w:tc>
        <w:tc>
          <w:tcPr>
            <w:tcW w:w="615" w:type="pct"/>
            <w:tcBorders>
              <w:top w:val="single" w:color="auto" w:sz="4" w:space="0"/>
              <w:left w:val="single" w:color="auto" w:sz="4" w:space="0"/>
              <w:bottom w:val="single" w:color="auto" w:sz="4" w:space="0"/>
              <w:right w:val="single" w:color="auto" w:sz="4" w:space="0"/>
            </w:tcBorders>
            <w:vAlign w:val="center"/>
          </w:tcPr>
          <w:p w14:paraId="1EE40592">
            <w:pPr>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2039" w:type="pct"/>
            <w:tcBorders>
              <w:top w:val="single" w:color="auto" w:sz="4" w:space="0"/>
              <w:left w:val="single" w:color="auto" w:sz="4" w:space="0"/>
              <w:bottom w:val="single" w:color="auto" w:sz="4" w:space="0"/>
              <w:right w:val="single" w:color="auto" w:sz="4" w:space="0"/>
            </w:tcBorders>
            <w:vAlign w:val="center"/>
          </w:tcPr>
          <w:p w14:paraId="7DA952E0">
            <w:pPr>
              <w:spacing w:line="360" w:lineRule="auto"/>
              <w:rPr>
                <w:rFonts w:hint="eastAsia" w:ascii="宋体" w:hAnsi="宋体" w:eastAsia="宋体" w:cs="宋体"/>
                <w:szCs w:val="21"/>
              </w:rPr>
            </w:pPr>
            <w:r>
              <w:rPr>
                <w:rFonts w:hint="eastAsia" w:ascii="宋体" w:hAnsi="宋体" w:eastAsia="宋体" w:cs="宋体"/>
                <w:szCs w:val="21"/>
              </w:rPr>
              <w:t>餐菜式烹饪</w:t>
            </w:r>
          </w:p>
        </w:tc>
        <w:tc>
          <w:tcPr>
            <w:tcW w:w="1452" w:type="pct"/>
            <w:tcBorders>
              <w:top w:val="single" w:color="auto" w:sz="4" w:space="0"/>
              <w:left w:val="single" w:color="auto" w:sz="4" w:space="0"/>
              <w:bottom w:val="single" w:color="auto" w:sz="4" w:space="0"/>
              <w:right w:val="single" w:color="auto" w:sz="4" w:space="0"/>
            </w:tcBorders>
            <w:vAlign w:val="center"/>
          </w:tcPr>
          <w:p w14:paraId="5D738520">
            <w:pPr>
              <w:spacing w:line="360" w:lineRule="auto"/>
              <w:jc w:val="center"/>
              <w:rPr>
                <w:rFonts w:hint="eastAsia" w:ascii="宋体" w:hAnsi="宋体" w:eastAsia="宋体" w:cs="宋体"/>
                <w:szCs w:val="21"/>
              </w:rPr>
            </w:pPr>
            <w:r>
              <w:rPr>
                <w:rFonts w:hint="eastAsia" w:ascii="宋体" w:hAnsi="宋体" w:eastAsia="宋体" w:cs="宋体"/>
                <w:szCs w:val="21"/>
              </w:rPr>
              <w:t>3年及以上</w:t>
            </w:r>
          </w:p>
        </w:tc>
      </w:tr>
      <w:tr w14:paraId="66D454E1">
        <w:tblPrEx>
          <w:tblCellMar>
            <w:top w:w="0" w:type="dxa"/>
            <w:left w:w="108" w:type="dxa"/>
            <w:bottom w:w="0" w:type="dxa"/>
            <w:right w:w="108" w:type="dxa"/>
          </w:tblCellMar>
        </w:tblPrEx>
        <w:trPr>
          <w:trHeight w:val="421" w:hRule="atLeast"/>
        </w:trPr>
        <w:tc>
          <w:tcPr>
            <w:tcW w:w="892" w:type="pct"/>
            <w:tcBorders>
              <w:top w:val="single" w:color="auto" w:sz="4" w:space="0"/>
              <w:left w:val="single" w:color="auto" w:sz="4" w:space="0"/>
              <w:bottom w:val="single" w:color="auto" w:sz="4" w:space="0"/>
              <w:right w:val="single" w:color="auto" w:sz="4" w:space="0"/>
            </w:tcBorders>
            <w:vAlign w:val="center"/>
          </w:tcPr>
          <w:p w14:paraId="0538F90F">
            <w:pPr>
              <w:spacing w:line="360" w:lineRule="auto"/>
              <w:jc w:val="center"/>
              <w:rPr>
                <w:rFonts w:hint="eastAsia" w:ascii="宋体" w:hAnsi="宋体" w:eastAsia="宋体" w:cs="宋体"/>
                <w:szCs w:val="21"/>
              </w:rPr>
            </w:pPr>
            <w:r>
              <w:rPr>
                <w:rFonts w:hint="eastAsia" w:ascii="宋体" w:hAnsi="宋体" w:eastAsia="宋体" w:cs="宋体"/>
                <w:szCs w:val="21"/>
              </w:rPr>
              <w:t>面点师</w:t>
            </w:r>
          </w:p>
        </w:tc>
        <w:tc>
          <w:tcPr>
            <w:tcW w:w="615" w:type="pct"/>
            <w:tcBorders>
              <w:top w:val="single" w:color="auto" w:sz="4" w:space="0"/>
              <w:left w:val="single" w:color="auto" w:sz="4" w:space="0"/>
              <w:bottom w:val="single" w:color="auto" w:sz="4" w:space="0"/>
              <w:right w:val="single" w:color="auto" w:sz="4" w:space="0"/>
            </w:tcBorders>
            <w:vAlign w:val="center"/>
          </w:tcPr>
          <w:p w14:paraId="056235FB">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2039" w:type="pct"/>
            <w:tcBorders>
              <w:top w:val="single" w:color="auto" w:sz="4" w:space="0"/>
              <w:left w:val="single" w:color="auto" w:sz="4" w:space="0"/>
              <w:bottom w:val="single" w:color="auto" w:sz="4" w:space="0"/>
              <w:right w:val="single" w:color="auto" w:sz="4" w:space="0"/>
            </w:tcBorders>
            <w:vAlign w:val="center"/>
          </w:tcPr>
          <w:p w14:paraId="61970C65">
            <w:pPr>
              <w:spacing w:line="360" w:lineRule="auto"/>
              <w:rPr>
                <w:rFonts w:hint="eastAsia" w:ascii="宋体" w:hAnsi="宋体" w:eastAsia="宋体" w:cs="宋体"/>
                <w:szCs w:val="21"/>
              </w:rPr>
            </w:pPr>
            <w:r>
              <w:rPr>
                <w:rFonts w:hint="eastAsia" w:ascii="宋体" w:hAnsi="宋体" w:eastAsia="宋体" w:cs="宋体"/>
                <w:szCs w:val="21"/>
              </w:rPr>
              <w:t>中西点心制作</w:t>
            </w:r>
          </w:p>
        </w:tc>
        <w:tc>
          <w:tcPr>
            <w:tcW w:w="1452" w:type="pct"/>
            <w:tcBorders>
              <w:top w:val="single" w:color="auto" w:sz="4" w:space="0"/>
              <w:left w:val="single" w:color="auto" w:sz="4" w:space="0"/>
              <w:bottom w:val="single" w:color="auto" w:sz="4" w:space="0"/>
              <w:right w:val="single" w:color="auto" w:sz="4" w:space="0"/>
            </w:tcBorders>
            <w:vAlign w:val="center"/>
          </w:tcPr>
          <w:p w14:paraId="7B957D6C">
            <w:pPr>
              <w:spacing w:line="360" w:lineRule="auto"/>
              <w:jc w:val="center"/>
              <w:rPr>
                <w:rFonts w:hint="eastAsia" w:ascii="宋体" w:hAnsi="宋体" w:eastAsia="宋体" w:cs="宋体"/>
                <w:szCs w:val="21"/>
              </w:rPr>
            </w:pPr>
            <w:r>
              <w:rPr>
                <w:rFonts w:hint="eastAsia" w:ascii="宋体" w:hAnsi="宋体" w:eastAsia="宋体" w:cs="宋体"/>
                <w:szCs w:val="21"/>
              </w:rPr>
              <w:t>3年及以上</w:t>
            </w:r>
          </w:p>
        </w:tc>
      </w:tr>
      <w:tr w14:paraId="04DF8718">
        <w:tblPrEx>
          <w:tblCellMar>
            <w:top w:w="0" w:type="dxa"/>
            <w:left w:w="108" w:type="dxa"/>
            <w:bottom w:w="0" w:type="dxa"/>
            <w:right w:w="108" w:type="dxa"/>
          </w:tblCellMar>
        </w:tblPrEx>
        <w:trPr>
          <w:trHeight w:val="421" w:hRule="atLeast"/>
        </w:trPr>
        <w:tc>
          <w:tcPr>
            <w:tcW w:w="892" w:type="pct"/>
            <w:tcBorders>
              <w:top w:val="single" w:color="auto" w:sz="4" w:space="0"/>
              <w:left w:val="single" w:color="auto" w:sz="4" w:space="0"/>
              <w:bottom w:val="single" w:color="auto" w:sz="4" w:space="0"/>
              <w:right w:val="single" w:color="auto" w:sz="4" w:space="0"/>
            </w:tcBorders>
            <w:vAlign w:val="center"/>
          </w:tcPr>
          <w:p w14:paraId="0CC9D00C">
            <w:pPr>
              <w:spacing w:line="360" w:lineRule="auto"/>
              <w:jc w:val="center"/>
              <w:rPr>
                <w:rFonts w:hint="eastAsia" w:ascii="宋体" w:hAnsi="宋体" w:eastAsia="宋体" w:cs="宋体"/>
                <w:szCs w:val="21"/>
              </w:rPr>
            </w:pPr>
            <w:r>
              <w:rPr>
                <w:rFonts w:hint="eastAsia" w:ascii="宋体" w:hAnsi="宋体" w:eastAsia="宋体" w:cs="宋体"/>
                <w:szCs w:val="21"/>
              </w:rPr>
              <w:t>蒸炖师</w:t>
            </w:r>
          </w:p>
        </w:tc>
        <w:tc>
          <w:tcPr>
            <w:tcW w:w="615" w:type="pct"/>
            <w:tcBorders>
              <w:top w:val="single" w:color="auto" w:sz="4" w:space="0"/>
              <w:left w:val="single" w:color="auto" w:sz="4" w:space="0"/>
              <w:bottom w:val="single" w:color="auto" w:sz="4" w:space="0"/>
              <w:right w:val="single" w:color="auto" w:sz="4" w:space="0"/>
            </w:tcBorders>
            <w:vAlign w:val="center"/>
          </w:tcPr>
          <w:p w14:paraId="68A6C0AF">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2039" w:type="pct"/>
            <w:tcBorders>
              <w:top w:val="single" w:color="auto" w:sz="4" w:space="0"/>
              <w:left w:val="single" w:color="auto" w:sz="4" w:space="0"/>
              <w:bottom w:val="single" w:color="auto" w:sz="4" w:space="0"/>
              <w:right w:val="single" w:color="auto" w:sz="4" w:space="0"/>
            </w:tcBorders>
            <w:vAlign w:val="center"/>
          </w:tcPr>
          <w:p w14:paraId="5E563C53">
            <w:pPr>
              <w:spacing w:line="360" w:lineRule="auto"/>
              <w:rPr>
                <w:rFonts w:hint="eastAsia" w:ascii="宋体" w:hAnsi="宋体" w:eastAsia="宋体" w:cs="宋体"/>
                <w:szCs w:val="21"/>
              </w:rPr>
            </w:pPr>
            <w:r>
              <w:rPr>
                <w:rFonts w:hint="eastAsia" w:ascii="宋体" w:hAnsi="宋体" w:eastAsia="宋体" w:cs="宋体"/>
                <w:szCs w:val="21"/>
              </w:rPr>
              <w:t>蒸饭、煲汤、协助蒸菜</w:t>
            </w:r>
          </w:p>
        </w:tc>
        <w:tc>
          <w:tcPr>
            <w:tcW w:w="1452" w:type="pct"/>
            <w:tcBorders>
              <w:top w:val="single" w:color="auto" w:sz="4" w:space="0"/>
              <w:left w:val="single" w:color="auto" w:sz="4" w:space="0"/>
              <w:bottom w:val="single" w:color="auto" w:sz="4" w:space="0"/>
              <w:right w:val="single" w:color="auto" w:sz="4" w:space="0"/>
            </w:tcBorders>
            <w:vAlign w:val="center"/>
          </w:tcPr>
          <w:p w14:paraId="4E3B9164">
            <w:pPr>
              <w:spacing w:line="360" w:lineRule="auto"/>
              <w:jc w:val="center"/>
              <w:rPr>
                <w:rFonts w:hint="eastAsia" w:ascii="宋体" w:hAnsi="宋体" w:eastAsia="宋体" w:cs="宋体"/>
                <w:szCs w:val="21"/>
              </w:rPr>
            </w:pPr>
            <w:r>
              <w:rPr>
                <w:rFonts w:hint="eastAsia" w:ascii="宋体" w:hAnsi="宋体" w:eastAsia="宋体" w:cs="宋体"/>
                <w:szCs w:val="21"/>
              </w:rPr>
              <w:t>3年及以上</w:t>
            </w:r>
          </w:p>
        </w:tc>
      </w:tr>
      <w:tr w14:paraId="1BADE13A">
        <w:tblPrEx>
          <w:tblCellMar>
            <w:top w:w="0" w:type="dxa"/>
            <w:left w:w="108" w:type="dxa"/>
            <w:bottom w:w="0" w:type="dxa"/>
            <w:right w:w="108" w:type="dxa"/>
          </w:tblCellMar>
        </w:tblPrEx>
        <w:trPr>
          <w:trHeight w:val="421" w:hRule="atLeast"/>
        </w:trPr>
        <w:tc>
          <w:tcPr>
            <w:tcW w:w="892" w:type="pct"/>
            <w:tcBorders>
              <w:top w:val="single" w:color="auto" w:sz="4" w:space="0"/>
              <w:left w:val="single" w:color="auto" w:sz="4" w:space="0"/>
              <w:bottom w:val="single" w:color="auto" w:sz="4" w:space="0"/>
              <w:right w:val="single" w:color="auto" w:sz="4" w:space="0"/>
            </w:tcBorders>
            <w:vAlign w:val="center"/>
          </w:tcPr>
          <w:p w14:paraId="283B19C1">
            <w:pPr>
              <w:spacing w:line="360" w:lineRule="auto"/>
              <w:jc w:val="center"/>
              <w:rPr>
                <w:rFonts w:hint="eastAsia" w:ascii="宋体" w:hAnsi="宋体" w:eastAsia="宋体" w:cs="宋体"/>
                <w:szCs w:val="21"/>
              </w:rPr>
            </w:pPr>
            <w:r>
              <w:rPr>
                <w:rFonts w:hint="eastAsia" w:ascii="宋体" w:hAnsi="宋体" w:eastAsia="宋体" w:cs="宋体"/>
                <w:szCs w:val="21"/>
              </w:rPr>
              <w:t>厨工</w:t>
            </w:r>
          </w:p>
        </w:tc>
        <w:tc>
          <w:tcPr>
            <w:tcW w:w="615" w:type="pct"/>
            <w:tcBorders>
              <w:top w:val="single" w:color="auto" w:sz="4" w:space="0"/>
              <w:left w:val="single" w:color="auto" w:sz="4" w:space="0"/>
              <w:bottom w:val="single" w:color="auto" w:sz="4" w:space="0"/>
              <w:right w:val="single" w:color="auto" w:sz="4" w:space="0"/>
            </w:tcBorders>
            <w:vAlign w:val="center"/>
          </w:tcPr>
          <w:p w14:paraId="3592B458">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2039" w:type="pct"/>
            <w:tcBorders>
              <w:top w:val="single" w:color="auto" w:sz="4" w:space="0"/>
              <w:left w:val="single" w:color="auto" w:sz="4" w:space="0"/>
              <w:bottom w:val="single" w:color="auto" w:sz="4" w:space="0"/>
              <w:right w:val="single" w:color="auto" w:sz="4" w:space="0"/>
            </w:tcBorders>
            <w:vAlign w:val="center"/>
          </w:tcPr>
          <w:p w14:paraId="148F0349">
            <w:pPr>
              <w:spacing w:line="360" w:lineRule="auto"/>
              <w:rPr>
                <w:rFonts w:hint="eastAsia" w:ascii="宋体" w:hAnsi="宋体" w:eastAsia="宋体" w:cs="宋体"/>
                <w:szCs w:val="21"/>
              </w:rPr>
            </w:pPr>
            <w:r>
              <w:rPr>
                <w:rFonts w:hint="eastAsia" w:ascii="宋体" w:hAnsi="宋体" w:eastAsia="宋体" w:cs="宋体"/>
                <w:szCs w:val="21"/>
              </w:rPr>
              <w:t>厨房切配、清洁，开餐间服务、清洁</w:t>
            </w:r>
          </w:p>
        </w:tc>
        <w:tc>
          <w:tcPr>
            <w:tcW w:w="1452" w:type="pct"/>
            <w:tcBorders>
              <w:top w:val="single" w:color="auto" w:sz="4" w:space="0"/>
              <w:left w:val="single" w:color="auto" w:sz="4" w:space="0"/>
              <w:bottom w:val="single" w:color="auto" w:sz="4" w:space="0"/>
              <w:right w:val="single" w:color="auto" w:sz="4" w:space="0"/>
            </w:tcBorders>
            <w:vAlign w:val="center"/>
          </w:tcPr>
          <w:p w14:paraId="3C08ACD2">
            <w:pPr>
              <w:spacing w:line="360" w:lineRule="auto"/>
              <w:jc w:val="center"/>
              <w:rPr>
                <w:rFonts w:hint="eastAsia" w:ascii="宋体" w:hAnsi="宋体" w:eastAsia="宋体" w:cs="宋体"/>
                <w:szCs w:val="21"/>
              </w:rPr>
            </w:pPr>
            <w:r>
              <w:rPr>
                <w:rFonts w:hint="eastAsia" w:ascii="宋体" w:hAnsi="宋体" w:eastAsia="宋体" w:cs="宋体"/>
                <w:szCs w:val="21"/>
              </w:rPr>
              <w:t>1年及以上</w:t>
            </w:r>
          </w:p>
        </w:tc>
      </w:tr>
      <w:tr w14:paraId="240E8213">
        <w:tblPrEx>
          <w:tblCellMar>
            <w:top w:w="0" w:type="dxa"/>
            <w:left w:w="108" w:type="dxa"/>
            <w:bottom w:w="0" w:type="dxa"/>
            <w:right w:w="108" w:type="dxa"/>
          </w:tblCellMar>
        </w:tblPrEx>
        <w:trPr>
          <w:trHeight w:val="421" w:hRule="atLeast"/>
        </w:trPr>
        <w:tc>
          <w:tcPr>
            <w:tcW w:w="892" w:type="pct"/>
            <w:tcBorders>
              <w:top w:val="single" w:color="auto" w:sz="4" w:space="0"/>
              <w:left w:val="single" w:color="auto" w:sz="4" w:space="0"/>
              <w:bottom w:val="single" w:color="auto" w:sz="4" w:space="0"/>
              <w:right w:val="single" w:color="auto" w:sz="4" w:space="0"/>
            </w:tcBorders>
            <w:vAlign w:val="center"/>
          </w:tcPr>
          <w:p w14:paraId="3EED75E3">
            <w:pPr>
              <w:spacing w:line="360" w:lineRule="auto"/>
              <w:jc w:val="center"/>
              <w:rPr>
                <w:rFonts w:hint="eastAsia" w:ascii="宋体" w:hAnsi="宋体" w:eastAsia="宋体" w:cs="宋体"/>
                <w:szCs w:val="21"/>
              </w:rPr>
            </w:pPr>
            <w:r>
              <w:rPr>
                <w:rFonts w:hint="eastAsia" w:ascii="宋体" w:hAnsi="宋体" w:eastAsia="宋体" w:cs="宋体"/>
                <w:szCs w:val="21"/>
              </w:rPr>
              <w:t>服务部长</w:t>
            </w:r>
          </w:p>
        </w:tc>
        <w:tc>
          <w:tcPr>
            <w:tcW w:w="615" w:type="pct"/>
            <w:tcBorders>
              <w:top w:val="single" w:color="auto" w:sz="4" w:space="0"/>
              <w:left w:val="single" w:color="auto" w:sz="4" w:space="0"/>
              <w:bottom w:val="single" w:color="auto" w:sz="4" w:space="0"/>
              <w:right w:val="single" w:color="auto" w:sz="4" w:space="0"/>
            </w:tcBorders>
            <w:vAlign w:val="center"/>
          </w:tcPr>
          <w:p w14:paraId="49B82134">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2039" w:type="pct"/>
            <w:tcBorders>
              <w:top w:val="single" w:color="auto" w:sz="4" w:space="0"/>
              <w:left w:val="single" w:color="auto" w:sz="4" w:space="0"/>
              <w:bottom w:val="single" w:color="auto" w:sz="4" w:space="0"/>
              <w:right w:val="single" w:color="auto" w:sz="4" w:space="0"/>
            </w:tcBorders>
            <w:vAlign w:val="center"/>
          </w:tcPr>
          <w:p w14:paraId="3B04A6A1">
            <w:pPr>
              <w:spacing w:line="360" w:lineRule="auto"/>
              <w:rPr>
                <w:rFonts w:hint="eastAsia" w:ascii="宋体" w:hAnsi="宋体" w:eastAsia="宋体" w:cs="宋体"/>
                <w:szCs w:val="21"/>
              </w:rPr>
            </w:pPr>
            <w:r>
              <w:rPr>
                <w:rFonts w:hint="eastAsia" w:ascii="宋体" w:hAnsi="宋体" w:eastAsia="宋体" w:cs="宋体"/>
                <w:szCs w:val="21"/>
              </w:rPr>
              <w:t>接待餐服务统筹</w:t>
            </w:r>
          </w:p>
        </w:tc>
        <w:tc>
          <w:tcPr>
            <w:tcW w:w="1452" w:type="pct"/>
            <w:tcBorders>
              <w:top w:val="single" w:color="auto" w:sz="4" w:space="0"/>
              <w:left w:val="single" w:color="auto" w:sz="4" w:space="0"/>
              <w:bottom w:val="single" w:color="auto" w:sz="4" w:space="0"/>
              <w:right w:val="single" w:color="auto" w:sz="4" w:space="0"/>
            </w:tcBorders>
            <w:vAlign w:val="center"/>
          </w:tcPr>
          <w:p w14:paraId="32F256CA">
            <w:pPr>
              <w:spacing w:line="360" w:lineRule="auto"/>
              <w:jc w:val="center"/>
              <w:rPr>
                <w:rFonts w:hint="eastAsia" w:ascii="宋体" w:hAnsi="宋体" w:eastAsia="宋体" w:cs="宋体"/>
                <w:szCs w:val="21"/>
              </w:rPr>
            </w:pPr>
            <w:r>
              <w:rPr>
                <w:rFonts w:hint="eastAsia" w:ascii="宋体" w:hAnsi="宋体" w:eastAsia="宋体" w:cs="宋体"/>
                <w:szCs w:val="21"/>
              </w:rPr>
              <w:t>3年及以上</w:t>
            </w:r>
          </w:p>
        </w:tc>
      </w:tr>
      <w:tr w14:paraId="33A329EC">
        <w:tblPrEx>
          <w:tblCellMar>
            <w:top w:w="0" w:type="dxa"/>
            <w:left w:w="108" w:type="dxa"/>
            <w:bottom w:w="0" w:type="dxa"/>
            <w:right w:w="108" w:type="dxa"/>
          </w:tblCellMar>
        </w:tblPrEx>
        <w:trPr>
          <w:trHeight w:val="421" w:hRule="atLeast"/>
        </w:trPr>
        <w:tc>
          <w:tcPr>
            <w:tcW w:w="892" w:type="pct"/>
            <w:tcBorders>
              <w:top w:val="single" w:color="auto" w:sz="4" w:space="0"/>
              <w:left w:val="single" w:color="auto" w:sz="4" w:space="0"/>
              <w:bottom w:val="single" w:color="auto" w:sz="4" w:space="0"/>
              <w:right w:val="single" w:color="auto" w:sz="4" w:space="0"/>
            </w:tcBorders>
            <w:vAlign w:val="center"/>
          </w:tcPr>
          <w:p w14:paraId="67E0494E">
            <w:pPr>
              <w:spacing w:line="360" w:lineRule="auto"/>
              <w:jc w:val="center"/>
              <w:rPr>
                <w:rFonts w:hint="eastAsia" w:ascii="宋体" w:hAnsi="宋体" w:eastAsia="宋体" w:cs="宋体"/>
                <w:szCs w:val="21"/>
              </w:rPr>
            </w:pPr>
            <w:r>
              <w:rPr>
                <w:rFonts w:hint="eastAsia" w:ascii="宋体" w:hAnsi="宋体" w:eastAsia="宋体" w:cs="宋体"/>
                <w:szCs w:val="21"/>
              </w:rPr>
              <w:t>接待餐服务员</w:t>
            </w:r>
          </w:p>
        </w:tc>
        <w:tc>
          <w:tcPr>
            <w:tcW w:w="615" w:type="pct"/>
            <w:tcBorders>
              <w:top w:val="single" w:color="auto" w:sz="4" w:space="0"/>
              <w:left w:val="single" w:color="auto" w:sz="4" w:space="0"/>
              <w:bottom w:val="single" w:color="auto" w:sz="4" w:space="0"/>
              <w:right w:val="single" w:color="auto" w:sz="4" w:space="0"/>
            </w:tcBorders>
            <w:vAlign w:val="center"/>
          </w:tcPr>
          <w:p w14:paraId="5ED87AD9">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2039" w:type="pct"/>
            <w:tcBorders>
              <w:top w:val="single" w:color="auto" w:sz="4" w:space="0"/>
              <w:left w:val="single" w:color="auto" w:sz="4" w:space="0"/>
              <w:bottom w:val="single" w:color="auto" w:sz="4" w:space="0"/>
              <w:right w:val="single" w:color="auto" w:sz="4" w:space="0"/>
            </w:tcBorders>
            <w:vAlign w:val="center"/>
          </w:tcPr>
          <w:p w14:paraId="27333C21">
            <w:pPr>
              <w:spacing w:line="360" w:lineRule="auto"/>
              <w:rPr>
                <w:rFonts w:hint="eastAsia" w:ascii="宋体" w:hAnsi="宋体" w:eastAsia="宋体" w:cs="宋体"/>
                <w:szCs w:val="21"/>
              </w:rPr>
            </w:pPr>
            <w:r>
              <w:rPr>
                <w:rFonts w:hint="eastAsia" w:ascii="宋体" w:hAnsi="宋体" w:eastAsia="宋体" w:cs="宋体"/>
                <w:szCs w:val="21"/>
              </w:rPr>
              <w:t>接待餐服务</w:t>
            </w:r>
          </w:p>
        </w:tc>
        <w:tc>
          <w:tcPr>
            <w:tcW w:w="1452" w:type="pct"/>
            <w:tcBorders>
              <w:top w:val="single" w:color="auto" w:sz="4" w:space="0"/>
              <w:left w:val="single" w:color="auto" w:sz="4" w:space="0"/>
              <w:bottom w:val="single" w:color="auto" w:sz="4" w:space="0"/>
              <w:right w:val="single" w:color="auto" w:sz="4" w:space="0"/>
            </w:tcBorders>
            <w:vAlign w:val="center"/>
          </w:tcPr>
          <w:p w14:paraId="3FD56654">
            <w:pPr>
              <w:spacing w:line="360" w:lineRule="auto"/>
              <w:jc w:val="center"/>
              <w:rPr>
                <w:rFonts w:hint="eastAsia" w:ascii="宋体" w:hAnsi="宋体" w:eastAsia="宋体" w:cs="宋体"/>
                <w:szCs w:val="21"/>
              </w:rPr>
            </w:pPr>
            <w:r>
              <w:rPr>
                <w:rFonts w:hint="eastAsia" w:ascii="宋体" w:hAnsi="宋体" w:eastAsia="宋体" w:cs="宋体"/>
                <w:szCs w:val="21"/>
              </w:rPr>
              <w:t>1年及以上</w:t>
            </w:r>
          </w:p>
        </w:tc>
      </w:tr>
      <w:tr w14:paraId="03B30A26">
        <w:tblPrEx>
          <w:tblCellMar>
            <w:top w:w="0" w:type="dxa"/>
            <w:left w:w="108" w:type="dxa"/>
            <w:bottom w:w="0" w:type="dxa"/>
            <w:right w:w="108" w:type="dxa"/>
          </w:tblCellMar>
        </w:tblPrEx>
        <w:trPr>
          <w:trHeight w:val="421" w:hRule="atLeast"/>
        </w:trPr>
        <w:tc>
          <w:tcPr>
            <w:tcW w:w="892" w:type="pct"/>
            <w:tcBorders>
              <w:top w:val="single" w:color="auto" w:sz="4" w:space="0"/>
              <w:left w:val="single" w:color="auto" w:sz="4" w:space="0"/>
              <w:bottom w:val="single" w:color="auto" w:sz="4" w:space="0"/>
              <w:right w:val="single" w:color="auto" w:sz="4" w:space="0"/>
            </w:tcBorders>
            <w:vAlign w:val="center"/>
          </w:tcPr>
          <w:p w14:paraId="3A3B4C51">
            <w:pPr>
              <w:spacing w:line="360" w:lineRule="auto"/>
              <w:jc w:val="center"/>
              <w:rPr>
                <w:rFonts w:hint="eastAsia" w:ascii="宋体" w:hAnsi="宋体" w:eastAsia="宋体" w:cs="宋体"/>
                <w:szCs w:val="21"/>
              </w:rPr>
            </w:pPr>
            <w:r>
              <w:rPr>
                <w:rFonts w:hint="eastAsia" w:ascii="宋体" w:hAnsi="宋体" w:eastAsia="宋体" w:cs="宋体"/>
                <w:szCs w:val="21"/>
              </w:rPr>
              <w:t>清洁工</w:t>
            </w:r>
          </w:p>
        </w:tc>
        <w:tc>
          <w:tcPr>
            <w:tcW w:w="615" w:type="pct"/>
            <w:tcBorders>
              <w:top w:val="single" w:color="auto" w:sz="4" w:space="0"/>
              <w:left w:val="single" w:color="auto" w:sz="4" w:space="0"/>
              <w:bottom w:val="single" w:color="auto" w:sz="4" w:space="0"/>
              <w:right w:val="single" w:color="auto" w:sz="4" w:space="0"/>
            </w:tcBorders>
            <w:vAlign w:val="center"/>
          </w:tcPr>
          <w:p w14:paraId="500516EE">
            <w:pPr>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2039" w:type="pct"/>
            <w:tcBorders>
              <w:top w:val="single" w:color="auto" w:sz="4" w:space="0"/>
              <w:left w:val="single" w:color="auto" w:sz="4" w:space="0"/>
              <w:bottom w:val="single" w:color="auto" w:sz="4" w:space="0"/>
              <w:right w:val="single" w:color="auto" w:sz="4" w:space="0"/>
            </w:tcBorders>
            <w:vAlign w:val="center"/>
          </w:tcPr>
          <w:p w14:paraId="7CC06D03">
            <w:pPr>
              <w:spacing w:line="360" w:lineRule="auto"/>
              <w:rPr>
                <w:rFonts w:hint="eastAsia" w:ascii="宋体" w:hAnsi="宋体" w:eastAsia="宋体" w:cs="宋体"/>
                <w:szCs w:val="21"/>
              </w:rPr>
            </w:pPr>
            <w:r>
              <w:rPr>
                <w:rFonts w:hint="eastAsia" w:ascii="宋体" w:hAnsi="宋体" w:eastAsia="宋体" w:cs="宋体"/>
                <w:szCs w:val="21"/>
              </w:rPr>
              <w:t>餐厅清洁和消毒</w:t>
            </w:r>
          </w:p>
        </w:tc>
        <w:tc>
          <w:tcPr>
            <w:tcW w:w="1452" w:type="pct"/>
            <w:tcBorders>
              <w:top w:val="single" w:color="auto" w:sz="4" w:space="0"/>
              <w:left w:val="single" w:color="auto" w:sz="4" w:space="0"/>
              <w:bottom w:val="single" w:color="auto" w:sz="4" w:space="0"/>
              <w:right w:val="single" w:color="auto" w:sz="4" w:space="0"/>
            </w:tcBorders>
            <w:vAlign w:val="center"/>
          </w:tcPr>
          <w:p w14:paraId="54EB7DC9">
            <w:pPr>
              <w:spacing w:line="360" w:lineRule="auto"/>
              <w:jc w:val="center"/>
              <w:rPr>
                <w:rFonts w:hint="eastAsia" w:ascii="宋体" w:hAnsi="宋体" w:eastAsia="宋体" w:cs="宋体"/>
                <w:szCs w:val="21"/>
              </w:rPr>
            </w:pPr>
            <w:r>
              <w:rPr>
                <w:rFonts w:hint="eastAsia" w:ascii="宋体" w:hAnsi="宋体" w:eastAsia="宋体" w:cs="宋体"/>
                <w:szCs w:val="21"/>
              </w:rPr>
              <w:t>1年及以上</w:t>
            </w:r>
          </w:p>
        </w:tc>
      </w:tr>
      <w:tr w14:paraId="1F44C222">
        <w:tblPrEx>
          <w:tblCellMar>
            <w:top w:w="0" w:type="dxa"/>
            <w:left w:w="108" w:type="dxa"/>
            <w:bottom w:w="0" w:type="dxa"/>
            <w:right w:w="108" w:type="dxa"/>
          </w:tblCellMar>
        </w:tblPrEx>
        <w:trPr>
          <w:trHeight w:val="431" w:hRule="atLeast"/>
        </w:trPr>
        <w:tc>
          <w:tcPr>
            <w:tcW w:w="892" w:type="pct"/>
            <w:tcBorders>
              <w:top w:val="single" w:color="auto" w:sz="4" w:space="0"/>
              <w:left w:val="single" w:color="auto" w:sz="4" w:space="0"/>
              <w:bottom w:val="single" w:color="auto" w:sz="4" w:space="0"/>
              <w:right w:val="single" w:color="auto" w:sz="4" w:space="0"/>
            </w:tcBorders>
            <w:vAlign w:val="center"/>
          </w:tcPr>
          <w:p w14:paraId="368E0D37">
            <w:pPr>
              <w:spacing w:line="360" w:lineRule="auto"/>
              <w:jc w:val="center"/>
              <w:rPr>
                <w:rFonts w:hint="eastAsia" w:ascii="宋体" w:hAnsi="宋体" w:eastAsia="宋体" w:cs="宋体"/>
                <w:szCs w:val="21"/>
              </w:rPr>
            </w:pPr>
            <w:r>
              <w:rPr>
                <w:rFonts w:hint="eastAsia" w:ascii="宋体" w:hAnsi="宋体" w:eastAsia="宋体" w:cs="宋体"/>
                <w:szCs w:val="21"/>
              </w:rPr>
              <w:t>洗碗工</w:t>
            </w:r>
          </w:p>
        </w:tc>
        <w:tc>
          <w:tcPr>
            <w:tcW w:w="615" w:type="pct"/>
            <w:tcBorders>
              <w:top w:val="single" w:color="auto" w:sz="4" w:space="0"/>
              <w:left w:val="single" w:color="auto" w:sz="4" w:space="0"/>
              <w:bottom w:val="single" w:color="auto" w:sz="4" w:space="0"/>
              <w:right w:val="single" w:color="auto" w:sz="4" w:space="0"/>
            </w:tcBorders>
            <w:vAlign w:val="center"/>
          </w:tcPr>
          <w:p w14:paraId="68A1FA7D">
            <w:pPr>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2039" w:type="pct"/>
            <w:tcBorders>
              <w:top w:val="single" w:color="auto" w:sz="4" w:space="0"/>
              <w:left w:val="single" w:color="auto" w:sz="4" w:space="0"/>
              <w:bottom w:val="single" w:color="auto" w:sz="4" w:space="0"/>
              <w:right w:val="single" w:color="auto" w:sz="4" w:space="0"/>
            </w:tcBorders>
            <w:vAlign w:val="center"/>
          </w:tcPr>
          <w:p w14:paraId="7178EAFC">
            <w:pPr>
              <w:spacing w:line="360" w:lineRule="auto"/>
              <w:rPr>
                <w:rFonts w:hint="eastAsia" w:ascii="宋体" w:hAnsi="宋体" w:eastAsia="宋体" w:cs="宋体"/>
                <w:szCs w:val="21"/>
              </w:rPr>
            </w:pPr>
            <w:r>
              <w:rPr>
                <w:rFonts w:hint="eastAsia" w:ascii="宋体" w:hAnsi="宋体" w:eastAsia="宋体" w:cs="宋体"/>
                <w:szCs w:val="21"/>
              </w:rPr>
              <w:t>餐具收集、清洁和消毒</w:t>
            </w:r>
          </w:p>
        </w:tc>
        <w:tc>
          <w:tcPr>
            <w:tcW w:w="1452" w:type="pct"/>
            <w:tcBorders>
              <w:top w:val="single" w:color="auto" w:sz="4" w:space="0"/>
              <w:left w:val="single" w:color="auto" w:sz="4" w:space="0"/>
              <w:bottom w:val="single" w:color="auto" w:sz="4" w:space="0"/>
              <w:right w:val="single" w:color="auto" w:sz="4" w:space="0"/>
            </w:tcBorders>
            <w:vAlign w:val="center"/>
          </w:tcPr>
          <w:p w14:paraId="6DC86B96">
            <w:pPr>
              <w:spacing w:line="360" w:lineRule="auto"/>
              <w:jc w:val="center"/>
              <w:rPr>
                <w:rFonts w:hint="eastAsia" w:ascii="宋体" w:hAnsi="宋体" w:eastAsia="宋体" w:cs="宋体"/>
                <w:szCs w:val="21"/>
              </w:rPr>
            </w:pPr>
            <w:r>
              <w:rPr>
                <w:rFonts w:hint="eastAsia" w:ascii="宋体" w:hAnsi="宋体" w:eastAsia="宋体" w:cs="宋体"/>
                <w:szCs w:val="21"/>
              </w:rPr>
              <w:t>1年及以上</w:t>
            </w:r>
          </w:p>
        </w:tc>
      </w:tr>
      <w:tr w14:paraId="6FB66B1C">
        <w:tblPrEx>
          <w:tblCellMar>
            <w:top w:w="0" w:type="dxa"/>
            <w:left w:w="108" w:type="dxa"/>
            <w:bottom w:w="0" w:type="dxa"/>
            <w:right w:w="108" w:type="dxa"/>
          </w:tblCellMar>
        </w:tblPrEx>
        <w:trPr>
          <w:trHeight w:val="431" w:hRule="atLeast"/>
        </w:trPr>
        <w:tc>
          <w:tcPr>
            <w:tcW w:w="892" w:type="pct"/>
            <w:tcBorders>
              <w:top w:val="single" w:color="auto" w:sz="4" w:space="0"/>
              <w:left w:val="single" w:color="auto" w:sz="4" w:space="0"/>
              <w:bottom w:val="single" w:color="auto" w:sz="4" w:space="0"/>
              <w:right w:val="single" w:color="auto" w:sz="4" w:space="0"/>
            </w:tcBorders>
            <w:vAlign w:val="center"/>
          </w:tcPr>
          <w:p w14:paraId="2C93F971">
            <w:pPr>
              <w:spacing w:line="360" w:lineRule="auto"/>
              <w:jc w:val="center"/>
              <w:rPr>
                <w:rFonts w:hint="eastAsia" w:ascii="宋体" w:hAnsi="宋体" w:eastAsia="宋体" w:cs="宋体"/>
                <w:szCs w:val="21"/>
              </w:rPr>
            </w:pPr>
            <w:r>
              <w:rPr>
                <w:rFonts w:hint="eastAsia" w:ascii="宋体" w:hAnsi="宋体" w:eastAsia="宋体" w:cs="宋体"/>
                <w:szCs w:val="21"/>
              </w:rPr>
              <w:t>食品安全员</w:t>
            </w:r>
          </w:p>
        </w:tc>
        <w:tc>
          <w:tcPr>
            <w:tcW w:w="615" w:type="pct"/>
            <w:tcBorders>
              <w:top w:val="single" w:color="auto" w:sz="4" w:space="0"/>
              <w:left w:val="single" w:color="auto" w:sz="4" w:space="0"/>
              <w:bottom w:val="single" w:color="auto" w:sz="4" w:space="0"/>
              <w:right w:val="single" w:color="auto" w:sz="4" w:space="0"/>
            </w:tcBorders>
            <w:vAlign w:val="center"/>
          </w:tcPr>
          <w:p w14:paraId="65623082">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2039" w:type="pct"/>
            <w:tcBorders>
              <w:top w:val="single" w:color="auto" w:sz="4" w:space="0"/>
              <w:left w:val="single" w:color="auto" w:sz="4" w:space="0"/>
              <w:bottom w:val="single" w:color="auto" w:sz="4" w:space="0"/>
              <w:right w:val="single" w:color="auto" w:sz="4" w:space="0"/>
            </w:tcBorders>
            <w:vAlign w:val="center"/>
          </w:tcPr>
          <w:p w14:paraId="336D7295">
            <w:pPr>
              <w:spacing w:line="360" w:lineRule="auto"/>
              <w:rPr>
                <w:rFonts w:hint="eastAsia" w:ascii="宋体" w:hAnsi="宋体" w:eastAsia="宋体" w:cs="宋体"/>
                <w:szCs w:val="21"/>
              </w:rPr>
            </w:pPr>
            <w:r>
              <w:rPr>
                <w:rFonts w:hint="eastAsia" w:ascii="宋体" w:hAnsi="宋体" w:eastAsia="宋体" w:cs="宋体"/>
                <w:szCs w:val="21"/>
              </w:rPr>
              <w:t>暂定</w:t>
            </w:r>
          </w:p>
        </w:tc>
        <w:tc>
          <w:tcPr>
            <w:tcW w:w="1452" w:type="pct"/>
            <w:tcBorders>
              <w:top w:val="single" w:color="auto" w:sz="4" w:space="0"/>
              <w:left w:val="single" w:color="auto" w:sz="4" w:space="0"/>
              <w:bottom w:val="single" w:color="auto" w:sz="4" w:space="0"/>
              <w:right w:val="single" w:color="auto" w:sz="4" w:space="0"/>
            </w:tcBorders>
            <w:vAlign w:val="center"/>
          </w:tcPr>
          <w:p w14:paraId="582C8DE9">
            <w:pPr>
              <w:spacing w:line="360" w:lineRule="auto"/>
              <w:jc w:val="center"/>
              <w:rPr>
                <w:rFonts w:hint="eastAsia" w:ascii="宋体" w:hAnsi="宋体" w:eastAsia="宋体" w:cs="宋体"/>
                <w:szCs w:val="21"/>
              </w:rPr>
            </w:pPr>
            <w:r>
              <w:rPr>
                <w:rFonts w:hint="eastAsia" w:ascii="宋体" w:hAnsi="宋体" w:eastAsia="宋体" w:cs="宋体"/>
                <w:szCs w:val="21"/>
              </w:rPr>
              <w:t>2年及以上</w:t>
            </w:r>
          </w:p>
        </w:tc>
      </w:tr>
    </w:tbl>
    <w:p w14:paraId="58D3007E">
      <w:pPr>
        <w:spacing w:line="360" w:lineRule="auto"/>
        <w:ind w:firstLine="422" w:firstLineChars="200"/>
        <w:outlineLvl w:val="0"/>
        <w:rPr>
          <w:rFonts w:hint="eastAsia" w:ascii="宋体" w:hAnsi="宋体" w:eastAsia="宋体" w:cs="宋体"/>
          <w:b/>
          <w:bCs/>
          <w:szCs w:val="21"/>
        </w:rPr>
      </w:pPr>
      <w:r>
        <w:rPr>
          <w:rFonts w:hint="eastAsia" w:ascii="宋体" w:hAnsi="宋体" w:eastAsia="宋体" w:cs="宋体"/>
          <w:b/>
          <w:bCs/>
          <w:szCs w:val="21"/>
        </w:rPr>
        <w:t>八、食堂监督管理</w:t>
      </w:r>
    </w:p>
    <w:p w14:paraId="376654E4">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1.招标人有权根据国家相关法规及与中标人双方约定的要求对中标人提供的食品的安全、份量、质量、卫生、服务质量和进货渠道等方面进行全面监督和检查。</w:t>
      </w:r>
    </w:p>
    <w:p w14:paraId="1673FC4F">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2.招标人有权对中标人加工场地和出品的主、配菜搭配等进行检查和监管。</w:t>
      </w:r>
    </w:p>
    <w:p w14:paraId="4DCE2999">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3.招标人有权自行联系政府卫生检疫部门对餐厅食物和餐具随时抽查送检，费用由招标人负责。</w:t>
      </w:r>
    </w:p>
    <w:p w14:paraId="0E6A5586">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4.招标人有权在需要的时候，要求中标人提供其与本招标项下服务内容相关的管理资料。</w:t>
      </w:r>
    </w:p>
    <w:p w14:paraId="26752EDE">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5.对于中标人工作人员的服务，经考核不合格的，招标人有权要求更换工作人员。</w:t>
      </w:r>
    </w:p>
    <w:p w14:paraId="09CC3F18">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6.当中标人提供的主要原材料及食物达不到招标人要求和标准时,招标人有权要求中标人更换品种或原料供应商。</w:t>
      </w:r>
    </w:p>
    <w:p w14:paraId="5C748BBF">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7.招标人负责员工意见征询和员工满意度调查工作，并及时向中标人通报征询、调查结果。</w:t>
      </w:r>
    </w:p>
    <w:p w14:paraId="08179194">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8.招标人有权在饭堂安装监控设备，及时掌握了解厨房的卫生、食材和运作情况，掌握员工用餐情况。</w:t>
      </w:r>
    </w:p>
    <w:p w14:paraId="2D46EC8A">
      <w:pPr>
        <w:spacing w:line="360" w:lineRule="auto"/>
        <w:ind w:firstLine="422" w:firstLineChars="200"/>
        <w:outlineLvl w:val="0"/>
        <w:rPr>
          <w:rFonts w:hint="eastAsia" w:ascii="宋体" w:hAnsi="宋体" w:eastAsia="宋体" w:cs="宋体"/>
          <w:b/>
          <w:bCs/>
          <w:szCs w:val="21"/>
        </w:rPr>
      </w:pPr>
      <w:r>
        <w:rPr>
          <w:rFonts w:hint="eastAsia" w:ascii="宋体" w:hAnsi="宋体" w:eastAsia="宋体" w:cs="宋体"/>
          <w:b/>
          <w:bCs/>
          <w:szCs w:val="21"/>
        </w:rPr>
        <w:t>九、其他规定和要求</w:t>
      </w:r>
    </w:p>
    <w:p w14:paraId="72C22759">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（一）中标人须自主独立经营招标人食堂，不得转包，否则视为违约，招标人将追究中标人的违约责任。</w:t>
      </w:r>
    </w:p>
    <w:p w14:paraId="05F3F645">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二）中标人不得无故终止合同，否则招标人将追究中标人的违约责任；如因故确实不能履行合同，须提前叁个月向招标人申请解约事宜，直至招标人有下一承包单位为止，否则视为中标人无故终止合同。此期间中标人必须认真履行合同中的各项条款。</w:t>
      </w:r>
    </w:p>
    <w:p w14:paraId="5C04DAB3">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（三）中标人在承包期间内，若严重违反有关法律法规以及招标人有关制度，引起食物中毒事件或安全事故，招标人有权提前解除合同并追究中标人的违约责任及要求中标人进行相应的经济赔偿。</w:t>
      </w:r>
    </w:p>
    <w:p w14:paraId="285497FA">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四）因中标人管理或工作失误，导致招标人蒙受一定的经济损失，或中标人违反合同规定的中标人职责要求，或在承包服务期间从事未经招标人允许的经营活动，除中标人赔偿招标人经济损失外，招标人有权追究中标人的违约责任。</w:t>
      </w:r>
    </w:p>
    <w:p w14:paraId="32E0B9A8">
      <w:pPr>
        <w:spacing w:line="360" w:lineRule="auto"/>
        <w:ind w:firstLine="422" w:firstLineChars="200"/>
        <w:outlineLvl w:val="0"/>
        <w:rPr>
          <w:rFonts w:hint="eastAsia" w:ascii="宋体" w:hAnsi="宋体" w:eastAsia="宋体" w:cs="宋体"/>
          <w:b/>
          <w:bCs/>
          <w:szCs w:val="21"/>
        </w:rPr>
      </w:pPr>
      <w:r>
        <w:rPr>
          <w:rFonts w:hint="eastAsia" w:ascii="宋体" w:hAnsi="宋体" w:eastAsia="宋体" w:cs="宋体"/>
          <w:b/>
          <w:bCs/>
          <w:szCs w:val="21"/>
        </w:rPr>
        <w:t xml:space="preserve">十、退出机制 </w:t>
      </w:r>
    </w:p>
    <w:p w14:paraId="27EFB234">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（一）中标人在合同执行期间，若出现需要终止合同的情况，则执行相应退出制度，中标人不得擅自中断或单方</w:t>
      </w:r>
      <w:r>
        <w:rPr>
          <w:rFonts w:hint="eastAsia" w:ascii="宋体" w:hAnsi="宋体" w:eastAsia="宋体" w:cs="宋体"/>
          <w:szCs w:val="21"/>
          <w:lang w:val="en-US" w:eastAsia="zh-CN"/>
        </w:rPr>
        <w:t>面</w:t>
      </w:r>
      <w:r>
        <w:rPr>
          <w:rFonts w:hint="eastAsia" w:ascii="宋体" w:hAnsi="宋体" w:eastAsia="宋体" w:cs="宋体"/>
          <w:szCs w:val="21"/>
        </w:rPr>
        <w:t>调整任何服务内容，否则由此造成的任何不良影响所产生之后果均由中标人承担，招标人将全面负责处理退出事件；</w:t>
      </w:r>
    </w:p>
    <w:p w14:paraId="48F4F750">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（二）中标人在承包期间，必须严格按照合同经营管理。合同上必须写明承包期限，承包期满后，自然退出。</w:t>
      </w:r>
    </w:p>
    <w:p w14:paraId="07F3A91E">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（三）因中标人原因提前解除合同撤场的，中标人不得破坏属于招标人所有的附着物或其他界面，水电、消防等室内外固定设施中标人不得破坏，否则应向招标人进行赔偿。</w:t>
      </w:r>
    </w:p>
    <w:p w14:paraId="06AF7160">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（四）按照招标人与中标人的合同约定，中标人在承包经营餐厅期间因其自身原因，导致出现以下情况之一的，则应中止合同，并承担相应的法律责任和经济损失：</w:t>
      </w:r>
    </w:p>
    <w:p w14:paraId="585FA531">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1.发生食物中毒或安全责任事故造成严重后果的；</w:t>
      </w:r>
    </w:p>
    <w:p w14:paraId="30A022B9">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2.因食品价格、质量、卫生和服务态度等而引发的群发事件，影响恶劣的；</w:t>
      </w:r>
    </w:p>
    <w:p w14:paraId="3ACB0857">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3.发生弄虚作假、不按合同约定范围经营、有转包分包行为的，经招标人规劝整改无效的；</w:t>
      </w:r>
    </w:p>
    <w:p w14:paraId="5E53C1CB">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4.经营时，擅自改变房屋结构，利用招标人资产搞不法经营的；</w:t>
      </w:r>
    </w:p>
    <w:p w14:paraId="4007C992">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5.擅自停止经营的。</w:t>
      </w:r>
    </w:p>
    <w:p w14:paraId="56230D37">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6.中标人必须严格执行《民法典》等国家有关法律法规，具体负责所属人员的招聘、用工手续、用工合同、相关费用、责任及日常管理，确保职业队伍的稳定。如有违反法律法规，情节严重的，招标人有权予以清退。</w:t>
      </w:r>
    </w:p>
    <w:p w14:paraId="206D2D3E">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7.中标人承包餐厅合同到期或因违规中止合同时不愿退出或拒绝退出时，视为逾期退还，招标人将依法向中标人主张非法占用之法律责任。</w:t>
      </w:r>
    </w:p>
    <w:p w14:paraId="522A87D4">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8.若招标人上级管理部门有新规定或因政策变动、不可抗拒等因素，招标人可以终止本项目，并无息退还履约保证金。</w:t>
      </w:r>
    </w:p>
    <w:p w14:paraId="35ED388F">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9.合同期内由于招标人原因导致中标人暂停营业或合同期未满中途退出的，造成中标人经济损失的，由双方协商解决。</w:t>
      </w:r>
    </w:p>
    <w:p w14:paraId="78DB2737">
      <w:pPr>
        <w:spacing w:line="360" w:lineRule="auto"/>
        <w:ind w:firstLine="422" w:firstLineChars="200"/>
        <w:rPr>
          <w:rFonts w:hint="eastAsia" w:ascii="宋体" w:hAnsi="宋体" w:eastAsia="宋体" w:cs="宋体"/>
          <w:szCs w:val="21"/>
        </w:rPr>
      </w:pPr>
      <w:r>
        <w:rPr>
          <w:rFonts w:hint="eastAsia" w:ascii="宋体" w:hAnsi="宋体" w:eastAsia="宋体" w:cs="宋体"/>
          <w:b/>
          <w:bCs/>
          <w:szCs w:val="21"/>
        </w:rPr>
        <w:t>十一、考核评价</w:t>
      </w:r>
    </w:p>
    <w:p w14:paraId="4C88F11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（一）月度绩效考评：招标人对中标人的经营服务工作进行月度绩效考评，月度绩效考评每月最少1次。</w:t>
      </w:r>
    </w:p>
    <w:p w14:paraId="2633492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将中标人月度食堂经营服务费用的</w:t>
      </w:r>
      <w:r>
        <w:rPr>
          <w:rFonts w:ascii="宋体" w:hAnsi="宋体" w:eastAsia="宋体" w:cs="宋体"/>
          <w:szCs w:val="21"/>
        </w:rPr>
        <w:t>10</w:t>
      </w:r>
      <w:r>
        <w:rPr>
          <w:rFonts w:hint="eastAsia" w:ascii="宋体" w:hAnsi="宋体" w:eastAsia="宋体" w:cs="宋体"/>
          <w:szCs w:val="21"/>
        </w:rPr>
        <w:t>%费用作为考评费用，根据当月考评得分，按以下比例支付给中标人：每月绩效考评[90-100]分的，按每月绩效考评费用的100%支付；每月绩效考评[80-90]分的，按每月绩效考评费用的90%支付；每月绩效考评[60-80]分的，按每月绩效考评费用的80%支付；每月绩效考评60分以下的，按每月绩效考评费用的60%支付；连续两个月或累计三个月月度绩效考评总分60分以下的甲方可以单方面解除合同。</w:t>
      </w:r>
    </w:p>
    <w:p w14:paraId="1E77783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二）年度综合考评：招标人每年组织食堂经营服务综合考评工作。年度综合考评工作由招标人组织相关职能部门人员参与测评等进行开展，结合月度绩效考核结果，通过综合评分法确定考评结果。年度综合考评分必须达到80分（含80分，小数点四舍五入）或以上才算为合格，如年度考评不合格，招标人有权单方面解除合同，并追究中标人的违约责任。</w:t>
      </w:r>
    </w:p>
    <w:p w14:paraId="63B12CC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（三）月度绩效考评与年度综合考评工作具体内容详见水业大厦食堂监督管理考评表，服务期内招标人有权根据实际需求调整考评内容，中标人须无条件配合。</w:t>
      </w:r>
    </w:p>
    <w:p w14:paraId="5BE1E90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（四）中标人通过年度综合考评后，招标人与中标人可以根据合同实际履行情况和下一年度工作计划对合同做出修改或补充，并签订补充协议。</w:t>
      </w:r>
    </w:p>
    <w:p w14:paraId="0D766573">
      <w:pPr>
        <w:spacing w:line="360" w:lineRule="auto"/>
        <w:ind w:firstLine="422" w:firstLineChars="200"/>
        <w:outlineLvl w:val="0"/>
        <w:rPr>
          <w:rFonts w:hint="eastAsia" w:ascii="宋体" w:hAnsi="宋体" w:eastAsia="宋体" w:cs="宋体"/>
          <w:b/>
          <w:bCs/>
          <w:szCs w:val="21"/>
        </w:rPr>
      </w:pPr>
      <w:r>
        <w:rPr>
          <w:rFonts w:hint="eastAsia" w:ascii="宋体" w:hAnsi="宋体" w:eastAsia="宋体" w:cs="宋体"/>
          <w:b/>
          <w:bCs/>
          <w:szCs w:val="21"/>
        </w:rPr>
        <w:t>十二、付款方式</w:t>
      </w:r>
    </w:p>
    <w:p w14:paraId="36346BCA">
      <w:pPr>
        <w:pStyle w:val="2"/>
        <w:spacing w:line="360" w:lineRule="auto"/>
        <w:ind w:right="0" w:firstLine="420" w:firstLineChars="200"/>
        <w:jc w:val="both"/>
        <w:rPr>
          <w:rFonts w:hint="eastAsia" w:hAnsi="宋体" w:cs="宋体"/>
          <w:b w:val="0"/>
          <w:bCs w:val="0"/>
          <w:sz w:val="21"/>
          <w:szCs w:val="21"/>
          <w:lang w:val="en-US" w:eastAsia="zh-CN"/>
        </w:rPr>
      </w:pPr>
      <w:r>
        <w:rPr>
          <w:rFonts w:hint="eastAsia" w:hAnsi="宋体" w:cs="宋体"/>
          <w:b w:val="0"/>
          <w:bCs w:val="0"/>
          <w:sz w:val="21"/>
          <w:szCs w:val="21"/>
        </w:rPr>
        <w:t>中标人应于每月前5个工作日内向招标人提供上一个月的就餐人数统计表，招标人根据双方签字的每月实际发生金额进行审核，</w:t>
      </w:r>
      <w:r>
        <w:rPr>
          <w:rFonts w:hint="eastAsia" w:hAnsi="宋体" w:cs="宋体"/>
          <w:b w:val="0"/>
          <w:bCs w:val="0"/>
          <w:sz w:val="21"/>
          <w:szCs w:val="21"/>
          <w:lang w:val="en-US" w:eastAsia="zh-CN"/>
        </w:rPr>
        <w:t>具体付款如下：</w:t>
      </w:r>
    </w:p>
    <w:p w14:paraId="1B758E74">
      <w:pPr>
        <w:pStyle w:val="2"/>
        <w:spacing w:line="360" w:lineRule="auto"/>
        <w:ind w:right="0" w:firstLine="420" w:firstLineChars="200"/>
        <w:jc w:val="both"/>
        <w:rPr>
          <w:rFonts w:hint="eastAsia" w:hAnsi="宋体" w:cs="宋体"/>
          <w:b w:val="0"/>
          <w:bCs w:val="0"/>
          <w:sz w:val="21"/>
          <w:szCs w:val="21"/>
          <w:lang w:val="en-US"/>
        </w:rPr>
      </w:pPr>
      <w:r>
        <w:rPr>
          <w:rFonts w:hint="eastAsia" w:hAnsi="宋体" w:cs="宋体"/>
          <w:b w:val="0"/>
          <w:bCs w:val="0"/>
          <w:sz w:val="21"/>
          <w:szCs w:val="21"/>
          <w:lang w:val="en-US" w:eastAsia="zh-CN"/>
        </w:rPr>
        <w:t>1.招标人员工：招标人</w:t>
      </w:r>
      <w:r>
        <w:rPr>
          <w:rFonts w:hint="eastAsia" w:hAnsi="宋体" w:cs="宋体"/>
          <w:b w:val="0"/>
          <w:bCs w:val="0"/>
          <w:sz w:val="21"/>
          <w:szCs w:val="21"/>
          <w:lang w:val="en-US"/>
        </w:rPr>
        <w:t>员工消费在</w:t>
      </w:r>
      <w:r>
        <w:rPr>
          <w:rFonts w:hint="eastAsia" w:hAnsi="宋体" w:cs="宋体"/>
          <w:b w:val="0"/>
          <w:bCs w:val="0"/>
          <w:sz w:val="21"/>
          <w:szCs w:val="21"/>
          <w:lang w:val="en-US" w:eastAsia="zh-CN"/>
        </w:rPr>
        <w:t>用餐标准（即1100元/人/月）</w:t>
      </w:r>
      <w:r>
        <w:rPr>
          <w:rFonts w:hint="eastAsia" w:hAnsi="宋体" w:cs="宋体"/>
          <w:b w:val="0"/>
          <w:bCs w:val="0"/>
          <w:sz w:val="21"/>
          <w:szCs w:val="21"/>
          <w:lang w:val="en-US"/>
        </w:rPr>
        <w:t>范围内的，招标人与中标人按照员工消费（</w:t>
      </w:r>
      <w:r>
        <w:rPr>
          <w:rFonts w:hint="eastAsia" w:hAnsi="宋体" w:cs="宋体"/>
          <w:b w:val="0"/>
          <w:bCs w:val="0"/>
          <w:sz w:val="21"/>
          <w:szCs w:val="21"/>
          <w:lang w:val="en-US" w:eastAsia="zh-CN"/>
        </w:rPr>
        <w:t>就餐区</w:t>
      </w:r>
      <w:r>
        <w:rPr>
          <w:rFonts w:hint="eastAsia" w:hAnsi="宋体" w:cs="宋体"/>
          <w:b w:val="0"/>
          <w:bCs w:val="0"/>
          <w:sz w:val="21"/>
          <w:szCs w:val="21"/>
          <w:lang w:val="en-US"/>
        </w:rPr>
        <w:t>消费和</w:t>
      </w:r>
      <w:r>
        <w:rPr>
          <w:rFonts w:hint="eastAsia" w:hAnsi="宋体" w:cs="宋体"/>
          <w:b w:val="0"/>
          <w:bCs w:val="0"/>
          <w:sz w:val="21"/>
          <w:szCs w:val="21"/>
          <w:lang w:val="en-US" w:eastAsia="zh-CN"/>
        </w:rPr>
        <w:t>非就餐区</w:t>
      </w:r>
      <w:r>
        <w:rPr>
          <w:rFonts w:hint="eastAsia" w:hAnsi="宋体" w:cs="宋体"/>
          <w:b w:val="0"/>
          <w:bCs w:val="0"/>
          <w:sz w:val="21"/>
          <w:szCs w:val="21"/>
          <w:lang w:val="en-US"/>
        </w:rPr>
        <w:t>消费）</w:t>
      </w:r>
      <w:r>
        <w:rPr>
          <w:rFonts w:hint="eastAsia" w:hAnsi="宋体" w:cs="宋体"/>
          <w:b w:val="0"/>
          <w:bCs w:val="0"/>
          <w:sz w:val="21"/>
          <w:szCs w:val="21"/>
          <w:lang w:val="en-US" w:eastAsia="zh-CN"/>
        </w:rPr>
        <w:t>原价的售价</w:t>
      </w:r>
      <w:r>
        <w:rPr>
          <w:rFonts w:hint="eastAsia" w:hAnsi="宋体" w:cs="宋体"/>
          <w:b w:val="0"/>
          <w:bCs w:val="0"/>
          <w:sz w:val="21"/>
          <w:szCs w:val="21"/>
          <w:lang w:val="en-US"/>
        </w:rPr>
        <w:t>总额95%结算。</w:t>
      </w:r>
      <w:r>
        <w:rPr>
          <w:rFonts w:hint="eastAsia" w:hAnsi="宋体" w:cs="宋体"/>
          <w:b w:val="0"/>
          <w:bCs w:val="0"/>
          <w:sz w:val="21"/>
          <w:szCs w:val="21"/>
          <w:lang w:val="en-US" w:eastAsia="zh-CN"/>
        </w:rPr>
        <w:t>招标人</w:t>
      </w:r>
      <w:r>
        <w:rPr>
          <w:rFonts w:hint="eastAsia" w:hAnsi="宋体" w:cs="宋体"/>
          <w:b w:val="0"/>
          <w:bCs w:val="0"/>
          <w:sz w:val="21"/>
          <w:szCs w:val="21"/>
          <w:lang w:val="en-US"/>
        </w:rPr>
        <w:t>员工消费超出</w:t>
      </w:r>
      <w:r>
        <w:rPr>
          <w:rFonts w:hint="eastAsia" w:hAnsi="宋体" w:cs="宋体"/>
          <w:b w:val="0"/>
          <w:bCs w:val="0"/>
          <w:sz w:val="21"/>
          <w:szCs w:val="21"/>
          <w:lang w:val="en-US" w:eastAsia="zh-CN"/>
        </w:rPr>
        <w:t>用餐标准（即1100元/人/月）</w:t>
      </w:r>
      <w:r>
        <w:rPr>
          <w:rFonts w:hint="eastAsia" w:hAnsi="宋体" w:cs="宋体"/>
          <w:b w:val="0"/>
          <w:bCs w:val="0"/>
          <w:sz w:val="21"/>
          <w:szCs w:val="21"/>
          <w:lang w:val="en-US"/>
        </w:rPr>
        <w:t>范围的，</w:t>
      </w:r>
      <w:r>
        <w:rPr>
          <w:rFonts w:hint="eastAsia" w:hAnsi="宋体" w:cs="宋体"/>
          <w:b w:val="0"/>
          <w:bCs w:val="0"/>
          <w:color w:val="auto"/>
          <w:sz w:val="21"/>
          <w:szCs w:val="21"/>
          <w:highlight w:val="none"/>
          <w:lang w:val="en-US"/>
        </w:rPr>
        <w:t>招标人</w:t>
      </w:r>
      <w:r>
        <w:rPr>
          <w:rFonts w:hint="eastAsia" w:hAnsi="宋体" w:cs="宋体"/>
          <w:b w:val="0"/>
          <w:bCs w:val="0"/>
          <w:color w:val="auto"/>
          <w:sz w:val="21"/>
          <w:szCs w:val="21"/>
          <w:highlight w:val="none"/>
          <w:lang w:val="en-US" w:eastAsia="zh-CN"/>
        </w:rPr>
        <w:t>按照员工超额消费部分实际支付金额与中标人结算，招标人</w:t>
      </w:r>
      <w:r>
        <w:rPr>
          <w:rFonts w:hint="eastAsia" w:hAnsi="宋体" w:cs="宋体"/>
          <w:b w:val="0"/>
          <w:bCs w:val="0"/>
          <w:sz w:val="21"/>
          <w:szCs w:val="21"/>
          <w:lang w:val="en-US"/>
        </w:rPr>
        <w:t>不再向中标人收取5%的固定成本。</w:t>
      </w:r>
    </w:p>
    <w:p w14:paraId="52E429AE">
      <w:pPr>
        <w:spacing w:line="360" w:lineRule="auto"/>
        <w:ind w:firstLine="420" w:firstLineChars="200"/>
        <w:outlineLvl w:val="0"/>
        <w:rPr>
          <w:rFonts w:hint="eastAsia" w:hAnsi="宋体" w:cs="宋体"/>
          <w:b w:val="0"/>
          <w:bCs w:val="0"/>
          <w:sz w:val="21"/>
          <w:szCs w:val="21"/>
          <w:lang w:val="en-US" w:eastAsia="zh-CN"/>
        </w:rPr>
      </w:pPr>
      <w:r>
        <w:rPr>
          <w:rFonts w:hint="eastAsia" w:ascii="宋体" w:hAnsi="宋体" w:eastAsia="宋体" w:cs="宋体"/>
          <w:szCs w:val="21"/>
          <w:lang w:val="en-US" w:eastAsia="zh-CN"/>
        </w:rPr>
        <w:t>2.外来人员：外来人员消费按全价计价（就餐区消费和非就餐区消费），招标人按照外来人员消费全额的95%与中标人结算。</w:t>
      </w:r>
    </w:p>
    <w:p w14:paraId="0A94AA05">
      <w:pPr>
        <w:pStyle w:val="2"/>
        <w:spacing w:line="360" w:lineRule="auto"/>
        <w:ind w:right="0" w:firstLine="420" w:firstLineChars="200"/>
        <w:jc w:val="both"/>
        <w:rPr>
          <w:rFonts w:hint="eastAsia" w:hAnsi="宋体" w:cs="宋体"/>
          <w:b w:val="0"/>
          <w:bCs w:val="0"/>
          <w:sz w:val="21"/>
          <w:szCs w:val="21"/>
        </w:rPr>
      </w:pPr>
      <w:r>
        <w:rPr>
          <w:rFonts w:hint="eastAsia" w:hAnsi="宋体" w:cs="宋体"/>
          <w:b w:val="0"/>
          <w:bCs w:val="0"/>
          <w:sz w:val="21"/>
          <w:szCs w:val="21"/>
        </w:rPr>
        <w:t>双方核对无误后，中标人提交等额合法有效的增值税发票（具体发票类型以</w:t>
      </w:r>
      <w:r>
        <w:rPr>
          <w:rFonts w:hint="eastAsia" w:hAnsi="宋体" w:cs="宋体"/>
          <w:b w:val="0"/>
          <w:bCs w:val="0"/>
          <w:sz w:val="21"/>
          <w:szCs w:val="21"/>
          <w:lang w:val="en-US"/>
        </w:rPr>
        <w:t>招标人</w:t>
      </w:r>
      <w:r>
        <w:rPr>
          <w:rFonts w:hint="eastAsia" w:hAnsi="宋体" w:cs="宋体"/>
          <w:b w:val="0"/>
          <w:bCs w:val="0"/>
          <w:sz w:val="21"/>
          <w:szCs w:val="21"/>
        </w:rPr>
        <w:t>要求为准）及请款资料，招标人在收到前述资料的15个工作日内向中标人支付上个月实际发生金额</w:t>
      </w:r>
      <w:r>
        <w:rPr>
          <w:rFonts w:hint="eastAsia" w:hAnsi="宋体" w:cs="宋体"/>
          <w:b w:val="0"/>
          <w:bCs w:val="0"/>
          <w:sz w:val="21"/>
          <w:szCs w:val="21"/>
          <w:lang w:val="en-US"/>
        </w:rPr>
        <w:t>；同时，根据月度绩效考评情况确定最终支付中标人月度食堂经营服务费用</w:t>
      </w:r>
      <w:r>
        <w:rPr>
          <w:rFonts w:hint="eastAsia" w:hAnsi="宋体" w:cs="宋体"/>
          <w:b w:val="0"/>
          <w:bCs w:val="0"/>
          <w:sz w:val="21"/>
          <w:szCs w:val="21"/>
        </w:rPr>
        <w:t>。若中标人</w:t>
      </w:r>
      <w:r>
        <w:rPr>
          <w:rFonts w:hint="eastAsia" w:hAnsi="宋体" w:cs="宋体"/>
          <w:b w:val="0"/>
          <w:bCs w:val="0"/>
          <w:sz w:val="21"/>
          <w:szCs w:val="21"/>
          <w:lang w:val="en-US" w:eastAsia="zh-CN"/>
        </w:rPr>
        <w:t>延迟</w:t>
      </w:r>
      <w:r>
        <w:rPr>
          <w:rFonts w:hint="eastAsia" w:hAnsi="宋体" w:cs="宋体"/>
          <w:b w:val="0"/>
          <w:bCs w:val="0"/>
          <w:sz w:val="21"/>
          <w:szCs w:val="21"/>
        </w:rPr>
        <w:t>提供统计表或发票，招标人付款时间相对顺延。</w:t>
      </w:r>
    </w:p>
    <w:p w14:paraId="4F9E10DB">
      <w:pPr>
        <w:spacing w:line="360" w:lineRule="auto"/>
        <w:ind w:firstLine="422" w:firstLineChars="200"/>
        <w:outlineLvl w:val="0"/>
        <w:rPr>
          <w:rFonts w:hint="eastAsia" w:ascii="宋体" w:hAnsi="宋体" w:eastAsia="宋体" w:cs="宋体"/>
          <w:b/>
          <w:bCs/>
          <w:szCs w:val="21"/>
        </w:rPr>
      </w:pPr>
      <w:r>
        <w:rPr>
          <w:rFonts w:hint="eastAsia" w:ascii="宋体" w:hAnsi="宋体" w:eastAsia="宋体" w:cs="宋体"/>
          <w:b/>
          <w:bCs/>
          <w:szCs w:val="21"/>
        </w:rPr>
        <w:t>十三、</w:t>
      </w:r>
      <w:r>
        <w:rPr>
          <w:rFonts w:hint="eastAsia" w:ascii="宋体" w:hAnsi="宋体" w:eastAsia="宋体" w:cs="宋体"/>
          <w:b/>
          <w:bCs/>
          <w:szCs w:val="21"/>
          <w:lang w:val="en-US" w:eastAsia="zh-CN"/>
        </w:rPr>
        <w:t>结算金额</w:t>
      </w:r>
    </w:p>
    <w:p w14:paraId="15317F4F">
      <w:pPr>
        <w:pStyle w:val="2"/>
        <w:spacing w:line="360" w:lineRule="auto"/>
        <w:ind w:right="0" w:firstLine="420" w:firstLineChars="200"/>
        <w:jc w:val="both"/>
        <w:rPr>
          <w:rFonts w:hint="eastAsia" w:hAnsi="宋体" w:cs="宋体"/>
          <w:b w:val="0"/>
          <w:bCs w:val="0"/>
          <w:sz w:val="21"/>
          <w:szCs w:val="21"/>
          <w:lang w:val="en-US"/>
        </w:rPr>
      </w:pPr>
      <w:r>
        <w:rPr>
          <w:rFonts w:hint="eastAsia" w:hAnsi="宋体" w:cs="宋体"/>
          <w:b w:val="0"/>
          <w:bCs w:val="0"/>
          <w:sz w:val="21"/>
          <w:szCs w:val="21"/>
          <w:lang w:val="en-US" w:eastAsia="zh-CN"/>
        </w:rPr>
        <w:t>结算金额</w:t>
      </w:r>
      <w:r>
        <w:rPr>
          <w:rFonts w:hint="eastAsia" w:hAnsi="宋体" w:cs="宋体"/>
          <w:b w:val="0"/>
          <w:bCs w:val="0"/>
          <w:sz w:val="21"/>
          <w:szCs w:val="21"/>
          <w:lang w:val="en-US"/>
        </w:rPr>
        <w:t>包含完成本次招标所有服务内容的费用，包括不限于派驻人员工资、福利、服装、社保、清洁消毒剂、日常膳食材料费、劳保用品、防护用品、卫生用品、食堂管理系统、完成该项目所需工具、各种税务费及合同实施过程中的应预见和不可预见费用等完成合同规定责任和义务、达到合同目的的一切费用。</w:t>
      </w:r>
    </w:p>
    <w:p w14:paraId="34EA51B2">
      <w:pPr>
        <w:spacing w:line="360" w:lineRule="auto"/>
        <w:ind w:firstLine="422" w:firstLineChars="200"/>
        <w:outlineLvl w:val="0"/>
        <w:rPr>
          <w:rFonts w:hint="eastAsia" w:ascii="宋体" w:hAnsi="宋体" w:eastAsia="宋体" w:cs="宋体"/>
          <w:b/>
          <w:bCs/>
          <w:szCs w:val="21"/>
        </w:rPr>
      </w:pPr>
      <w:r>
        <w:rPr>
          <w:rFonts w:hint="eastAsia" w:ascii="宋体" w:hAnsi="宋体" w:eastAsia="宋体" w:cs="宋体"/>
          <w:b/>
          <w:bCs/>
          <w:szCs w:val="21"/>
        </w:rPr>
        <w:t>十四、菜品定价机制</w:t>
      </w:r>
    </w:p>
    <w:p w14:paraId="2DC03555">
      <w:pPr>
        <w:pStyle w:val="2"/>
        <w:spacing w:line="360" w:lineRule="auto"/>
        <w:ind w:right="0" w:firstLine="420" w:firstLineChars="200"/>
        <w:jc w:val="both"/>
        <w:rPr>
          <w:rFonts w:hint="eastAsia" w:hAnsi="宋体" w:cs="宋体"/>
          <w:b w:val="0"/>
          <w:bCs w:val="0"/>
          <w:sz w:val="21"/>
          <w:szCs w:val="21"/>
          <w:lang w:val="en-US"/>
        </w:rPr>
      </w:pPr>
      <w:r>
        <w:rPr>
          <w:rFonts w:hint="eastAsia" w:hAnsi="宋体" w:cs="宋体"/>
          <w:b w:val="0"/>
          <w:bCs w:val="0"/>
          <w:sz w:val="21"/>
          <w:szCs w:val="21"/>
          <w:lang w:val="en-US"/>
        </w:rPr>
        <w:t>（一）菜品定价原则</w:t>
      </w:r>
    </w:p>
    <w:p w14:paraId="4CD222F4">
      <w:pPr>
        <w:pStyle w:val="2"/>
        <w:spacing w:line="360" w:lineRule="auto"/>
        <w:ind w:right="0" w:firstLine="420" w:firstLineChars="200"/>
        <w:jc w:val="both"/>
        <w:rPr>
          <w:rFonts w:hint="eastAsia" w:hAnsi="宋体" w:cs="宋体"/>
          <w:b w:val="0"/>
          <w:bCs w:val="0"/>
          <w:sz w:val="21"/>
          <w:szCs w:val="21"/>
          <w:lang w:val="en-US"/>
        </w:rPr>
      </w:pPr>
      <w:r>
        <w:rPr>
          <w:rFonts w:hint="eastAsia" w:hAnsi="宋体" w:cs="宋体"/>
          <w:b w:val="0"/>
          <w:bCs w:val="0"/>
          <w:sz w:val="21"/>
          <w:szCs w:val="21"/>
          <w:lang w:val="en-US"/>
        </w:rPr>
        <w:t>1. 成本导向原则：以菜品的成本为基础，考虑厨房人工成本、原材料成本以及其他间接成本，计算出菜品的基本售价。</w:t>
      </w:r>
    </w:p>
    <w:p w14:paraId="0AA13834">
      <w:pPr>
        <w:pStyle w:val="2"/>
        <w:spacing w:line="360" w:lineRule="auto"/>
        <w:ind w:right="0" w:firstLine="420" w:firstLineChars="200"/>
        <w:jc w:val="both"/>
        <w:rPr>
          <w:rFonts w:hint="eastAsia" w:hAnsi="宋体" w:cs="宋体"/>
          <w:b w:val="0"/>
          <w:bCs w:val="0"/>
          <w:sz w:val="21"/>
          <w:szCs w:val="21"/>
          <w:lang w:val="en-US"/>
        </w:rPr>
      </w:pPr>
      <w:r>
        <w:rPr>
          <w:rFonts w:hint="eastAsia" w:hAnsi="宋体" w:cs="宋体"/>
          <w:b w:val="0"/>
          <w:bCs w:val="0"/>
          <w:sz w:val="21"/>
          <w:szCs w:val="21"/>
          <w:lang w:val="en-US"/>
        </w:rPr>
        <w:t>2. 市场定价原则：考虑到市场的供求关系和用餐员工的支付能力，灵活调整菜品的价格，使之符合员工需求。</w:t>
      </w:r>
    </w:p>
    <w:p w14:paraId="6F32EAB1">
      <w:pPr>
        <w:pStyle w:val="2"/>
        <w:spacing w:line="360" w:lineRule="auto"/>
        <w:ind w:right="0" w:firstLine="420" w:firstLineChars="200"/>
        <w:jc w:val="both"/>
        <w:rPr>
          <w:rFonts w:hint="eastAsia" w:hAnsi="宋体" w:cs="宋体"/>
          <w:b w:val="0"/>
          <w:bCs w:val="0"/>
          <w:sz w:val="21"/>
          <w:szCs w:val="21"/>
          <w:lang w:val="en-US"/>
        </w:rPr>
      </w:pPr>
      <w:r>
        <w:rPr>
          <w:rFonts w:hint="eastAsia" w:hAnsi="宋体" w:cs="宋体"/>
          <w:b w:val="0"/>
          <w:bCs w:val="0"/>
          <w:sz w:val="21"/>
          <w:szCs w:val="21"/>
          <w:lang w:val="en-US"/>
        </w:rPr>
        <w:t>3. 健康优先原则：以推动健康饮食为出发点，鼓励售卖健康菜品，控制高糖、高盐、高脂肪食品的售价，提高蔬菜、水果的销售量。</w:t>
      </w:r>
    </w:p>
    <w:p w14:paraId="7ACE8AA7">
      <w:pPr>
        <w:pStyle w:val="2"/>
        <w:spacing w:line="360" w:lineRule="auto"/>
        <w:ind w:right="0" w:firstLine="420" w:firstLineChars="200"/>
        <w:jc w:val="both"/>
        <w:rPr>
          <w:rFonts w:hint="eastAsia" w:hAnsi="宋体" w:cs="宋体"/>
          <w:b w:val="0"/>
          <w:bCs w:val="0"/>
          <w:sz w:val="21"/>
          <w:szCs w:val="21"/>
          <w:lang w:val="en-US"/>
        </w:rPr>
      </w:pPr>
      <w:r>
        <w:rPr>
          <w:rFonts w:hint="eastAsia" w:hAnsi="宋体" w:cs="宋体"/>
          <w:b w:val="0"/>
          <w:bCs w:val="0"/>
          <w:sz w:val="21"/>
          <w:szCs w:val="21"/>
          <w:lang w:val="en-US"/>
        </w:rPr>
        <w:t>（二）菜品定价程序</w:t>
      </w:r>
    </w:p>
    <w:p w14:paraId="2C1B341D">
      <w:pPr>
        <w:pStyle w:val="2"/>
        <w:spacing w:line="360" w:lineRule="auto"/>
        <w:ind w:right="0" w:firstLine="420" w:firstLineChars="200"/>
        <w:jc w:val="both"/>
        <w:rPr>
          <w:rFonts w:hint="eastAsia" w:hAnsi="宋体" w:cs="宋体"/>
          <w:b w:val="0"/>
          <w:bCs w:val="0"/>
          <w:sz w:val="21"/>
          <w:szCs w:val="21"/>
          <w:lang w:val="en-US"/>
        </w:rPr>
      </w:pPr>
      <w:r>
        <w:rPr>
          <w:rFonts w:hint="eastAsia" w:hAnsi="宋体" w:cs="宋体"/>
          <w:b w:val="0"/>
          <w:bCs w:val="0"/>
          <w:sz w:val="21"/>
          <w:szCs w:val="21"/>
          <w:lang w:val="en-US"/>
        </w:rPr>
        <w:t>1. 菜品成本核算：中标人根据菜品的成本核算制定菜品的售价。成本核算包括原料成本、加工成本、人工成本等。</w:t>
      </w:r>
    </w:p>
    <w:p w14:paraId="7E6AD061">
      <w:pPr>
        <w:pStyle w:val="2"/>
        <w:spacing w:line="360" w:lineRule="auto"/>
        <w:ind w:right="0" w:firstLine="420" w:firstLineChars="200"/>
        <w:jc w:val="both"/>
        <w:rPr>
          <w:rFonts w:hint="eastAsia" w:hAnsi="宋体" w:cs="宋体"/>
          <w:b w:val="0"/>
          <w:bCs w:val="0"/>
          <w:sz w:val="21"/>
          <w:szCs w:val="21"/>
          <w:lang w:val="en-US"/>
        </w:rPr>
      </w:pPr>
      <w:r>
        <w:rPr>
          <w:rFonts w:hint="eastAsia" w:hAnsi="宋体" w:cs="宋体"/>
          <w:b w:val="0"/>
          <w:bCs w:val="0"/>
          <w:sz w:val="21"/>
          <w:szCs w:val="21"/>
          <w:lang w:val="en-US"/>
        </w:rPr>
        <w:t>2. 定价考虑：招标人通过对市场需求、支付能力进行深入研究，结合菜品的特性和市场定位，确定菜品的定价策略。</w:t>
      </w:r>
    </w:p>
    <w:p w14:paraId="6D54F861">
      <w:pPr>
        <w:pStyle w:val="2"/>
        <w:spacing w:line="360" w:lineRule="auto"/>
        <w:ind w:right="0" w:firstLine="420" w:firstLineChars="200"/>
        <w:jc w:val="both"/>
        <w:rPr>
          <w:rFonts w:hint="eastAsia" w:hAnsi="宋体" w:cs="宋体"/>
          <w:b w:val="0"/>
          <w:bCs w:val="0"/>
          <w:sz w:val="21"/>
          <w:szCs w:val="21"/>
          <w:lang w:val="en-US"/>
        </w:rPr>
      </w:pPr>
      <w:r>
        <w:rPr>
          <w:rFonts w:hint="eastAsia" w:hAnsi="宋体" w:cs="宋体"/>
          <w:b w:val="0"/>
          <w:bCs w:val="0"/>
          <w:sz w:val="21"/>
          <w:szCs w:val="21"/>
          <w:lang w:val="en-US"/>
        </w:rPr>
        <w:t>3. 定价合理化：不断搜集市场信息，根据菜品的成本、市场需求以及竞争情况进行定价调整，使售价更具合理性和竞争力。</w:t>
      </w:r>
    </w:p>
    <w:p w14:paraId="0FCF3981">
      <w:pPr>
        <w:pStyle w:val="2"/>
        <w:spacing w:line="360" w:lineRule="auto"/>
        <w:ind w:right="0" w:firstLine="420" w:firstLineChars="200"/>
        <w:jc w:val="both"/>
        <w:rPr>
          <w:rFonts w:hint="eastAsia" w:hAnsi="宋体" w:cs="宋体"/>
          <w:b w:val="0"/>
          <w:bCs w:val="0"/>
          <w:sz w:val="21"/>
          <w:szCs w:val="21"/>
          <w:highlight w:val="yellow"/>
          <w:lang w:val="en-US"/>
        </w:rPr>
      </w:pPr>
      <w:r>
        <w:rPr>
          <w:rFonts w:hint="eastAsia" w:hAnsi="宋体" w:cs="宋体"/>
          <w:b w:val="0"/>
          <w:bCs w:val="0"/>
          <w:sz w:val="21"/>
          <w:szCs w:val="21"/>
          <w:lang w:val="en-US"/>
        </w:rPr>
        <w:t>4. 确定价格：招标人与中标人每季度根据周边市场平均价定出初步售价，由中标人提前一周通知招标人，经与招标人协商一致后，按确认的最终售价执行。协商原则：当菜品价格无法达到一致时，可对菜品进行调整或更换，直至双方对价格达成一致为止。</w:t>
      </w:r>
    </w:p>
    <w:p w14:paraId="2096AA3D">
      <w:pPr>
        <w:pStyle w:val="2"/>
        <w:spacing w:line="360" w:lineRule="auto"/>
        <w:ind w:right="0" w:firstLine="420" w:firstLineChars="200"/>
        <w:jc w:val="both"/>
        <w:rPr>
          <w:rFonts w:hint="eastAsia" w:hAnsi="宋体" w:cs="宋体"/>
          <w:b w:val="0"/>
          <w:bCs w:val="0"/>
          <w:sz w:val="21"/>
          <w:szCs w:val="21"/>
          <w:lang w:val="en-US"/>
        </w:rPr>
      </w:pPr>
      <w:r>
        <w:rPr>
          <w:rFonts w:hint="eastAsia" w:hAnsi="宋体" w:cs="宋体"/>
          <w:b w:val="0"/>
          <w:bCs w:val="0"/>
          <w:sz w:val="21"/>
          <w:szCs w:val="21"/>
          <w:lang w:val="en-US"/>
        </w:rPr>
        <w:t>（三）菜品定价控制</w:t>
      </w:r>
    </w:p>
    <w:p w14:paraId="262A4B02">
      <w:pPr>
        <w:pStyle w:val="2"/>
        <w:spacing w:line="360" w:lineRule="auto"/>
        <w:ind w:right="0" w:firstLine="420" w:firstLineChars="200"/>
        <w:jc w:val="both"/>
        <w:rPr>
          <w:rFonts w:hint="eastAsia" w:hAnsi="宋体" w:cs="宋体"/>
          <w:b w:val="0"/>
          <w:bCs w:val="0"/>
          <w:sz w:val="21"/>
          <w:szCs w:val="21"/>
          <w:lang w:val="en-US"/>
        </w:rPr>
      </w:pPr>
      <w:r>
        <w:rPr>
          <w:rFonts w:hint="eastAsia" w:hAnsi="宋体" w:cs="宋体"/>
          <w:b w:val="0"/>
          <w:bCs w:val="0"/>
          <w:sz w:val="21"/>
          <w:szCs w:val="21"/>
          <w:lang w:val="en-US"/>
        </w:rPr>
        <w:t>1. 定价机制：建立菜品定价的内部审批机制，明确定价的责任部门和程序，确保定价的透明和公正。</w:t>
      </w:r>
    </w:p>
    <w:p w14:paraId="5CAEC3B5">
      <w:pPr>
        <w:pStyle w:val="2"/>
        <w:spacing w:line="360" w:lineRule="auto"/>
        <w:ind w:right="0" w:firstLine="420" w:firstLineChars="200"/>
        <w:jc w:val="both"/>
        <w:rPr>
          <w:rFonts w:hint="eastAsia" w:hAnsi="宋体" w:cs="宋体"/>
          <w:b w:val="0"/>
          <w:bCs w:val="0"/>
          <w:sz w:val="21"/>
          <w:szCs w:val="21"/>
          <w:lang w:val="en-US"/>
        </w:rPr>
      </w:pPr>
      <w:r>
        <w:rPr>
          <w:rFonts w:hint="eastAsia" w:hAnsi="宋体" w:cs="宋体"/>
          <w:b w:val="0"/>
          <w:bCs w:val="0"/>
          <w:sz w:val="21"/>
          <w:szCs w:val="21"/>
          <w:lang w:val="en-US"/>
        </w:rPr>
        <w:t>2. 定价监控：建立定期菜品定价监测机制，及时收集和分析菜品定价情况，确保售价与实际成本相符，避免价格虚高或过低。</w:t>
      </w:r>
    </w:p>
    <w:p w14:paraId="72366780">
      <w:pPr>
        <w:pStyle w:val="2"/>
        <w:spacing w:line="360" w:lineRule="auto"/>
        <w:ind w:right="0" w:firstLine="420" w:firstLineChars="200"/>
        <w:jc w:val="both"/>
        <w:rPr>
          <w:rFonts w:hint="eastAsia" w:hAnsi="宋体" w:cs="宋体"/>
          <w:b w:val="0"/>
          <w:bCs w:val="0"/>
          <w:sz w:val="21"/>
          <w:szCs w:val="21"/>
          <w:lang w:val="en-US"/>
        </w:rPr>
      </w:pPr>
      <w:r>
        <w:rPr>
          <w:rFonts w:hint="eastAsia" w:hAnsi="宋体" w:cs="宋体"/>
          <w:b w:val="0"/>
          <w:bCs w:val="0"/>
          <w:sz w:val="21"/>
          <w:szCs w:val="21"/>
          <w:lang w:val="en-US"/>
        </w:rPr>
        <w:t>3. 定价调整：根据市场需求变化及菜品成本波动，灵活调整菜品的定价，及时回应市场变化。</w:t>
      </w:r>
    </w:p>
    <w:p w14:paraId="7F95EDF2">
      <w:pPr>
        <w:pStyle w:val="2"/>
        <w:spacing w:line="360" w:lineRule="auto"/>
        <w:ind w:right="0" w:firstLine="420" w:firstLineChars="200"/>
        <w:jc w:val="both"/>
        <w:rPr>
          <w:rFonts w:hint="eastAsia" w:hAnsi="宋体" w:cs="宋体"/>
          <w:b w:val="0"/>
          <w:bCs w:val="0"/>
          <w:sz w:val="21"/>
          <w:szCs w:val="21"/>
          <w:lang w:val="en-US"/>
        </w:rPr>
      </w:pPr>
      <w:r>
        <w:rPr>
          <w:rFonts w:hint="eastAsia" w:hAnsi="宋体" w:cs="宋体"/>
          <w:b w:val="0"/>
          <w:bCs w:val="0"/>
          <w:sz w:val="21"/>
          <w:szCs w:val="21"/>
          <w:lang w:val="en-US"/>
        </w:rPr>
        <w:t>（四）菜品定价执行</w:t>
      </w:r>
    </w:p>
    <w:p w14:paraId="5F44DB0D">
      <w:pPr>
        <w:pStyle w:val="2"/>
        <w:spacing w:line="360" w:lineRule="auto"/>
        <w:ind w:right="0" w:firstLine="420" w:firstLineChars="200"/>
        <w:jc w:val="both"/>
        <w:rPr>
          <w:rFonts w:hint="eastAsia" w:hAnsi="宋体" w:cs="宋体"/>
          <w:b w:val="0"/>
          <w:bCs w:val="0"/>
          <w:sz w:val="21"/>
          <w:szCs w:val="21"/>
          <w:lang w:val="en-US"/>
        </w:rPr>
      </w:pPr>
      <w:r>
        <w:rPr>
          <w:rFonts w:hint="eastAsia" w:hAnsi="宋体" w:cs="宋体"/>
          <w:b w:val="0"/>
          <w:bCs w:val="0"/>
          <w:sz w:val="21"/>
          <w:szCs w:val="21"/>
          <w:lang w:val="en-US"/>
        </w:rPr>
        <w:t>1. 价格公示：对确定的菜品售价进行公示，使用餐员工了解菜品的真实价格，杜绝价格欺诈的行为。</w:t>
      </w:r>
    </w:p>
    <w:p w14:paraId="47096718">
      <w:pPr>
        <w:pStyle w:val="2"/>
        <w:spacing w:line="360" w:lineRule="auto"/>
        <w:ind w:right="0" w:firstLine="420" w:firstLineChars="200"/>
        <w:jc w:val="both"/>
        <w:rPr>
          <w:rFonts w:hint="eastAsia" w:hAnsi="宋体" w:cs="宋体"/>
          <w:b w:val="0"/>
          <w:bCs w:val="0"/>
          <w:sz w:val="21"/>
          <w:szCs w:val="21"/>
          <w:lang w:val="en-US"/>
        </w:rPr>
      </w:pPr>
      <w:r>
        <w:rPr>
          <w:rFonts w:hint="eastAsia" w:hAnsi="宋体" w:cs="宋体"/>
          <w:b w:val="0"/>
          <w:bCs w:val="0"/>
          <w:sz w:val="21"/>
          <w:szCs w:val="21"/>
          <w:lang w:val="en-US"/>
        </w:rPr>
        <w:t>2. 售价优惠：定期进行售价优惠活动，吸引消费者，提高销售量。</w:t>
      </w:r>
    </w:p>
    <w:p w14:paraId="609D7270">
      <w:pPr>
        <w:pStyle w:val="2"/>
        <w:spacing w:line="360" w:lineRule="auto"/>
        <w:ind w:right="0" w:firstLine="420" w:firstLineChars="200"/>
        <w:jc w:val="both"/>
        <w:rPr>
          <w:rFonts w:hint="eastAsia" w:hAnsi="宋体" w:cs="宋体"/>
          <w:b w:val="0"/>
          <w:bCs w:val="0"/>
          <w:sz w:val="21"/>
          <w:szCs w:val="21"/>
          <w:lang w:val="en-US"/>
        </w:rPr>
      </w:pPr>
      <w:r>
        <w:rPr>
          <w:rFonts w:hint="eastAsia" w:hAnsi="宋体" w:cs="宋体"/>
          <w:b w:val="0"/>
          <w:bCs w:val="0"/>
          <w:sz w:val="21"/>
          <w:szCs w:val="21"/>
          <w:lang w:val="en-US"/>
        </w:rPr>
        <w:t>3. 售价稳定：除非有特殊原因，一般不得频繁调整菜品的定价，保持价格的相对稳定性。</w:t>
      </w:r>
    </w:p>
    <w:p w14:paraId="10379E8B">
      <w:pPr>
        <w:pStyle w:val="2"/>
        <w:spacing w:line="360" w:lineRule="auto"/>
        <w:ind w:right="0" w:firstLine="420" w:firstLineChars="200"/>
        <w:jc w:val="both"/>
        <w:rPr>
          <w:rFonts w:hint="eastAsia" w:hAnsi="宋体" w:cs="宋体"/>
          <w:b w:val="0"/>
          <w:bCs w:val="0"/>
          <w:sz w:val="21"/>
          <w:szCs w:val="21"/>
          <w:lang w:val="en-US"/>
        </w:rPr>
      </w:pPr>
      <w:r>
        <w:rPr>
          <w:rFonts w:hint="eastAsia" w:hAnsi="宋体" w:cs="宋体"/>
          <w:b w:val="0"/>
          <w:bCs w:val="0"/>
          <w:sz w:val="21"/>
          <w:szCs w:val="21"/>
          <w:lang w:val="en-US"/>
        </w:rPr>
        <w:t>（五）菜品定价结果与效果评估</w:t>
      </w:r>
    </w:p>
    <w:p w14:paraId="0255DF14">
      <w:pPr>
        <w:pStyle w:val="2"/>
        <w:spacing w:line="360" w:lineRule="auto"/>
        <w:ind w:right="0" w:firstLine="420" w:firstLineChars="200"/>
        <w:jc w:val="both"/>
        <w:rPr>
          <w:rFonts w:hint="eastAsia" w:hAnsi="宋体" w:cs="宋体"/>
          <w:b w:val="0"/>
          <w:bCs w:val="0"/>
          <w:sz w:val="21"/>
          <w:szCs w:val="21"/>
          <w:lang w:val="en-US"/>
        </w:rPr>
      </w:pPr>
      <w:r>
        <w:rPr>
          <w:rFonts w:hint="eastAsia" w:hAnsi="宋体" w:cs="宋体"/>
          <w:b w:val="0"/>
          <w:bCs w:val="0"/>
          <w:sz w:val="21"/>
          <w:szCs w:val="21"/>
          <w:lang w:val="en-US"/>
        </w:rPr>
        <w:t>1. 定价效果评估：根据定价目标和员工需求情况，对定价效果进行评估，分析菜品定价是否符合员工的实际需求。</w:t>
      </w:r>
    </w:p>
    <w:p w14:paraId="7BBF4328">
      <w:pPr>
        <w:pStyle w:val="2"/>
        <w:spacing w:line="360" w:lineRule="auto"/>
        <w:ind w:firstLine="420" w:firstLineChars="200"/>
        <w:jc w:val="both"/>
        <w:rPr>
          <w:rFonts w:hint="eastAsia" w:hAnsi="宋体" w:cs="宋体"/>
          <w:b w:val="0"/>
          <w:bCs w:val="0"/>
          <w:sz w:val="21"/>
          <w:szCs w:val="21"/>
          <w:lang w:val="en-US"/>
        </w:rPr>
      </w:pPr>
      <w:r>
        <w:rPr>
          <w:rFonts w:hint="eastAsia" w:hAnsi="宋体" w:cs="宋体"/>
          <w:b w:val="0"/>
          <w:bCs w:val="0"/>
          <w:sz w:val="21"/>
          <w:szCs w:val="21"/>
          <w:lang w:val="en-US"/>
        </w:rPr>
        <w:t>2. 定价改进措施：根据定价评估结果，调整和改进菜品定价管理制度，保持菜品售价的合理性和竞争力。</w:t>
      </w:r>
    </w:p>
    <w:p w14:paraId="47A40061">
      <w:pPr>
        <w:spacing w:line="360" w:lineRule="auto"/>
        <w:ind w:firstLine="422" w:firstLineChars="200"/>
        <w:outlineLvl w:val="0"/>
        <w:rPr>
          <w:rFonts w:hint="eastAsia" w:ascii="宋体" w:hAnsi="宋体" w:eastAsia="宋体" w:cs="宋体"/>
          <w:b/>
          <w:bCs/>
          <w:szCs w:val="21"/>
        </w:rPr>
      </w:pPr>
      <w:r>
        <w:rPr>
          <w:rFonts w:hint="eastAsia" w:ascii="宋体" w:hAnsi="宋体" w:eastAsia="宋体" w:cs="宋体"/>
          <w:b/>
          <w:bCs/>
          <w:szCs w:val="21"/>
        </w:rPr>
        <w:t>十五、服务考核表</w:t>
      </w:r>
    </w:p>
    <w:p w14:paraId="4AECA5F3">
      <w:pPr>
        <w:pStyle w:val="2"/>
        <w:spacing w:line="360" w:lineRule="auto"/>
        <w:ind w:firstLine="422" w:firstLineChars="200"/>
        <w:jc w:val="left"/>
        <w:rPr>
          <w:rFonts w:hint="eastAsia" w:hAnsi="宋体" w:cs="宋体"/>
          <w:sz w:val="21"/>
          <w:szCs w:val="21"/>
        </w:rPr>
      </w:pPr>
      <w:r>
        <w:rPr>
          <w:rFonts w:hint="eastAsia" w:hAnsi="宋体" w:cs="宋体"/>
          <w:sz w:val="21"/>
          <w:szCs w:val="21"/>
        </w:rPr>
        <w:t>招标人对中标人的服务有监督管理职责，定期或不定期对食堂工作进行检查考评，每月做服务考评汇总。服务期内连续两个月或累计三个月总分60分以下的招标人可以单方面解除合同。</w:t>
      </w:r>
    </w:p>
    <w:p w14:paraId="37EE6216">
      <w:pPr>
        <w:pStyle w:val="2"/>
        <w:spacing w:line="360" w:lineRule="auto"/>
        <w:ind w:firstLine="420" w:firstLineChars="200"/>
        <w:jc w:val="left"/>
        <w:rPr>
          <w:rFonts w:hint="eastAsia" w:hAnsi="宋体" w:cs="宋体"/>
          <w:sz w:val="21"/>
          <w:szCs w:val="21"/>
        </w:rPr>
      </w:pPr>
      <w:r>
        <w:rPr>
          <w:rFonts w:hint="eastAsia" w:hAnsi="宋体" w:cs="宋体"/>
          <w:b w:val="0"/>
          <w:bCs w:val="0"/>
          <w:sz w:val="21"/>
          <w:szCs w:val="21"/>
          <w:lang w:val="en-US"/>
        </w:rPr>
        <w:t>（一）水业大厦</w:t>
      </w:r>
      <w:r>
        <w:rPr>
          <w:rFonts w:hint="eastAsia" w:hAnsi="宋体" w:cs="宋体"/>
          <w:b w:val="0"/>
          <w:bCs w:val="0"/>
          <w:sz w:val="21"/>
          <w:szCs w:val="21"/>
        </w:rPr>
        <w:t>食堂监督管理月度考评表</w:t>
      </w:r>
    </w:p>
    <w:tbl>
      <w:tblPr>
        <w:tblStyle w:val="209"/>
        <w:tblW w:w="463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44"/>
        <w:gridCol w:w="1289"/>
        <w:gridCol w:w="4782"/>
        <w:gridCol w:w="1285"/>
        <w:gridCol w:w="1222"/>
      </w:tblGrid>
      <w:tr w14:paraId="4C86A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jc w:val="center"/>
        </w:trPr>
        <w:tc>
          <w:tcPr>
            <w:tcW w:w="448" w:type="pct"/>
            <w:tcBorders>
              <w:bottom w:val="single" w:color="auto" w:sz="4" w:space="0"/>
            </w:tcBorders>
          </w:tcPr>
          <w:p w14:paraId="26CD8FD1">
            <w:pPr>
              <w:pStyle w:val="208"/>
              <w:spacing w:before="240" w:line="229" w:lineRule="auto"/>
              <w:ind w:left="115"/>
              <w:jc w:val="left"/>
              <w:rPr>
                <w:rFonts w:hint="eastAsia"/>
                <w:b/>
                <w:bCs/>
                <w:sz w:val="21"/>
                <w:szCs w:val="21"/>
              </w:rPr>
            </w:pPr>
            <w:r>
              <w:rPr>
                <w:b/>
                <w:bCs/>
                <w:spacing w:val="5"/>
                <w:sz w:val="21"/>
                <w:szCs w:val="21"/>
              </w:rPr>
              <w:t>序号</w:t>
            </w:r>
          </w:p>
        </w:tc>
        <w:tc>
          <w:tcPr>
            <w:tcW w:w="684" w:type="pct"/>
            <w:tcBorders>
              <w:bottom w:val="single" w:color="auto" w:sz="4" w:space="0"/>
            </w:tcBorders>
          </w:tcPr>
          <w:p w14:paraId="3B8DE670">
            <w:pPr>
              <w:pStyle w:val="208"/>
              <w:spacing w:before="240" w:line="228" w:lineRule="auto"/>
              <w:ind w:left="110"/>
              <w:jc w:val="left"/>
              <w:rPr>
                <w:rFonts w:hint="eastAsia"/>
                <w:b/>
                <w:bCs/>
                <w:sz w:val="21"/>
                <w:szCs w:val="21"/>
              </w:rPr>
            </w:pPr>
            <w:r>
              <w:rPr>
                <w:b/>
                <w:bCs/>
                <w:spacing w:val="7"/>
                <w:sz w:val="21"/>
                <w:szCs w:val="21"/>
              </w:rPr>
              <w:t>评分项目</w:t>
            </w:r>
          </w:p>
        </w:tc>
        <w:tc>
          <w:tcPr>
            <w:tcW w:w="2537" w:type="pct"/>
            <w:tcBorders>
              <w:bottom w:val="single" w:color="auto" w:sz="4" w:space="0"/>
            </w:tcBorders>
          </w:tcPr>
          <w:p w14:paraId="0DAD853F">
            <w:pPr>
              <w:pStyle w:val="208"/>
              <w:spacing w:before="240" w:line="228" w:lineRule="auto"/>
              <w:ind w:left="1903"/>
              <w:jc w:val="left"/>
              <w:rPr>
                <w:rFonts w:hint="eastAsia"/>
                <w:b/>
                <w:bCs/>
                <w:sz w:val="21"/>
                <w:szCs w:val="21"/>
              </w:rPr>
            </w:pPr>
            <w:r>
              <w:rPr>
                <w:rFonts w:hint="eastAsia"/>
                <w:b/>
                <w:bCs/>
                <w:spacing w:val="7"/>
                <w:sz w:val="21"/>
                <w:szCs w:val="21"/>
                <w:lang w:eastAsia="zh-CN"/>
              </w:rPr>
              <w:t>考评</w:t>
            </w:r>
            <w:r>
              <w:rPr>
                <w:b/>
                <w:bCs/>
                <w:spacing w:val="7"/>
                <w:sz w:val="21"/>
                <w:szCs w:val="21"/>
              </w:rPr>
              <w:t>标准</w:t>
            </w:r>
          </w:p>
        </w:tc>
        <w:tc>
          <w:tcPr>
            <w:tcW w:w="682" w:type="pct"/>
            <w:tcBorders>
              <w:bottom w:val="single" w:color="auto" w:sz="4" w:space="0"/>
            </w:tcBorders>
          </w:tcPr>
          <w:p w14:paraId="53B9407C">
            <w:pPr>
              <w:pStyle w:val="208"/>
              <w:spacing w:before="240" w:line="228" w:lineRule="auto"/>
              <w:ind w:left="145" w:firstLine="221" w:firstLineChars="100"/>
              <w:jc w:val="left"/>
              <w:rPr>
                <w:rFonts w:hint="eastAsia"/>
                <w:b/>
                <w:bCs/>
                <w:sz w:val="21"/>
                <w:szCs w:val="21"/>
              </w:rPr>
            </w:pPr>
            <w:r>
              <w:rPr>
                <w:b/>
                <w:bCs/>
                <w:spacing w:val="5"/>
                <w:sz w:val="21"/>
                <w:szCs w:val="21"/>
              </w:rPr>
              <w:t>评分</w:t>
            </w:r>
          </w:p>
        </w:tc>
        <w:tc>
          <w:tcPr>
            <w:tcW w:w="647" w:type="pct"/>
            <w:tcBorders>
              <w:bottom w:val="single" w:color="auto" w:sz="4" w:space="0"/>
            </w:tcBorders>
          </w:tcPr>
          <w:p w14:paraId="3A23F931">
            <w:pPr>
              <w:pStyle w:val="208"/>
              <w:spacing w:before="35" w:line="360" w:lineRule="auto"/>
              <w:ind w:left="146" w:right="137"/>
              <w:jc w:val="left"/>
              <w:rPr>
                <w:rFonts w:hint="eastAsia"/>
                <w:b/>
                <w:bCs/>
                <w:sz w:val="21"/>
                <w:szCs w:val="21"/>
              </w:rPr>
            </w:pPr>
            <w:r>
              <w:rPr>
                <w:b/>
                <w:bCs/>
                <w:spacing w:val="6"/>
                <w:sz w:val="21"/>
                <w:szCs w:val="21"/>
              </w:rPr>
              <w:t>备注（扣</w:t>
            </w:r>
            <w:r>
              <w:rPr>
                <w:b/>
                <w:bCs/>
                <w:spacing w:val="2"/>
                <w:sz w:val="21"/>
                <w:szCs w:val="21"/>
              </w:rPr>
              <w:t xml:space="preserve"> </w:t>
            </w:r>
            <w:r>
              <w:rPr>
                <w:b/>
                <w:bCs/>
                <w:spacing w:val="4"/>
                <w:sz w:val="21"/>
                <w:szCs w:val="21"/>
              </w:rPr>
              <w:t>分原因）</w:t>
            </w:r>
          </w:p>
        </w:tc>
      </w:tr>
      <w:tr w14:paraId="446D7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448" w:type="pct"/>
            <w:vMerge w:val="restart"/>
            <w:tcBorders>
              <w:top w:val="single" w:color="auto" w:sz="4" w:space="0"/>
              <w:left w:val="single" w:color="auto" w:sz="4" w:space="0"/>
              <w:bottom w:val="single" w:color="auto" w:sz="4" w:space="0"/>
              <w:right w:val="single" w:color="auto" w:sz="4" w:space="0"/>
            </w:tcBorders>
          </w:tcPr>
          <w:p w14:paraId="7E6D874A">
            <w:pPr>
              <w:spacing w:line="266" w:lineRule="auto"/>
              <w:rPr>
                <w:rFonts w:hint="eastAsia" w:ascii="Arial"/>
                <w:szCs w:val="21"/>
              </w:rPr>
            </w:pPr>
          </w:p>
          <w:p w14:paraId="050E104D">
            <w:pPr>
              <w:spacing w:line="266" w:lineRule="auto"/>
              <w:rPr>
                <w:rFonts w:hint="eastAsia" w:ascii="Arial"/>
                <w:szCs w:val="21"/>
              </w:rPr>
            </w:pPr>
          </w:p>
          <w:p w14:paraId="055CC964">
            <w:pPr>
              <w:spacing w:line="266" w:lineRule="auto"/>
              <w:rPr>
                <w:rFonts w:hint="eastAsia" w:ascii="Arial"/>
                <w:szCs w:val="21"/>
              </w:rPr>
            </w:pPr>
          </w:p>
          <w:p w14:paraId="58D95458">
            <w:pPr>
              <w:spacing w:line="266" w:lineRule="auto"/>
              <w:rPr>
                <w:rFonts w:hint="eastAsia" w:ascii="Arial"/>
                <w:szCs w:val="21"/>
              </w:rPr>
            </w:pPr>
          </w:p>
          <w:p w14:paraId="1D58975E">
            <w:pPr>
              <w:pStyle w:val="208"/>
              <w:spacing w:before="65" w:line="156" w:lineRule="exact"/>
              <w:ind w:left="356"/>
              <w:rPr>
                <w:rFonts w:hint="eastAsia"/>
                <w:sz w:val="21"/>
                <w:szCs w:val="21"/>
              </w:rPr>
            </w:pPr>
            <w:r>
              <w:rPr>
                <w:position w:val="-4"/>
                <w:sz w:val="21"/>
                <w:szCs w:val="21"/>
              </w:rPr>
              <w:t>一</w:t>
            </w:r>
          </w:p>
        </w:tc>
        <w:tc>
          <w:tcPr>
            <w:tcW w:w="684" w:type="pct"/>
            <w:vMerge w:val="restart"/>
            <w:tcBorders>
              <w:top w:val="single" w:color="auto" w:sz="4" w:space="0"/>
              <w:left w:val="single" w:color="auto" w:sz="4" w:space="0"/>
              <w:bottom w:val="single" w:color="auto" w:sz="4" w:space="0"/>
              <w:right w:val="single" w:color="auto" w:sz="4" w:space="0"/>
            </w:tcBorders>
          </w:tcPr>
          <w:p w14:paraId="28E0D2B7">
            <w:pPr>
              <w:spacing w:line="261" w:lineRule="auto"/>
              <w:rPr>
                <w:rFonts w:hint="eastAsia" w:ascii="Arial"/>
                <w:szCs w:val="21"/>
              </w:rPr>
            </w:pPr>
          </w:p>
          <w:p w14:paraId="2DA40919">
            <w:pPr>
              <w:spacing w:line="261" w:lineRule="auto"/>
              <w:rPr>
                <w:rFonts w:hint="eastAsia" w:ascii="Arial"/>
                <w:szCs w:val="21"/>
              </w:rPr>
            </w:pPr>
          </w:p>
          <w:p w14:paraId="3698ADD7">
            <w:pPr>
              <w:spacing w:line="262" w:lineRule="auto"/>
              <w:rPr>
                <w:rFonts w:hint="eastAsia" w:ascii="Arial"/>
                <w:szCs w:val="21"/>
              </w:rPr>
            </w:pPr>
          </w:p>
          <w:p w14:paraId="0F5C2403">
            <w:pPr>
              <w:pStyle w:val="208"/>
              <w:spacing w:before="65" w:line="362" w:lineRule="auto"/>
              <w:ind w:left="121" w:right="223" w:hanging="9"/>
              <w:rPr>
                <w:rFonts w:hint="eastAsia"/>
                <w:sz w:val="21"/>
                <w:szCs w:val="21"/>
              </w:rPr>
            </w:pPr>
            <w:r>
              <w:rPr>
                <w:spacing w:val="7"/>
                <w:sz w:val="21"/>
                <w:szCs w:val="21"/>
              </w:rPr>
              <w:t>制度建设</w:t>
            </w:r>
            <w:r>
              <w:rPr>
                <w:sz w:val="21"/>
                <w:szCs w:val="21"/>
              </w:rPr>
              <w:t xml:space="preserve"> </w:t>
            </w:r>
            <w:r>
              <w:rPr>
                <w:spacing w:val="-2"/>
                <w:sz w:val="21"/>
                <w:szCs w:val="21"/>
              </w:rPr>
              <w:t>（3</w:t>
            </w:r>
            <w:r>
              <w:rPr>
                <w:spacing w:val="-36"/>
                <w:sz w:val="21"/>
                <w:szCs w:val="21"/>
              </w:rPr>
              <w:t xml:space="preserve"> </w:t>
            </w:r>
            <w:r>
              <w:rPr>
                <w:spacing w:val="-2"/>
                <w:sz w:val="21"/>
                <w:szCs w:val="21"/>
              </w:rPr>
              <w:t>分）</w:t>
            </w:r>
          </w:p>
        </w:tc>
        <w:tc>
          <w:tcPr>
            <w:tcW w:w="2537" w:type="pct"/>
            <w:tcBorders>
              <w:top w:val="single" w:color="auto" w:sz="4" w:space="0"/>
              <w:left w:val="single" w:color="auto" w:sz="4" w:space="0"/>
              <w:bottom w:val="single" w:color="auto" w:sz="4" w:space="0"/>
              <w:right w:val="single" w:color="auto" w:sz="4" w:space="0"/>
            </w:tcBorders>
          </w:tcPr>
          <w:p w14:paraId="7BBB5B6F">
            <w:pPr>
              <w:pStyle w:val="208"/>
              <w:spacing w:before="32" w:line="228" w:lineRule="auto"/>
              <w:ind w:left="549"/>
              <w:rPr>
                <w:rFonts w:hint="eastAsia"/>
                <w:sz w:val="21"/>
                <w:szCs w:val="21"/>
                <w:lang w:eastAsia="zh-CN"/>
              </w:rPr>
            </w:pPr>
            <w:r>
              <w:rPr>
                <w:spacing w:val="5"/>
                <w:sz w:val="21"/>
                <w:szCs w:val="21"/>
                <w:lang w:eastAsia="zh-CN"/>
              </w:rPr>
              <w:t>1、证照齐全（食品经营许可证</w:t>
            </w:r>
            <w:r>
              <w:rPr>
                <w:spacing w:val="-5"/>
                <w:sz w:val="21"/>
                <w:szCs w:val="21"/>
                <w:lang w:eastAsia="zh-CN"/>
              </w:rPr>
              <w:t>）（</w:t>
            </w:r>
            <w:r>
              <w:rPr>
                <w:spacing w:val="-43"/>
                <w:sz w:val="21"/>
                <w:szCs w:val="21"/>
                <w:lang w:eastAsia="zh-CN"/>
              </w:rPr>
              <w:t xml:space="preserve"> </w:t>
            </w:r>
            <w:r>
              <w:rPr>
                <w:spacing w:val="5"/>
                <w:sz w:val="21"/>
                <w:szCs w:val="21"/>
                <w:lang w:eastAsia="zh-CN"/>
              </w:rPr>
              <w:t>1</w:t>
            </w:r>
            <w:r>
              <w:rPr>
                <w:spacing w:val="-38"/>
                <w:sz w:val="21"/>
                <w:szCs w:val="21"/>
                <w:lang w:eastAsia="zh-CN"/>
              </w:rPr>
              <w:t xml:space="preserve"> </w:t>
            </w:r>
            <w:r>
              <w:rPr>
                <w:spacing w:val="5"/>
                <w:sz w:val="21"/>
                <w:szCs w:val="21"/>
                <w:lang w:eastAsia="zh-CN"/>
              </w:rPr>
              <w:t>分）</w:t>
            </w:r>
          </w:p>
        </w:tc>
        <w:tc>
          <w:tcPr>
            <w:tcW w:w="682" w:type="pct"/>
            <w:tcBorders>
              <w:top w:val="single" w:color="auto" w:sz="4" w:space="0"/>
              <w:left w:val="single" w:color="auto" w:sz="4" w:space="0"/>
              <w:bottom w:val="single" w:color="auto" w:sz="4" w:space="0"/>
              <w:right w:val="single" w:color="auto" w:sz="4" w:space="0"/>
            </w:tcBorders>
          </w:tcPr>
          <w:p w14:paraId="39A9CC5F">
            <w:pPr>
              <w:rPr>
                <w:rFonts w:hint="eastAsia" w:ascii="Arial"/>
                <w:szCs w:val="21"/>
              </w:rPr>
            </w:pPr>
          </w:p>
        </w:tc>
        <w:tc>
          <w:tcPr>
            <w:tcW w:w="647" w:type="pct"/>
            <w:tcBorders>
              <w:top w:val="single" w:color="auto" w:sz="4" w:space="0"/>
              <w:left w:val="single" w:color="auto" w:sz="4" w:space="0"/>
              <w:bottom w:val="single" w:color="auto" w:sz="4" w:space="0"/>
              <w:right w:val="single" w:color="auto" w:sz="4" w:space="0"/>
            </w:tcBorders>
          </w:tcPr>
          <w:p w14:paraId="69B04DD4">
            <w:pPr>
              <w:rPr>
                <w:rFonts w:hint="eastAsia" w:ascii="Arial"/>
                <w:szCs w:val="21"/>
              </w:rPr>
            </w:pPr>
          </w:p>
        </w:tc>
      </w:tr>
      <w:tr w14:paraId="0D6DF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6" w:hRule="atLeast"/>
          <w:jc w:val="center"/>
        </w:trPr>
        <w:tc>
          <w:tcPr>
            <w:tcW w:w="448" w:type="pct"/>
            <w:vMerge w:val="continue"/>
            <w:tcBorders>
              <w:top w:val="single" w:color="auto" w:sz="4" w:space="0"/>
              <w:left w:val="single" w:color="auto" w:sz="4" w:space="0"/>
            </w:tcBorders>
          </w:tcPr>
          <w:p w14:paraId="40970062">
            <w:pPr>
              <w:rPr>
                <w:rFonts w:hint="eastAsia" w:ascii="Arial"/>
                <w:szCs w:val="21"/>
              </w:rPr>
            </w:pPr>
          </w:p>
        </w:tc>
        <w:tc>
          <w:tcPr>
            <w:tcW w:w="684" w:type="pct"/>
            <w:vMerge w:val="continue"/>
            <w:tcBorders>
              <w:top w:val="single" w:color="auto" w:sz="4" w:space="0"/>
            </w:tcBorders>
          </w:tcPr>
          <w:p w14:paraId="12672B4A">
            <w:pPr>
              <w:rPr>
                <w:rFonts w:hint="eastAsia" w:ascii="Arial"/>
                <w:szCs w:val="21"/>
              </w:rPr>
            </w:pPr>
          </w:p>
        </w:tc>
        <w:tc>
          <w:tcPr>
            <w:tcW w:w="2537" w:type="pct"/>
            <w:tcBorders>
              <w:top w:val="single" w:color="auto" w:sz="4" w:space="0"/>
            </w:tcBorders>
          </w:tcPr>
          <w:p w14:paraId="28799D18">
            <w:pPr>
              <w:pStyle w:val="208"/>
              <w:spacing w:before="31" w:line="227" w:lineRule="auto"/>
              <w:ind w:left="536"/>
              <w:rPr>
                <w:rFonts w:hint="eastAsia"/>
                <w:sz w:val="21"/>
                <w:szCs w:val="21"/>
                <w:lang w:eastAsia="zh-CN"/>
              </w:rPr>
            </w:pPr>
            <w:r>
              <w:rPr>
                <w:spacing w:val="8"/>
                <w:sz w:val="21"/>
                <w:szCs w:val="21"/>
                <w:lang w:eastAsia="zh-CN"/>
              </w:rPr>
              <w:t>2、食品卫生、人事用工、业务培训、采</w:t>
            </w:r>
          </w:p>
          <w:p w14:paraId="6D7B654A">
            <w:pPr>
              <w:pStyle w:val="208"/>
              <w:spacing w:before="163" w:line="368" w:lineRule="auto"/>
              <w:ind w:left="114" w:right="118" w:hanging="3"/>
              <w:rPr>
                <w:rFonts w:hint="eastAsia"/>
                <w:sz w:val="21"/>
                <w:szCs w:val="21"/>
                <w:lang w:eastAsia="zh-CN"/>
              </w:rPr>
            </w:pPr>
            <w:r>
              <w:rPr>
                <w:spacing w:val="9"/>
                <w:sz w:val="21"/>
                <w:szCs w:val="21"/>
                <w:lang w:eastAsia="zh-CN"/>
              </w:rPr>
              <w:t>购、民主管理、安全生产、仓库管理、消防安全管理制度、设备操作规程、水电管理制度、食物</w:t>
            </w:r>
            <w:r>
              <w:rPr>
                <w:spacing w:val="8"/>
                <w:sz w:val="21"/>
                <w:szCs w:val="21"/>
                <w:lang w:eastAsia="zh-CN"/>
              </w:rPr>
              <w:t>中毒应急预案等制度齐全。（共</w:t>
            </w:r>
            <w:r>
              <w:rPr>
                <w:spacing w:val="-35"/>
                <w:sz w:val="21"/>
                <w:szCs w:val="21"/>
                <w:lang w:eastAsia="zh-CN"/>
              </w:rPr>
              <w:t xml:space="preserve"> </w:t>
            </w:r>
            <w:r>
              <w:rPr>
                <w:spacing w:val="8"/>
                <w:sz w:val="21"/>
                <w:szCs w:val="21"/>
                <w:lang w:eastAsia="zh-CN"/>
              </w:rPr>
              <w:t>2</w:t>
            </w:r>
            <w:r>
              <w:rPr>
                <w:spacing w:val="-35"/>
                <w:sz w:val="21"/>
                <w:szCs w:val="21"/>
                <w:lang w:eastAsia="zh-CN"/>
              </w:rPr>
              <w:t xml:space="preserve"> </w:t>
            </w:r>
            <w:r>
              <w:rPr>
                <w:spacing w:val="8"/>
                <w:sz w:val="21"/>
                <w:szCs w:val="21"/>
                <w:lang w:eastAsia="zh-CN"/>
              </w:rPr>
              <w:t>分，缺一项扣</w:t>
            </w:r>
            <w:r>
              <w:rPr>
                <w:sz w:val="21"/>
                <w:szCs w:val="21"/>
                <w:lang w:eastAsia="zh-CN"/>
              </w:rPr>
              <w:t xml:space="preserve"> 0.5</w:t>
            </w:r>
            <w:r>
              <w:rPr>
                <w:spacing w:val="-35"/>
                <w:sz w:val="21"/>
                <w:szCs w:val="21"/>
                <w:lang w:eastAsia="zh-CN"/>
              </w:rPr>
              <w:t xml:space="preserve"> </w:t>
            </w:r>
            <w:r>
              <w:rPr>
                <w:sz w:val="21"/>
                <w:szCs w:val="21"/>
                <w:lang w:eastAsia="zh-CN"/>
              </w:rPr>
              <w:t>分）</w:t>
            </w:r>
          </w:p>
        </w:tc>
        <w:tc>
          <w:tcPr>
            <w:tcW w:w="682" w:type="pct"/>
            <w:tcBorders>
              <w:top w:val="single" w:color="auto" w:sz="4" w:space="0"/>
            </w:tcBorders>
          </w:tcPr>
          <w:p w14:paraId="02B2E1A4">
            <w:pPr>
              <w:rPr>
                <w:rFonts w:hint="eastAsia" w:ascii="Arial"/>
                <w:szCs w:val="21"/>
              </w:rPr>
            </w:pPr>
          </w:p>
        </w:tc>
        <w:tc>
          <w:tcPr>
            <w:tcW w:w="647" w:type="pct"/>
            <w:tcBorders>
              <w:top w:val="single" w:color="auto" w:sz="4" w:space="0"/>
            </w:tcBorders>
          </w:tcPr>
          <w:p w14:paraId="2EB2BE36">
            <w:pPr>
              <w:rPr>
                <w:rFonts w:hint="eastAsia" w:ascii="Arial"/>
                <w:szCs w:val="21"/>
              </w:rPr>
            </w:pPr>
          </w:p>
        </w:tc>
      </w:tr>
      <w:tr w14:paraId="5FA37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jc w:val="center"/>
        </w:trPr>
        <w:tc>
          <w:tcPr>
            <w:tcW w:w="448" w:type="pct"/>
            <w:vMerge w:val="restart"/>
            <w:tcBorders>
              <w:bottom w:val="nil"/>
            </w:tcBorders>
          </w:tcPr>
          <w:p w14:paraId="201EA150">
            <w:pPr>
              <w:spacing w:line="250" w:lineRule="auto"/>
              <w:rPr>
                <w:rFonts w:hint="eastAsia" w:ascii="Arial"/>
                <w:szCs w:val="21"/>
              </w:rPr>
            </w:pPr>
          </w:p>
          <w:p w14:paraId="6BD727A8">
            <w:pPr>
              <w:spacing w:line="250" w:lineRule="auto"/>
              <w:rPr>
                <w:rFonts w:hint="eastAsia" w:ascii="Arial"/>
                <w:szCs w:val="21"/>
              </w:rPr>
            </w:pPr>
          </w:p>
          <w:p w14:paraId="69953251">
            <w:pPr>
              <w:spacing w:line="250" w:lineRule="auto"/>
              <w:rPr>
                <w:rFonts w:hint="eastAsia" w:ascii="Arial"/>
                <w:szCs w:val="21"/>
              </w:rPr>
            </w:pPr>
          </w:p>
          <w:p w14:paraId="2A33EBC0">
            <w:pPr>
              <w:spacing w:line="250" w:lineRule="auto"/>
              <w:rPr>
                <w:rFonts w:hint="eastAsia" w:ascii="Arial"/>
                <w:szCs w:val="21"/>
              </w:rPr>
            </w:pPr>
          </w:p>
          <w:p w14:paraId="25081F80">
            <w:pPr>
              <w:spacing w:line="250" w:lineRule="auto"/>
              <w:rPr>
                <w:rFonts w:hint="eastAsia" w:ascii="Arial"/>
                <w:szCs w:val="21"/>
              </w:rPr>
            </w:pPr>
          </w:p>
          <w:p w14:paraId="109C0562">
            <w:pPr>
              <w:spacing w:line="250" w:lineRule="auto"/>
              <w:rPr>
                <w:rFonts w:hint="eastAsia" w:ascii="Arial"/>
                <w:szCs w:val="21"/>
              </w:rPr>
            </w:pPr>
          </w:p>
          <w:p w14:paraId="143625C6">
            <w:pPr>
              <w:spacing w:line="251" w:lineRule="auto"/>
              <w:rPr>
                <w:rFonts w:hint="eastAsia" w:ascii="Arial"/>
                <w:szCs w:val="21"/>
              </w:rPr>
            </w:pPr>
          </w:p>
          <w:p w14:paraId="753F71B4">
            <w:pPr>
              <w:spacing w:line="251" w:lineRule="auto"/>
              <w:rPr>
                <w:rFonts w:hint="eastAsia" w:ascii="Arial"/>
                <w:szCs w:val="21"/>
              </w:rPr>
            </w:pPr>
          </w:p>
          <w:p w14:paraId="525AC515">
            <w:pPr>
              <w:spacing w:line="251" w:lineRule="auto"/>
              <w:rPr>
                <w:rFonts w:hint="eastAsia" w:ascii="Arial"/>
                <w:szCs w:val="21"/>
              </w:rPr>
            </w:pPr>
          </w:p>
          <w:p w14:paraId="64655AA7">
            <w:pPr>
              <w:pStyle w:val="208"/>
              <w:spacing w:before="65" w:line="183" w:lineRule="auto"/>
              <w:ind w:left="356"/>
              <w:rPr>
                <w:rFonts w:hint="eastAsia"/>
                <w:sz w:val="21"/>
                <w:szCs w:val="21"/>
              </w:rPr>
            </w:pPr>
            <w:r>
              <w:rPr>
                <w:sz w:val="21"/>
                <w:szCs w:val="21"/>
              </w:rPr>
              <w:t>二</w:t>
            </w:r>
          </w:p>
        </w:tc>
        <w:tc>
          <w:tcPr>
            <w:tcW w:w="684" w:type="pct"/>
            <w:vMerge w:val="restart"/>
            <w:tcBorders>
              <w:bottom w:val="nil"/>
            </w:tcBorders>
          </w:tcPr>
          <w:p w14:paraId="766BB3F7">
            <w:pPr>
              <w:spacing w:line="251" w:lineRule="auto"/>
              <w:rPr>
                <w:rFonts w:hint="eastAsia" w:ascii="Arial"/>
                <w:szCs w:val="21"/>
              </w:rPr>
            </w:pPr>
          </w:p>
          <w:p w14:paraId="669AA82F">
            <w:pPr>
              <w:spacing w:line="251" w:lineRule="auto"/>
              <w:rPr>
                <w:rFonts w:hint="eastAsia" w:ascii="Arial"/>
                <w:szCs w:val="21"/>
              </w:rPr>
            </w:pPr>
          </w:p>
          <w:p w14:paraId="5632012B">
            <w:pPr>
              <w:spacing w:line="251" w:lineRule="auto"/>
              <w:rPr>
                <w:rFonts w:hint="eastAsia" w:ascii="Arial"/>
                <w:szCs w:val="21"/>
              </w:rPr>
            </w:pPr>
          </w:p>
          <w:p w14:paraId="2027AF3C">
            <w:pPr>
              <w:spacing w:line="251" w:lineRule="auto"/>
              <w:rPr>
                <w:rFonts w:hint="eastAsia" w:ascii="Arial"/>
                <w:szCs w:val="21"/>
              </w:rPr>
            </w:pPr>
          </w:p>
          <w:p w14:paraId="795C6E02">
            <w:pPr>
              <w:spacing w:line="252" w:lineRule="auto"/>
              <w:rPr>
                <w:rFonts w:hint="eastAsia" w:ascii="Arial"/>
                <w:szCs w:val="21"/>
              </w:rPr>
            </w:pPr>
          </w:p>
          <w:p w14:paraId="6BBA4795">
            <w:pPr>
              <w:spacing w:line="252" w:lineRule="auto"/>
              <w:rPr>
                <w:rFonts w:hint="eastAsia" w:ascii="Arial"/>
                <w:szCs w:val="21"/>
              </w:rPr>
            </w:pPr>
          </w:p>
          <w:p w14:paraId="7EC4A9F7">
            <w:pPr>
              <w:spacing w:line="252" w:lineRule="auto"/>
              <w:rPr>
                <w:rFonts w:hint="eastAsia" w:ascii="Arial"/>
                <w:szCs w:val="21"/>
              </w:rPr>
            </w:pPr>
          </w:p>
          <w:p w14:paraId="05D8F364">
            <w:pPr>
              <w:spacing w:line="252" w:lineRule="auto"/>
              <w:rPr>
                <w:rFonts w:hint="eastAsia" w:ascii="Arial"/>
                <w:szCs w:val="21"/>
              </w:rPr>
            </w:pPr>
          </w:p>
          <w:p w14:paraId="58122A4D">
            <w:pPr>
              <w:pStyle w:val="208"/>
              <w:spacing w:before="65" w:line="362" w:lineRule="auto"/>
              <w:ind w:left="121" w:right="223" w:hanging="8"/>
              <w:rPr>
                <w:rFonts w:hint="eastAsia"/>
                <w:sz w:val="21"/>
                <w:szCs w:val="21"/>
              </w:rPr>
            </w:pPr>
            <w:r>
              <w:rPr>
                <w:spacing w:val="6"/>
                <w:sz w:val="21"/>
                <w:szCs w:val="21"/>
              </w:rPr>
              <w:t>人员配置</w:t>
            </w:r>
            <w:r>
              <w:rPr>
                <w:spacing w:val="2"/>
                <w:sz w:val="21"/>
                <w:szCs w:val="21"/>
              </w:rPr>
              <w:t xml:space="preserve"> </w:t>
            </w:r>
            <w:r>
              <w:rPr>
                <w:spacing w:val="-2"/>
                <w:sz w:val="21"/>
                <w:szCs w:val="21"/>
              </w:rPr>
              <w:t>（8</w:t>
            </w:r>
            <w:r>
              <w:rPr>
                <w:spacing w:val="-36"/>
                <w:sz w:val="21"/>
                <w:szCs w:val="21"/>
              </w:rPr>
              <w:t xml:space="preserve"> </w:t>
            </w:r>
            <w:r>
              <w:rPr>
                <w:spacing w:val="-2"/>
                <w:sz w:val="21"/>
                <w:szCs w:val="21"/>
              </w:rPr>
              <w:t>分）</w:t>
            </w:r>
          </w:p>
        </w:tc>
        <w:tc>
          <w:tcPr>
            <w:tcW w:w="2537" w:type="pct"/>
          </w:tcPr>
          <w:p w14:paraId="335C2581">
            <w:pPr>
              <w:pStyle w:val="208"/>
              <w:spacing w:before="32" w:line="362" w:lineRule="auto"/>
              <w:ind w:left="129" w:right="224" w:firstLine="420"/>
              <w:rPr>
                <w:rFonts w:hint="eastAsia"/>
                <w:sz w:val="21"/>
                <w:szCs w:val="21"/>
                <w:lang w:eastAsia="zh-CN"/>
              </w:rPr>
            </w:pPr>
            <w:r>
              <w:rPr>
                <w:spacing w:val="8"/>
                <w:sz w:val="21"/>
                <w:szCs w:val="21"/>
                <w:lang w:eastAsia="zh-CN"/>
              </w:rPr>
              <w:t>1、人员配置合理，从业人员按</w:t>
            </w:r>
            <w:r>
              <w:rPr>
                <w:rFonts w:hint="eastAsia"/>
                <w:spacing w:val="4"/>
                <w:sz w:val="21"/>
                <w:szCs w:val="21"/>
                <w:lang w:eastAsia="zh-CN"/>
              </w:rPr>
              <w:t>要求</w:t>
            </w:r>
            <w:r>
              <w:rPr>
                <w:spacing w:val="4"/>
                <w:sz w:val="21"/>
                <w:szCs w:val="21"/>
                <w:lang w:eastAsia="zh-CN"/>
              </w:rPr>
              <w:t>配置。（共</w:t>
            </w:r>
            <w:r>
              <w:rPr>
                <w:spacing w:val="-34"/>
                <w:sz w:val="21"/>
                <w:szCs w:val="21"/>
                <w:lang w:eastAsia="zh-CN"/>
              </w:rPr>
              <w:t xml:space="preserve"> </w:t>
            </w:r>
            <w:r>
              <w:rPr>
                <w:spacing w:val="4"/>
                <w:sz w:val="21"/>
                <w:szCs w:val="21"/>
                <w:lang w:eastAsia="zh-CN"/>
              </w:rPr>
              <w:t>2</w:t>
            </w:r>
            <w:r>
              <w:rPr>
                <w:spacing w:val="-38"/>
                <w:sz w:val="21"/>
                <w:szCs w:val="21"/>
                <w:lang w:eastAsia="zh-CN"/>
              </w:rPr>
              <w:t xml:space="preserve"> </w:t>
            </w:r>
            <w:r>
              <w:rPr>
                <w:spacing w:val="4"/>
                <w:sz w:val="21"/>
                <w:szCs w:val="21"/>
                <w:lang w:eastAsia="zh-CN"/>
              </w:rPr>
              <w:t>分，不符合扣</w:t>
            </w:r>
            <w:r>
              <w:rPr>
                <w:spacing w:val="-34"/>
                <w:sz w:val="21"/>
                <w:szCs w:val="21"/>
                <w:lang w:eastAsia="zh-CN"/>
              </w:rPr>
              <w:t xml:space="preserve"> </w:t>
            </w:r>
            <w:r>
              <w:rPr>
                <w:spacing w:val="4"/>
                <w:sz w:val="21"/>
                <w:szCs w:val="21"/>
                <w:lang w:eastAsia="zh-CN"/>
              </w:rPr>
              <w:t>2</w:t>
            </w:r>
            <w:r>
              <w:rPr>
                <w:spacing w:val="-1"/>
                <w:sz w:val="21"/>
                <w:szCs w:val="21"/>
                <w:lang w:eastAsia="zh-CN"/>
              </w:rPr>
              <w:t>分）</w:t>
            </w:r>
          </w:p>
        </w:tc>
        <w:tc>
          <w:tcPr>
            <w:tcW w:w="682" w:type="pct"/>
          </w:tcPr>
          <w:p w14:paraId="215433D5">
            <w:pPr>
              <w:rPr>
                <w:rFonts w:hint="eastAsia" w:ascii="Arial"/>
                <w:szCs w:val="21"/>
              </w:rPr>
            </w:pPr>
          </w:p>
        </w:tc>
        <w:tc>
          <w:tcPr>
            <w:tcW w:w="647" w:type="pct"/>
          </w:tcPr>
          <w:p w14:paraId="028E312B">
            <w:pPr>
              <w:rPr>
                <w:rFonts w:hint="eastAsia" w:ascii="Arial"/>
                <w:szCs w:val="21"/>
              </w:rPr>
            </w:pPr>
          </w:p>
        </w:tc>
      </w:tr>
      <w:tr w14:paraId="13F39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jc w:val="center"/>
        </w:trPr>
        <w:tc>
          <w:tcPr>
            <w:tcW w:w="448" w:type="pct"/>
            <w:vMerge w:val="continue"/>
            <w:tcBorders>
              <w:top w:val="nil"/>
              <w:bottom w:val="nil"/>
            </w:tcBorders>
          </w:tcPr>
          <w:p w14:paraId="55D0EF98">
            <w:pPr>
              <w:rPr>
                <w:rFonts w:hint="eastAsia" w:ascii="Arial"/>
                <w:szCs w:val="21"/>
              </w:rPr>
            </w:pPr>
          </w:p>
        </w:tc>
        <w:tc>
          <w:tcPr>
            <w:tcW w:w="684" w:type="pct"/>
            <w:vMerge w:val="continue"/>
            <w:tcBorders>
              <w:top w:val="nil"/>
              <w:bottom w:val="nil"/>
            </w:tcBorders>
          </w:tcPr>
          <w:p w14:paraId="47275B3D">
            <w:pPr>
              <w:rPr>
                <w:rFonts w:hint="eastAsia" w:ascii="Arial"/>
                <w:szCs w:val="21"/>
              </w:rPr>
            </w:pPr>
          </w:p>
        </w:tc>
        <w:tc>
          <w:tcPr>
            <w:tcW w:w="2537" w:type="pct"/>
          </w:tcPr>
          <w:p w14:paraId="6D70DA13">
            <w:pPr>
              <w:pStyle w:val="208"/>
              <w:spacing w:before="32" w:line="365" w:lineRule="auto"/>
              <w:ind w:left="116" w:right="224" w:firstLine="420"/>
              <w:rPr>
                <w:rFonts w:hint="eastAsia"/>
                <w:sz w:val="21"/>
                <w:szCs w:val="21"/>
                <w:lang w:eastAsia="zh-CN"/>
              </w:rPr>
            </w:pPr>
            <w:r>
              <w:rPr>
                <w:spacing w:val="8"/>
                <w:sz w:val="21"/>
                <w:szCs w:val="21"/>
                <w:lang w:eastAsia="zh-CN"/>
              </w:rPr>
              <w:t>2、配置专职的优秀管理人员，人员的技术</w:t>
            </w:r>
            <w:r>
              <w:rPr>
                <w:spacing w:val="9"/>
                <w:sz w:val="21"/>
                <w:szCs w:val="21"/>
                <w:lang w:eastAsia="zh-CN"/>
              </w:rPr>
              <w:t>水平、人员数量符合中标人投标时的承诺 （</w:t>
            </w:r>
            <w:r>
              <w:rPr>
                <w:rFonts w:hint="eastAsia"/>
                <w:spacing w:val="9"/>
                <w:sz w:val="21"/>
                <w:szCs w:val="21"/>
                <w:lang w:eastAsia="zh-CN"/>
              </w:rPr>
              <w:t>共</w:t>
            </w:r>
            <w:r>
              <w:rPr>
                <w:spacing w:val="3"/>
                <w:sz w:val="21"/>
                <w:szCs w:val="21"/>
                <w:lang w:eastAsia="zh-CN"/>
              </w:rPr>
              <w:t>2</w:t>
            </w:r>
            <w:r>
              <w:rPr>
                <w:spacing w:val="-30"/>
                <w:sz w:val="21"/>
                <w:szCs w:val="21"/>
                <w:lang w:eastAsia="zh-CN"/>
              </w:rPr>
              <w:t xml:space="preserve"> </w:t>
            </w:r>
            <w:r>
              <w:rPr>
                <w:spacing w:val="3"/>
                <w:sz w:val="21"/>
                <w:szCs w:val="21"/>
                <w:lang w:eastAsia="zh-CN"/>
              </w:rPr>
              <w:t>分，不符合扣</w:t>
            </w:r>
            <w:r>
              <w:rPr>
                <w:spacing w:val="-35"/>
                <w:sz w:val="21"/>
                <w:szCs w:val="21"/>
                <w:lang w:eastAsia="zh-CN"/>
              </w:rPr>
              <w:t xml:space="preserve"> </w:t>
            </w:r>
            <w:r>
              <w:rPr>
                <w:spacing w:val="3"/>
                <w:sz w:val="21"/>
                <w:szCs w:val="21"/>
                <w:lang w:eastAsia="zh-CN"/>
              </w:rPr>
              <w:t>0.5</w:t>
            </w:r>
            <w:r>
              <w:rPr>
                <w:spacing w:val="-38"/>
                <w:sz w:val="21"/>
                <w:szCs w:val="21"/>
                <w:lang w:eastAsia="zh-CN"/>
              </w:rPr>
              <w:t xml:space="preserve"> </w:t>
            </w:r>
            <w:r>
              <w:rPr>
                <w:spacing w:val="3"/>
                <w:sz w:val="21"/>
                <w:szCs w:val="21"/>
                <w:lang w:eastAsia="zh-CN"/>
              </w:rPr>
              <w:t>分）</w:t>
            </w:r>
          </w:p>
        </w:tc>
        <w:tc>
          <w:tcPr>
            <w:tcW w:w="682" w:type="pct"/>
          </w:tcPr>
          <w:p w14:paraId="3616CE80">
            <w:pPr>
              <w:rPr>
                <w:rFonts w:hint="eastAsia" w:ascii="Arial"/>
                <w:szCs w:val="21"/>
              </w:rPr>
            </w:pPr>
          </w:p>
        </w:tc>
        <w:tc>
          <w:tcPr>
            <w:tcW w:w="647" w:type="pct"/>
          </w:tcPr>
          <w:p w14:paraId="3F5D4CED">
            <w:pPr>
              <w:rPr>
                <w:rFonts w:hint="eastAsia" w:ascii="Arial"/>
                <w:szCs w:val="21"/>
              </w:rPr>
            </w:pPr>
          </w:p>
        </w:tc>
      </w:tr>
      <w:tr w14:paraId="57548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1" w:hRule="atLeast"/>
          <w:jc w:val="center"/>
        </w:trPr>
        <w:tc>
          <w:tcPr>
            <w:tcW w:w="448" w:type="pct"/>
            <w:vMerge w:val="continue"/>
            <w:tcBorders>
              <w:top w:val="nil"/>
              <w:bottom w:val="nil"/>
            </w:tcBorders>
          </w:tcPr>
          <w:p w14:paraId="15937425">
            <w:pPr>
              <w:rPr>
                <w:rFonts w:hint="eastAsia" w:ascii="Arial"/>
                <w:szCs w:val="21"/>
              </w:rPr>
            </w:pPr>
          </w:p>
        </w:tc>
        <w:tc>
          <w:tcPr>
            <w:tcW w:w="684" w:type="pct"/>
            <w:vMerge w:val="continue"/>
            <w:tcBorders>
              <w:top w:val="nil"/>
              <w:bottom w:val="nil"/>
            </w:tcBorders>
          </w:tcPr>
          <w:p w14:paraId="49963DD4">
            <w:pPr>
              <w:rPr>
                <w:rFonts w:hint="eastAsia" w:ascii="Arial"/>
                <w:szCs w:val="21"/>
              </w:rPr>
            </w:pPr>
          </w:p>
        </w:tc>
        <w:tc>
          <w:tcPr>
            <w:tcW w:w="2537" w:type="pct"/>
          </w:tcPr>
          <w:p w14:paraId="0CDF3683">
            <w:pPr>
              <w:pStyle w:val="208"/>
              <w:spacing w:before="37" w:line="364" w:lineRule="auto"/>
              <w:ind w:left="115" w:right="172" w:firstLine="422"/>
              <w:rPr>
                <w:rFonts w:hint="eastAsia"/>
                <w:sz w:val="21"/>
                <w:szCs w:val="21"/>
                <w:lang w:eastAsia="zh-CN"/>
              </w:rPr>
            </w:pPr>
            <w:r>
              <w:rPr>
                <w:spacing w:val="9"/>
                <w:sz w:val="21"/>
                <w:szCs w:val="21"/>
                <w:lang w:eastAsia="zh-CN"/>
              </w:rPr>
              <w:t>3、厨点师应持证上岗，人员的技术水平、</w:t>
            </w:r>
            <w:r>
              <w:rPr>
                <w:spacing w:val="10"/>
                <w:sz w:val="21"/>
                <w:szCs w:val="21"/>
                <w:lang w:eastAsia="zh-CN"/>
              </w:rPr>
              <w:t xml:space="preserve"> </w:t>
            </w:r>
            <w:r>
              <w:rPr>
                <w:spacing w:val="5"/>
                <w:sz w:val="21"/>
                <w:szCs w:val="21"/>
                <w:lang w:eastAsia="zh-CN"/>
              </w:rPr>
              <w:t>人员数量符合中标人投标时的承诺。（共</w:t>
            </w:r>
            <w:r>
              <w:rPr>
                <w:spacing w:val="-25"/>
                <w:sz w:val="21"/>
                <w:szCs w:val="21"/>
                <w:lang w:eastAsia="zh-CN"/>
              </w:rPr>
              <w:t xml:space="preserve"> </w:t>
            </w:r>
            <w:r>
              <w:rPr>
                <w:spacing w:val="5"/>
                <w:sz w:val="21"/>
                <w:szCs w:val="21"/>
                <w:lang w:eastAsia="zh-CN"/>
              </w:rPr>
              <w:t>2</w:t>
            </w:r>
            <w:r>
              <w:rPr>
                <w:spacing w:val="-36"/>
                <w:sz w:val="21"/>
                <w:szCs w:val="21"/>
                <w:lang w:eastAsia="zh-CN"/>
              </w:rPr>
              <w:t xml:space="preserve"> </w:t>
            </w:r>
            <w:r>
              <w:rPr>
                <w:spacing w:val="5"/>
                <w:sz w:val="21"/>
                <w:szCs w:val="21"/>
                <w:lang w:eastAsia="zh-CN"/>
              </w:rPr>
              <w:t>分，</w:t>
            </w:r>
            <w:r>
              <w:rPr>
                <w:sz w:val="21"/>
                <w:szCs w:val="21"/>
                <w:lang w:eastAsia="zh-CN"/>
              </w:rPr>
              <w:t xml:space="preserve"> </w:t>
            </w:r>
            <w:r>
              <w:rPr>
                <w:spacing w:val="2"/>
                <w:sz w:val="21"/>
                <w:szCs w:val="21"/>
                <w:lang w:eastAsia="zh-CN"/>
              </w:rPr>
              <w:t>不符合扣</w:t>
            </w:r>
            <w:r>
              <w:rPr>
                <w:spacing w:val="-32"/>
                <w:sz w:val="21"/>
                <w:szCs w:val="21"/>
                <w:lang w:eastAsia="zh-CN"/>
              </w:rPr>
              <w:t xml:space="preserve"> </w:t>
            </w:r>
            <w:r>
              <w:rPr>
                <w:spacing w:val="2"/>
                <w:sz w:val="21"/>
                <w:szCs w:val="21"/>
                <w:lang w:eastAsia="zh-CN"/>
              </w:rPr>
              <w:t>2</w:t>
            </w:r>
            <w:r>
              <w:rPr>
                <w:spacing w:val="-36"/>
                <w:sz w:val="21"/>
                <w:szCs w:val="21"/>
                <w:lang w:eastAsia="zh-CN"/>
              </w:rPr>
              <w:t xml:space="preserve"> </w:t>
            </w:r>
            <w:r>
              <w:rPr>
                <w:spacing w:val="2"/>
                <w:sz w:val="21"/>
                <w:szCs w:val="21"/>
                <w:lang w:eastAsia="zh-CN"/>
              </w:rPr>
              <w:t>分）</w:t>
            </w:r>
          </w:p>
        </w:tc>
        <w:tc>
          <w:tcPr>
            <w:tcW w:w="682" w:type="pct"/>
          </w:tcPr>
          <w:p w14:paraId="1FAFDF23">
            <w:pPr>
              <w:rPr>
                <w:rFonts w:hint="eastAsia" w:ascii="Arial"/>
                <w:szCs w:val="21"/>
              </w:rPr>
            </w:pPr>
          </w:p>
        </w:tc>
        <w:tc>
          <w:tcPr>
            <w:tcW w:w="647" w:type="pct"/>
          </w:tcPr>
          <w:p w14:paraId="5CFCA1FE">
            <w:pPr>
              <w:rPr>
                <w:rFonts w:hint="eastAsia" w:ascii="Arial"/>
                <w:szCs w:val="21"/>
              </w:rPr>
            </w:pPr>
          </w:p>
        </w:tc>
      </w:tr>
      <w:tr w14:paraId="65C3C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jc w:val="center"/>
        </w:trPr>
        <w:tc>
          <w:tcPr>
            <w:tcW w:w="448" w:type="pct"/>
            <w:vMerge w:val="continue"/>
            <w:tcBorders>
              <w:top w:val="nil"/>
            </w:tcBorders>
          </w:tcPr>
          <w:p w14:paraId="1D2E1E5A">
            <w:pPr>
              <w:rPr>
                <w:rFonts w:hint="eastAsia" w:ascii="Arial"/>
                <w:szCs w:val="21"/>
              </w:rPr>
            </w:pPr>
          </w:p>
        </w:tc>
        <w:tc>
          <w:tcPr>
            <w:tcW w:w="684" w:type="pct"/>
            <w:vMerge w:val="continue"/>
            <w:tcBorders>
              <w:top w:val="nil"/>
            </w:tcBorders>
          </w:tcPr>
          <w:p w14:paraId="13D418C6">
            <w:pPr>
              <w:rPr>
                <w:rFonts w:hint="eastAsia" w:ascii="Arial"/>
                <w:szCs w:val="21"/>
              </w:rPr>
            </w:pPr>
          </w:p>
        </w:tc>
        <w:tc>
          <w:tcPr>
            <w:tcW w:w="2537" w:type="pct"/>
          </w:tcPr>
          <w:p w14:paraId="45149947">
            <w:pPr>
              <w:pStyle w:val="208"/>
              <w:spacing w:before="33" w:line="365" w:lineRule="auto"/>
              <w:ind w:left="117" w:right="171" w:firstLine="414"/>
              <w:rPr>
                <w:rFonts w:hint="eastAsia"/>
                <w:sz w:val="21"/>
                <w:szCs w:val="21"/>
                <w:lang w:eastAsia="zh-CN"/>
              </w:rPr>
            </w:pPr>
            <w:r>
              <w:rPr>
                <w:spacing w:val="9"/>
                <w:sz w:val="21"/>
                <w:szCs w:val="21"/>
                <w:lang w:eastAsia="zh-CN"/>
              </w:rPr>
              <w:t>4、所有从业人员均持有有效健康证和卫生</w:t>
            </w:r>
            <w:r>
              <w:rPr>
                <w:spacing w:val="7"/>
                <w:sz w:val="21"/>
                <w:szCs w:val="21"/>
                <w:lang w:eastAsia="zh-CN"/>
              </w:rPr>
              <w:t>知识培训证上岗。（共</w:t>
            </w:r>
            <w:r>
              <w:rPr>
                <w:spacing w:val="-33"/>
                <w:sz w:val="21"/>
                <w:szCs w:val="21"/>
                <w:lang w:eastAsia="zh-CN"/>
              </w:rPr>
              <w:t xml:space="preserve"> </w:t>
            </w:r>
            <w:r>
              <w:rPr>
                <w:spacing w:val="7"/>
                <w:sz w:val="21"/>
                <w:szCs w:val="21"/>
                <w:lang w:eastAsia="zh-CN"/>
              </w:rPr>
              <w:t>2</w:t>
            </w:r>
            <w:r>
              <w:rPr>
                <w:spacing w:val="-35"/>
                <w:sz w:val="21"/>
                <w:szCs w:val="21"/>
                <w:lang w:eastAsia="zh-CN"/>
              </w:rPr>
              <w:t xml:space="preserve"> </w:t>
            </w:r>
            <w:r>
              <w:rPr>
                <w:spacing w:val="7"/>
                <w:sz w:val="21"/>
                <w:szCs w:val="21"/>
                <w:lang w:eastAsia="zh-CN"/>
              </w:rPr>
              <w:t>分，5</w:t>
            </w:r>
            <w:r>
              <w:rPr>
                <w:spacing w:val="-37"/>
                <w:sz w:val="21"/>
                <w:szCs w:val="21"/>
                <w:lang w:eastAsia="zh-CN"/>
              </w:rPr>
              <w:t xml:space="preserve"> </w:t>
            </w:r>
            <w:r>
              <w:rPr>
                <w:spacing w:val="7"/>
                <w:sz w:val="21"/>
                <w:szCs w:val="21"/>
                <w:lang w:eastAsia="zh-CN"/>
              </w:rPr>
              <w:t>人及以内缺证扣</w:t>
            </w:r>
            <w:r>
              <w:rPr>
                <w:sz w:val="21"/>
                <w:szCs w:val="21"/>
                <w:lang w:eastAsia="zh-CN"/>
              </w:rPr>
              <w:t xml:space="preserve"> </w:t>
            </w:r>
            <w:r>
              <w:rPr>
                <w:spacing w:val="3"/>
                <w:sz w:val="21"/>
                <w:szCs w:val="21"/>
                <w:lang w:eastAsia="zh-CN"/>
              </w:rPr>
              <w:t>1</w:t>
            </w:r>
            <w:r>
              <w:rPr>
                <w:spacing w:val="-32"/>
                <w:sz w:val="21"/>
                <w:szCs w:val="21"/>
                <w:lang w:eastAsia="zh-CN"/>
              </w:rPr>
              <w:t xml:space="preserve"> </w:t>
            </w:r>
            <w:r>
              <w:rPr>
                <w:spacing w:val="3"/>
                <w:sz w:val="21"/>
                <w:szCs w:val="21"/>
                <w:lang w:eastAsia="zh-CN"/>
              </w:rPr>
              <w:t>分，5</w:t>
            </w:r>
            <w:r>
              <w:rPr>
                <w:spacing w:val="-36"/>
                <w:sz w:val="21"/>
                <w:szCs w:val="21"/>
                <w:lang w:eastAsia="zh-CN"/>
              </w:rPr>
              <w:t xml:space="preserve"> </w:t>
            </w:r>
            <w:r>
              <w:rPr>
                <w:spacing w:val="3"/>
                <w:sz w:val="21"/>
                <w:szCs w:val="21"/>
                <w:lang w:eastAsia="zh-CN"/>
              </w:rPr>
              <w:t>人以上缺证扣</w:t>
            </w:r>
            <w:r>
              <w:rPr>
                <w:spacing w:val="-35"/>
                <w:sz w:val="21"/>
                <w:szCs w:val="21"/>
                <w:lang w:eastAsia="zh-CN"/>
              </w:rPr>
              <w:t xml:space="preserve"> </w:t>
            </w:r>
            <w:r>
              <w:rPr>
                <w:spacing w:val="3"/>
                <w:sz w:val="21"/>
                <w:szCs w:val="21"/>
                <w:lang w:eastAsia="zh-CN"/>
              </w:rPr>
              <w:t>2</w:t>
            </w:r>
            <w:r>
              <w:rPr>
                <w:spacing w:val="-38"/>
                <w:sz w:val="21"/>
                <w:szCs w:val="21"/>
                <w:lang w:eastAsia="zh-CN"/>
              </w:rPr>
              <w:t xml:space="preserve"> </w:t>
            </w:r>
            <w:r>
              <w:rPr>
                <w:spacing w:val="3"/>
                <w:sz w:val="21"/>
                <w:szCs w:val="21"/>
                <w:lang w:eastAsia="zh-CN"/>
              </w:rPr>
              <w:t>分）</w:t>
            </w:r>
          </w:p>
        </w:tc>
        <w:tc>
          <w:tcPr>
            <w:tcW w:w="682" w:type="pct"/>
          </w:tcPr>
          <w:p w14:paraId="7FB87FE1">
            <w:pPr>
              <w:rPr>
                <w:rFonts w:hint="eastAsia" w:ascii="Arial"/>
                <w:szCs w:val="21"/>
              </w:rPr>
            </w:pPr>
          </w:p>
        </w:tc>
        <w:tc>
          <w:tcPr>
            <w:tcW w:w="647" w:type="pct"/>
          </w:tcPr>
          <w:p w14:paraId="4D34E834">
            <w:pPr>
              <w:rPr>
                <w:rFonts w:hint="eastAsia" w:ascii="Arial"/>
                <w:szCs w:val="21"/>
              </w:rPr>
            </w:pPr>
          </w:p>
        </w:tc>
      </w:tr>
      <w:tr w14:paraId="28BA8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jc w:val="center"/>
        </w:trPr>
        <w:tc>
          <w:tcPr>
            <w:tcW w:w="448" w:type="pct"/>
            <w:vMerge w:val="restart"/>
            <w:tcBorders>
              <w:bottom w:val="nil"/>
            </w:tcBorders>
          </w:tcPr>
          <w:p w14:paraId="14B72A2B">
            <w:pPr>
              <w:spacing w:line="280" w:lineRule="auto"/>
              <w:rPr>
                <w:rFonts w:hint="eastAsia" w:ascii="Arial"/>
                <w:szCs w:val="21"/>
              </w:rPr>
            </w:pPr>
          </w:p>
          <w:p w14:paraId="0C696A13">
            <w:pPr>
              <w:spacing w:line="280" w:lineRule="auto"/>
              <w:rPr>
                <w:rFonts w:hint="eastAsia" w:ascii="Arial"/>
                <w:szCs w:val="21"/>
              </w:rPr>
            </w:pPr>
          </w:p>
          <w:p w14:paraId="3AEB53D2">
            <w:pPr>
              <w:spacing w:line="280" w:lineRule="auto"/>
              <w:rPr>
                <w:rFonts w:hint="eastAsia" w:ascii="Arial"/>
                <w:szCs w:val="21"/>
              </w:rPr>
            </w:pPr>
          </w:p>
          <w:p w14:paraId="0A9F56DA">
            <w:pPr>
              <w:spacing w:line="280" w:lineRule="auto"/>
              <w:rPr>
                <w:rFonts w:hint="eastAsia" w:ascii="Arial"/>
                <w:szCs w:val="21"/>
              </w:rPr>
            </w:pPr>
          </w:p>
          <w:p w14:paraId="04754D5E">
            <w:pPr>
              <w:spacing w:line="281" w:lineRule="auto"/>
              <w:rPr>
                <w:rFonts w:hint="eastAsia" w:ascii="Arial"/>
                <w:szCs w:val="21"/>
              </w:rPr>
            </w:pPr>
          </w:p>
          <w:p w14:paraId="79002F04">
            <w:pPr>
              <w:pStyle w:val="208"/>
              <w:spacing w:before="65" w:line="266" w:lineRule="exact"/>
              <w:ind w:left="353"/>
              <w:rPr>
                <w:rFonts w:hint="eastAsia"/>
                <w:sz w:val="21"/>
                <w:szCs w:val="21"/>
              </w:rPr>
            </w:pPr>
            <w:r>
              <w:rPr>
                <w:position w:val="1"/>
                <w:sz w:val="21"/>
                <w:szCs w:val="21"/>
              </w:rPr>
              <w:t>三</w:t>
            </w:r>
          </w:p>
        </w:tc>
        <w:tc>
          <w:tcPr>
            <w:tcW w:w="684" w:type="pct"/>
            <w:vMerge w:val="restart"/>
            <w:tcBorders>
              <w:bottom w:val="nil"/>
            </w:tcBorders>
          </w:tcPr>
          <w:p w14:paraId="03ACE74C">
            <w:pPr>
              <w:spacing w:line="299" w:lineRule="auto"/>
              <w:rPr>
                <w:rFonts w:hint="eastAsia" w:ascii="Arial"/>
                <w:szCs w:val="21"/>
              </w:rPr>
            </w:pPr>
          </w:p>
          <w:p w14:paraId="431EF1F1">
            <w:pPr>
              <w:spacing w:line="300" w:lineRule="auto"/>
              <w:rPr>
                <w:rFonts w:hint="eastAsia" w:ascii="Arial"/>
                <w:szCs w:val="21"/>
              </w:rPr>
            </w:pPr>
          </w:p>
          <w:p w14:paraId="78020B7A">
            <w:pPr>
              <w:spacing w:line="300" w:lineRule="auto"/>
              <w:rPr>
                <w:rFonts w:hint="eastAsia" w:ascii="Arial"/>
                <w:szCs w:val="21"/>
              </w:rPr>
            </w:pPr>
          </w:p>
          <w:p w14:paraId="7DCADD63">
            <w:pPr>
              <w:spacing w:line="300" w:lineRule="auto"/>
              <w:rPr>
                <w:rFonts w:hint="eastAsia" w:ascii="Arial"/>
                <w:szCs w:val="21"/>
              </w:rPr>
            </w:pPr>
          </w:p>
          <w:p w14:paraId="43DED1E2">
            <w:pPr>
              <w:pStyle w:val="208"/>
              <w:spacing w:before="65" w:line="362" w:lineRule="auto"/>
              <w:ind w:left="120" w:right="188" w:hanging="10"/>
              <w:rPr>
                <w:rFonts w:hint="eastAsia"/>
                <w:sz w:val="21"/>
                <w:szCs w:val="21"/>
              </w:rPr>
            </w:pPr>
            <w:r>
              <w:rPr>
                <w:spacing w:val="7"/>
                <w:sz w:val="21"/>
                <w:szCs w:val="21"/>
              </w:rPr>
              <w:t>采购管理</w:t>
            </w:r>
            <w:r>
              <w:rPr>
                <w:spacing w:val="1"/>
                <w:sz w:val="21"/>
                <w:szCs w:val="21"/>
              </w:rPr>
              <w:t xml:space="preserve"> </w:t>
            </w:r>
            <w:r>
              <w:rPr>
                <w:spacing w:val="-2"/>
                <w:sz w:val="21"/>
                <w:szCs w:val="21"/>
              </w:rPr>
              <w:t>（10</w:t>
            </w:r>
            <w:r>
              <w:rPr>
                <w:spacing w:val="-38"/>
                <w:sz w:val="21"/>
                <w:szCs w:val="21"/>
              </w:rPr>
              <w:t xml:space="preserve"> </w:t>
            </w:r>
            <w:r>
              <w:rPr>
                <w:spacing w:val="-2"/>
                <w:sz w:val="21"/>
                <w:szCs w:val="21"/>
              </w:rPr>
              <w:t>分）</w:t>
            </w:r>
          </w:p>
        </w:tc>
        <w:tc>
          <w:tcPr>
            <w:tcW w:w="2537" w:type="pct"/>
          </w:tcPr>
          <w:p w14:paraId="79C74654">
            <w:pPr>
              <w:pStyle w:val="208"/>
              <w:spacing w:before="36" w:line="358" w:lineRule="auto"/>
              <w:ind w:left="116" w:right="275" w:firstLine="432"/>
              <w:rPr>
                <w:rFonts w:hint="eastAsia"/>
                <w:sz w:val="21"/>
                <w:szCs w:val="21"/>
                <w:lang w:eastAsia="zh-CN"/>
              </w:rPr>
            </w:pPr>
            <w:r>
              <w:rPr>
                <w:spacing w:val="7"/>
                <w:sz w:val="21"/>
                <w:szCs w:val="21"/>
                <w:lang w:eastAsia="zh-CN"/>
              </w:rPr>
              <w:t>1、定点采购，建立食品进货台帐。（共</w:t>
            </w:r>
            <w:r>
              <w:rPr>
                <w:spacing w:val="-26"/>
                <w:sz w:val="21"/>
                <w:szCs w:val="21"/>
                <w:lang w:eastAsia="zh-CN"/>
              </w:rPr>
              <w:t xml:space="preserve"> </w:t>
            </w:r>
            <w:r>
              <w:rPr>
                <w:spacing w:val="7"/>
                <w:sz w:val="21"/>
                <w:szCs w:val="21"/>
                <w:lang w:eastAsia="zh-CN"/>
              </w:rPr>
              <w:t>4</w:t>
            </w:r>
            <w:r>
              <w:rPr>
                <w:sz w:val="21"/>
                <w:szCs w:val="21"/>
                <w:lang w:eastAsia="zh-CN"/>
              </w:rPr>
              <w:t xml:space="preserve"> </w:t>
            </w:r>
            <w:r>
              <w:rPr>
                <w:spacing w:val="4"/>
                <w:sz w:val="21"/>
                <w:szCs w:val="21"/>
                <w:lang w:eastAsia="zh-CN"/>
              </w:rPr>
              <w:t>分，缺一项扣</w:t>
            </w:r>
            <w:r>
              <w:rPr>
                <w:spacing w:val="-35"/>
                <w:sz w:val="21"/>
                <w:szCs w:val="21"/>
                <w:lang w:eastAsia="zh-CN"/>
              </w:rPr>
              <w:t xml:space="preserve"> </w:t>
            </w:r>
            <w:r>
              <w:rPr>
                <w:spacing w:val="4"/>
                <w:sz w:val="21"/>
                <w:szCs w:val="21"/>
                <w:lang w:eastAsia="zh-CN"/>
              </w:rPr>
              <w:t>2</w:t>
            </w:r>
            <w:r>
              <w:rPr>
                <w:spacing w:val="-35"/>
                <w:sz w:val="21"/>
                <w:szCs w:val="21"/>
                <w:lang w:eastAsia="zh-CN"/>
              </w:rPr>
              <w:t xml:space="preserve"> </w:t>
            </w:r>
            <w:r>
              <w:rPr>
                <w:spacing w:val="4"/>
                <w:sz w:val="21"/>
                <w:szCs w:val="21"/>
                <w:lang w:eastAsia="zh-CN"/>
              </w:rPr>
              <w:t>分）</w:t>
            </w:r>
          </w:p>
        </w:tc>
        <w:tc>
          <w:tcPr>
            <w:tcW w:w="682" w:type="pct"/>
          </w:tcPr>
          <w:p w14:paraId="7771AAC4">
            <w:pPr>
              <w:rPr>
                <w:rFonts w:hint="eastAsia" w:ascii="Arial"/>
                <w:szCs w:val="21"/>
              </w:rPr>
            </w:pPr>
          </w:p>
        </w:tc>
        <w:tc>
          <w:tcPr>
            <w:tcW w:w="647" w:type="pct"/>
          </w:tcPr>
          <w:p w14:paraId="7EA889B4">
            <w:pPr>
              <w:rPr>
                <w:rFonts w:hint="eastAsia" w:ascii="Arial"/>
                <w:szCs w:val="21"/>
              </w:rPr>
            </w:pPr>
          </w:p>
        </w:tc>
      </w:tr>
      <w:tr w14:paraId="3ABA7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7" w:hRule="atLeast"/>
          <w:jc w:val="center"/>
        </w:trPr>
        <w:tc>
          <w:tcPr>
            <w:tcW w:w="448" w:type="pct"/>
            <w:vMerge w:val="continue"/>
            <w:tcBorders>
              <w:top w:val="nil"/>
              <w:bottom w:val="nil"/>
            </w:tcBorders>
          </w:tcPr>
          <w:p w14:paraId="5F3E8199">
            <w:pPr>
              <w:rPr>
                <w:rFonts w:hint="eastAsia" w:ascii="Arial"/>
                <w:szCs w:val="21"/>
              </w:rPr>
            </w:pPr>
          </w:p>
        </w:tc>
        <w:tc>
          <w:tcPr>
            <w:tcW w:w="684" w:type="pct"/>
            <w:vMerge w:val="continue"/>
            <w:tcBorders>
              <w:top w:val="nil"/>
              <w:bottom w:val="nil"/>
            </w:tcBorders>
          </w:tcPr>
          <w:p w14:paraId="5C548BE6">
            <w:pPr>
              <w:rPr>
                <w:rFonts w:hint="eastAsia" w:ascii="Arial"/>
                <w:szCs w:val="21"/>
              </w:rPr>
            </w:pPr>
          </w:p>
        </w:tc>
        <w:tc>
          <w:tcPr>
            <w:tcW w:w="2537" w:type="pct"/>
          </w:tcPr>
          <w:p w14:paraId="1466E5A4">
            <w:pPr>
              <w:pStyle w:val="208"/>
              <w:spacing w:before="37" w:line="367" w:lineRule="auto"/>
              <w:ind w:left="112" w:right="118" w:firstLine="423"/>
              <w:rPr>
                <w:rFonts w:hint="eastAsia"/>
                <w:sz w:val="21"/>
                <w:szCs w:val="21"/>
                <w:lang w:eastAsia="zh-CN"/>
              </w:rPr>
            </w:pPr>
            <w:r>
              <w:rPr>
                <w:spacing w:val="8"/>
                <w:sz w:val="21"/>
                <w:szCs w:val="21"/>
                <w:lang w:eastAsia="zh-CN"/>
              </w:rPr>
              <w:t xml:space="preserve">2、粮油、副食品等主要食品有产品质量检  </w:t>
            </w:r>
            <w:r>
              <w:rPr>
                <w:spacing w:val="9"/>
                <w:sz w:val="21"/>
                <w:szCs w:val="21"/>
                <w:lang w:eastAsia="zh-CN"/>
              </w:rPr>
              <w:t>验合格证、卫生许可证、供货商名称和产地，并</w:t>
            </w:r>
            <w:r>
              <w:rPr>
                <w:spacing w:val="8"/>
                <w:sz w:val="21"/>
                <w:szCs w:val="21"/>
                <w:lang w:eastAsia="zh-CN"/>
              </w:rPr>
              <w:t>与供货商签订食品卫生安全合同。（共</w:t>
            </w:r>
            <w:r>
              <w:rPr>
                <w:spacing w:val="-32"/>
                <w:sz w:val="21"/>
                <w:szCs w:val="21"/>
                <w:lang w:eastAsia="zh-CN"/>
              </w:rPr>
              <w:t xml:space="preserve"> </w:t>
            </w:r>
            <w:r>
              <w:rPr>
                <w:spacing w:val="8"/>
                <w:sz w:val="21"/>
                <w:szCs w:val="21"/>
                <w:lang w:eastAsia="zh-CN"/>
              </w:rPr>
              <w:t>4</w:t>
            </w:r>
            <w:r>
              <w:rPr>
                <w:spacing w:val="-36"/>
                <w:sz w:val="21"/>
                <w:szCs w:val="21"/>
                <w:lang w:eastAsia="zh-CN"/>
              </w:rPr>
              <w:t xml:space="preserve"> </w:t>
            </w:r>
            <w:r>
              <w:rPr>
                <w:spacing w:val="8"/>
                <w:sz w:val="21"/>
                <w:szCs w:val="21"/>
                <w:lang w:eastAsia="zh-CN"/>
              </w:rPr>
              <w:t>分，缺</w:t>
            </w:r>
            <w:r>
              <w:rPr>
                <w:sz w:val="21"/>
                <w:szCs w:val="21"/>
                <w:lang w:eastAsia="zh-CN"/>
              </w:rPr>
              <w:t>一项扣</w:t>
            </w:r>
            <w:r>
              <w:rPr>
                <w:spacing w:val="-24"/>
                <w:sz w:val="21"/>
                <w:szCs w:val="21"/>
                <w:lang w:eastAsia="zh-CN"/>
              </w:rPr>
              <w:t xml:space="preserve"> </w:t>
            </w:r>
            <w:r>
              <w:rPr>
                <w:sz w:val="21"/>
                <w:szCs w:val="21"/>
                <w:lang w:eastAsia="zh-CN"/>
              </w:rPr>
              <w:t>1</w:t>
            </w:r>
            <w:r>
              <w:rPr>
                <w:spacing w:val="-36"/>
                <w:sz w:val="21"/>
                <w:szCs w:val="21"/>
                <w:lang w:eastAsia="zh-CN"/>
              </w:rPr>
              <w:t xml:space="preserve"> </w:t>
            </w:r>
            <w:r>
              <w:rPr>
                <w:sz w:val="21"/>
                <w:szCs w:val="21"/>
                <w:lang w:eastAsia="zh-CN"/>
              </w:rPr>
              <w:t>分）</w:t>
            </w:r>
          </w:p>
        </w:tc>
        <w:tc>
          <w:tcPr>
            <w:tcW w:w="682" w:type="pct"/>
          </w:tcPr>
          <w:p w14:paraId="77D91E57">
            <w:pPr>
              <w:rPr>
                <w:rFonts w:hint="eastAsia" w:ascii="Arial"/>
                <w:szCs w:val="21"/>
              </w:rPr>
            </w:pPr>
          </w:p>
        </w:tc>
        <w:tc>
          <w:tcPr>
            <w:tcW w:w="647" w:type="pct"/>
          </w:tcPr>
          <w:p w14:paraId="13C5D92B">
            <w:pPr>
              <w:rPr>
                <w:rFonts w:hint="eastAsia" w:ascii="Arial"/>
                <w:szCs w:val="21"/>
              </w:rPr>
            </w:pPr>
          </w:p>
        </w:tc>
      </w:tr>
      <w:tr w14:paraId="70007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jc w:val="center"/>
        </w:trPr>
        <w:tc>
          <w:tcPr>
            <w:tcW w:w="448" w:type="pct"/>
            <w:vMerge w:val="continue"/>
            <w:tcBorders>
              <w:top w:val="nil"/>
            </w:tcBorders>
          </w:tcPr>
          <w:p w14:paraId="14E38E80">
            <w:pPr>
              <w:rPr>
                <w:rFonts w:hint="eastAsia" w:ascii="Arial"/>
                <w:szCs w:val="21"/>
              </w:rPr>
            </w:pPr>
          </w:p>
        </w:tc>
        <w:tc>
          <w:tcPr>
            <w:tcW w:w="684" w:type="pct"/>
            <w:vMerge w:val="continue"/>
            <w:tcBorders>
              <w:top w:val="nil"/>
            </w:tcBorders>
          </w:tcPr>
          <w:p w14:paraId="7D4AF346">
            <w:pPr>
              <w:rPr>
                <w:rFonts w:hint="eastAsia" w:ascii="Arial"/>
                <w:szCs w:val="21"/>
              </w:rPr>
            </w:pPr>
          </w:p>
        </w:tc>
        <w:tc>
          <w:tcPr>
            <w:tcW w:w="2537" w:type="pct"/>
          </w:tcPr>
          <w:p w14:paraId="1612ABF5">
            <w:pPr>
              <w:pStyle w:val="208"/>
              <w:spacing w:before="38" w:line="357" w:lineRule="auto"/>
              <w:ind w:left="123" w:right="470" w:firstLine="414"/>
              <w:rPr>
                <w:rFonts w:hint="eastAsia"/>
                <w:sz w:val="21"/>
                <w:szCs w:val="21"/>
              </w:rPr>
            </w:pPr>
            <w:r>
              <w:rPr>
                <w:spacing w:val="6"/>
                <w:sz w:val="21"/>
                <w:szCs w:val="21"/>
                <w:lang w:eastAsia="zh-CN"/>
              </w:rPr>
              <w:t>3、严格落实验收制度，做好验收登记。</w:t>
            </w:r>
            <w:r>
              <w:rPr>
                <w:spacing w:val="15"/>
                <w:sz w:val="21"/>
                <w:szCs w:val="21"/>
                <w:lang w:eastAsia="zh-CN"/>
              </w:rPr>
              <w:t xml:space="preserve"> </w:t>
            </w:r>
            <w:r>
              <w:rPr>
                <w:spacing w:val="2"/>
                <w:sz w:val="21"/>
                <w:szCs w:val="21"/>
              </w:rPr>
              <w:t>（共</w:t>
            </w:r>
            <w:r>
              <w:rPr>
                <w:spacing w:val="-30"/>
                <w:sz w:val="21"/>
                <w:szCs w:val="21"/>
              </w:rPr>
              <w:t xml:space="preserve"> </w:t>
            </w:r>
            <w:r>
              <w:rPr>
                <w:spacing w:val="2"/>
                <w:sz w:val="21"/>
                <w:szCs w:val="21"/>
              </w:rPr>
              <w:t>2</w:t>
            </w:r>
            <w:r>
              <w:rPr>
                <w:spacing w:val="-35"/>
                <w:sz w:val="21"/>
                <w:szCs w:val="21"/>
              </w:rPr>
              <w:t xml:space="preserve"> </w:t>
            </w:r>
            <w:r>
              <w:rPr>
                <w:spacing w:val="2"/>
                <w:sz w:val="21"/>
                <w:szCs w:val="21"/>
              </w:rPr>
              <w:t>分，不符合扣</w:t>
            </w:r>
            <w:r>
              <w:rPr>
                <w:spacing w:val="-34"/>
                <w:sz w:val="21"/>
                <w:szCs w:val="21"/>
              </w:rPr>
              <w:t xml:space="preserve"> </w:t>
            </w:r>
            <w:r>
              <w:rPr>
                <w:spacing w:val="2"/>
                <w:sz w:val="21"/>
                <w:szCs w:val="21"/>
              </w:rPr>
              <w:t>2</w:t>
            </w:r>
            <w:r>
              <w:rPr>
                <w:spacing w:val="-36"/>
                <w:sz w:val="21"/>
                <w:szCs w:val="21"/>
              </w:rPr>
              <w:t xml:space="preserve"> </w:t>
            </w:r>
            <w:r>
              <w:rPr>
                <w:spacing w:val="2"/>
                <w:sz w:val="21"/>
                <w:szCs w:val="21"/>
              </w:rPr>
              <w:t>分）</w:t>
            </w:r>
          </w:p>
        </w:tc>
        <w:tc>
          <w:tcPr>
            <w:tcW w:w="682" w:type="pct"/>
          </w:tcPr>
          <w:p w14:paraId="7215C4E6">
            <w:pPr>
              <w:rPr>
                <w:rFonts w:hint="eastAsia" w:ascii="Arial"/>
                <w:szCs w:val="21"/>
              </w:rPr>
            </w:pPr>
          </w:p>
        </w:tc>
        <w:tc>
          <w:tcPr>
            <w:tcW w:w="647" w:type="pct"/>
          </w:tcPr>
          <w:p w14:paraId="63F94F76">
            <w:pPr>
              <w:rPr>
                <w:rFonts w:hint="eastAsia" w:ascii="Arial"/>
                <w:szCs w:val="21"/>
              </w:rPr>
            </w:pPr>
          </w:p>
        </w:tc>
      </w:tr>
      <w:tr w14:paraId="78AD5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448" w:type="pct"/>
            <w:vMerge w:val="restart"/>
            <w:tcBorders>
              <w:bottom w:val="nil"/>
            </w:tcBorders>
          </w:tcPr>
          <w:p w14:paraId="0B307B6F">
            <w:pPr>
              <w:spacing w:line="383" w:lineRule="auto"/>
              <w:rPr>
                <w:rFonts w:hint="eastAsia" w:ascii="Arial"/>
                <w:szCs w:val="21"/>
              </w:rPr>
            </w:pPr>
          </w:p>
          <w:p w14:paraId="7D86101A">
            <w:pPr>
              <w:pStyle w:val="208"/>
              <w:spacing w:before="65" w:line="231" w:lineRule="auto"/>
              <w:ind w:left="373"/>
              <w:rPr>
                <w:rFonts w:hint="eastAsia"/>
                <w:sz w:val="21"/>
                <w:szCs w:val="21"/>
              </w:rPr>
            </w:pPr>
          </w:p>
          <w:p w14:paraId="1517B4F0">
            <w:pPr>
              <w:pStyle w:val="208"/>
              <w:spacing w:before="65" w:line="231" w:lineRule="auto"/>
              <w:ind w:left="373"/>
              <w:rPr>
                <w:rFonts w:hint="eastAsia"/>
                <w:sz w:val="21"/>
                <w:szCs w:val="21"/>
              </w:rPr>
            </w:pPr>
          </w:p>
          <w:p w14:paraId="42489D8C">
            <w:pPr>
              <w:pStyle w:val="208"/>
              <w:spacing w:before="65" w:line="231" w:lineRule="auto"/>
              <w:ind w:left="373"/>
              <w:rPr>
                <w:rFonts w:hint="eastAsia"/>
                <w:sz w:val="21"/>
                <w:szCs w:val="21"/>
              </w:rPr>
            </w:pPr>
            <w:r>
              <w:rPr>
                <w:sz w:val="21"/>
                <w:szCs w:val="21"/>
              </w:rPr>
              <w:t>四</w:t>
            </w:r>
          </w:p>
        </w:tc>
        <w:tc>
          <w:tcPr>
            <w:tcW w:w="684" w:type="pct"/>
            <w:vMerge w:val="restart"/>
            <w:tcBorders>
              <w:bottom w:val="nil"/>
            </w:tcBorders>
          </w:tcPr>
          <w:p w14:paraId="7787D999">
            <w:pPr>
              <w:pStyle w:val="208"/>
              <w:spacing w:before="245" w:line="362" w:lineRule="auto"/>
              <w:ind w:left="120" w:right="223" w:hanging="10"/>
              <w:jc w:val="center"/>
              <w:rPr>
                <w:rFonts w:hint="eastAsia"/>
                <w:spacing w:val="7"/>
                <w:sz w:val="21"/>
                <w:szCs w:val="21"/>
              </w:rPr>
            </w:pPr>
          </w:p>
          <w:p w14:paraId="25FE14F2">
            <w:pPr>
              <w:pStyle w:val="208"/>
              <w:spacing w:before="245" w:line="362" w:lineRule="auto"/>
              <w:ind w:left="120" w:right="223" w:hanging="10"/>
              <w:jc w:val="center"/>
              <w:rPr>
                <w:rFonts w:hint="eastAsia"/>
                <w:sz w:val="21"/>
                <w:szCs w:val="21"/>
              </w:rPr>
            </w:pPr>
            <w:r>
              <w:rPr>
                <w:spacing w:val="7"/>
                <w:sz w:val="21"/>
                <w:szCs w:val="21"/>
              </w:rPr>
              <w:t>仓储管理</w:t>
            </w:r>
            <w:r>
              <w:rPr>
                <w:spacing w:val="1"/>
                <w:sz w:val="21"/>
                <w:szCs w:val="21"/>
              </w:rPr>
              <w:t xml:space="preserve"> </w:t>
            </w:r>
            <w:r>
              <w:rPr>
                <w:spacing w:val="-2"/>
                <w:sz w:val="21"/>
                <w:szCs w:val="21"/>
              </w:rPr>
              <w:t>（7</w:t>
            </w:r>
            <w:r>
              <w:rPr>
                <w:spacing w:val="-36"/>
                <w:sz w:val="21"/>
                <w:szCs w:val="21"/>
              </w:rPr>
              <w:t xml:space="preserve"> </w:t>
            </w:r>
            <w:r>
              <w:rPr>
                <w:spacing w:val="-2"/>
                <w:sz w:val="21"/>
                <w:szCs w:val="21"/>
              </w:rPr>
              <w:t>分）</w:t>
            </w:r>
          </w:p>
        </w:tc>
        <w:tc>
          <w:tcPr>
            <w:tcW w:w="2537" w:type="pct"/>
          </w:tcPr>
          <w:p w14:paraId="6D927E23">
            <w:pPr>
              <w:pStyle w:val="208"/>
              <w:spacing w:before="39" w:line="357" w:lineRule="auto"/>
              <w:ind w:left="113" w:right="226" w:firstLine="435"/>
              <w:rPr>
                <w:rFonts w:hint="eastAsia"/>
                <w:sz w:val="21"/>
                <w:szCs w:val="21"/>
                <w:lang w:eastAsia="zh-CN"/>
              </w:rPr>
            </w:pPr>
            <w:r>
              <w:rPr>
                <w:spacing w:val="8"/>
                <w:sz w:val="21"/>
                <w:szCs w:val="21"/>
                <w:lang w:eastAsia="zh-CN"/>
              </w:rPr>
              <w:t>1、主食、副食、食用油库、杂物库分别独</w:t>
            </w:r>
            <w:r>
              <w:rPr>
                <w:spacing w:val="5"/>
                <w:sz w:val="21"/>
                <w:szCs w:val="21"/>
                <w:lang w:eastAsia="zh-CN"/>
              </w:rPr>
              <w:t>立设置。（共</w:t>
            </w:r>
            <w:r>
              <w:rPr>
                <w:spacing w:val="-28"/>
                <w:sz w:val="21"/>
                <w:szCs w:val="21"/>
                <w:lang w:eastAsia="zh-CN"/>
              </w:rPr>
              <w:t xml:space="preserve"> </w:t>
            </w:r>
            <w:r>
              <w:rPr>
                <w:spacing w:val="5"/>
                <w:sz w:val="21"/>
                <w:szCs w:val="21"/>
                <w:lang w:eastAsia="zh-CN"/>
              </w:rPr>
              <w:t>3</w:t>
            </w:r>
            <w:r>
              <w:rPr>
                <w:spacing w:val="-36"/>
                <w:sz w:val="21"/>
                <w:szCs w:val="21"/>
                <w:lang w:eastAsia="zh-CN"/>
              </w:rPr>
              <w:t xml:space="preserve"> </w:t>
            </w:r>
            <w:r>
              <w:rPr>
                <w:spacing w:val="5"/>
                <w:sz w:val="21"/>
                <w:szCs w:val="21"/>
                <w:lang w:eastAsia="zh-CN"/>
              </w:rPr>
              <w:t>分，任何一项不符合扣</w:t>
            </w:r>
            <w:r>
              <w:rPr>
                <w:spacing w:val="-21"/>
                <w:sz w:val="21"/>
                <w:szCs w:val="21"/>
                <w:lang w:eastAsia="zh-CN"/>
              </w:rPr>
              <w:t xml:space="preserve"> </w:t>
            </w:r>
            <w:r>
              <w:rPr>
                <w:spacing w:val="5"/>
                <w:sz w:val="21"/>
                <w:szCs w:val="21"/>
                <w:lang w:eastAsia="zh-CN"/>
              </w:rPr>
              <w:t>1</w:t>
            </w:r>
            <w:r>
              <w:rPr>
                <w:spacing w:val="-36"/>
                <w:sz w:val="21"/>
                <w:szCs w:val="21"/>
                <w:lang w:eastAsia="zh-CN"/>
              </w:rPr>
              <w:t xml:space="preserve"> </w:t>
            </w:r>
            <w:r>
              <w:rPr>
                <w:spacing w:val="5"/>
                <w:sz w:val="21"/>
                <w:szCs w:val="21"/>
                <w:lang w:eastAsia="zh-CN"/>
              </w:rPr>
              <w:t>分）</w:t>
            </w:r>
          </w:p>
        </w:tc>
        <w:tc>
          <w:tcPr>
            <w:tcW w:w="682" w:type="pct"/>
          </w:tcPr>
          <w:p w14:paraId="61754D46">
            <w:pPr>
              <w:rPr>
                <w:rFonts w:hint="eastAsia" w:ascii="Arial"/>
                <w:szCs w:val="21"/>
              </w:rPr>
            </w:pPr>
          </w:p>
        </w:tc>
        <w:tc>
          <w:tcPr>
            <w:tcW w:w="647" w:type="pct"/>
          </w:tcPr>
          <w:p w14:paraId="34D87098">
            <w:pPr>
              <w:rPr>
                <w:rFonts w:hint="eastAsia" w:ascii="Arial"/>
                <w:szCs w:val="21"/>
              </w:rPr>
            </w:pPr>
          </w:p>
        </w:tc>
      </w:tr>
      <w:tr w14:paraId="38587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448" w:type="pct"/>
            <w:vMerge w:val="continue"/>
            <w:tcBorders>
              <w:top w:val="nil"/>
            </w:tcBorders>
          </w:tcPr>
          <w:p w14:paraId="435055C0">
            <w:pPr>
              <w:rPr>
                <w:rFonts w:hint="eastAsia" w:ascii="Arial"/>
                <w:szCs w:val="21"/>
              </w:rPr>
            </w:pPr>
          </w:p>
        </w:tc>
        <w:tc>
          <w:tcPr>
            <w:tcW w:w="684" w:type="pct"/>
            <w:vMerge w:val="continue"/>
            <w:tcBorders>
              <w:top w:val="nil"/>
            </w:tcBorders>
          </w:tcPr>
          <w:p w14:paraId="2F465991">
            <w:pPr>
              <w:rPr>
                <w:rFonts w:hint="eastAsia" w:ascii="Arial"/>
                <w:szCs w:val="21"/>
              </w:rPr>
            </w:pPr>
          </w:p>
        </w:tc>
        <w:tc>
          <w:tcPr>
            <w:tcW w:w="2537" w:type="pct"/>
          </w:tcPr>
          <w:p w14:paraId="59BEE9A0">
            <w:pPr>
              <w:pStyle w:val="208"/>
              <w:numPr>
                <w:ilvl w:val="0"/>
                <w:numId w:val="4"/>
              </w:numPr>
              <w:spacing w:before="35" w:line="228" w:lineRule="auto"/>
              <w:ind w:left="536"/>
              <w:rPr>
                <w:rFonts w:hint="eastAsia"/>
                <w:spacing w:val="8"/>
                <w:sz w:val="21"/>
                <w:szCs w:val="21"/>
                <w:lang w:eastAsia="zh-CN"/>
              </w:rPr>
            </w:pPr>
            <w:r>
              <w:rPr>
                <w:spacing w:val="8"/>
                <w:sz w:val="21"/>
                <w:szCs w:val="21"/>
                <w:lang w:eastAsia="zh-CN"/>
              </w:rPr>
              <w:t>所有物品分类摆放，离地、离墙存放，</w:t>
            </w:r>
          </w:p>
          <w:p w14:paraId="12F7E9D3">
            <w:pPr>
              <w:pStyle w:val="208"/>
              <w:spacing w:before="36" w:line="228" w:lineRule="auto"/>
              <w:ind w:left="114"/>
              <w:rPr>
                <w:rFonts w:hint="eastAsia"/>
                <w:sz w:val="21"/>
                <w:szCs w:val="21"/>
                <w:lang w:eastAsia="zh-CN"/>
              </w:rPr>
            </w:pPr>
            <w:r>
              <w:rPr>
                <w:spacing w:val="7"/>
                <w:sz w:val="21"/>
                <w:szCs w:val="21"/>
                <w:lang w:eastAsia="zh-CN"/>
              </w:rPr>
              <w:t>有标签标识。（共2</w:t>
            </w:r>
            <w:r>
              <w:rPr>
                <w:spacing w:val="-35"/>
                <w:sz w:val="21"/>
                <w:szCs w:val="21"/>
                <w:lang w:eastAsia="zh-CN"/>
              </w:rPr>
              <w:t xml:space="preserve"> </w:t>
            </w:r>
            <w:r>
              <w:rPr>
                <w:spacing w:val="7"/>
                <w:sz w:val="21"/>
                <w:szCs w:val="21"/>
                <w:lang w:eastAsia="zh-CN"/>
              </w:rPr>
              <w:t>分，任何一项不符合扣</w:t>
            </w:r>
            <w:r>
              <w:rPr>
                <w:spacing w:val="-36"/>
                <w:sz w:val="21"/>
                <w:szCs w:val="21"/>
                <w:lang w:eastAsia="zh-CN"/>
              </w:rPr>
              <w:t xml:space="preserve"> </w:t>
            </w:r>
            <w:r>
              <w:rPr>
                <w:spacing w:val="7"/>
                <w:sz w:val="21"/>
                <w:szCs w:val="21"/>
                <w:lang w:eastAsia="zh-CN"/>
              </w:rPr>
              <w:t>0</w:t>
            </w:r>
            <w:r>
              <w:rPr>
                <w:spacing w:val="6"/>
                <w:sz w:val="21"/>
                <w:szCs w:val="21"/>
                <w:lang w:eastAsia="zh-CN"/>
              </w:rPr>
              <w:t>.5</w:t>
            </w:r>
          </w:p>
          <w:p w14:paraId="644B28D4">
            <w:pPr>
              <w:pStyle w:val="208"/>
              <w:numPr>
                <w:ilvl w:val="255"/>
                <w:numId w:val="0"/>
              </w:numPr>
              <w:spacing w:before="35" w:line="228" w:lineRule="auto"/>
              <w:rPr>
                <w:rFonts w:hint="eastAsia"/>
                <w:spacing w:val="8"/>
                <w:sz w:val="21"/>
                <w:szCs w:val="21"/>
              </w:rPr>
            </w:pPr>
            <w:r>
              <w:rPr>
                <w:spacing w:val="-1"/>
                <w:sz w:val="21"/>
                <w:szCs w:val="21"/>
              </w:rPr>
              <w:t>分）</w:t>
            </w:r>
          </w:p>
        </w:tc>
        <w:tc>
          <w:tcPr>
            <w:tcW w:w="682" w:type="pct"/>
          </w:tcPr>
          <w:p w14:paraId="0753E9EC">
            <w:pPr>
              <w:rPr>
                <w:rFonts w:hint="eastAsia" w:ascii="Arial"/>
                <w:szCs w:val="21"/>
              </w:rPr>
            </w:pPr>
          </w:p>
        </w:tc>
        <w:tc>
          <w:tcPr>
            <w:tcW w:w="647" w:type="pct"/>
          </w:tcPr>
          <w:p w14:paraId="4990342E">
            <w:pPr>
              <w:rPr>
                <w:rFonts w:hint="eastAsia" w:ascii="Arial"/>
                <w:szCs w:val="21"/>
              </w:rPr>
            </w:pPr>
          </w:p>
        </w:tc>
      </w:tr>
      <w:tr w14:paraId="21AB7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jc w:val="center"/>
        </w:trPr>
        <w:tc>
          <w:tcPr>
            <w:tcW w:w="448" w:type="pct"/>
            <w:vMerge w:val="continue"/>
            <w:tcBorders>
              <w:top w:val="nil"/>
            </w:tcBorders>
          </w:tcPr>
          <w:p w14:paraId="1274478C">
            <w:pPr>
              <w:rPr>
                <w:rFonts w:hint="eastAsia" w:ascii="Arial"/>
                <w:szCs w:val="21"/>
              </w:rPr>
            </w:pPr>
          </w:p>
        </w:tc>
        <w:tc>
          <w:tcPr>
            <w:tcW w:w="684" w:type="pct"/>
            <w:vMerge w:val="continue"/>
            <w:tcBorders>
              <w:top w:val="nil"/>
            </w:tcBorders>
          </w:tcPr>
          <w:p w14:paraId="52E2B8C4">
            <w:pPr>
              <w:rPr>
                <w:rFonts w:hint="eastAsia" w:ascii="Arial"/>
                <w:szCs w:val="21"/>
              </w:rPr>
            </w:pPr>
          </w:p>
        </w:tc>
        <w:tc>
          <w:tcPr>
            <w:tcW w:w="2537" w:type="pct"/>
          </w:tcPr>
          <w:p w14:paraId="2B204E4D">
            <w:pPr>
              <w:pStyle w:val="208"/>
              <w:spacing w:before="30" w:line="366" w:lineRule="auto"/>
              <w:ind w:left="113" w:right="121" w:firstLine="424"/>
              <w:rPr>
                <w:rFonts w:hint="eastAsia"/>
                <w:sz w:val="21"/>
                <w:szCs w:val="21"/>
                <w:lang w:eastAsia="zh-CN"/>
              </w:rPr>
            </w:pPr>
            <w:r>
              <w:rPr>
                <w:spacing w:val="8"/>
                <w:sz w:val="21"/>
                <w:szCs w:val="21"/>
                <w:lang w:eastAsia="zh-CN"/>
              </w:rPr>
              <w:t>3、仓库物品做到先进先出，严格杜绝存放</w:t>
            </w:r>
            <w:r>
              <w:rPr>
                <w:spacing w:val="7"/>
                <w:sz w:val="21"/>
                <w:szCs w:val="21"/>
                <w:lang w:eastAsia="zh-CN"/>
              </w:rPr>
              <w:t xml:space="preserve">  </w:t>
            </w:r>
            <w:r>
              <w:rPr>
                <w:spacing w:val="8"/>
                <w:sz w:val="21"/>
                <w:szCs w:val="21"/>
                <w:lang w:eastAsia="zh-CN"/>
              </w:rPr>
              <w:t>过期变质的物品。（共</w:t>
            </w:r>
            <w:r>
              <w:rPr>
                <w:spacing w:val="-36"/>
                <w:sz w:val="21"/>
                <w:szCs w:val="21"/>
                <w:lang w:eastAsia="zh-CN"/>
              </w:rPr>
              <w:t xml:space="preserve"> </w:t>
            </w:r>
            <w:r>
              <w:rPr>
                <w:spacing w:val="8"/>
                <w:sz w:val="21"/>
                <w:szCs w:val="21"/>
                <w:lang w:eastAsia="zh-CN"/>
              </w:rPr>
              <w:t>2</w:t>
            </w:r>
            <w:r>
              <w:rPr>
                <w:spacing w:val="-35"/>
                <w:sz w:val="21"/>
                <w:szCs w:val="21"/>
                <w:lang w:eastAsia="zh-CN"/>
              </w:rPr>
              <w:t xml:space="preserve"> </w:t>
            </w:r>
            <w:r>
              <w:rPr>
                <w:spacing w:val="8"/>
                <w:sz w:val="21"/>
                <w:szCs w:val="21"/>
                <w:lang w:eastAsia="zh-CN"/>
              </w:rPr>
              <w:t>分，发现任何变质过期</w:t>
            </w:r>
            <w:r>
              <w:rPr>
                <w:spacing w:val="2"/>
                <w:sz w:val="21"/>
                <w:szCs w:val="21"/>
                <w:lang w:eastAsia="zh-CN"/>
              </w:rPr>
              <w:t>物品扣</w:t>
            </w:r>
            <w:r>
              <w:rPr>
                <w:spacing w:val="-37"/>
                <w:sz w:val="21"/>
                <w:szCs w:val="21"/>
                <w:lang w:eastAsia="zh-CN"/>
              </w:rPr>
              <w:t xml:space="preserve"> </w:t>
            </w:r>
            <w:r>
              <w:rPr>
                <w:spacing w:val="2"/>
                <w:sz w:val="21"/>
                <w:szCs w:val="21"/>
                <w:lang w:eastAsia="zh-CN"/>
              </w:rPr>
              <w:t>2</w:t>
            </w:r>
            <w:r>
              <w:rPr>
                <w:spacing w:val="-36"/>
                <w:sz w:val="21"/>
                <w:szCs w:val="21"/>
                <w:lang w:eastAsia="zh-CN"/>
              </w:rPr>
              <w:t xml:space="preserve"> </w:t>
            </w:r>
            <w:r>
              <w:rPr>
                <w:spacing w:val="2"/>
                <w:sz w:val="21"/>
                <w:szCs w:val="21"/>
                <w:lang w:eastAsia="zh-CN"/>
              </w:rPr>
              <w:t>分）</w:t>
            </w:r>
          </w:p>
        </w:tc>
        <w:tc>
          <w:tcPr>
            <w:tcW w:w="682" w:type="pct"/>
          </w:tcPr>
          <w:p w14:paraId="37FBFD34">
            <w:pPr>
              <w:rPr>
                <w:rFonts w:hint="eastAsia" w:ascii="Arial"/>
                <w:szCs w:val="21"/>
              </w:rPr>
            </w:pPr>
          </w:p>
        </w:tc>
        <w:tc>
          <w:tcPr>
            <w:tcW w:w="647" w:type="pct"/>
          </w:tcPr>
          <w:p w14:paraId="2D1AB2B3">
            <w:pPr>
              <w:rPr>
                <w:rFonts w:hint="eastAsia" w:ascii="Arial"/>
                <w:szCs w:val="21"/>
              </w:rPr>
            </w:pPr>
          </w:p>
        </w:tc>
      </w:tr>
      <w:tr w14:paraId="6E81F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jc w:val="center"/>
        </w:trPr>
        <w:tc>
          <w:tcPr>
            <w:tcW w:w="448" w:type="pct"/>
            <w:vMerge w:val="restart"/>
            <w:tcBorders>
              <w:bottom w:val="nil"/>
            </w:tcBorders>
          </w:tcPr>
          <w:p w14:paraId="223548A0">
            <w:pPr>
              <w:spacing w:line="248" w:lineRule="auto"/>
              <w:rPr>
                <w:rFonts w:hint="eastAsia" w:ascii="Arial"/>
                <w:szCs w:val="21"/>
              </w:rPr>
            </w:pPr>
          </w:p>
          <w:p w14:paraId="105EDC6B">
            <w:pPr>
              <w:spacing w:line="248" w:lineRule="auto"/>
              <w:rPr>
                <w:rFonts w:hint="eastAsia" w:ascii="Arial"/>
                <w:szCs w:val="21"/>
              </w:rPr>
            </w:pPr>
          </w:p>
          <w:p w14:paraId="6AF9FD08">
            <w:pPr>
              <w:spacing w:line="248" w:lineRule="auto"/>
              <w:rPr>
                <w:rFonts w:hint="eastAsia" w:ascii="Arial"/>
                <w:szCs w:val="21"/>
              </w:rPr>
            </w:pPr>
          </w:p>
          <w:p w14:paraId="2262A198">
            <w:pPr>
              <w:spacing w:line="248" w:lineRule="auto"/>
              <w:rPr>
                <w:rFonts w:hint="eastAsia" w:ascii="Arial"/>
                <w:szCs w:val="21"/>
              </w:rPr>
            </w:pPr>
          </w:p>
          <w:p w14:paraId="0EB5B38A">
            <w:pPr>
              <w:spacing w:line="248" w:lineRule="auto"/>
              <w:rPr>
                <w:rFonts w:hint="eastAsia" w:ascii="Arial"/>
                <w:szCs w:val="21"/>
              </w:rPr>
            </w:pPr>
          </w:p>
          <w:p w14:paraId="24FB2560">
            <w:pPr>
              <w:spacing w:line="248" w:lineRule="auto"/>
              <w:rPr>
                <w:rFonts w:hint="eastAsia" w:ascii="Arial"/>
                <w:szCs w:val="21"/>
              </w:rPr>
            </w:pPr>
          </w:p>
          <w:p w14:paraId="2C3A04D4">
            <w:pPr>
              <w:spacing w:line="248" w:lineRule="auto"/>
              <w:rPr>
                <w:rFonts w:hint="eastAsia" w:ascii="Arial"/>
                <w:szCs w:val="21"/>
              </w:rPr>
            </w:pPr>
          </w:p>
          <w:p w14:paraId="788165A7">
            <w:pPr>
              <w:spacing w:line="248" w:lineRule="auto"/>
              <w:rPr>
                <w:rFonts w:hint="eastAsia" w:ascii="Arial"/>
                <w:szCs w:val="21"/>
              </w:rPr>
            </w:pPr>
          </w:p>
          <w:p w14:paraId="2B5CBCEE">
            <w:pPr>
              <w:spacing w:line="248" w:lineRule="auto"/>
              <w:rPr>
                <w:rFonts w:hint="eastAsia" w:ascii="Arial"/>
                <w:szCs w:val="21"/>
              </w:rPr>
            </w:pPr>
          </w:p>
          <w:p w14:paraId="2CEF245B">
            <w:pPr>
              <w:spacing w:line="249" w:lineRule="auto"/>
              <w:rPr>
                <w:rFonts w:hint="eastAsia" w:ascii="Arial"/>
                <w:szCs w:val="21"/>
              </w:rPr>
            </w:pPr>
          </w:p>
          <w:p w14:paraId="14DD9AB6">
            <w:pPr>
              <w:spacing w:line="249" w:lineRule="auto"/>
              <w:rPr>
                <w:rFonts w:hint="eastAsia" w:ascii="Arial"/>
                <w:szCs w:val="21"/>
              </w:rPr>
            </w:pPr>
          </w:p>
          <w:p w14:paraId="5644E150">
            <w:pPr>
              <w:spacing w:line="249" w:lineRule="auto"/>
              <w:rPr>
                <w:rFonts w:hint="eastAsia" w:ascii="Arial"/>
                <w:szCs w:val="21"/>
              </w:rPr>
            </w:pPr>
          </w:p>
          <w:p w14:paraId="56A6FAA4">
            <w:pPr>
              <w:spacing w:line="249" w:lineRule="auto"/>
              <w:rPr>
                <w:rFonts w:hint="eastAsia" w:ascii="Arial"/>
                <w:szCs w:val="21"/>
              </w:rPr>
            </w:pPr>
          </w:p>
          <w:p w14:paraId="3D7CFD7F">
            <w:pPr>
              <w:spacing w:line="249" w:lineRule="auto"/>
              <w:rPr>
                <w:rFonts w:hint="eastAsia" w:ascii="Arial"/>
                <w:szCs w:val="21"/>
              </w:rPr>
            </w:pPr>
          </w:p>
          <w:p w14:paraId="19233CF7">
            <w:pPr>
              <w:spacing w:line="249" w:lineRule="auto"/>
              <w:rPr>
                <w:rFonts w:hint="eastAsia" w:ascii="Arial"/>
                <w:szCs w:val="21"/>
              </w:rPr>
            </w:pPr>
          </w:p>
          <w:p w14:paraId="160D3FAE">
            <w:pPr>
              <w:spacing w:line="249" w:lineRule="auto"/>
              <w:rPr>
                <w:rFonts w:hint="eastAsia" w:ascii="Arial"/>
                <w:szCs w:val="21"/>
              </w:rPr>
            </w:pPr>
          </w:p>
          <w:p w14:paraId="3E14DD69">
            <w:pPr>
              <w:spacing w:line="249" w:lineRule="auto"/>
              <w:rPr>
                <w:rFonts w:hint="eastAsia" w:ascii="Arial"/>
                <w:szCs w:val="21"/>
              </w:rPr>
            </w:pPr>
          </w:p>
          <w:p w14:paraId="3C4D3B40">
            <w:pPr>
              <w:spacing w:line="249" w:lineRule="auto"/>
              <w:rPr>
                <w:rFonts w:hint="eastAsia" w:ascii="Arial"/>
                <w:szCs w:val="21"/>
              </w:rPr>
            </w:pPr>
          </w:p>
          <w:p w14:paraId="3DA5BF09">
            <w:pPr>
              <w:pStyle w:val="208"/>
              <w:spacing w:before="65" w:line="238" w:lineRule="auto"/>
              <w:ind w:left="356"/>
              <w:rPr>
                <w:rFonts w:hint="eastAsia"/>
                <w:sz w:val="21"/>
                <w:szCs w:val="21"/>
              </w:rPr>
            </w:pPr>
            <w:r>
              <w:rPr>
                <w:sz w:val="21"/>
                <w:szCs w:val="21"/>
              </w:rPr>
              <w:t>五</w:t>
            </w:r>
          </w:p>
        </w:tc>
        <w:tc>
          <w:tcPr>
            <w:tcW w:w="684" w:type="pct"/>
            <w:vMerge w:val="restart"/>
            <w:tcBorders>
              <w:bottom w:val="nil"/>
            </w:tcBorders>
          </w:tcPr>
          <w:p w14:paraId="4BD2977A">
            <w:pPr>
              <w:spacing w:line="251" w:lineRule="auto"/>
              <w:rPr>
                <w:rFonts w:hint="eastAsia" w:ascii="Arial"/>
                <w:szCs w:val="21"/>
              </w:rPr>
            </w:pPr>
          </w:p>
          <w:p w14:paraId="5B7A8BFB">
            <w:pPr>
              <w:spacing w:line="251" w:lineRule="auto"/>
              <w:rPr>
                <w:rFonts w:hint="eastAsia" w:ascii="Arial"/>
                <w:szCs w:val="21"/>
              </w:rPr>
            </w:pPr>
          </w:p>
          <w:p w14:paraId="561ED8EC">
            <w:pPr>
              <w:spacing w:line="251" w:lineRule="auto"/>
              <w:rPr>
                <w:rFonts w:hint="eastAsia" w:ascii="Arial"/>
                <w:szCs w:val="21"/>
              </w:rPr>
            </w:pPr>
          </w:p>
          <w:p w14:paraId="5567C36E">
            <w:pPr>
              <w:spacing w:line="251" w:lineRule="auto"/>
              <w:rPr>
                <w:rFonts w:hint="eastAsia" w:ascii="Arial"/>
                <w:szCs w:val="21"/>
              </w:rPr>
            </w:pPr>
          </w:p>
          <w:p w14:paraId="446B1ECC">
            <w:pPr>
              <w:spacing w:line="251" w:lineRule="auto"/>
              <w:rPr>
                <w:rFonts w:hint="eastAsia" w:ascii="Arial"/>
                <w:szCs w:val="21"/>
              </w:rPr>
            </w:pPr>
          </w:p>
          <w:p w14:paraId="554BCD86">
            <w:pPr>
              <w:spacing w:line="251" w:lineRule="auto"/>
              <w:rPr>
                <w:rFonts w:hint="eastAsia" w:ascii="Arial"/>
                <w:szCs w:val="21"/>
              </w:rPr>
            </w:pPr>
          </w:p>
          <w:p w14:paraId="23834609">
            <w:pPr>
              <w:spacing w:line="251" w:lineRule="auto"/>
              <w:rPr>
                <w:rFonts w:hint="eastAsia" w:ascii="Arial"/>
                <w:szCs w:val="21"/>
              </w:rPr>
            </w:pPr>
          </w:p>
          <w:p w14:paraId="5DFAE1C3">
            <w:pPr>
              <w:spacing w:line="251" w:lineRule="auto"/>
              <w:rPr>
                <w:rFonts w:hint="eastAsia" w:ascii="Arial"/>
                <w:szCs w:val="21"/>
              </w:rPr>
            </w:pPr>
          </w:p>
          <w:p w14:paraId="055762AC">
            <w:pPr>
              <w:spacing w:line="251" w:lineRule="auto"/>
              <w:rPr>
                <w:rFonts w:hint="eastAsia" w:ascii="Arial"/>
                <w:szCs w:val="21"/>
              </w:rPr>
            </w:pPr>
          </w:p>
          <w:p w14:paraId="02C5C969">
            <w:pPr>
              <w:spacing w:line="251" w:lineRule="auto"/>
              <w:rPr>
                <w:rFonts w:hint="eastAsia" w:ascii="Arial"/>
                <w:szCs w:val="21"/>
              </w:rPr>
            </w:pPr>
          </w:p>
          <w:p w14:paraId="53372154">
            <w:pPr>
              <w:spacing w:line="251" w:lineRule="auto"/>
              <w:rPr>
                <w:rFonts w:hint="eastAsia" w:ascii="Arial"/>
                <w:szCs w:val="21"/>
              </w:rPr>
            </w:pPr>
          </w:p>
          <w:p w14:paraId="3A533D2B">
            <w:pPr>
              <w:spacing w:line="251" w:lineRule="auto"/>
              <w:rPr>
                <w:rFonts w:hint="eastAsia" w:ascii="Arial"/>
                <w:szCs w:val="21"/>
              </w:rPr>
            </w:pPr>
          </w:p>
          <w:p w14:paraId="12D25B05">
            <w:pPr>
              <w:spacing w:line="251" w:lineRule="auto"/>
              <w:rPr>
                <w:rFonts w:hint="eastAsia" w:ascii="Arial"/>
                <w:szCs w:val="21"/>
              </w:rPr>
            </w:pPr>
          </w:p>
          <w:p w14:paraId="62E0BB5C">
            <w:pPr>
              <w:spacing w:line="251" w:lineRule="auto"/>
              <w:rPr>
                <w:rFonts w:hint="eastAsia" w:ascii="Arial"/>
                <w:szCs w:val="21"/>
              </w:rPr>
            </w:pPr>
          </w:p>
          <w:p w14:paraId="014A34DC">
            <w:pPr>
              <w:spacing w:line="251" w:lineRule="auto"/>
              <w:rPr>
                <w:rFonts w:hint="eastAsia" w:ascii="Arial"/>
                <w:szCs w:val="21"/>
              </w:rPr>
            </w:pPr>
          </w:p>
          <w:p w14:paraId="709BD5DF">
            <w:pPr>
              <w:spacing w:line="252" w:lineRule="auto"/>
              <w:rPr>
                <w:rFonts w:hint="eastAsia" w:ascii="Arial"/>
                <w:szCs w:val="21"/>
              </w:rPr>
            </w:pPr>
          </w:p>
          <w:p w14:paraId="3AE7907E">
            <w:pPr>
              <w:spacing w:line="252" w:lineRule="auto"/>
              <w:rPr>
                <w:rFonts w:hint="eastAsia" w:ascii="Arial"/>
                <w:szCs w:val="21"/>
              </w:rPr>
            </w:pPr>
          </w:p>
          <w:p w14:paraId="11C1E050">
            <w:pPr>
              <w:pStyle w:val="208"/>
              <w:spacing w:before="65" w:line="362" w:lineRule="auto"/>
              <w:ind w:left="120" w:right="188" w:hanging="5"/>
              <w:rPr>
                <w:rFonts w:hint="eastAsia"/>
                <w:sz w:val="21"/>
                <w:szCs w:val="21"/>
              </w:rPr>
            </w:pPr>
            <w:r>
              <w:rPr>
                <w:spacing w:val="6"/>
                <w:sz w:val="21"/>
                <w:szCs w:val="21"/>
              </w:rPr>
              <w:t>安全卫生</w:t>
            </w:r>
            <w:r>
              <w:rPr>
                <w:sz w:val="21"/>
                <w:szCs w:val="21"/>
              </w:rPr>
              <w:t xml:space="preserve"> </w:t>
            </w:r>
            <w:r>
              <w:rPr>
                <w:spacing w:val="-2"/>
                <w:sz w:val="21"/>
                <w:szCs w:val="21"/>
              </w:rPr>
              <w:t>（26</w:t>
            </w:r>
            <w:r>
              <w:rPr>
                <w:spacing w:val="-38"/>
                <w:sz w:val="21"/>
                <w:szCs w:val="21"/>
              </w:rPr>
              <w:t xml:space="preserve"> </w:t>
            </w:r>
            <w:r>
              <w:rPr>
                <w:spacing w:val="-2"/>
                <w:sz w:val="21"/>
                <w:szCs w:val="21"/>
              </w:rPr>
              <w:t>分）</w:t>
            </w:r>
          </w:p>
        </w:tc>
        <w:tc>
          <w:tcPr>
            <w:tcW w:w="2537" w:type="pct"/>
          </w:tcPr>
          <w:p w14:paraId="0281807E">
            <w:pPr>
              <w:pStyle w:val="208"/>
              <w:spacing w:before="32" w:line="365" w:lineRule="auto"/>
              <w:ind w:left="116" w:right="172" w:firstLine="432"/>
              <w:rPr>
                <w:rFonts w:hint="eastAsia"/>
                <w:sz w:val="21"/>
                <w:szCs w:val="21"/>
                <w:lang w:eastAsia="zh-CN"/>
              </w:rPr>
            </w:pPr>
            <w:r>
              <w:rPr>
                <w:spacing w:val="8"/>
                <w:sz w:val="21"/>
                <w:szCs w:val="21"/>
                <w:lang w:eastAsia="zh-CN"/>
              </w:rPr>
              <w:t>1、餐厅内外环境干净、整洁，不留卫生死</w:t>
            </w:r>
            <w:r>
              <w:rPr>
                <w:spacing w:val="4"/>
                <w:sz w:val="21"/>
                <w:szCs w:val="21"/>
                <w:lang w:eastAsia="zh-CN"/>
              </w:rPr>
              <w:t xml:space="preserve"> </w:t>
            </w:r>
            <w:r>
              <w:rPr>
                <w:spacing w:val="5"/>
                <w:sz w:val="21"/>
                <w:szCs w:val="21"/>
                <w:lang w:eastAsia="zh-CN"/>
              </w:rPr>
              <w:t>角，做好除“</w:t>
            </w:r>
            <w:r>
              <w:rPr>
                <w:spacing w:val="-57"/>
                <w:sz w:val="21"/>
                <w:szCs w:val="21"/>
                <w:lang w:eastAsia="zh-CN"/>
              </w:rPr>
              <w:t xml:space="preserve"> </w:t>
            </w:r>
            <w:r>
              <w:rPr>
                <w:spacing w:val="5"/>
                <w:sz w:val="21"/>
                <w:szCs w:val="21"/>
                <w:lang w:eastAsia="zh-CN"/>
              </w:rPr>
              <w:t>四害</w:t>
            </w:r>
            <w:r>
              <w:rPr>
                <w:spacing w:val="-70"/>
                <w:sz w:val="21"/>
                <w:szCs w:val="21"/>
                <w:lang w:eastAsia="zh-CN"/>
              </w:rPr>
              <w:t xml:space="preserve"> </w:t>
            </w:r>
            <w:r>
              <w:rPr>
                <w:spacing w:val="5"/>
                <w:sz w:val="21"/>
                <w:szCs w:val="21"/>
                <w:lang w:eastAsia="zh-CN"/>
              </w:rPr>
              <w:t>”工作，配置好纱窗。（共</w:t>
            </w:r>
            <w:r>
              <w:rPr>
                <w:spacing w:val="-35"/>
                <w:sz w:val="21"/>
                <w:szCs w:val="21"/>
                <w:lang w:eastAsia="zh-CN"/>
              </w:rPr>
              <w:t xml:space="preserve"> </w:t>
            </w:r>
            <w:r>
              <w:rPr>
                <w:spacing w:val="5"/>
                <w:sz w:val="21"/>
                <w:szCs w:val="21"/>
                <w:lang w:eastAsia="zh-CN"/>
              </w:rPr>
              <w:t>3</w:t>
            </w:r>
            <w:r>
              <w:rPr>
                <w:sz w:val="21"/>
                <w:szCs w:val="21"/>
                <w:lang w:eastAsia="zh-CN"/>
              </w:rPr>
              <w:t xml:space="preserve"> </w:t>
            </w:r>
            <w:r>
              <w:rPr>
                <w:spacing w:val="4"/>
                <w:sz w:val="21"/>
                <w:szCs w:val="21"/>
                <w:lang w:eastAsia="zh-CN"/>
              </w:rPr>
              <w:t>分，不符合扣</w:t>
            </w:r>
            <w:r>
              <w:rPr>
                <w:spacing w:val="-35"/>
                <w:sz w:val="21"/>
                <w:szCs w:val="21"/>
                <w:lang w:eastAsia="zh-CN"/>
              </w:rPr>
              <w:t xml:space="preserve"> </w:t>
            </w:r>
            <w:r>
              <w:rPr>
                <w:spacing w:val="4"/>
                <w:sz w:val="21"/>
                <w:szCs w:val="21"/>
                <w:lang w:eastAsia="zh-CN"/>
              </w:rPr>
              <w:t>3</w:t>
            </w:r>
            <w:r>
              <w:rPr>
                <w:spacing w:val="-35"/>
                <w:sz w:val="21"/>
                <w:szCs w:val="21"/>
                <w:lang w:eastAsia="zh-CN"/>
              </w:rPr>
              <w:t xml:space="preserve"> </w:t>
            </w:r>
            <w:r>
              <w:rPr>
                <w:spacing w:val="4"/>
                <w:sz w:val="21"/>
                <w:szCs w:val="21"/>
                <w:lang w:eastAsia="zh-CN"/>
              </w:rPr>
              <w:t>分）</w:t>
            </w:r>
          </w:p>
        </w:tc>
        <w:tc>
          <w:tcPr>
            <w:tcW w:w="682" w:type="pct"/>
          </w:tcPr>
          <w:p w14:paraId="6E05FE62">
            <w:pPr>
              <w:rPr>
                <w:rFonts w:hint="eastAsia" w:ascii="Arial"/>
                <w:szCs w:val="21"/>
              </w:rPr>
            </w:pPr>
          </w:p>
        </w:tc>
        <w:tc>
          <w:tcPr>
            <w:tcW w:w="647" w:type="pct"/>
          </w:tcPr>
          <w:p w14:paraId="1EBF23B2">
            <w:pPr>
              <w:rPr>
                <w:rFonts w:hint="eastAsia" w:ascii="Arial"/>
                <w:szCs w:val="21"/>
              </w:rPr>
            </w:pPr>
          </w:p>
        </w:tc>
      </w:tr>
      <w:tr w14:paraId="78CC1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448" w:type="pct"/>
            <w:vMerge w:val="continue"/>
            <w:tcBorders>
              <w:top w:val="nil"/>
              <w:bottom w:val="nil"/>
            </w:tcBorders>
          </w:tcPr>
          <w:p w14:paraId="63B905DE">
            <w:pPr>
              <w:rPr>
                <w:rFonts w:hint="eastAsia" w:ascii="Arial"/>
                <w:szCs w:val="21"/>
              </w:rPr>
            </w:pPr>
          </w:p>
        </w:tc>
        <w:tc>
          <w:tcPr>
            <w:tcW w:w="684" w:type="pct"/>
            <w:vMerge w:val="continue"/>
            <w:tcBorders>
              <w:top w:val="nil"/>
              <w:bottom w:val="nil"/>
            </w:tcBorders>
          </w:tcPr>
          <w:p w14:paraId="5E170591">
            <w:pPr>
              <w:rPr>
                <w:rFonts w:hint="eastAsia" w:ascii="Arial"/>
                <w:szCs w:val="21"/>
              </w:rPr>
            </w:pPr>
          </w:p>
        </w:tc>
        <w:tc>
          <w:tcPr>
            <w:tcW w:w="2537" w:type="pct"/>
          </w:tcPr>
          <w:p w14:paraId="370DA4C1">
            <w:pPr>
              <w:pStyle w:val="208"/>
              <w:spacing w:before="34" w:line="359" w:lineRule="auto"/>
              <w:ind w:left="123" w:right="261" w:firstLine="412"/>
              <w:rPr>
                <w:rFonts w:hint="eastAsia"/>
                <w:sz w:val="21"/>
                <w:szCs w:val="21"/>
              </w:rPr>
            </w:pPr>
            <w:r>
              <w:rPr>
                <w:spacing w:val="7"/>
                <w:sz w:val="21"/>
                <w:szCs w:val="21"/>
                <w:lang w:eastAsia="zh-CN"/>
              </w:rPr>
              <w:t>2、操作间地面、厨具、餐具干净、整洁。</w:t>
            </w:r>
            <w:r>
              <w:rPr>
                <w:spacing w:val="1"/>
                <w:sz w:val="21"/>
                <w:szCs w:val="21"/>
                <w:lang w:eastAsia="zh-CN"/>
              </w:rPr>
              <w:t xml:space="preserve"> </w:t>
            </w:r>
            <w:r>
              <w:rPr>
                <w:spacing w:val="2"/>
                <w:sz w:val="21"/>
                <w:szCs w:val="21"/>
              </w:rPr>
              <w:t>（共</w:t>
            </w:r>
            <w:r>
              <w:rPr>
                <w:spacing w:val="-30"/>
                <w:sz w:val="21"/>
                <w:szCs w:val="21"/>
              </w:rPr>
              <w:t xml:space="preserve"> </w:t>
            </w:r>
            <w:r>
              <w:rPr>
                <w:spacing w:val="2"/>
                <w:sz w:val="21"/>
                <w:szCs w:val="21"/>
              </w:rPr>
              <w:t>2</w:t>
            </w:r>
            <w:r>
              <w:rPr>
                <w:spacing w:val="-35"/>
                <w:sz w:val="21"/>
                <w:szCs w:val="21"/>
              </w:rPr>
              <w:t xml:space="preserve"> </w:t>
            </w:r>
            <w:r>
              <w:rPr>
                <w:spacing w:val="2"/>
                <w:sz w:val="21"/>
                <w:szCs w:val="21"/>
              </w:rPr>
              <w:t>分，不符合扣</w:t>
            </w:r>
            <w:r>
              <w:rPr>
                <w:spacing w:val="-34"/>
                <w:sz w:val="21"/>
                <w:szCs w:val="21"/>
              </w:rPr>
              <w:t xml:space="preserve"> </w:t>
            </w:r>
            <w:r>
              <w:rPr>
                <w:spacing w:val="2"/>
                <w:sz w:val="21"/>
                <w:szCs w:val="21"/>
              </w:rPr>
              <w:t>2</w:t>
            </w:r>
            <w:r>
              <w:rPr>
                <w:spacing w:val="-36"/>
                <w:sz w:val="21"/>
                <w:szCs w:val="21"/>
              </w:rPr>
              <w:t xml:space="preserve"> </w:t>
            </w:r>
            <w:r>
              <w:rPr>
                <w:spacing w:val="2"/>
                <w:sz w:val="21"/>
                <w:szCs w:val="21"/>
              </w:rPr>
              <w:t>分）</w:t>
            </w:r>
          </w:p>
        </w:tc>
        <w:tc>
          <w:tcPr>
            <w:tcW w:w="682" w:type="pct"/>
          </w:tcPr>
          <w:p w14:paraId="1CDBAA2C">
            <w:pPr>
              <w:rPr>
                <w:rFonts w:hint="eastAsia" w:ascii="Arial"/>
                <w:szCs w:val="21"/>
              </w:rPr>
            </w:pPr>
          </w:p>
        </w:tc>
        <w:tc>
          <w:tcPr>
            <w:tcW w:w="647" w:type="pct"/>
          </w:tcPr>
          <w:p w14:paraId="4E3B8AB5">
            <w:pPr>
              <w:rPr>
                <w:rFonts w:hint="eastAsia" w:ascii="Arial"/>
                <w:szCs w:val="21"/>
              </w:rPr>
            </w:pPr>
          </w:p>
        </w:tc>
      </w:tr>
      <w:tr w14:paraId="1D040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448" w:type="pct"/>
            <w:vMerge w:val="continue"/>
            <w:tcBorders>
              <w:top w:val="nil"/>
              <w:bottom w:val="nil"/>
            </w:tcBorders>
          </w:tcPr>
          <w:p w14:paraId="5DF5C957">
            <w:pPr>
              <w:rPr>
                <w:rFonts w:hint="eastAsia" w:ascii="Arial"/>
                <w:szCs w:val="21"/>
              </w:rPr>
            </w:pPr>
          </w:p>
        </w:tc>
        <w:tc>
          <w:tcPr>
            <w:tcW w:w="684" w:type="pct"/>
            <w:vMerge w:val="continue"/>
            <w:tcBorders>
              <w:top w:val="nil"/>
              <w:bottom w:val="nil"/>
            </w:tcBorders>
          </w:tcPr>
          <w:p w14:paraId="3F01ABB5">
            <w:pPr>
              <w:rPr>
                <w:rFonts w:hint="eastAsia" w:ascii="Arial"/>
                <w:szCs w:val="21"/>
              </w:rPr>
            </w:pPr>
          </w:p>
        </w:tc>
        <w:tc>
          <w:tcPr>
            <w:tcW w:w="2537" w:type="pct"/>
          </w:tcPr>
          <w:p w14:paraId="6F2D3A3C">
            <w:pPr>
              <w:pStyle w:val="208"/>
              <w:spacing w:before="34" w:line="359" w:lineRule="auto"/>
              <w:ind w:left="113" w:right="435" w:firstLine="424"/>
              <w:rPr>
                <w:rFonts w:hint="eastAsia"/>
                <w:sz w:val="21"/>
                <w:szCs w:val="21"/>
                <w:lang w:eastAsia="zh-CN"/>
              </w:rPr>
            </w:pPr>
            <w:r>
              <w:rPr>
                <w:spacing w:val="8"/>
                <w:sz w:val="21"/>
                <w:szCs w:val="21"/>
                <w:lang w:eastAsia="zh-CN"/>
              </w:rPr>
              <w:t>3、卫生管理制度挂上墙，卫生责任人明</w:t>
            </w:r>
            <w:r>
              <w:rPr>
                <w:spacing w:val="4"/>
                <w:sz w:val="21"/>
                <w:szCs w:val="21"/>
                <w:lang w:eastAsia="zh-CN"/>
              </w:rPr>
              <w:t>确。（共</w:t>
            </w:r>
            <w:r>
              <w:rPr>
                <w:spacing w:val="-20"/>
                <w:sz w:val="21"/>
                <w:szCs w:val="21"/>
                <w:lang w:eastAsia="zh-CN"/>
              </w:rPr>
              <w:t xml:space="preserve"> </w:t>
            </w:r>
            <w:r>
              <w:rPr>
                <w:spacing w:val="4"/>
                <w:sz w:val="21"/>
                <w:szCs w:val="21"/>
                <w:lang w:eastAsia="zh-CN"/>
              </w:rPr>
              <w:t>2</w:t>
            </w:r>
            <w:r>
              <w:rPr>
                <w:spacing w:val="-36"/>
                <w:sz w:val="21"/>
                <w:szCs w:val="21"/>
                <w:lang w:eastAsia="zh-CN"/>
              </w:rPr>
              <w:t xml:space="preserve"> </w:t>
            </w:r>
            <w:r>
              <w:rPr>
                <w:spacing w:val="4"/>
                <w:sz w:val="21"/>
                <w:szCs w:val="21"/>
                <w:lang w:eastAsia="zh-CN"/>
              </w:rPr>
              <w:t>分，任何一项不符合扣</w:t>
            </w:r>
            <w:r>
              <w:rPr>
                <w:spacing w:val="-21"/>
                <w:sz w:val="21"/>
                <w:szCs w:val="21"/>
                <w:lang w:eastAsia="zh-CN"/>
              </w:rPr>
              <w:t xml:space="preserve"> </w:t>
            </w:r>
            <w:r>
              <w:rPr>
                <w:spacing w:val="4"/>
                <w:sz w:val="21"/>
                <w:szCs w:val="21"/>
                <w:lang w:eastAsia="zh-CN"/>
              </w:rPr>
              <w:t>1</w:t>
            </w:r>
            <w:r>
              <w:rPr>
                <w:spacing w:val="-36"/>
                <w:sz w:val="21"/>
                <w:szCs w:val="21"/>
                <w:lang w:eastAsia="zh-CN"/>
              </w:rPr>
              <w:t xml:space="preserve"> </w:t>
            </w:r>
            <w:r>
              <w:rPr>
                <w:spacing w:val="4"/>
                <w:sz w:val="21"/>
                <w:szCs w:val="21"/>
                <w:lang w:eastAsia="zh-CN"/>
              </w:rPr>
              <w:t>分）</w:t>
            </w:r>
          </w:p>
        </w:tc>
        <w:tc>
          <w:tcPr>
            <w:tcW w:w="682" w:type="pct"/>
          </w:tcPr>
          <w:p w14:paraId="0FF24B04">
            <w:pPr>
              <w:rPr>
                <w:rFonts w:hint="eastAsia" w:ascii="Arial"/>
                <w:szCs w:val="21"/>
              </w:rPr>
            </w:pPr>
          </w:p>
        </w:tc>
        <w:tc>
          <w:tcPr>
            <w:tcW w:w="647" w:type="pct"/>
          </w:tcPr>
          <w:p w14:paraId="5894164F">
            <w:pPr>
              <w:rPr>
                <w:rFonts w:hint="eastAsia" w:ascii="Arial"/>
                <w:szCs w:val="21"/>
              </w:rPr>
            </w:pPr>
          </w:p>
        </w:tc>
      </w:tr>
      <w:tr w14:paraId="06329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jc w:val="center"/>
        </w:trPr>
        <w:tc>
          <w:tcPr>
            <w:tcW w:w="448" w:type="pct"/>
            <w:vMerge w:val="continue"/>
            <w:tcBorders>
              <w:top w:val="nil"/>
              <w:bottom w:val="nil"/>
            </w:tcBorders>
          </w:tcPr>
          <w:p w14:paraId="7D3556BC">
            <w:pPr>
              <w:rPr>
                <w:rFonts w:hint="eastAsia" w:ascii="Arial"/>
                <w:szCs w:val="21"/>
              </w:rPr>
            </w:pPr>
          </w:p>
        </w:tc>
        <w:tc>
          <w:tcPr>
            <w:tcW w:w="684" w:type="pct"/>
            <w:vMerge w:val="continue"/>
            <w:tcBorders>
              <w:top w:val="nil"/>
              <w:bottom w:val="nil"/>
            </w:tcBorders>
          </w:tcPr>
          <w:p w14:paraId="362726C6">
            <w:pPr>
              <w:rPr>
                <w:rFonts w:hint="eastAsia" w:ascii="Arial"/>
                <w:szCs w:val="21"/>
              </w:rPr>
            </w:pPr>
          </w:p>
        </w:tc>
        <w:tc>
          <w:tcPr>
            <w:tcW w:w="2537" w:type="pct"/>
          </w:tcPr>
          <w:p w14:paraId="6E7D84A2">
            <w:pPr>
              <w:pStyle w:val="208"/>
              <w:spacing w:before="34" w:line="362" w:lineRule="auto"/>
              <w:ind w:left="116" w:right="226" w:firstLine="416"/>
              <w:rPr>
                <w:rFonts w:hint="eastAsia"/>
                <w:sz w:val="21"/>
                <w:szCs w:val="21"/>
                <w:lang w:eastAsia="zh-CN"/>
              </w:rPr>
            </w:pPr>
            <w:r>
              <w:rPr>
                <w:spacing w:val="9"/>
                <w:sz w:val="21"/>
                <w:szCs w:val="21"/>
                <w:lang w:eastAsia="zh-CN"/>
              </w:rPr>
              <w:t>4、每层配置一间熟食间，生、熟用具严格</w:t>
            </w:r>
            <w:r>
              <w:rPr>
                <w:spacing w:val="1"/>
                <w:sz w:val="21"/>
                <w:szCs w:val="21"/>
                <w:lang w:eastAsia="zh-CN"/>
              </w:rPr>
              <w:t xml:space="preserve"> </w:t>
            </w:r>
            <w:r>
              <w:rPr>
                <w:spacing w:val="9"/>
                <w:sz w:val="21"/>
                <w:szCs w:val="21"/>
                <w:lang w:eastAsia="zh-CN"/>
              </w:rPr>
              <w:t>分开并有明显标识，熟食间制售做到专人、专</w:t>
            </w:r>
            <w:r>
              <w:rPr>
                <w:spacing w:val="7"/>
                <w:sz w:val="21"/>
                <w:szCs w:val="21"/>
                <w:lang w:eastAsia="zh-CN"/>
              </w:rPr>
              <w:t>室、专消毒、专冷藏、专用具。（共</w:t>
            </w:r>
            <w:r>
              <w:rPr>
                <w:spacing w:val="-18"/>
                <w:sz w:val="21"/>
                <w:szCs w:val="21"/>
                <w:lang w:eastAsia="zh-CN"/>
              </w:rPr>
              <w:t xml:space="preserve"> </w:t>
            </w:r>
            <w:r>
              <w:rPr>
                <w:spacing w:val="7"/>
                <w:sz w:val="21"/>
                <w:szCs w:val="21"/>
                <w:lang w:eastAsia="zh-CN"/>
              </w:rPr>
              <w:t>3</w:t>
            </w:r>
            <w:r>
              <w:rPr>
                <w:spacing w:val="-35"/>
                <w:sz w:val="21"/>
                <w:szCs w:val="21"/>
                <w:lang w:eastAsia="zh-CN"/>
              </w:rPr>
              <w:t xml:space="preserve"> </w:t>
            </w:r>
            <w:r>
              <w:rPr>
                <w:spacing w:val="7"/>
                <w:sz w:val="21"/>
                <w:szCs w:val="21"/>
                <w:lang w:eastAsia="zh-CN"/>
              </w:rPr>
              <w:t>分，任何</w:t>
            </w:r>
            <w:r>
              <w:rPr>
                <w:spacing w:val="2"/>
                <w:sz w:val="21"/>
                <w:szCs w:val="21"/>
                <w:lang w:eastAsia="zh-CN"/>
              </w:rPr>
              <w:t>一项不符合扣</w:t>
            </w:r>
            <w:r>
              <w:rPr>
                <w:spacing w:val="-18"/>
                <w:sz w:val="21"/>
                <w:szCs w:val="21"/>
                <w:lang w:eastAsia="zh-CN"/>
              </w:rPr>
              <w:t xml:space="preserve"> </w:t>
            </w:r>
            <w:r>
              <w:rPr>
                <w:spacing w:val="2"/>
                <w:sz w:val="21"/>
                <w:szCs w:val="21"/>
                <w:lang w:eastAsia="zh-CN"/>
              </w:rPr>
              <w:t>1</w:t>
            </w:r>
            <w:r>
              <w:rPr>
                <w:spacing w:val="-35"/>
                <w:sz w:val="21"/>
                <w:szCs w:val="21"/>
                <w:lang w:eastAsia="zh-CN"/>
              </w:rPr>
              <w:t xml:space="preserve"> </w:t>
            </w:r>
            <w:r>
              <w:rPr>
                <w:spacing w:val="2"/>
                <w:sz w:val="21"/>
                <w:szCs w:val="21"/>
                <w:lang w:eastAsia="zh-CN"/>
              </w:rPr>
              <w:t>分）</w:t>
            </w:r>
          </w:p>
        </w:tc>
        <w:tc>
          <w:tcPr>
            <w:tcW w:w="682" w:type="pct"/>
          </w:tcPr>
          <w:p w14:paraId="5C2EEF6D">
            <w:pPr>
              <w:rPr>
                <w:rFonts w:hint="eastAsia" w:ascii="Arial"/>
                <w:szCs w:val="21"/>
              </w:rPr>
            </w:pPr>
          </w:p>
        </w:tc>
        <w:tc>
          <w:tcPr>
            <w:tcW w:w="647" w:type="pct"/>
          </w:tcPr>
          <w:p w14:paraId="26E9BA79">
            <w:pPr>
              <w:rPr>
                <w:rFonts w:hint="eastAsia" w:ascii="Arial"/>
                <w:szCs w:val="21"/>
              </w:rPr>
            </w:pPr>
          </w:p>
        </w:tc>
      </w:tr>
      <w:tr w14:paraId="7FCEE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448" w:type="pct"/>
            <w:vMerge w:val="continue"/>
            <w:tcBorders>
              <w:top w:val="nil"/>
              <w:bottom w:val="nil"/>
            </w:tcBorders>
          </w:tcPr>
          <w:p w14:paraId="7DD6A359">
            <w:pPr>
              <w:rPr>
                <w:rFonts w:hint="eastAsia" w:ascii="Arial"/>
                <w:szCs w:val="21"/>
              </w:rPr>
            </w:pPr>
          </w:p>
        </w:tc>
        <w:tc>
          <w:tcPr>
            <w:tcW w:w="684" w:type="pct"/>
            <w:vMerge w:val="continue"/>
            <w:tcBorders>
              <w:top w:val="nil"/>
              <w:bottom w:val="nil"/>
            </w:tcBorders>
          </w:tcPr>
          <w:p w14:paraId="537F0DB7">
            <w:pPr>
              <w:rPr>
                <w:rFonts w:hint="eastAsia" w:ascii="Arial"/>
                <w:szCs w:val="21"/>
              </w:rPr>
            </w:pPr>
          </w:p>
        </w:tc>
        <w:tc>
          <w:tcPr>
            <w:tcW w:w="2537" w:type="pct"/>
          </w:tcPr>
          <w:p w14:paraId="457A9284">
            <w:pPr>
              <w:pStyle w:val="208"/>
              <w:spacing w:before="36" w:line="358" w:lineRule="auto"/>
              <w:ind w:left="123" w:right="261" w:firstLine="414"/>
              <w:rPr>
                <w:rFonts w:hint="eastAsia"/>
                <w:sz w:val="21"/>
                <w:szCs w:val="21"/>
              </w:rPr>
            </w:pPr>
            <w:r>
              <w:rPr>
                <w:spacing w:val="7"/>
                <w:sz w:val="21"/>
                <w:szCs w:val="21"/>
                <w:lang w:eastAsia="zh-CN"/>
              </w:rPr>
              <w:t>5、厨房餐具、用具实行液浸和高温消毒。</w:t>
            </w:r>
            <w:r>
              <w:rPr>
                <w:sz w:val="21"/>
                <w:szCs w:val="21"/>
                <w:lang w:eastAsia="zh-CN"/>
              </w:rPr>
              <w:t xml:space="preserve"> </w:t>
            </w:r>
            <w:r>
              <w:rPr>
                <w:spacing w:val="2"/>
                <w:sz w:val="21"/>
                <w:szCs w:val="21"/>
              </w:rPr>
              <w:t>（共</w:t>
            </w:r>
            <w:r>
              <w:rPr>
                <w:spacing w:val="-30"/>
                <w:sz w:val="21"/>
                <w:szCs w:val="21"/>
              </w:rPr>
              <w:t xml:space="preserve"> </w:t>
            </w:r>
            <w:r>
              <w:rPr>
                <w:spacing w:val="2"/>
                <w:sz w:val="21"/>
                <w:szCs w:val="21"/>
              </w:rPr>
              <w:t>2</w:t>
            </w:r>
            <w:r>
              <w:rPr>
                <w:spacing w:val="-35"/>
                <w:sz w:val="21"/>
                <w:szCs w:val="21"/>
              </w:rPr>
              <w:t xml:space="preserve"> </w:t>
            </w:r>
            <w:r>
              <w:rPr>
                <w:spacing w:val="2"/>
                <w:sz w:val="21"/>
                <w:szCs w:val="21"/>
              </w:rPr>
              <w:t>分，不符合扣</w:t>
            </w:r>
            <w:r>
              <w:rPr>
                <w:spacing w:val="-34"/>
                <w:sz w:val="21"/>
                <w:szCs w:val="21"/>
              </w:rPr>
              <w:t xml:space="preserve"> </w:t>
            </w:r>
            <w:r>
              <w:rPr>
                <w:spacing w:val="2"/>
                <w:sz w:val="21"/>
                <w:szCs w:val="21"/>
              </w:rPr>
              <w:t>2</w:t>
            </w:r>
            <w:r>
              <w:rPr>
                <w:spacing w:val="-36"/>
                <w:sz w:val="21"/>
                <w:szCs w:val="21"/>
              </w:rPr>
              <w:t xml:space="preserve"> </w:t>
            </w:r>
            <w:r>
              <w:rPr>
                <w:spacing w:val="2"/>
                <w:sz w:val="21"/>
                <w:szCs w:val="21"/>
              </w:rPr>
              <w:t>分）</w:t>
            </w:r>
          </w:p>
        </w:tc>
        <w:tc>
          <w:tcPr>
            <w:tcW w:w="682" w:type="pct"/>
          </w:tcPr>
          <w:p w14:paraId="2BDD99C7">
            <w:pPr>
              <w:rPr>
                <w:rFonts w:hint="eastAsia" w:ascii="Arial"/>
                <w:szCs w:val="21"/>
              </w:rPr>
            </w:pPr>
          </w:p>
        </w:tc>
        <w:tc>
          <w:tcPr>
            <w:tcW w:w="647" w:type="pct"/>
          </w:tcPr>
          <w:p w14:paraId="410F8F81">
            <w:pPr>
              <w:rPr>
                <w:rFonts w:hint="eastAsia" w:ascii="Arial"/>
                <w:szCs w:val="21"/>
              </w:rPr>
            </w:pPr>
          </w:p>
        </w:tc>
      </w:tr>
      <w:tr w14:paraId="6F363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448" w:type="pct"/>
            <w:vMerge w:val="continue"/>
            <w:tcBorders>
              <w:top w:val="nil"/>
              <w:bottom w:val="nil"/>
            </w:tcBorders>
          </w:tcPr>
          <w:p w14:paraId="3E8B780F">
            <w:pPr>
              <w:rPr>
                <w:rFonts w:hint="eastAsia" w:ascii="Arial"/>
                <w:szCs w:val="21"/>
              </w:rPr>
            </w:pPr>
          </w:p>
        </w:tc>
        <w:tc>
          <w:tcPr>
            <w:tcW w:w="684" w:type="pct"/>
            <w:vMerge w:val="continue"/>
            <w:tcBorders>
              <w:top w:val="nil"/>
              <w:bottom w:val="nil"/>
            </w:tcBorders>
          </w:tcPr>
          <w:p w14:paraId="70EC7F70">
            <w:pPr>
              <w:rPr>
                <w:rFonts w:hint="eastAsia" w:ascii="Arial"/>
                <w:szCs w:val="21"/>
              </w:rPr>
            </w:pPr>
          </w:p>
        </w:tc>
        <w:tc>
          <w:tcPr>
            <w:tcW w:w="2537" w:type="pct"/>
          </w:tcPr>
          <w:p w14:paraId="659A28DE">
            <w:pPr>
              <w:pStyle w:val="208"/>
              <w:spacing w:before="36" w:line="358" w:lineRule="auto"/>
              <w:ind w:left="114" w:right="226" w:firstLine="420"/>
              <w:rPr>
                <w:rFonts w:hint="eastAsia"/>
                <w:sz w:val="21"/>
                <w:szCs w:val="21"/>
                <w:lang w:eastAsia="zh-CN"/>
              </w:rPr>
            </w:pPr>
            <w:r>
              <w:rPr>
                <w:spacing w:val="9"/>
                <w:sz w:val="21"/>
                <w:szCs w:val="21"/>
                <w:lang w:eastAsia="zh-CN"/>
              </w:rPr>
              <w:t>6、员工统一着装，衣帽整洁，戴口罩和手</w:t>
            </w:r>
            <w:r>
              <w:rPr>
                <w:spacing w:val="4"/>
                <w:sz w:val="21"/>
                <w:szCs w:val="21"/>
                <w:lang w:eastAsia="zh-CN"/>
              </w:rPr>
              <w:t>套。（共</w:t>
            </w:r>
            <w:r>
              <w:rPr>
                <w:spacing w:val="-21"/>
                <w:sz w:val="21"/>
                <w:szCs w:val="21"/>
                <w:lang w:eastAsia="zh-CN"/>
              </w:rPr>
              <w:t xml:space="preserve"> </w:t>
            </w:r>
            <w:r>
              <w:rPr>
                <w:spacing w:val="4"/>
                <w:sz w:val="21"/>
                <w:szCs w:val="21"/>
                <w:lang w:eastAsia="zh-CN"/>
              </w:rPr>
              <w:t>2</w:t>
            </w:r>
            <w:r>
              <w:rPr>
                <w:spacing w:val="-36"/>
                <w:sz w:val="21"/>
                <w:szCs w:val="21"/>
                <w:lang w:eastAsia="zh-CN"/>
              </w:rPr>
              <w:t xml:space="preserve"> </w:t>
            </w:r>
            <w:r>
              <w:rPr>
                <w:spacing w:val="4"/>
                <w:sz w:val="21"/>
                <w:szCs w:val="21"/>
                <w:lang w:eastAsia="zh-CN"/>
              </w:rPr>
              <w:t>分，任何一项不符合扣</w:t>
            </w:r>
            <w:r>
              <w:rPr>
                <w:spacing w:val="-21"/>
                <w:sz w:val="21"/>
                <w:szCs w:val="21"/>
                <w:lang w:eastAsia="zh-CN"/>
              </w:rPr>
              <w:t xml:space="preserve"> </w:t>
            </w:r>
            <w:r>
              <w:rPr>
                <w:spacing w:val="4"/>
                <w:sz w:val="21"/>
                <w:szCs w:val="21"/>
                <w:lang w:eastAsia="zh-CN"/>
              </w:rPr>
              <w:t>1</w:t>
            </w:r>
            <w:r>
              <w:rPr>
                <w:spacing w:val="-35"/>
                <w:sz w:val="21"/>
                <w:szCs w:val="21"/>
                <w:lang w:eastAsia="zh-CN"/>
              </w:rPr>
              <w:t xml:space="preserve"> </w:t>
            </w:r>
            <w:r>
              <w:rPr>
                <w:spacing w:val="4"/>
                <w:sz w:val="21"/>
                <w:szCs w:val="21"/>
                <w:lang w:eastAsia="zh-CN"/>
              </w:rPr>
              <w:t>分）</w:t>
            </w:r>
          </w:p>
        </w:tc>
        <w:tc>
          <w:tcPr>
            <w:tcW w:w="682" w:type="pct"/>
          </w:tcPr>
          <w:p w14:paraId="0DFA6E6F">
            <w:pPr>
              <w:rPr>
                <w:rFonts w:hint="eastAsia" w:ascii="Arial"/>
                <w:szCs w:val="21"/>
              </w:rPr>
            </w:pPr>
          </w:p>
        </w:tc>
        <w:tc>
          <w:tcPr>
            <w:tcW w:w="647" w:type="pct"/>
          </w:tcPr>
          <w:p w14:paraId="69A6D1BF">
            <w:pPr>
              <w:rPr>
                <w:rFonts w:hint="eastAsia" w:ascii="Arial"/>
                <w:szCs w:val="21"/>
              </w:rPr>
            </w:pPr>
          </w:p>
        </w:tc>
      </w:tr>
      <w:tr w14:paraId="5F296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jc w:val="center"/>
        </w:trPr>
        <w:tc>
          <w:tcPr>
            <w:tcW w:w="448" w:type="pct"/>
            <w:vMerge w:val="continue"/>
            <w:tcBorders>
              <w:top w:val="nil"/>
              <w:bottom w:val="nil"/>
            </w:tcBorders>
          </w:tcPr>
          <w:p w14:paraId="0E29F5A7">
            <w:pPr>
              <w:rPr>
                <w:rFonts w:hint="eastAsia" w:ascii="Arial"/>
                <w:szCs w:val="21"/>
              </w:rPr>
            </w:pPr>
          </w:p>
        </w:tc>
        <w:tc>
          <w:tcPr>
            <w:tcW w:w="684" w:type="pct"/>
            <w:vMerge w:val="continue"/>
            <w:tcBorders>
              <w:top w:val="nil"/>
              <w:bottom w:val="nil"/>
            </w:tcBorders>
          </w:tcPr>
          <w:p w14:paraId="0492CEE4">
            <w:pPr>
              <w:rPr>
                <w:rFonts w:hint="eastAsia" w:ascii="Arial"/>
                <w:szCs w:val="21"/>
              </w:rPr>
            </w:pPr>
          </w:p>
        </w:tc>
        <w:tc>
          <w:tcPr>
            <w:tcW w:w="2537" w:type="pct"/>
          </w:tcPr>
          <w:p w14:paraId="4F06234A">
            <w:pPr>
              <w:pStyle w:val="208"/>
              <w:spacing w:before="33" w:line="365" w:lineRule="auto"/>
              <w:ind w:left="114" w:right="118" w:firstLine="424"/>
              <w:rPr>
                <w:rFonts w:hint="eastAsia"/>
                <w:sz w:val="21"/>
                <w:szCs w:val="21"/>
                <w:lang w:eastAsia="zh-CN"/>
              </w:rPr>
            </w:pPr>
            <w:r>
              <w:rPr>
                <w:spacing w:val="8"/>
                <w:sz w:val="21"/>
                <w:szCs w:val="21"/>
                <w:lang w:eastAsia="zh-CN"/>
              </w:rPr>
              <w:t>7、消防设施完好齐全，随时可用，灭火器</w:t>
            </w:r>
            <w:r>
              <w:rPr>
                <w:spacing w:val="7"/>
                <w:sz w:val="21"/>
                <w:szCs w:val="21"/>
                <w:lang w:eastAsia="zh-CN"/>
              </w:rPr>
              <w:t xml:space="preserve">  </w:t>
            </w:r>
            <w:r>
              <w:rPr>
                <w:spacing w:val="9"/>
                <w:sz w:val="21"/>
                <w:szCs w:val="21"/>
                <w:lang w:eastAsia="zh-CN"/>
              </w:rPr>
              <w:t>不过期，消防通道畅通，消防检查登记表。（共</w:t>
            </w:r>
            <w:r>
              <w:rPr>
                <w:spacing w:val="10"/>
                <w:sz w:val="21"/>
                <w:szCs w:val="21"/>
                <w:lang w:eastAsia="zh-CN"/>
              </w:rPr>
              <w:t xml:space="preserve"> </w:t>
            </w:r>
            <w:r>
              <w:rPr>
                <w:spacing w:val="5"/>
                <w:sz w:val="21"/>
                <w:szCs w:val="21"/>
                <w:lang w:eastAsia="zh-CN"/>
              </w:rPr>
              <w:t>8</w:t>
            </w:r>
            <w:r>
              <w:rPr>
                <w:spacing w:val="-35"/>
                <w:sz w:val="21"/>
                <w:szCs w:val="21"/>
                <w:lang w:eastAsia="zh-CN"/>
              </w:rPr>
              <w:t xml:space="preserve"> </w:t>
            </w:r>
            <w:r>
              <w:rPr>
                <w:spacing w:val="5"/>
                <w:sz w:val="21"/>
                <w:szCs w:val="21"/>
                <w:lang w:eastAsia="zh-CN"/>
              </w:rPr>
              <w:t>分，任何一项不符合扣</w:t>
            </w:r>
            <w:r>
              <w:rPr>
                <w:spacing w:val="-34"/>
                <w:sz w:val="21"/>
                <w:szCs w:val="21"/>
                <w:lang w:eastAsia="zh-CN"/>
              </w:rPr>
              <w:t xml:space="preserve"> </w:t>
            </w:r>
            <w:r>
              <w:rPr>
                <w:spacing w:val="5"/>
                <w:sz w:val="21"/>
                <w:szCs w:val="21"/>
                <w:lang w:eastAsia="zh-CN"/>
              </w:rPr>
              <w:t>2</w:t>
            </w:r>
            <w:r>
              <w:rPr>
                <w:spacing w:val="-35"/>
                <w:sz w:val="21"/>
                <w:szCs w:val="21"/>
                <w:lang w:eastAsia="zh-CN"/>
              </w:rPr>
              <w:t xml:space="preserve"> </w:t>
            </w:r>
            <w:r>
              <w:rPr>
                <w:spacing w:val="5"/>
                <w:sz w:val="21"/>
                <w:szCs w:val="21"/>
                <w:lang w:eastAsia="zh-CN"/>
              </w:rPr>
              <w:t>分）</w:t>
            </w:r>
          </w:p>
        </w:tc>
        <w:tc>
          <w:tcPr>
            <w:tcW w:w="682" w:type="pct"/>
          </w:tcPr>
          <w:p w14:paraId="2E4E15E7">
            <w:pPr>
              <w:rPr>
                <w:rFonts w:hint="eastAsia" w:ascii="Arial"/>
                <w:szCs w:val="21"/>
              </w:rPr>
            </w:pPr>
          </w:p>
        </w:tc>
        <w:tc>
          <w:tcPr>
            <w:tcW w:w="647" w:type="pct"/>
          </w:tcPr>
          <w:p w14:paraId="0249A854">
            <w:pPr>
              <w:rPr>
                <w:rFonts w:hint="eastAsia" w:ascii="Arial"/>
                <w:szCs w:val="21"/>
              </w:rPr>
            </w:pPr>
          </w:p>
        </w:tc>
      </w:tr>
      <w:tr w14:paraId="411F8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jc w:val="center"/>
        </w:trPr>
        <w:tc>
          <w:tcPr>
            <w:tcW w:w="448" w:type="pct"/>
            <w:vMerge w:val="continue"/>
            <w:tcBorders>
              <w:top w:val="nil"/>
              <w:bottom w:val="nil"/>
            </w:tcBorders>
          </w:tcPr>
          <w:p w14:paraId="56075B89">
            <w:pPr>
              <w:rPr>
                <w:rFonts w:hint="eastAsia" w:ascii="Arial"/>
                <w:szCs w:val="21"/>
              </w:rPr>
            </w:pPr>
          </w:p>
        </w:tc>
        <w:tc>
          <w:tcPr>
            <w:tcW w:w="684" w:type="pct"/>
            <w:vMerge w:val="continue"/>
            <w:tcBorders>
              <w:top w:val="nil"/>
              <w:bottom w:val="nil"/>
            </w:tcBorders>
          </w:tcPr>
          <w:p w14:paraId="1C522848">
            <w:pPr>
              <w:rPr>
                <w:rFonts w:hint="eastAsia" w:ascii="Arial"/>
                <w:szCs w:val="21"/>
              </w:rPr>
            </w:pPr>
          </w:p>
        </w:tc>
        <w:tc>
          <w:tcPr>
            <w:tcW w:w="2537" w:type="pct"/>
          </w:tcPr>
          <w:p w14:paraId="0DCF88A5">
            <w:pPr>
              <w:pStyle w:val="208"/>
              <w:spacing w:before="35" w:line="364" w:lineRule="auto"/>
              <w:ind w:left="114" w:right="118" w:firstLine="420"/>
              <w:rPr>
                <w:rFonts w:hint="eastAsia"/>
                <w:sz w:val="21"/>
                <w:szCs w:val="21"/>
                <w:lang w:eastAsia="zh-CN"/>
              </w:rPr>
            </w:pPr>
            <w:r>
              <w:rPr>
                <w:spacing w:val="9"/>
                <w:sz w:val="21"/>
                <w:szCs w:val="21"/>
                <w:lang w:eastAsia="zh-CN"/>
              </w:rPr>
              <w:t>8、规范使用和维护煤气管道，严禁乱接煤</w:t>
            </w:r>
            <w:r>
              <w:rPr>
                <w:sz w:val="21"/>
                <w:szCs w:val="21"/>
                <w:lang w:eastAsia="zh-CN"/>
              </w:rPr>
              <w:t xml:space="preserve">  </w:t>
            </w:r>
            <w:r>
              <w:rPr>
                <w:spacing w:val="8"/>
                <w:sz w:val="21"/>
                <w:szCs w:val="21"/>
                <w:lang w:eastAsia="zh-CN"/>
              </w:rPr>
              <w:t>气软管，严禁使用煤气罐。（共</w:t>
            </w:r>
            <w:r>
              <w:rPr>
                <w:spacing w:val="-34"/>
                <w:sz w:val="21"/>
                <w:szCs w:val="21"/>
                <w:lang w:eastAsia="zh-CN"/>
              </w:rPr>
              <w:t xml:space="preserve"> </w:t>
            </w:r>
            <w:r>
              <w:rPr>
                <w:spacing w:val="8"/>
                <w:sz w:val="21"/>
                <w:szCs w:val="21"/>
                <w:lang w:eastAsia="zh-CN"/>
              </w:rPr>
              <w:t>2</w:t>
            </w:r>
            <w:r>
              <w:rPr>
                <w:spacing w:val="-35"/>
                <w:sz w:val="21"/>
                <w:szCs w:val="21"/>
                <w:lang w:eastAsia="zh-CN"/>
              </w:rPr>
              <w:t xml:space="preserve"> </w:t>
            </w:r>
            <w:r>
              <w:rPr>
                <w:spacing w:val="8"/>
                <w:sz w:val="21"/>
                <w:szCs w:val="21"/>
                <w:lang w:eastAsia="zh-CN"/>
              </w:rPr>
              <w:t>分，不符合扣</w:t>
            </w:r>
            <w:r>
              <w:rPr>
                <w:sz w:val="21"/>
                <w:szCs w:val="21"/>
                <w:lang w:eastAsia="zh-CN"/>
              </w:rPr>
              <w:t xml:space="preserve"> </w:t>
            </w:r>
            <w:r>
              <w:rPr>
                <w:spacing w:val="-3"/>
                <w:sz w:val="21"/>
                <w:szCs w:val="21"/>
                <w:lang w:eastAsia="zh-CN"/>
              </w:rPr>
              <w:t>2</w:t>
            </w:r>
            <w:r>
              <w:rPr>
                <w:spacing w:val="-36"/>
                <w:sz w:val="21"/>
                <w:szCs w:val="21"/>
                <w:lang w:eastAsia="zh-CN"/>
              </w:rPr>
              <w:t xml:space="preserve"> </w:t>
            </w:r>
            <w:r>
              <w:rPr>
                <w:spacing w:val="-3"/>
                <w:sz w:val="21"/>
                <w:szCs w:val="21"/>
                <w:lang w:eastAsia="zh-CN"/>
              </w:rPr>
              <w:t>分）</w:t>
            </w:r>
          </w:p>
        </w:tc>
        <w:tc>
          <w:tcPr>
            <w:tcW w:w="682" w:type="pct"/>
          </w:tcPr>
          <w:p w14:paraId="20D0BFD9">
            <w:pPr>
              <w:rPr>
                <w:rFonts w:hint="eastAsia" w:ascii="Arial"/>
                <w:szCs w:val="21"/>
              </w:rPr>
            </w:pPr>
          </w:p>
        </w:tc>
        <w:tc>
          <w:tcPr>
            <w:tcW w:w="647" w:type="pct"/>
          </w:tcPr>
          <w:p w14:paraId="625967FB">
            <w:pPr>
              <w:rPr>
                <w:rFonts w:hint="eastAsia" w:ascii="Arial"/>
                <w:szCs w:val="21"/>
              </w:rPr>
            </w:pPr>
          </w:p>
        </w:tc>
      </w:tr>
      <w:tr w14:paraId="13EB2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448" w:type="pct"/>
            <w:vMerge w:val="continue"/>
            <w:tcBorders>
              <w:top w:val="nil"/>
            </w:tcBorders>
          </w:tcPr>
          <w:p w14:paraId="73B6AA2C">
            <w:pPr>
              <w:rPr>
                <w:rFonts w:hint="eastAsia" w:ascii="Arial"/>
                <w:szCs w:val="21"/>
              </w:rPr>
            </w:pPr>
          </w:p>
        </w:tc>
        <w:tc>
          <w:tcPr>
            <w:tcW w:w="684" w:type="pct"/>
            <w:vMerge w:val="continue"/>
            <w:tcBorders>
              <w:top w:val="nil"/>
            </w:tcBorders>
          </w:tcPr>
          <w:p w14:paraId="25847024">
            <w:pPr>
              <w:rPr>
                <w:rFonts w:hint="eastAsia" w:ascii="Arial"/>
                <w:szCs w:val="21"/>
              </w:rPr>
            </w:pPr>
          </w:p>
        </w:tc>
        <w:tc>
          <w:tcPr>
            <w:tcW w:w="2537" w:type="pct"/>
          </w:tcPr>
          <w:p w14:paraId="76CA3742">
            <w:pPr>
              <w:pStyle w:val="208"/>
              <w:spacing w:before="38" w:line="357" w:lineRule="auto"/>
              <w:ind w:left="113" w:right="226" w:firstLine="420"/>
              <w:rPr>
                <w:rFonts w:hint="eastAsia"/>
                <w:sz w:val="21"/>
                <w:szCs w:val="21"/>
                <w:lang w:eastAsia="zh-CN"/>
              </w:rPr>
            </w:pPr>
            <w:r>
              <w:rPr>
                <w:spacing w:val="9"/>
                <w:sz w:val="21"/>
                <w:szCs w:val="21"/>
                <w:lang w:eastAsia="zh-CN"/>
              </w:rPr>
              <w:t>9、冷藏柜不能有隔夜青菜、豆类等非肉类</w:t>
            </w:r>
            <w:r>
              <w:rPr>
                <w:spacing w:val="4"/>
                <w:sz w:val="21"/>
                <w:szCs w:val="21"/>
                <w:lang w:eastAsia="zh-CN"/>
              </w:rPr>
              <w:t>食物。（共2</w:t>
            </w:r>
            <w:r>
              <w:rPr>
                <w:spacing w:val="-36"/>
                <w:sz w:val="21"/>
                <w:szCs w:val="21"/>
                <w:lang w:eastAsia="zh-CN"/>
              </w:rPr>
              <w:t xml:space="preserve"> </w:t>
            </w:r>
            <w:r>
              <w:rPr>
                <w:spacing w:val="4"/>
                <w:sz w:val="21"/>
                <w:szCs w:val="21"/>
                <w:lang w:eastAsia="zh-CN"/>
              </w:rPr>
              <w:t>分，不符合扣</w:t>
            </w:r>
            <w:r>
              <w:rPr>
                <w:spacing w:val="-36"/>
                <w:sz w:val="21"/>
                <w:szCs w:val="21"/>
                <w:lang w:eastAsia="zh-CN"/>
              </w:rPr>
              <w:t xml:space="preserve"> </w:t>
            </w:r>
            <w:r>
              <w:rPr>
                <w:spacing w:val="4"/>
                <w:sz w:val="21"/>
                <w:szCs w:val="21"/>
                <w:lang w:eastAsia="zh-CN"/>
              </w:rPr>
              <w:t>2</w:t>
            </w:r>
            <w:r>
              <w:rPr>
                <w:spacing w:val="-36"/>
                <w:sz w:val="21"/>
                <w:szCs w:val="21"/>
                <w:lang w:eastAsia="zh-CN"/>
              </w:rPr>
              <w:t xml:space="preserve"> </w:t>
            </w:r>
            <w:r>
              <w:rPr>
                <w:spacing w:val="4"/>
                <w:sz w:val="21"/>
                <w:szCs w:val="21"/>
                <w:lang w:eastAsia="zh-CN"/>
              </w:rPr>
              <w:t>分）</w:t>
            </w:r>
          </w:p>
        </w:tc>
        <w:tc>
          <w:tcPr>
            <w:tcW w:w="682" w:type="pct"/>
          </w:tcPr>
          <w:p w14:paraId="1F0BA326">
            <w:pPr>
              <w:rPr>
                <w:rFonts w:hint="eastAsia" w:ascii="Arial"/>
                <w:szCs w:val="21"/>
              </w:rPr>
            </w:pPr>
          </w:p>
        </w:tc>
        <w:tc>
          <w:tcPr>
            <w:tcW w:w="647" w:type="pct"/>
          </w:tcPr>
          <w:p w14:paraId="77C9D36D">
            <w:pPr>
              <w:rPr>
                <w:rFonts w:hint="eastAsia" w:ascii="Arial"/>
                <w:szCs w:val="21"/>
              </w:rPr>
            </w:pPr>
          </w:p>
        </w:tc>
      </w:tr>
      <w:tr w14:paraId="785F7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448" w:type="pct"/>
            <w:vMerge w:val="restart"/>
            <w:tcBorders>
              <w:bottom w:val="nil"/>
            </w:tcBorders>
          </w:tcPr>
          <w:p w14:paraId="4FAE37DA">
            <w:pPr>
              <w:spacing w:line="264" w:lineRule="auto"/>
              <w:rPr>
                <w:rFonts w:hint="eastAsia" w:ascii="Arial"/>
                <w:szCs w:val="21"/>
              </w:rPr>
            </w:pPr>
          </w:p>
          <w:p w14:paraId="48268F25">
            <w:pPr>
              <w:spacing w:line="264" w:lineRule="auto"/>
              <w:rPr>
                <w:rFonts w:hint="eastAsia" w:ascii="Arial"/>
                <w:szCs w:val="21"/>
              </w:rPr>
            </w:pPr>
          </w:p>
          <w:p w14:paraId="68FCC88F">
            <w:pPr>
              <w:spacing w:line="264" w:lineRule="auto"/>
              <w:rPr>
                <w:rFonts w:hint="eastAsia" w:ascii="Arial"/>
                <w:szCs w:val="21"/>
              </w:rPr>
            </w:pPr>
          </w:p>
          <w:p w14:paraId="7D329A37">
            <w:pPr>
              <w:pStyle w:val="208"/>
              <w:spacing w:before="65" w:line="232" w:lineRule="auto"/>
              <w:ind w:left="355"/>
              <w:rPr>
                <w:rFonts w:hint="eastAsia"/>
                <w:sz w:val="21"/>
                <w:szCs w:val="21"/>
              </w:rPr>
            </w:pPr>
            <w:r>
              <w:rPr>
                <w:sz w:val="21"/>
                <w:szCs w:val="21"/>
              </w:rPr>
              <w:t>六</w:t>
            </w:r>
          </w:p>
        </w:tc>
        <w:tc>
          <w:tcPr>
            <w:tcW w:w="684" w:type="pct"/>
            <w:vMerge w:val="restart"/>
            <w:tcBorders>
              <w:bottom w:val="nil"/>
            </w:tcBorders>
          </w:tcPr>
          <w:p w14:paraId="3B4D9D8C">
            <w:pPr>
              <w:spacing w:line="295" w:lineRule="auto"/>
              <w:rPr>
                <w:rFonts w:hint="eastAsia" w:ascii="Arial"/>
                <w:szCs w:val="21"/>
              </w:rPr>
            </w:pPr>
          </w:p>
          <w:p w14:paraId="6558D8CD">
            <w:pPr>
              <w:spacing w:line="295" w:lineRule="auto"/>
              <w:rPr>
                <w:rFonts w:hint="eastAsia" w:ascii="Arial"/>
                <w:szCs w:val="21"/>
              </w:rPr>
            </w:pPr>
          </w:p>
          <w:p w14:paraId="09BB26F0">
            <w:pPr>
              <w:pStyle w:val="208"/>
              <w:spacing w:before="65" w:line="362" w:lineRule="auto"/>
              <w:ind w:left="121" w:right="223" w:hanging="8"/>
              <w:rPr>
                <w:rFonts w:hint="eastAsia"/>
                <w:sz w:val="21"/>
                <w:szCs w:val="21"/>
              </w:rPr>
            </w:pPr>
            <w:r>
              <w:rPr>
                <w:spacing w:val="6"/>
                <w:sz w:val="21"/>
                <w:szCs w:val="21"/>
              </w:rPr>
              <w:t>生产流程</w:t>
            </w:r>
            <w:r>
              <w:rPr>
                <w:spacing w:val="2"/>
                <w:sz w:val="21"/>
                <w:szCs w:val="21"/>
              </w:rPr>
              <w:t xml:space="preserve"> </w:t>
            </w:r>
            <w:r>
              <w:rPr>
                <w:spacing w:val="-2"/>
                <w:sz w:val="21"/>
                <w:szCs w:val="21"/>
              </w:rPr>
              <w:t>（9</w:t>
            </w:r>
            <w:r>
              <w:rPr>
                <w:spacing w:val="-36"/>
                <w:sz w:val="21"/>
                <w:szCs w:val="21"/>
              </w:rPr>
              <w:t xml:space="preserve"> </w:t>
            </w:r>
            <w:r>
              <w:rPr>
                <w:spacing w:val="-2"/>
                <w:sz w:val="21"/>
                <w:szCs w:val="21"/>
              </w:rPr>
              <w:t>分）</w:t>
            </w:r>
          </w:p>
        </w:tc>
        <w:tc>
          <w:tcPr>
            <w:tcW w:w="2537" w:type="pct"/>
          </w:tcPr>
          <w:p w14:paraId="6F6F18F2">
            <w:pPr>
              <w:pStyle w:val="208"/>
              <w:spacing w:before="36" w:line="358" w:lineRule="auto"/>
              <w:ind w:left="115" w:right="226" w:firstLine="433"/>
              <w:rPr>
                <w:rFonts w:hint="eastAsia"/>
                <w:sz w:val="21"/>
                <w:szCs w:val="21"/>
                <w:lang w:eastAsia="zh-CN"/>
              </w:rPr>
            </w:pPr>
            <w:r>
              <w:rPr>
                <w:spacing w:val="8"/>
                <w:sz w:val="21"/>
                <w:szCs w:val="21"/>
                <w:lang w:eastAsia="zh-CN"/>
              </w:rPr>
              <w:t>1、严格按照加工、配菜、烹调的制作程序</w:t>
            </w:r>
            <w:r>
              <w:rPr>
                <w:spacing w:val="5"/>
                <w:sz w:val="21"/>
                <w:szCs w:val="21"/>
                <w:lang w:eastAsia="zh-CN"/>
              </w:rPr>
              <w:t>生产制作食物。（共</w:t>
            </w:r>
            <w:r>
              <w:rPr>
                <w:spacing w:val="-21"/>
                <w:sz w:val="21"/>
                <w:szCs w:val="21"/>
                <w:lang w:eastAsia="zh-CN"/>
              </w:rPr>
              <w:t xml:space="preserve"> </w:t>
            </w:r>
            <w:r>
              <w:rPr>
                <w:spacing w:val="5"/>
                <w:sz w:val="21"/>
                <w:szCs w:val="21"/>
                <w:lang w:eastAsia="zh-CN"/>
              </w:rPr>
              <w:t>2</w:t>
            </w:r>
            <w:r>
              <w:rPr>
                <w:spacing w:val="-35"/>
                <w:sz w:val="21"/>
                <w:szCs w:val="21"/>
                <w:lang w:eastAsia="zh-CN"/>
              </w:rPr>
              <w:t xml:space="preserve"> </w:t>
            </w:r>
            <w:r>
              <w:rPr>
                <w:spacing w:val="5"/>
                <w:sz w:val="21"/>
                <w:szCs w:val="21"/>
                <w:lang w:eastAsia="zh-CN"/>
              </w:rPr>
              <w:t>分，不符合扣</w:t>
            </w:r>
            <w:r>
              <w:rPr>
                <w:spacing w:val="-37"/>
                <w:sz w:val="21"/>
                <w:szCs w:val="21"/>
                <w:lang w:eastAsia="zh-CN"/>
              </w:rPr>
              <w:t xml:space="preserve"> </w:t>
            </w:r>
            <w:r>
              <w:rPr>
                <w:spacing w:val="5"/>
                <w:sz w:val="21"/>
                <w:szCs w:val="21"/>
                <w:lang w:eastAsia="zh-CN"/>
              </w:rPr>
              <w:t>2</w:t>
            </w:r>
            <w:r>
              <w:rPr>
                <w:spacing w:val="-36"/>
                <w:sz w:val="21"/>
                <w:szCs w:val="21"/>
                <w:lang w:eastAsia="zh-CN"/>
              </w:rPr>
              <w:t xml:space="preserve"> </w:t>
            </w:r>
            <w:r>
              <w:rPr>
                <w:spacing w:val="5"/>
                <w:sz w:val="21"/>
                <w:szCs w:val="21"/>
                <w:lang w:eastAsia="zh-CN"/>
              </w:rPr>
              <w:t>分）</w:t>
            </w:r>
          </w:p>
        </w:tc>
        <w:tc>
          <w:tcPr>
            <w:tcW w:w="682" w:type="pct"/>
          </w:tcPr>
          <w:p w14:paraId="59F8E658">
            <w:pPr>
              <w:rPr>
                <w:rFonts w:hint="eastAsia" w:ascii="Arial"/>
                <w:szCs w:val="21"/>
              </w:rPr>
            </w:pPr>
          </w:p>
        </w:tc>
        <w:tc>
          <w:tcPr>
            <w:tcW w:w="647" w:type="pct"/>
          </w:tcPr>
          <w:p w14:paraId="7F021D52">
            <w:pPr>
              <w:rPr>
                <w:rFonts w:hint="eastAsia" w:ascii="Arial"/>
                <w:szCs w:val="21"/>
              </w:rPr>
            </w:pPr>
          </w:p>
        </w:tc>
      </w:tr>
      <w:tr w14:paraId="7D5F4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448" w:type="pct"/>
            <w:vMerge w:val="continue"/>
            <w:tcBorders>
              <w:top w:val="nil"/>
              <w:bottom w:val="nil"/>
            </w:tcBorders>
          </w:tcPr>
          <w:p w14:paraId="36584ACB">
            <w:pPr>
              <w:rPr>
                <w:rFonts w:hint="eastAsia" w:ascii="Arial"/>
                <w:szCs w:val="21"/>
              </w:rPr>
            </w:pPr>
          </w:p>
        </w:tc>
        <w:tc>
          <w:tcPr>
            <w:tcW w:w="684" w:type="pct"/>
            <w:vMerge w:val="continue"/>
            <w:tcBorders>
              <w:top w:val="nil"/>
              <w:bottom w:val="nil"/>
            </w:tcBorders>
          </w:tcPr>
          <w:p w14:paraId="5C9A95BA">
            <w:pPr>
              <w:rPr>
                <w:rFonts w:hint="eastAsia" w:ascii="Arial"/>
                <w:szCs w:val="21"/>
              </w:rPr>
            </w:pPr>
          </w:p>
        </w:tc>
        <w:tc>
          <w:tcPr>
            <w:tcW w:w="2537" w:type="pct"/>
          </w:tcPr>
          <w:p w14:paraId="537B8A8A">
            <w:pPr>
              <w:pStyle w:val="208"/>
              <w:spacing w:before="37" w:line="358" w:lineRule="auto"/>
              <w:ind w:left="114" w:right="226" w:firstLine="421"/>
              <w:rPr>
                <w:rFonts w:hint="eastAsia"/>
                <w:sz w:val="21"/>
                <w:szCs w:val="21"/>
                <w:lang w:eastAsia="zh-CN"/>
              </w:rPr>
            </w:pPr>
            <w:r>
              <w:rPr>
                <w:spacing w:val="8"/>
                <w:sz w:val="21"/>
                <w:szCs w:val="21"/>
                <w:lang w:eastAsia="zh-CN"/>
              </w:rPr>
              <w:t>2、加工过程使用的所有设备严格按照操作</w:t>
            </w:r>
            <w:r>
              <w:rPr>
                <w:spacing w:val="5"/>
                <w:sz w:val="21"/>
                <w:szCs w:val="21"/>
                <w:lang w:eastAsia="zh-CN"/>
              </w:rPr>
              <w:t>规程使用。（共</w:t>
            </w:r>
            <w:r>
              <w:rPr>
                <w:spacing w:val="-30"/>
                <w:sz w:val="21"/>
                <w:szCs w:val="21"/>
                <w:lang w:eastAsia="zh-CN"/>
              </w:rPr>
              <w:t xml:space="preserve"> </w:t>
            </w:r>
            <w:r>
              <w:rPr>
                <w:spacing w:val="5"/>
                <w:sz w:val="21"/>
                <w:szCs w:val="21"/>
                <w:lang w:eastAsia="zh-CN"/>
              </w:rPr>
              <w:t>2</w:t>
            </w:r>
            <w:r>
              <w:rPr>
                <w:spacing w:val="-36"/>
                <w:sz w:val="21"/>
                <w:szCs w:val="21"/>
                <w:lang w:eastAsia="zh-CN"/>
              </w:rPr>
              <w:t xml:space="preserve"> </w:t>
            </w:r>
            <w:r>
              <w:rPr>
                <w:spacing w:val="5"/>
                <w:sz w:val="21"/>
                <w:szCs w:val="21"/>
                <w:lang w:eastAsia="zh-CN"/>
              </w:rPr>
              <w:t>分，不符合扣</w:t>
            </w:r>
            <w:r>
              <w:rPr>
                <w:spacing w:val="-36"/>
                <w:sz w:val="21"/>
                <w:szCs w:val="21"/>
                <w:lang w:eastAsia="zh-CN"/>
              </w:rPr>
              <w:t xml:space="preserve"> </w:t>
            </w:r>
            <w:r>
              <w:rPr>
                <w:spacing w:val="5"/>
                <w:sz w:val="21"/>
                <w:szCs w:val="21"/>
                <w:lang w:eastAsia="zh-CN"/>
              </w:rPr>
              <w:t>2</w:t>
            </w:r>
            <w:r>
              <w:rPr>
                <w:spacing w:val="-36"/>
                <w:sz w:val="21"/>
                <w:szCs w:val="21"/>
                <w:lang w:eastAsia="zh-CN"/>
              </w:rPr>
              <w:t xml:space="preserve"> </w:t>
            </w:r>
            <w:r>
              <w:rPr>
                <w:spacing w:val="5"/>
                <w:sz w:val="21"/>
                <w:szCs w:val="21"/>
                <w:lang w:eastAsia="zh-CN"/>
              </w:rPr>
              <w:t>分）</w:t>
            </w:r>
          </w:p>
        </w:tc>
        <w:tc>
          <w:tcPr>
            <w:tcW w:w="682" w:type="pct"/>
          </w:tcPr>
          <w:p w14:paraId="6AC7D371">
            <w:pPr>
              <w:rPr>
                <w:rFonts w:hint="eastAsia" w:ascii="Arial"/>
                <w:szCs w:val="21"/>
              </w:rPr>
            </w:pPr>
          </w:p>
        </w:tc>
        <w:tc>
          <w:tcPr>
            <w:tcW w:w="647" w:type="pct"/>
          </w:tcPr>
          <w:p w14:paraId="2BE6CB59">
            <w:pPr>
              <w:rPr>
                <w:rFonts w:hint="eastAsia" w:ascii="Arial"/>
                <w:szCs w:val="21"/>
              </w:rPr>
            </w:pPr>
          </w:p>
        </w:tc>
      </w:tr>
      <w:tr w14:paraId="792AC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448" w:type="pct"/>
            <w:vMerge w:val="continue"/>
            <w:tcBorders>
              <w:top w:val="nil"/>
            </w:tcBorders>
          </w:tcPr>
          <w:p w14:paraId="4AE5FFD9">
            <w:pPr>
              <w:rPr>
                <w:rFonts w:hint="eastAsia" w:ascii="Arial"/>
                <w:szCs w:val="21"/>
              </w:rPr>
            </w:pPr>
          </w:p>
        </w:tc>
        <w:tc>
          <w:tcPr>
            <w:tcW w:w="684" w:type="pct"/>
            <w:vMerge w:val="continue"/>
            <w:tcBorders>
              <w:top w:val="nil"/>
            </w:tcBorders>
          </w:tcPr>
          <w:p w14:paraId="7D09ABD1">
            <w:pPr>
              <w:rPr>
                <w:rFonts w:hint="eastAsia" w:ascii="Arial"/>
                <w:szCs w:val="21"/>
              </w:rPr>
            </w:pPr>
          </w:p>
        </w:tc>
        <w:tc>
          <w:tcPr>
            <w:tcW w:w="2537" w:type="pct"/>
          </w:tcPr>
          <w:p w14:paraId="6C3BC29F">
            <w:pPr>
              <w:pStyle w:val="208"/>
              <w:numPr>
                <w:ilvl w:val="0"/>
                <w:numId w:val="0"/>
              </w:numPr>
              <w:spacing w:before="34" w:line="228" w:lineRule="auto"/>
              <w:ind w:firstLine="452" w:firstLineChars="200"/>
              <w:rPr>
                <w:rFonts w:hint="eastAsia"/>
                <w:spacing w:val="8"/>
                <w:sz w:val="21"/>
                <w:szCs w:val="21"/>
              </w:rPr>
            </w:pPr>
            <w:r>
              <w:rPr>
                <w:rFonts w:hint="eastAsia"/>
                <w:spacing w:val="8"/>
                <w:sz w:val="21"/>
                <w:szCs w:val="21"/>
                <w:lang w:val="en-US" w:eastAsia="zh-CN"/>
              </w:rPr>
              <w:t>3、</w:t>
            </w:r>
            <w:r>
              <w:rPr>
                <w:spacing w:val="8"/>
                <w:sz w:val="21"/>
                <w:szCs w:val="21"/>
                <w:lang w:eastAsia="zh-CN"/>
              </w:rPr>
              <w:t>生产制作过程要卫生规范，烹调加热要</w:t>
            </w:r>
            <w:r>
              <w:rPr>
                <w:spacing w:val="2"/>
                <w:sz w:val="21"/>
                <w:szCs w:val="21"/>
              </w:rPr>
              <w:t>熟透。（共</w:t>
            </w:r>
            <w:r>
              <w:rPr>
                <w:spacing w:val="-11"/>
                <w:sz w:val="21"/>
                <w:szCs w:val="21"/>
              </w:rPr>
              <w:t xml:space="preserve"> </w:t>
            </w:r>
            <w:r>
              <w:rPr>
                <w:spacing w:val="2"/>
                <w:sz w:val="21"/>
                <w:szCs w:val="21"/>
              </w:rPr>
              <w:t>1</w:t>
            </w:r>
            <w:r>
              <w:rPr>
                <w:spacing w:val="-36"/>
                <w:sz w:val="21"/>
                <w:szCs w:val="21"/>
              </w:rPr>
              <w:t xml:space="preserve"> </w:t>
            </w:r>
            <w:r>
              <w:rPr>
                <w:spacing w:val="2"/>
                <w:sz w:val="21"/>
                <w:szCs w:val="21"/>
              </w:rPr>
              <w:t>分，不符合扣</w:t>
            </w:r>
            <w:r>
              <w:rPr>
                <w:spacing w:val="-24"/>
                <w:sz w:val="21"/>
                <w:szCs w:val="21"/>
              </w:rPr>
              <w:t xml:space="preserve"> </w:t>
            </w:r>
            <w:r>
              <w:rPr>
                <w:spacing w:val="2"/>
                <w:sz w:val="21"/>
                <w:szCs w:val="21"/>
              </w:rPr>
              <w:t>1</w:t>
            </w:r>
            <w:r>
              <w:rPr>
                <w:spacing w:val="-35"/>
                <w:sz w:val="21"/>
                <w:szCs w:val="21"/>
              </w:rPr>
              <w:t xml:space="preserve"> </w:t>
            </w:r>
            <w:r>
              <w:rPr>
                <w:spacing w:val="2"/>
                <w:sz w:val="21"/>
                <w:szCs w:val="21"/>
              </w:rPr>
              <w:t>分）</w:t>
            </w:r>
          </w:p>
        </w:tc>
        <w:tc>
          <w:tcPr>
            <w:tcW w:w="682" w:type="pct"/>
          </w:tcPr>
          <w:p w14:paraId="0382D676">
            <w:pPr>
              <w:rPr>
                <w:rFonts w:hint="eastAsia" w:ascii="Arial"/>
                <w:szCs w:val="21"/>
              </w:rPr>
            </w:pPr>
          </w:p>
        </w:tc>
        <w:tc>
          <w:tcPr>
            <w:tcW w:w="647" w:type="pct"/>
          </w:tcPr>
          <w:p w14:paraId="1EFC4522">
            <w:pPr>
              <w:rPr>
                <w:rFonts w:hint="eastAsia" w:ascii="Arial"/>
                <w:szCs w:val="21"/>
              </w:rPr>
            </w:pPr>
          </w:p>
        </w:tc>
      </w:tr>
      <w:tr w14:paraId="48BE3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3" w:hRule="atLeast"/>
          <w:jc w:val="center"/>
        </w:trPr>
        <w:tc>
          <w:tcPr>
            <w:tcW w:w="448" w:type="pct"/>
            <w:vMerge w:val="continue"/>
            <w:tcBorders>
              <w:top w:val="nil"/>
            </w:tcBorders>
          </w:tcPr>
          <w:p w14:paraId="2045262D">
            <w:pPr>
              <w:rPr>
                <w:rFonts w:hint="eastAsia" w:ascii="Arial"/>
                <w:szCs w:val="21"/>
              </w:rPr>
            </w:pPr>
          </w:p>
        </w:tc>
        <w:tc>
          <w:tcPr>
            <w:tcW w:w="684" w:type="pct"/>
            <w:vMerge w:val="continue"/>
            <w:tcBorders>
              <w:top w:val="nil"/>
            </w:tcBorders>
          </w:tcPr>
          <w:p w14:paraId="25426014">
            <w:pPr>
              <w:rPr>
                <w:rFonts w:hint="eastAsia" w:ascii="Arial"/>
                <w:szCs w:val="21"/>
              </w:rPr>
            </w:pPr>
          </w:p>
        </w:tc>
        <w:tc>
          <w:tcPr>
            <w:tcW w:w="2537" w:type="pct"/>
          </w:tcPr>
          <w:p w14:paraId="56D7CAA7">
            <w:pPr>
              <w:pStyle w:val="208"/>
              <w:spacing w:before="160" w:line="362" w:lineRule="auto"/>
              <w:ind w:right="118" w:firstLine="444" w:firstLineChars="200"/>
              <w:rPr>
                <w:rFonts w:hint="eastAsia"/>
                <w:spacing w:val="3"/>
                <w:sz w:val="21"/>
                <w:szCs w:val="21"/>
              </w:rPr>
            </w:pPr>
            <w:r>
              <w:rPr>
                <w:spacing w:val="6"/>
                <w:sz w:val="21"/>
                <w:szCs w:val="21"/>
                <w:lang w:eastAsia="zh-CN"/>
              </w:rPr>
              <w:t>4、落实食品留样制度（每个品种</w:t>
            </w:r>
            <w:r>
              <w:rPr>
                <w:spacing w:val="-21"/>
                <w:sz w:val="21"/>
                <w:szCs w:val="21"/>
                <w:lang w:eastAsia="zh-CN"/>
              </w:rPr>
              <w:t xml:space="preserve"> </w:t>
            </w:r>
            <w:r>
              <w:rPr>
                <w:spacing w:val="6"/>
                <w:sz w:val="21"/>
                <w:szCs w:val="21"/>
                <w:lang w:eastAsia="zh-CN"/>
              </w:rPr>
              <w:t>150</w:t>
            </w:r>
            <w:r>
              <w:rPr>
                <w:spacing w:val="-36"/>
                <w:sz w:val="21"/>
                <w:szCs w:val="21"/>
                <w:lang w:eastAsia="zh-CN"/>
              </w:rPr>
              <w:t xml:space="preserve"> </w:t>
            </w:r>
            <w:r>
              <w:rPr>
                <w:spacing w:val="6"/>
                <w:sz w:val="21"/>
                <w:szCs w:val="21"/>
                <w:lang w:eastAsia="zh-CN"/>
              </w:rPr>
              <w:t>克，</w:t>
            </w:r>
            <w:r>
              <w:rPr>
                <w:spacing w:val="9"/>
                <w:sz w:val="21"/>
                <w:szCs w:val="21"/>
                <w:lang w:eastAsia="zh-CN"/>
              </w:rPr>
              <w:t>分别用专用有盖容器盛装、附上日期和品种及设</w:t>
            </w:r>
            <w:r>
              <w:rPr>
                <w:spacing w:val="8"/>
                <w:sz w:val="21"/>
                <w:szCs w:val="21"/>
                <w:lang w:eastAsia="zh-CN"/>
              </w:rPr>
              <w:t xml:space="preserve"> </w:t>
            </w:r>
            <w:r>
              <w:rPr>
                <w:spacing w:val="6"/>
                <w:sz w:val="21"/>
                <w:szCs w:val="21"/>
                <w:lang w:eastAsia="zh-CN"/>
              </w:rPr>
              <w:t>笔记本登记，存放于专用冰箱保存</w:t>
            </w:r>
            <w:r>
              <w:rPr>
                <w:spacing w:val="-23"/>
                <w:sz w:val="21"/>
                <w:szCs w:val="21"/>
                <w:lang w:eastAsia="zh-CN"/>
              </w:rPr>
              <w:t xml:space="preserve"> </w:t>
            </w:r>
            <w:r>
              <w:rPr>
                <w:spacing w:val="6"/>
                <w:sz w:val="21"/>
                <w:szCs w:val="21"/>
                <w:lang w:eastAsia="zh-CN"/>
              </w:rPr>
              <w:t>48</w:t>
            </w:r>
            <w:r>
              <w:rPr>
                <w:spacing w:val="-35"/>
                <w:sz w:val="21"/>
                <w:szCs w:val="21"/>
                <w:lang w:eastAsia="zh-CN"/>
              </w:rPr>
              <w:t xml:space="preserve"> </w:t>
            </w:r>
            <w:r>
              <w:rPr>
                <w:spacing w:val="6"/>
                <w:sz w:val="21"/>
                <w:szCs w:val="21"/>
                <w:lang w:eastAsia="zh-CN"/>
              </w:rPr>
              <w:t>小时）。</w:t>
            </w:r>
            <w:r>
              <w:rPr>
                <w:spacing w:val="3"/>
                <w:sz w:val="21"/>
                <w:szCs w:val="21"/>
              </w:rPr>
              <w:t>（共</w:t>
            </w:r>
            <w:r>
              <w:rPr>
                <w:spacing w:val="-38"/>
                <w:sz w:val="21"/>
                <w:szCs w:val="21"/>
              </w:rPr>
              <w:t xml:space="preserve"> </w:t>
            </w:r>
            <w:r>
              <w:rPr>
                <w:spacing w:val="3"/>
                <w:sz w:val="21"/>
                <w:szCs w:val="21"/>
              </w:rPr>
              <w:t>4</w:t>
            </w:r>
            <w:r>
              <w:rPr>
                <w:spacing w:val="-36"/>
                <w:sz w:val="21"/>
                <w:szCs w:val="21"/>
              </w:rPr>
              <w:t xml:space="preserve"> </w:t>
            </w:r>
            <w:r>
              <w:rPr>
                <w:spacing w:val="3"/>
                <w:sz w:val="21"/>
                <w:szCs w:val="21"/>
              </w:rPr>
              <w:t>分，不符合扣</w:t>
            </w:r>
            <w:r>
              <w:rPr>
                <w:spacing w:val="-37"/>
                <w:sz w:val="21"/>
                <w:szCs w:val="21"/>
              </w:rPr>
              <w:t xml:space="preserve"> </w:t>
            </w:r>
            <w:r>
              <w:rPr>
                <w:spacing w:val="3"/>
                <w:sz w:val="21"/>
                <w:szCs w:val="21"/>
              </w:rPr>
              <w:t>4</w:t>
            </w:r>
            <w:r>
              <w:rPr>
                <w:spacing w:val="-36"/>
                <w:sz w:val="21"/>
                <w:szCs w:val="21"/>
              </w:rPr>
              <w:t xml:space="preserve"> </w:t>
            </w:r>
            <w:r>
              <w:rPr>
                <w:spacing w:val="3"/>
                <w:sz w:val="21"/>
                <w:szCs w:val="21"/>
              </w:rPr>
              <w:t>分）</w:t>
            </w:r>
          </w:p>
        </w:tc>
        <w:tc>
          <w:tcPr>
            <w:tcW w:w="682" w:type="pct"/>
          </w:tcPr>
          <w:p w14:paraId="28791ECE">
            <w:pPr>
              <w:rPr>
                <w:rFonts w:hint="eastAsia" w:ascii="Arial"/>
                <w:szCs w:val="21"/>
              </w:rPr>
            </w:pPr>
          </w:p>
        </w:tc>
        <w:tc>
          <w:tcPr>
            <w:tcW w:w="647" w:type="pct"/>
          </w:tcPr>
          <w:p w14:paraId="236AB1FE">
            <w:pPr>
              <w:rPr>
                <w:rFonts w:hint="eastAsia" w:ascii="Arial"/>
                <w:szCs w:val="21"/>
              </w:rPr>
            </w:pPr>
          </w:p>
        </w:tc>
      </w:tr>
      <w:tr w14:paraId="209A4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448" w:type="pct"/>
            <w:vMerge w:val="restart"/>
            <w:tcBorders>
              <w:bottom w:val="nil"/>
            </w:tcBorders>
          </w:tcPr>
          <w:p w14:paraId="6CD6CADE">
            <w:pPr>
              <w:spacing w:line="298" w:lineRule="auto"/>
              <w:rPr>
                <w:rFonts w:hint="eastAsia" w:ascii="Arial"/>
                <w:szCs w:val="21"/>
              </w:rPr>
            </w:pPr>
          </w:p>
          <w:p w14:paraId="04B14CD7">
            <w:pPr>
              <w:spacing w:line="298" w:lineRule="auto"/>
              <w:rPr>
                <w:rFonts w:hint="eastAsia" w:ascii="Arial"/>
                <w:szCs w:val="21"/>
              </w:rPr>
            </w:pPr>
          </w:p>
          <w:p w14:paraId="2F68B718">
            <w:pPr>
              <w:spacing w:line="299" w:lineRule="auto"/>
              <w:rPr>
                <w:rFonts w:hint="eastAsia" w:ascii="Arial"/>
                <w:szCs w:val="21"/>
              </w:rPr>
            </w:pPr>
          </w:p>
          <w:p w14:paraId="1492BAB3">
            <w:pPr>
              <w:spacing w:line="299" w:lineRule="auto"/>
              <w:rPr>
                <w:rFonts w:hint="eastAsia" w:ascii="Arial"/>
                <w:szCs w:val="21"/>
              </w:rPr>
            </w:pPr>
          </w:p>
          <w:p w14:paraId="415EA350">
            <w:pPr>
              <w:pStyle w:val="208"/>
              <w:spacing w:before="65" w:line="239" w:lineRule="auto"/>
              <w:ind w:left="352"/>
              <w:rPr>
                <w:rFonts w:hint="eastAsia"/>
                <w:sz w:val="21"/>
                <w:szCs w:val="21"/>
              </w:rPr>
            </w:pPr>
            <w:r>
              <w:rPr>
                <w:spacing w:val="1"/>
                <w:sz w:val="21"/>
                <w:szCs w:val="21"/>
              </w:rPr>
              <w:t>七</w:t>
            </w:r>
          </w:p>
        </w:tc>
        <w:tc>
          <w:tcPr>
            <w:tcW w:w="684" w:type="pct"/>
            <w:vMerge w:val="restart"/>
            <w:tcBorders>
              <w:bottom w:val="nil"/>
            </w:tcBorders>
          </w:tcPr>
          <w:p w14:paraId="11DD555D">
            <w:pPr>
              <w:spacing w:line="248" w:lineRule="auto"/>
              <w:rPr>
                <w:rFonts w:hint="eastAsia" w:ascii="Arial"/>
                <w:szCs w:val="21"/>
              </w:rPr>
            </w:pPr>
          </w:p>
          <w:p w14:paraId="0CF4A961">
            <w:pPr>
              <w:spacing w:line="248" w:lineRule="auto"/>
              <w:rPr>
                <w:rFonts w:hint="eastAsia" w:ascii="Arial"/>
                <w:szCs w:val="21"/>
              </w:rPr>
            </w:pPr>
          </w:p>
          <w:p w14:paraId="5860F185">
            <w:pPr>
              <w:spacing w:line="248" w:lineRule="auto"/>
              <w:rPr>
                <w:rFonts w:hint="eastAsia" w:ascii="Arial"/>
                <w:szCs w:val="21"/>
              </w:rPr>
            </w:pPr>
          </w:p>
          <w:p w14:paraId="12B85FDE">
            <w:pPr>
              <w:spacing w:line="248" w:lineRule="auto"/>
              <w:rPr>
                <w:rFonts w:hint="eastAsia" w:ascii="Arial"/>
                <w:szCs w:val="21"/>
              </w:rPr>
            </w:pPr>
          </w:p>
          <w:p w14:paraId="6B5EABCD">
            <w:pPr>
              <w:pStyle w:val="208"/>
              <w:spacing w:before="65" w:line="362" w:lineRule="auto"/>
              <w:ind w:left="121" w:right="188" w:hanging="10"/>
              <w:rPr>
                <w:rFonts w:hint="eastAsia"/>
                <w:sz w:val="21"/>
                <w:szCs w:val="21"/>
              </w:rPr>
            </w:pPr>
            <w:r>
              <w:rPr>
                <w:spacing w:val="7"/>
                <w:sz w:val="21"/>
                <w:szCs w:val="21"/>
              </w:rPr>
              <w:t>饭菜质量</w:t>
            </w:r>
            <w:r>
              <w:rPr>
                <w:sz w:val="21"/>
                <w:szCs w:val="21"/>
              </w:rPr>
              <w:t xml:space="preserve"> </w:t>
            </w:r>
            <w:r>
              <w:rPr>
                <w:spacing w:val="-2"/>
                <w:sz w:val="21"/>
                <w:szCs w:val="21"/>
              </w:rPr>
              <w:t>（10</w:t>
            </w:r>
            <w:r>
              <w:rPr>
                <w:spacing w:val="-38"/>
                <w:sz w:val="21"/>
                <w:szCs w:val="21"/>
              </w:rPr>
              <w:t xml:space="preserve"> </w:t>
            </w:r>
            <w:r>
              <w:rPr>
                <w:spacing w:val="-2"/>
                <w:sz w:val="21"/>
                <w:szCs w:val="21"/>
              </w:rPr>
              <w:t>分）</w:t>
            </w:r>
          </w:p>
        </w:tc>
        <w:tc>
          <w:tcPr>
            <w:tcW w:w="2537" w:type="pct"/>
          </w:tcPr>
          <w:p w14:paraId="1B44590E">
            <w:pPr>
              <w:pStyle w:val="208"/>
              <w:spacing w:before="33" w:line="359" w:lineRule="auto"/>
              <w:ind w:left="120" w:right="261" w:firstLine="428"/>
              <w:rPr>
                <w:rFonts w:hint="eastAsia"/>
                <w:sz w:val="21"/>
                <w:szCs w:val="21"/>
                <w:lang w:eastAsia="zh-CN"/>
              </w:rPr>
            </w:pPr>
            <w:r>
              <w:rPr>
                <w:spacing w:val="6"/>
                <w:sz w:val="21"/>
                <w:szCs w:val="21"/>
                <w:lang w:eastAsia="zh-CN"/>
              </w:rPr>
              <w:t>1、主、副食烹饪制作规范，色、香、味、</w:t>
            </w:r>
            <w:r>
              <w:rPr>
                <w:spacing w:val="7"/>
                <w:sz w:val="21"/>
                <w:szCs w:val="21"/>
                <w:lang w:eastAsia="zh-CN"/>
              </w:rPr>
              <w:t xml:space="preserve"> </w:t>
            </w:r>
            <w:r>
              <w:rPr>
                <w:spacing w:val="4"/>
                <w:sz w:val="21"/>
                <w:szCs w:val="21"/>
                <w:lang w:eastAsia="zh-CN"/>
              </w:rPr>
              <w:t>型俱佳。（共</w:t>
            </w:r>
            <w:r>
              <w:rPr>
                <w:spacing w:val="-28"/>
                <w:sz w:val="21"/>
                <w:szCs w:val="21"/>
                <w:lang w:eastAsia="zh-CN"/>
              </w:rPr>
              <w:t xml:space="preserve"> </w:t>
            </w:r>
            <w:r>
              <w:rPr>
                <w:spacing w:val="4"/>
                <w:sz w:val="21"/>
                <w:szCs w:val="21"/>
                <w:lang w:eastAsia="zh-CN"/>
              </w:rPr>
              <w:t>3</w:t>
            </w:r>
            <w:r>
              <w:rPr>
                <w:spacing w:val="-35"/>
                <w:sz w:val="21"/>
                <w:szCs w:val="21"/>
                <w:lang w:eastAsia="zh-CN"/>
              </w:rPr>
              <w:t xml:space="preserve"> </w:t>
            </w:r>
            <w:r>
              <w:rPr>
                <w:spacing w:val="4"/>
                <w:sz w:val="21"/>
                <w:szCs w:val="21"/>
                <w:lang w:eastAsia="zh-CN"/>
              </w:rPr>
              <w:t>分，不符合扣</w:t>
            </w:r>
            <w:r>
              <w:rPr>
                <w:spacing w:val="-33"/>
                <w:sz w:val="21"/>
                <w:szCs w:val="21"/>
                <w:lang w:eastAsia="zh-CN"/>
              </w:rPr>
              <w:t xml:space="preserve"> </w:t>
            </w:r>
            <w:r>
              <w:rPr>
                <w:spacing w:val="4"/>
                <w:sz w:val="21"/>
                <w:szCs w:val="21"/>
                <w:lang w:eastAsia="zh-CN"/>
              </w:rPr>
              <w:t>3</w:t>
            </w:r>
            <w:r>
              <w:rPr>
                <w:spacing w:val="-35"/>
                <w:sz w:val="21"/>
                <w:szCs w:val="21"/>
                <w:lang w:eastAsia="zh-CN"/>
              </w:rPr>
              <w:t xml:space="preserve"> </w:t>
            </w:r>
            <w:r>
              <w:rPr>
                <w:spacing w:val="4"/>
                <w:sz w:val="21"/>
                <w:szCs w:val="21"/>
                <w:lang w:eastAsia="zh-CN"/>
              </w:rPr>
              <w:t>分）</w:t>
            </w:r>
          </w:p>
        </w:tc>
        <w:tc>
          <w:tcPr>
            <w:tcW w:w="682" w:type="pct"/>
          </w:tcPr>
          <w:p w14:paraId="5C62A6CD">
            <w:pPr>
              <w:rPr>
                <w:rFonts w:hint="eastAsia" w:ascii="Arial"/>
                <w:szCs w:val="21"/>
              </w:rPr>
            </w:pPr>
          </w:p>
        </w:tc>
        <w:tc>
          <w:tcPr>
            <w:tcW w:w="647" w:type="pct"/>
          </w:tcPr>
          <w:p w14:paraId="020C5FF4">
            <w:pPr>
              <w:rPr>
                <w:rFonts w:hint="eastAsia" w:ascii="Arial"/>
                <w:szCs w:val="21"/>
              </w:rPr>
            </w:pPr>
          </w:p>
        </w:tc>
      </w:tr>
      <w:tr w14:paraId="3396B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2" w:hRule="atLeast"/>
          <w:jc w:val="center"/>
        </w:trPr>
        <w:tc>
          <w:tcPr>
            <w:tcW w:w="448" w:type="pct"/>
            <w:vMerge w:val="continue"/>
            <w:tcBorders>
              <w:top w:val="nil"/>
              <w:bottom w:val="nil"/>
            </w:tcBorders>
          </w:tcPr>
          <w:p w14:paraId="1AD4E01C">
            <w:pPr>
              <w:rPr>
                <w:rFonts w:hint="eastAsia" w:ascii="Arial"/>
                <w:szCs w:val="21"/>
              </w:rPr>
            </w:pPr>
          </w:p>
        </w:tc>
        <w:tc>
          <w:tcPr>
            <w:tcW w:w="684" w:type="pct"/>
            <w:vMerge w:val="continue"/>
            <w:tcBorders>
              <w:top w:val="nil"/>
              <w:bottom w:val="nil"/>
            </w:tcBorders>
          </w:tcPr>
          <w:p w14:paraId="3034181D">
            <w:pPr>
              <w:rPr>
                <w:rFonts w:hint="eastAsia" w:ascii="Arial"/>
                <w:szCs w:val="21"/>
              </w:rPr>
            </w:pPr>
          </w:p>
        </w:tc>
        <w:tc>
          <w:tcPr>
            <w:tcW w:w="2537" w:type="pct"/>
          </w:tcPr>
          <w:p w14:paraId="1DAB8459">
            <w:pPr>
              <w:pStyle w:val="208"/>
              <w:spacing w:before="32" w:line="228" w:lineRule="auto"/>
              <w:ind w:left="536"/>
              <w:rPr>
                <w:rFonts w:hint="eastAsia"/>
                <w:sz w:val="21"/>
                <w:szCs w:val="21"/>
                <w:lang w:eastAsia="zh-CN"/>
              </w:rPr>
            </w:pPr>
            <w:r>
              <w:rPr>
                <w:spacing w:val="7"/>
                <w:sz w:val="21"/>
                <w:szCs w:val="21"/>
                <w:lang w:eastAsia="zh-CN"/>
              </w:rPr>
              <w:t>2、品种多，早餐</w:t>
            </w:r>
            <w:r>
              <w:rPr>
                <w:spacing w:val="-22"/>
                <w:sz w:val="21"/>
                <w:szCs w:val="21"/>
                <w:lang w:eastAsia="zh-CN"/>
              </w:rPr>
              <w:t xml:space="preserve"> </w:t>
            </w:r>
            <w:r>
              <w:rPr>
                <w:spacing w:val="7"/>
                <w:sz w:val="21"/>
                <w:szCs w:val="21"/>
                <w:lang w:eastAsia="zh-CN"/>
              </w:rPr>
              <w:t>10</w:t>
            </w:r>
            <w:r>
              <w:rPr>
                <w:spacing w:val="-41"/>
                <w:sz w:val="21"/>
                <w:szCs w:val="21"/>
                <w:lang w:eastAsia="zh-CN"/>
              </w:rPr>
              <w:t xml:space="preserve"> </w:t>
            </w:r>
            <w:r>
              <w:rPr>
                <w:spacing w:val="7"/>
                <w:sz w:val="21"/>
                <w:szCs w:val="21"/>
                <w:lang w:eastAsia="zh-CN"/>
              </w:rPr>
              <w:t>个品种以上，午、晚餐</w:t>
            </w:r>
          </w:p>
          <w:p w14:paraId="230F0C1C">
            <w:pPr>
              <w:pStyle w:val="208"/>
              <w:spacing w:before="160" w:line="228" w:lineRule="auto"/>
              <w:ind w:left="116"/>
              <w:rPr>
                <w:rFonts w:hint="eastAsia"/>
                <w:sz w:val="21"/>
                <w:szCs w:val="21"/>
                <w:lang w:eastAsia="zh-CN"/>
              </w:rPr>
            </w:pPr>
            <w:r>
              <w:rPr>
                <w:rFonts w:hint="eastAsia"/>
                <w:spacing w:val="-23"/>
                <w:sz w:val="21"/>
                <w:szCs w:val="21"/>
                <w:lang w:eastAsia="zh-CN"/>
              </w:rPr>
              <w:t>16</w:t>
            </w:r>
            <w:r>
              <w:rPr>
                <w:spacing w:val="-23"/>
                <w:sz w:val="21"/>
                <w:szCs w:val="21"/>
                <w:lang w:eastAsia="zh-CN"/>
              </w:rPr>
              <w:t xml:space="preserve"> </w:t>
            </w:r>
            <w:r>
              <w:rPr>
                <w:spacing w:val="4"/>
                <w:sz w:val="21"/>
                <w:szCs w:val="21"/>
                <w:lang w:eastAsia="zh-CN"/>
              </w:rPr>
              <w:t>个品种以上。（共</w:t>
            </w:r>
            <w:r>
              <w:rPr>
                <w:spacing w:val="-33"/>
                <w:sz w:val="21"/>
                <w:szCs w:val="21"/>
                <w:lang w:eastAsia="zh-CN"/>
              </w:rPr>
              <w:t xml:space="preserve"> </w:t>
            </w:r>
            <w:r>
              <w:rPr>
                <w:spacing w:val="4"/>
                <w:sz w:val="21"/>
                <w:szCs w:val="21"/>
                <w:lang w:eastAsia="zh-CN"/>
              </w:rPr>
              <w:t>3</w:t>
            </w:r>
            <w:r>
              <w:rPr>
                <w:spacing w:val="-37"/>
                <w:sz w:val="21"/>
                <w:szCs w:val="21"/>
                <w:lang w:eastAsia="zh-CN"/>
              </w:rPr>
              <w:t xml:space="preserve"> </w:t>
            </w:r>
            <w:r>
              <w:rPr>
                <w:spacing w:val="4"/>
                <w:sz w:val="21"/>
                <w:szCs w:val="21"/>
                <w:lang w:eastAsia="zh-CN"/>
              </w:rPr>
              <w:t>分，不符合扣</w:t>
            </w:r>
            <w:r>
              <w:rPr>
                <w:spacing w:val="-33"/>
                <w:sz w:val="21"/>
                <w:szCs w:val="21"/>
                <w:lang w:eastAsia="zh-CN"/>
              </w:rPr>
              <w:t xml:space="preserve"> </w:t>
            </w:r>
            <w:r>
              <w:rPr>
                <w:spacing w:val="4"/>
                <w:sz w:val="21"/>
                <w:szCs w:val="21"/>
                <w:lang w:eastAsia="zh-CN"/>
              </w:rPr>
              <w:t>3</w:t>
            </w:r>
            <w:r>
              <w:rPr>
                <w:spacing w:val="-36"/>
                <w:sz w:val="21"/>
                <w:szCs w:val="21"/>
                <w:lang w:eastAsia="zh-CN"/>
              </w:rPr>
              <w:t xml:space="preserve"> </w:t>
            </w:r>
            <w:r>
              <w:rPr>
                <w:spacing w:val="4"/>
                <w:sz w:val="21"/>
                <w:szCs w:val="21"/>
                <w:lang w:eastAsia="zh-CN"/>
              </w:rPr>
              <w:t>分）</w:t>
            </w:r>
          </w:p>
        </w:tc>
        <w:tc>
          <w:tcPr>
            <w:tcW w:w="682" w:type="pct"/>
          </w:tcPr>
          <w:p w14:paraId="77E59AA1">
            <w:pPr>
              <w:rPr>
                <w:rFonts w:hint="eastAsia" w:ascii="Arial"/>
                <w:szCs w:val="21"/>
              </w:rPr>
            </w:pPr>
          </w:p>
        </w:tc>
        <w:tc>
          <w:tcPr>
            <w:tcW w:w="647" w:type="pct"/>
          </w:tcPr>
          <w:p w14:paraId="2AF12692">
            <w:pPr>
              <w:rPr>
                <w:rFonts w:hint="eastAsia" w:ascii="Arial"/>
                <w:szCs w:val="21"/>
              </w:rPr>
            </w:pPr>
          </w:p>
        </w:tc>
      </w:tr>
      <w:tr w14:paraId="4348A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jc w:val="center"/>
        </w:trPr>
        <w:tc>
          <w:tcPr>
            <w:tcW w:w="448" w:type="pct"/>
            <w:vMerge w:val="continue"/>
            <w:tcBorders>
              <w:top w:val="nil"/>
            </w:tcBorders>
          </w:tcPr>
          <w:p w14:paraId="747754FE">
            <w:pPr>
              <w:rPr>
                <w:rFonts w:hint="eastAsia" w:ascii="Arial"/>
                <w:szCs w:val="21"/>
              </w:rPr>
            </w:pPr>
          </w:p>
        </w:tc>
        <w:tc>
          <w:tcPr>
            <w:tcW w:w="684" w:type="pct"/>
            <w:vMerge w:val="continue"/>
            <w:tcBorders>
              <w:top w:val="nil"/>
            </w:tcBorders>
          </w:tcPr>
          <w:p w14:paraId="6010B2D4">
            <w:pPr>
              <w:rPr>
                <w:rFonts w:hint="eastAsia" w:ascii="Arial"/>
                <w:szCs w:val="21"/>
              </w:rPr>
            </w:pPr>
          </w:p>
        </w:tc>
        <w:tc>
          <w:tcPr>
            <w:tcW w:w="2537" w:type="pct"/>
          </w:tcPr>
          <w:p w14:paraId="2181E518">
            <w:pPr>
              <w:pStyle w:val="208"/>
              <w:spacing w:before="32" w:line="365" w:lineRule="auto"/>
              <w:ind w:left="114" w:right="153" w:firstLine="423"/>
              <w:rPr>
                <w:rFonts w:hint="eastAsia"/>
                <w:sz w:val="21"/>
                <w:szCs w:val="21"/>
                <w:lang w:eastAsia="zh-CN"/>
              </w:rPr>
            </w:pPr>
            <w:r>
              <w:rPr>
                <w:spacing w:val="8"/>
                <w:sz w:val="21"/>
                <w:szCs w:val="21"/>
                <w:lang w:eastAsia="zh-CN"/>
              </w:rPr>
              <w:t>3、风味小吃及中炒、小炒配套供应，所有</w:t>
            </w:r>
            <w:r>
              <w:rPr>
                <w:spacing w:val="15"/>
                <w:sz w:val="21"/>
                <w:szCs w:val="21"/>
                <w:lang w:eastAsia="zh-CN"/>
              </w:rPr>
              <w:t xml:space="preserve"> </w:t>
            </w:r>
            <w:r>
              <w:rPr>
                <w:spacing w:val="7"/>
                <w:sz w:val="21"/>
                <w:szCs w:val="21"/>
                <w:lang w:eastAsia="zh-CN"/>
              </w:rPr>
              <w:t>风味档原材料符合招标文件所规定的配送要求。</w:t>
            </w:r>
            <w:r>
              <w:rPr>
                <w:spacing w:val="4"/>
                <w:sz w:val="21"/>
                <w:szCs w:val="21"/>
                <w:lang w:eastAsia="zh-CN"/>
              </w:rPr>
              <w:t>（共</w:t>
            </w:r>
            <w:r>
              <w:rPr>
                <w:spacing w:val="-41"/>
                <w:sz w:val="21"/>
                <w:szCs w:val="21"/>
                <w:lang w:eastAsia="zh-CN"/>
              </w:rPr>
              <w:t xml:space="preserve"> </w:t>
            </w:r>
            <w:r>
              <w:rPr>
                <w:spacing w:val="4"/>
                <w:sz w:val="21"/>
                <w:szCs w:val="21"/>
                <w:lang w:eastAsia="zh-CN"/>
              </w:rPr>
              <w:t>4</w:t>
            </w:r>
            <w:r>
              <w:rPr>
                <w:spacing w:val="-35"/>
                <w:sz w:val="21"/>
                <w:szCs w:val="21"/>
                <w:lang w:eastAsia="zh-CN"/>
              </w:rPr>
              <w:t xml:space="preserve"> </w:t>
            </w:r>
            <w:r>
              <w:rPr>
                <w:spacing w:val="4"/>
                <w:sz w:val="21"/>
                <w:szCs w:val="21"/>
                <w:lang w:eastAsia="zh-CN"/>
              </w:rPr>
              <w:t>分，不符合扣</w:t>
            </w:r>
            <w:r>
              <w:rPr>
                <w:spacing w:val="-38"/>
                <w:sz w:val="21"/>
                <w:szCs w:val="21"/>
                <w:lang w:eastAsia="zh-CN"/>
              </w:rPr>
              <w:t xml:space="preserve"> </w:t>
            </w:r>
            <w:r>
              <w:rPr>
                <w:spacing w:val="4"/>
                <w:sz w:val="21"/>
                <w:szCs w:val="21"/>
                <w:lang w:eastAsia="zh-CN"/>
              </w:rPr>
              <w:t>4</w:t>
            </w:r>
            <w:r>
              <w:rPr>
                <w:spacing w:val="-35"/>
                <w:sz w:val="21"/>
                <w:szCs w:val="21"/>
                <w:lang w:eastAsia="zh-CN"/>
              </w:rPr>
              <w:t xml:space="preserve"> </w:t>
            </w:r>
            <w:r>
              <w:rPr>
                <w:spacing w:val="4"/>
                <w:sz w:val="21"/>
                <w:szCs w:val="21"/>
                <w:lang w:eastAsia="zh-CN"/>
              </w:rPr>
              <w:t>分）</w:t>
            </w:r>
          </w:p>
        </w:tc>
        <w:tc>
          <w:tcPr>
            <w:tcW w:w="682" w:type="pct"/>
          </w:tcPr>
          <w:p w14:paraId="22EB47F8">
            <w:pPr>
              <w:rPr>
                <w:rFonts w:hint="eastAsia" w:ascii="Arial"/>
                <w:szCs w:val="21"/>
              </w:rPr>
            </w:pPr>
          </w:p>
        </w:tc>
        <w:tc>
          <w:tcPr>
            <w:tcW w:w="647" w:type="pct"/>
          </w:tcPr>
          <w:p w14:paraId="5056D835">
            <w:pPr>
              <w:rPr>
                <w:rFonts w:hint="eastAsia" w:ascii="Arial"/>
                <w:szCs w:val="21"/>
              </w:rPr>
            </w:pPr>
          </w:p>
        </w:tc>
      </w:tr>
      <w:tr w14:paraId="5B6C9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jc w:val="center"/>
        </w:trPr>
        <w:tc>
          <w:tcPr>
            <w:tcW w:w="448" w:type="pct"/>
            <w:vMerge w:val="restart"/>
            <w:tcBorders>
              <w:bottom w:val="nil"/>
            </w:tcBorders>
          </w:tcPr>
          <w:p w14:paraId="34E4387B">
            <w:pPr>
              <w:spacing w:line="249" w:lineRule="auto"/>
              <w:rPr>
                <w:rFonts w:hint="eastAsia" w:ascii="Arial"/>
                <w:szCs w:val="21"/>
              </w:rPr>
            </w:pPr>
          </w:p>
          <w:p w14:paraId="33C9A93D">
            <w:pPr>
              <w:spacing w:line="249" w:lineRule="auto"/>
              <w:rPr>
                <w:rFonts w:hint="eastAsia" w:ascii="Arial"/>
                <w:szCs w:val="21"/>
              </w:rPr>
            </w:pPr>
          </w:p>
          <w:p w14:paraId="65B04C68">
            <w:pPr>
              <w:spacing w:line="249" w:lineRule="auto"/>
              <w:rPr>
                <w:rFonts w:hint="eastAsia" w:ascii="Arial"/>
                <w:szCs w:val="21"/>
              </w:rPr>
            </w:pPr>
          </w:p>
          <w:p w14:paraId="7A7FCE09">
            <w:pPr>
              <w:spacing w:line="249" w:lineRule="auto"/>
              <w:rPr>
                <w:rFonts w:hint="eastAsia" w:ascii="Arial"/>
                <w:szCs w:val="21"/>
              </w:rPr>
            </w:pPr>
          </w:p>
          <w:p w14:paraId="597CE845">
            <w:pPr>
              <w:pStyle w:val="208"/>
              <w:spacing w:before="65" w:line="228" w:lineRule="auto"/>
              <w:ind w:left="356"/>
              <w:rPr>
                <w:rFonts w:hint="eastAsia"/>
                <w:sz w:val="21"/>
                <w:szCs w:val="21"/>
              </w:rPr>
            </w:pPr>
            <w:r>
              <w:rPr>
                <w:sz w:val="21"/>
                <w:szCs w:val="21"/>
              </w:rPr>
              <w:t>八</w:t>
            </w:r>
          </w:p>
        </w:tc>
        <w:tc>
          <w:tcPr>
            <w:tcW w:w="684" w:type="pct"/>
            <w:vMerge w:val="restart"/>
            <w:tcBorders>
              <w:bottom w:val="nil"/>
            </w:tcBorders>
          </w:tcPr>
          <w:p w14:paraId="0F287BBA">
            <w:pPr>
              <w:spacing w:line="263" w:lineRule="auto"/>
              <w:rPr>
                <w:rFonts w:hint="eastAsia" w:ascii="Arial"/>
                <w:szCs w:val="21"/>
              </w:rPr>
            </w:pPr>
          </w:p>
          <w:p w14:paraId="0EAE25CA">
            <w:pPr>
              <w:spacing w:line="264" w:lineRule="auto"/>
              <w:rPr>
                <w:rFonts w:hint="eastAsia" w:ascii="Arial"/>
                <w:szCs w:val="21"/>
              </w:rPr>
            </w:pPr>
          </w:p>
          <w:p w14:paraId="61D39550">
            <w:pPr>
              <w:spacing w:line="264" w:lineRule="auto"/>
              <w:rPr>
                <w:rFonts w:hint="eastAsia" w:ascii="Arial"/>
                <w:szCs w:val="21"/>
              </w:rPr>
            </w:pPr>
          </w:p>
          <w:p w14:paraId="09BDEC36">
            <w:pPr>
              <w:pStyle w:val="208"/>
              <w:spacing w:before="65" w:line="362" w:lineRule="auto"/>
              <w:ind w:left="121" w:right="188" w:hanging="10"/>
              <w:rPr>
                <w:rFonts w:hint="eastAsia"/>
                <w:sz w:val="21"/>
                <w:szCs w:val="21"/>
              </w:rPr>
            </w:pPr>
            <w:r>
              <w:rPr>
                <w:spacing w:val="7"/>
                <w:sz w:val="21"/>
                <w:szCs w:val="21"/>
              </w:rPr>
              <w:t>饭菜价格</w:t>
            </w:r>
            <w:r>
              <w:rPr>
                <w:sz w:val="21"/>
                <w:szCs w:val="21"/>
              </w:rPr>
              <w:t xml:space="preserve"> </w:t>
            </w:r>
            <w:r>
              <w:rPr>
                <w:spacing w:val="-2"/>
                <w:sz w:val="21"/>
                <w:szCs w:val="21"/>
              </w:rPr>
              <w:t>（10</w:t>
            </w:r>
            <w:r>
              <w:rPr>
                <w:spacing w:val="-38"/>
                <w:sz w:val="21"/>
                <w:szCs w:val="21"/>
              </w:rPr>
              <w:t xml:space="preserve"> </w:t>
            </w:r>
            <w:r>
              <w:rPr>
                <w:spacing w:val="-2"/>
                <w:sz w:val="21"/>
                <w:szCs w:val="21"/>
              </w:rPr>
              <w:t>分）</w:t>
            </w:r>
          </w:p>
        </w:tc>
        <w:tc>
          <w:tcPr>
            <w:tcW w:w="2537" w:type="pct"/>
          </w:tcPr>
          <w:p w14:paraId="00975296">
            <w:pPr>
              <w:pStyle w:val="208"/>
              <w:spacing w:before="36" w:line="358" w:lineRule="auto"/>
              <w:ind w:left="130" w:right="226" w:firstLine="418"/>
              <w:rPr>
                <w:rFonts w:hint="eastAsia"/>
                <w:sz w:val="21"/>
                <w:szCs w:val="21"/>
                <w:lang w:eastAsia="zh-CN"/>
              </w:rPr>
            </w:pPr>
            <w:r>
              <w:rPr>
                <w:spacing w:val="8"/>
                <w:sz w:val="21"/>
                <w:szCs w:val="21"/>
                <w:lang w:eastAsia="zh-CN"/>
              </w:rPr>
              <w:t>1、价格合理，质价相符，高、中、低档食</w:t>
            </w:r>
            <w:r>
              <w:rPr>
                <w:spacing w:val="5"/>
                <w:sz w:val="21"/>
                <w:szCs w:val="21"/>
                <w:lang w:eastAsia="zh-CN"/>
              </w:rPr>
              <w:t>品价格合理。（共</w:t>
            </w:r>
            <w:r>
              <w:rPr>
                <w:spacing w:val="-39"/>
                <w:sz w:val="21"/>
                <w:szCs w:val="21"/>
                <w:lang w:eastAsia="zh-CN"/>
              </w:rPr>
              <w:t xml:space="preserve"> </w:t>
            </w:r>
            <w:r>
              <w:rPr>
                <w:spacing w:val="5"/>
                <w:sz w:val="21"/>
                <w:szCs w:val="21"/>
                <w:lang w:eastAsia="zh-CN"/>
              </w:rPr>
              <w:t>4</w:t>
            </w:r>
            <w:r>
              <w:rPr>
                <w:spacing w:val="-36"/>
                <w:sz w:val="21"/>
                <w:szCs w:val="21"/>
                <w:lang w:eastAsia="zh-CN"/>
              </w:rPr>
              <w:t xml:space="preserve"> </w:t>
            </w:r>
            <w:r>
              <w:rPr>
                <w:spacing w:val="5"/>
                <w:sz w:val="21"/>
                <w:szCs w:val="21"/>
                <w:lang w:eastAsia="zh-CN"/>
              </w:rPr>
              <w:t>分，不符合扣</w:t>
            </w:r>
            <w:r>
              <w:rPr>
                <w:spacing w:val="-37"/>
                <w:sz w:val="21"/>
                <w:szCs w:val="21"/>
                <w:lang w:eastAsia="zh-CN"/>
              </w:rPr>
              <w:t xml:space="preserve"> </w:t>
            </w:r>
            <w:r>
              <w:rPr>
                <w:spacing w:val="5"/>
                <w:sz w:val="21"/>
                <w:szCs w:val="21"/>
                <w:lang w:eastAsia="zh-CN"/>
              </w:rPr>
              <w:t>4</w:t>
            </w:r>
            <w:r>
              <w:rPr>
                <w:spacing w:val="-36"/>
                <w:sz w:val="21"/>
                <w:szCs w:val="21"/>
                <w:lang w:eastAsia="zh-CN"/>
              </w:rPr>
              <w:t xml:space="preserve"> </w:t>
            </w:r>
            <w:r>
              <w:rPr>
                <w:spacing w:val="5"/>
                <w:sz w:val="21"/>
                <w:szCs w:val="21"/>
                <w:lang w:eastAsia="zh-CN"/>
              </w:rPr>
              <w:t>分）</w:t>
            </w:r>
          </w:p>
        </w:tc>
        <w:tc>
          <w:tcPr>
            <w:tcW w:w="682" w:type="pct"/>
          </w:tcPr>
          <w:p w14:paraId="496253B0">
            <w:pPr>
              <w:rPr>
                <w:rFonts w:hint="eastAsia" w:ascii="Arial"/>
                <w:szCs w:val="21"/>
              </w:rPr>
            </w:pPr>
          </w:p>
        </w:tc>
        <w:tc>
          <w:tcPr>
            <w:tcW w:w="647" w:type="pct"/>
          </w:tcPr>
          <w:p w14:paraId="16ADEC75">
            <w:pPr>
              <w:rPr>
                <w:rFonts w:hint="eastAsia" w:ascii="Arial"/>
                <w:szCs w:val="21"/>
              </w:rPr>
            </w:pPr>
          </w:p>
        </w:tc>
      </w:tr>
      <w:tr w14:paraId="73872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jc w:val="center"/>
        </w:trPr>
        <w:tc>
          <w:tcPr>
            <w:tcW w:w="448" w:type="pct"/>
            <w:vMerge w:val="continue"/>
            <w:tcBorders>
              <w:top w:val="nil"/>
              <w:bottom w:val="nil"/>
            </w:tcBorders>
          </w:tcPr>
          <w:p w14:paraId="23758FB0">
            <w:pPr>
              <w:rPr>
                <w:rFonts w:hint="eastAsia" w:ascii="Arial"/>
                <w:szCs w:val="21"/>
              </w:rPr>
            </w:pPr>
          </w:p>
        </w:tc>
        <w:tc>
          <w:tcPr>
            <w:tcW w:w="684" w:type="pct"/>
            <w:vMerge w:val="continue"/>
            <w:tcBorders>
              <w:top w:val="nil"/>
              <w:bottom w:val="nil"/>
            </w:tcBorders>
          </w:tcPr>
          <w:p w14:paraId="3D60E63F">
            <w:pPr>
              <w:rPr>
                <w:rFonts w:hint="eastAsia" w:ascii="Arial"/>
                <w:szCs w:val="21"/>
              </w:rPr>
            </w:pPr>
          </w:p>
        </w:tc>
        <w:tc>
          <w:tcPr>
            <w:tcW w:w="2537" w:type="pct"/>
          </w:tcPr>
          <w:p w14:paraId="28AACC02">
            <w:pPr>
              <w:pStyle w:val="208"/>
              <w:spacing w:before="36" w:line="358" w:lineRule="auto"/>
              <w:ind w:left="137" w:right="192" w:firstLine="398"/>
              <w:rPr>
                <w:rFonts w:hint="eastAsia"/>
                <w:sz w:val="21"/>
                <w:szCs w:val="21"/>
                <w:lang w:eastAsia="zh-CN"/>
              </w:rPr>
            </w:pPr>
            <w:r>
              <w:rPr>
                <w:spacing w:val="6"/>
                <w:sz w:val="21"/>
                <w:szCs w:val="21"/>
                <w:lang w:eastAsia="zh-CN"/>
              </w:rPr>
              <w:t>2、出售食品明码标价。（共</w:t>
            </w:r>
            <w:r>
              <w:rPr>
                <w:spacing w:val="-22"/>
                <w:sz w:val="21"/>
                <w:szCs w:val="21"/>
                <w:lang w:eastAsia="zh-CN"/>
              </w:rPr>
              <w:t xml:space="preserve"> </w:t>
            </w:r>
            <w:r>
              <w:rPr>
                <w:spacing w:val="6"/>
                <w:sz w:val="21"/>
                <w:szCs w:val="21"/>
                <w:lang w:eastAsia="zh-CN"/>
              </w:rPr>
              <w:t>3</w:t>
            </w:r>
            <w:r>
              <w:rPr>
                <w:spacing w:val="-36"/>
                <w:sz w:val="21"/>
                <w:szCs w:val="21"/>
                <w:lang w:eastAsia="zh-CN"/>
              </w:rPr>
              <w:t xml:space="preserve"> </w:t>
            </w:r>
            <w:r>
              <w:rPr>
                <w:spacing w:val="6"/>
                <w:sz w:val="21"/>
                <w:szCs w:val="21"/>
                <w:lang w:eastAsia="zh-CN"/>
              </w:rPr>
              <w:t>分，5</w:t>
            </w:r>
            <w:r>
              <w:rPr>
                <w:spacing w:val="-40"/>
                <w:sz w:val="21"/>
                <w:szCs w:val="21"/>
                <w:lang w:eastAsia="zh-CN"/>
              </w:rPr>
              <w:t xml:space="preserve"> </w:t>
            </w:r>
            <w:r>
              <w:rPr>
                <w:spacing w:val="6"/>
                <w:sz w:val="21"/>
                <w:szCs w:val="21"/>
                <w:lang w:eastAsia="zh-CN"/>
              </w:rPr>
              <w:t>个及</w:t>
            </w:r>
            <w:r>
              <w:rPr>
                <w:sz w:val="21"/>
                <w:szCs w:val="21"/>
                <w:lang w:eastAsia="zh-CN"/>
              </w:rPr>
              <w:t xml:space="preserve">  </w:t>
            </w:r>
            <w:r>
              <w:rPr>
                <w:spacing w:val="3"/>
                <w:sz w:val="21"/>
                <w:szCs w:val="21"/>
                <w:lang w:eastAsia="zh-CN"/>
              </w:rPr>
              <w:t>以内不标价的扣</w:t>
            </w:r>
            <w:r>
              <w:rPr>
                <w:spacing w:val="-15"/>
                <w:sz w:val="21"/>
                <w:szCs w:val="21"/>
                <w:lang w:eastAsia="zh-CN"/>
              </w:rPr>
              <w:t xml:space="preserve"> </w:t>
            </w:r>
            <w:r>
              <w:rPr>
                <w:spacing w:val="3"/>
                <w:sz w:val="21"/>
                <w:szCs w:val="21"/>
                <w:lang w:eastAsia="zh-CN"/>
              </w:rPr>
              <w:t>1</w:t>
            </w:r>
            <w:r>
              <w:rPr>
                <w:spacing w:val="-35"/>
                <w:sz w:val="21"/>
                <w:szCs w:val="21"/>
                <w:lang w:eastAsia="zh-CN"/>
              </w:rPr>
              <w:t xml:space="preserve"> </w:t>
            </w:r>
            <w:r>
              <w:rPr>
                <w:spacing w:val="3"/>
                <w:sz w:val="21"/>
                <w:szCs w:val="21"/>
                <w:lang w:eastAsia="zh-CN"/>
              </w:rPr>
              <w:t>分，5</w:t>
            </w:r>
            <w:r>
              <w:rPr>
                <w:spacing w:val="-40"/>
                <w:sz w:val="21"/>
                <w:szCs w:val="21"/>
                <w:lang w:eastAsia="zh-CN"/>
              </w:rPr>
              <w:t xml:space="preserve"> </w:t>
            </w:r>
            <w:r>
              <w:rPr>
                <w:spacing w:val="3"/>
                <w:sz w:val="21"/>
                <w:szCs w:val="21"/>
                <w:lang w:eastAsia="zh-CN"/>
              </w:rPr>
              <w:t>个以上不标价扣</w:t>
            </w:r>
            <w:r>
              <w:rPr>
                <w:spacing w:val="-33"/>
                <w:sz w:val="21"/>
                <w:szCs w:val="21"/>
                <w:lang w:eastAsia="zh-CN"/>
              </w:rPr>
              <w:t xml:space="preserve"> </w:t>
            </w:r>
            <w:r>
              <w:rPr>
                <w:spacing w:val="3"/>
                <w:sz w:val="21"/>
                <w:szCs w:val="21"/>
                <w:lang w:eastAsia="zh-CN"/>
              </w:rPr>
              <w:t>3</w:t>
            </w:r>
            <w:r>
              <w:rPr>
                <w:spacing w:val="-38"/>
                <w:sz w:val="21"/>
                <w:szCs w:val="21"/>
                <w:lang w:eastAsia="zh-CN"/>
              </w:rPr>
              <w:t xml:space="preserve"> </w:t>
            </w:r>
            <w:r>
              <w:rPr>
                <w:spacing w:val="3"/>
                <w:sz w:val="21"/>
                <w:szCs w:val="21"/>
                <w:lang w:eastAsia="zh-CN"/>
              </w:rPr>
              <w:t>分）</w:t>
            </w:r>
          </w:p>
        </w:tc>
        <w:tc>
          <w:tcPr>
            <w:tcW w:w="682" w:type="pct"/>
          </w:tcPr>
          <w:p w14:paraId="47094FAB">
            <w:pPr>
              <w:rPr>
                <w:rFonts w:hint="eastAsia" w:ascii="Arial"/>
                <w:szCs w:val="21"/>
              </w:rPr>
            </w:pPr>
          </w:p>
        </w:tc>
        <w:tc>
          <w:tcPr>
            <w:tcW w:w="647" w:type="pct"/>
          </w:tcPr>
          <w:p w14:paraId="04D0BEF7">
            <w:pPr>
              <w:rPr>
                <w:rFonts w:hint="eastAsia" w:ascii="Arial"/>
                <w:szCs w:val="21"/>
              </w:rPr>
            </w:pPr>
          </w:p>
        </w:tc>
      </w:tr>
      <w:tr w14:paraId="4E62F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448" w:type="pct"/>
            <w:vMerge w:val="continue"/>
            <w:tcBorders>
              <w:top w:val="nil"/>
            </w:tcBorders>
          </w:tcPr>
          <w:p w14:paraId="034FA370">
            <w:pPr>
              <w:rPr>
                <w:rFonts w:hint="eastAsia" w:ascii="Arial"/>
                <w:szCs w:val="21"/>
              </w:rPr>
            </w:pPr>
          </w:p>
        </w:tc>
        <w:tc>
          <w:tcPr>
            <w:tcW w:w="684" w:type="pct"/>
            <w:vMerge w:val="continue"/>
            <w:tcBorders>
              <w:top w:val="nil"/>
            </w:tcBorders>
          </w:tcPr>
          <w:p w14:paraId="0281A2A2">
            <w:pPr>
              <w:rPr>
                <w:rFonts w:hint="eastAsia" w:ascii="Arial"/>
                <w:szCs w:val="21"/>
              </w:rPr>
            </w:pPr>
          </w:p>
        </w:tc>
        <w:tc>
          <w:tcPr>
            <w:tcW w:w="2537" w:type="pct"/>
          </w:tcPr>
          <w:p w14:paraId="383DC1F4">
            <w:pPr>
              <w:pStyle w:val="208"/>
              <w:spacing w:before="35" w:line="226" w:lineRule="auto"/>
              <w:ind w:left="536"/>
              <w:rPr>
                <w:rFonts w:hint="eastAsia"/>
                <w:sz w:val="21"/>
                <w:szCs w:val="21"/>
                <w:lang w:eastAsia="zh-CN"/>
              </w:rPr>
            </w:pPr>
            <w:r>
              <w:rPr>
                <w:spacing w:val="9"/>
                <w:sz w:val="21"/>
                <w:szCs w:val="21"/>
                <w:lang w:eastAsia="zh-CN"/>
              </w:rPr>
              <w:t>2、饭菜价格稳定，餐厅不随意提价。（共</w:t>
            </w:r>
          </w:p>
          <w:p w14:paraId="5FD2E4B8">
            <w:pPr>
              <w:pStyle w:val="208"/>
              <w:spacing w:before="162" w:line="228" w:lineRule="auto"/>
              <w:ind w:left="117"/>
              <w:rPr>
                <w:rFonts w:hint="eastAsia"/>
                <w:sz w:val="21"/>
                <w:szCs w:val="21"/>
                <w:lang w:eastAsia="zh-CN"/>
              </w:rPr>
            </w:pPr>
            <w:r>
              <w:rPr>
                <w:spacing w:val="2"/>
                <w:sz w:val="21"/>
                <w:szCs w:val="21"/>
                <w:lang w:eastAsia="zh-CN"/>
              </w:rPr>
              <w:t>3</w:t>
            </w:r>
            <w:r>
              <w:rPr>
                <w:spacing w:val="-30"/>
                <w:sz w:val="21"/>
                <w:szCs w:val="21"/>
                <w:lang w:eastAsia="zh-CN"/>
              </w:rPr>
              <w:t xml:space="preserve"> </w:t>
            </w:r>
            <w:r>
              <w:rPr>
                <w:spacing w:val="2"/>
                <w:sz w:val="21"/>
                <w:szCs w:val="21"/>
                <w:lang w:eastAsia="zh-CN"/>
              </w:rPr>
              <w:t>分，不符合扣</w:t>
            </w:r>
            <w:r>
              <w:rPr>
                <w:spacing w:val="-32"/>
                <w:sz w:val="21"/>
                <w:szCs w:val="21"/>
                <w:lang w:eastAsia="zh-CN"/>
              </w:rPr>
              <w:t xml:space="preserve"> </w:t>
            </w:r>
            <w:r>
              <w:rPr>
                <w:spacing w:val="2"/>
                <w:sz w:val="21"/>
                <w:szCs w:val="21"/>
                <w:lang w:eastAsia="zh-CN"/>
              </w:rPr>
              <w:t>3</w:t>
            </w:r>
            <w:r>
              <w:rPr>
                <w:spacing w:val="-36"/>
                <w:sz w:val="21"/>
                <w:szCs w:val="21"/>
                <w:lang w:eastAsia="zh-CN"/>
              </w:rPr>
              <w:t xml:space="preserve"> </w:t>
            </w:r>
            <w:r>
              <w:rPr>
                <w:spacing w:val="2"/>
                <w:sz w:val="21"/>
                <w:szCs w:val="21"/>
                <w:lang w:eastAsia="zh-CN"/>
              </w:rPr>
              <w:t>分）</w:t>
            </w:r>
          </w:p>
        </w:tc>
        <w:tc>
          <w:tcPr>
            <w:tcW w:w="682" w:type="pct"/>
          </w:tcPr>
          <w:p w14:paraId="54D3D946">
            <w:pPr>
              <w:rPr>
                <w:rFonts w:hint="eastAsia" w:ascii="Arial"/>
                <w:szCs w:val="21"/>
              </w:rPr>
            </w:pPr>
          </w:p>
        </w:tc>
        <w:tc>
          <w:tcPr>
            <w:tcW w:w="647" w:type="pct"/>
          </w:tcPr>
          <w:p w14:paraId="2BAFA6C5">
            <w:pPr>
              <w:rPr>
                <w:rFonts w:hint="eastAsia" w:ascii="Arial"/>
                <w:szCs w:val="21"/>
              </w:rPr>
            </w:pPr>
          </w:p>
        </w:tc>
      </w:tr>
      <w:tr w14:paraId="369B6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jc w:val="center"/>
        </w:trPr>
        <w:tc>
          <w:tcPr>
            <w:tcW w:w="448" w:type="pct"/>
            <w:vMerge w:val="restart"/>
            <w:tcBorders>
              <w:bottom w:val="nil"/>
            </w:tcBorders>
          </w:tcPr>
          <w:p w14:paraId="4DBDD922">
            <w:pPr>
              <w:spacing w:line="291" w:lineRule="auto"/>
              <w:rPr>
                <w:rFonts w:hint="eastAsia" w:ascii="Arial"/>
                <w:szCs w:val="21"/>
              </w:rPr>
            </w:pPr>
          </w:p>
          <w:p w14:paraId="5BE75533">
            <w:pPr>
              <w:spacing w:line="292" w:lineRule="auto"/>
              <w:rPr>
                <w:rFonts w:hint="eastAsia" w:ascii="Arial"/>
                <w:szCs w:val="21"/>
              </w:rPr>
            </w:pPr>
          </w:p>
          <w:p w14:paraId="1678999E">
            <w:pPr>
              <w:pStyle w:val="208"/>
              <w:spacing w:before="65" w:line="231" w:lineRule="auto"/>
              <w:ind w:left="358"/>
              <w:rPr>
                <w:rFonts w:hint="eastAsia"/>
                <w:sz w:val="21"/>
                <w:szCs w:val="21"/>
              </w:rPr>
            </w:pPr>
            <w:r>
              <w:rPr>
                <w:sz w:val="21"/>
                <w:szCs w:val="21"/>
              </w:rPr>
              <w:t>九</w:t>
            </w:r>
          </w:p>
        </w:tc>
        <w:tc>
          <w:tcPr>
            <w:tcW w:w="684" w:type="pct"/>
            <w:vMerge w:val="restart"/>
            <w:tcBorders>
              <w:bottom w:val="nil"/>
            </w:tcBorders>
          </w:tcPr>
          <w:p w14:paraId="2FAF2CD9">
            <w:pPr>
              <w:spacing w:line="382" w:lineRule="auto"/>
              <w:rPr>
                <w:rFonts w:hint="eastAsia" w:ascii="Arial"/>
                <w:szCs w:val="21"/>
              </w:rPr>
            </w:pPr>
          </w:p>
          <w:p w14:paraId="0CEB4116">
            <w:pPr>
              <w:pStyle w:val="208"/>
              <w:spacing w:before="65" w:line="362" w:lineRule="auto"/>
              <w:ind w:left="121" w:right="223" w:hanging="10"/>
              <w:rPr>
                <w:rFonts w:hint="eastAsia"/>
                <w:sz w:val="21"/>
                <w:szCs w:val="21"/>
              </w:rPr>
            </w:pPr>
            <w:r>
              <w:rPr>
                <w:spacing w:val="7"/>
                <w:sz w:val="21"/>
                <w:szCs w:val="21"/>
              </w:rPr>
              <w:t>服务质量</w:t>
            </w:r>
            <w:r>
              <w:rPr>
                <w:sz w:val="21"/>
                <w:szCs w:val="21"/>
              </w:rPr>
              <w:t xml:space="preserve"> </w:t>
            </w:r>
            <w:r>
              <w:rPr>
                <w:spacing w:val="-2"/>
                <w:sz w:val="21"/>
                <w:szCs w:val="21"/>
              </w:rPr>
              <w:t>（7</w:t>
            </w:r>
            <w:r>
              <w:rPr>
                <w:spacing w:val="-36"/>
                <w:sz w:val="21"/>
                <w:szCs w:val="21"/>
              </w:rPr>
              <w:t xml:space="preserve"> </w:t>
            </w:r>
            <w:r>
              <w:rPr>
                <w:spacing w:val="-2"/>
                <w:sz w:val="21"/>
                <w:szCs w:val="21"/>
              </w:rPr>
              <w:t>分）</w:t>
            </w:r>
          </w:p>
        </w:tc>
        <w:tc>
          <w:tcPr>
            <w:tcW w:w="2537" w:type="pct"/>
          </w:tcPr>
          <w:p w14:paraId="5E7CBBE4">
            <w:pPr>
              <w:pStyle w:val="208"/>
              <w:spacing w:before="36" w:line="358" w:lineRule="auto"/>
              <w:ind w:left="123" w:right="261" w:firstLine="425"/>
              <w:rPr>
                <w:rFonts w:hint="eastAsia"/>
                <w:sz w:val="21"/>
                <w:szCs w:val="21"/>
                <w:lang w:eastAsia="zh-CN"/>
              </w:rPr>
            </w:pPr>
            <w:r>
              <w:rPr>
                <w:spacing w:val="6"/>
                <w:sz w:val="21"/>
                <w:szCs w:val="21"/>
                <w:lang w:eastAsia="zh-CN"/>
              </w:rPr>
              <w:t>1、员工服务热情、文明用语、和蔼待人。</w:t>
            </w:r>
            <w:r>
              <w:rPr>
                <w:spacing w:val="7"/>
                <w:sz w:val="21"/>
                <w:szCs w:val="21"/>
                <w:lang w:eastAsia="zh-CN"/>
              </w:rPr>
              <w:t xml:space="preserve"> </w:t>
            </w:r>
            <w:r>
              <w:rPr>
                <w:spacing w:val="3"/>
                <w:sz w:val="21"/>
                <w:szCs w:val="21"/>
                <w:lang w:eastAsia="zh-CN"/>
              </w:rPr>
              <w:t>（共</w:t>
            </w:r>
            <w:r>
              <w:rPr>
                <w:spacing w:val="-27"/>
                <w:sz w:val="21"/>
                <w:szCs w:val="21"/>
                <w:lang w:eastAsia="zh-CN"/>
              </w:rPr>
              <w:t xml:space="preserve"> </w:t>
            </w:r>
            <w:r>
              <w:rPr>
                <w:spacing w:val="3"/>
                <w:sz w:val="21"/>
                <w:szCs w:val="21"/>
                <w:lang w:eastAsia="zh-CN"/>
              </w:rPr>
              <w:t>4</w:t>
            </w:r>
            <w:r>
              <w:rPr>
                <w:spacing w:val="-35"/>
                <w:sz w:val="21"/>
                <w:szCs w:val="21"/>
                <w:lang w:eastAsia="zh-CN"/>
              </w:rPr>
              <w:t xml:space="preserve"> </w:t>
            </w:r>
            <w:r>
              <w:rPr>
                <w:spacing w:val="3"/>
                <w:sz w:val="21"/>
                <w:szCs w:val="21"/>
                <w:lang w:eastAsia="zh-CN"/>
              </w:rPr>
              <w:t>分，任何一项不符合扣</w:t>
            </w:r>
            <w:r>
              <w:rPr>
                <w:spacing w:val="-21"/>
                <w:sz w:val="21"/>
                <w:szCs w:val="21"/>
                <w:lang w:eastAsia="zh-CN"/>
              </w:rPr>
              <w:t xml:space="preserve"> </w:t>
            </w:r>
            <w:r>
              <w:rPr>
                <w:spacing w:val="3"/>
                <w:sz w:val="21"/>
                <w:szCs w:val="21"/>
                <w:lang w:eastAsia="zh-CN"/>
              </w:rPr>
              <w:t>1</w:t>
            </w:r>
            <w:r>
              <w:rPr>
                <w:spacing w:val="-36"/>
                <w:sz w:val="21"/>
                <w:szCs w:val="21"/>
                <w:lang w:eastAsia="zh-CN"/>
              </w:rPr>
              <w:t xml:space="preserve"> </w:t>
            </w:r>
            <w:r>
              <w:rPr>
                <w:spacing w:val="3"/>
                <w:sz w:val="21"/>
                <w:szCs w:val="21"/>
                <w:lang w:eastAsia="zh-CN"/>
              </w:rPr>
              <w:t>分）</w:t>
            </w:r>
          </w:p>
        </w:tc>
        <w:tc>
          <w:tcPr>
            <w:tcW w:w="682" w:type="pct"/>
          </w:tcPr>
          <w:p w14:paraId="0525A852">
            <w:pPr>
              <w:rPr>
                <w:rFonts w:hint="eastAsia" w:ascii="Arial"/>
                <w:szCs w:val="21"/>
              </w:rPr>
            </w:pPr>
          </w:p>
        </w:tc>
        <w:tc>
          <w:tcPr>
            <w:tcW w:w="647" w:type="pct"/>
          </w:tcPr>
          <w:p w14:paraId="0E5BA726">
            <w:pPr>
              <w:rPr>
                <w:rFonts w:hint="eastAsia" w:ascii="Arial"/>
                <w:szCs w:val="21"/>
              </w:rPr>
            </w:pPr>
          </w:p>
        </w:tc>
      </w:tr>
      <w:tr w14:paraId="4DCFD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448" w:type="pct"/>
            <w:vMerge w:val="continue"/>
            <w:tcBorders>
              <w:top w:val="nil"/>
            </w:tcBorders>
          </w:tcPr>
          <w:p w14:paraId="491AF73C">
            <w:pPr>
              <w:rPr>
                <w:rFonts w:hint="eastAsia" w:ascii="Arial"/>
                <w:szCs w:val="21"/>
              </w:rPr>
            </w:pPr>
          </w:p>
        </w:tc>
        <w:tc>
          <w:tcPr>
            <w:tcW w:w="684" w:type="pct"/>
            <w:vMerge w:val="continue"/>
            <w:tcBorders>
              <w:top w:val="nil"/>
            </w:tcBorders>
          </w:tcPr>
          <w:p w14:paraId="7A5201F4">
            <w:pPr>
              <w:rPr>
                <w:rFonts w:hint="eastAsia" w:ascii="Arial"/>
                <w:szCs w:val="21"/>
              </w:rPr>
            </w:pPr>
          </w:p>
        </w:tc>
        <w:tc>
          <w:tcPr>
            <w:tcW w:w="2537" w:type="pct"/>
          </w:tcPr>
          <w:p w14:paraId="3E41B281">
            <w:pPr>
              <w:pStyle w:val="208"/>
              <w:spacing w:before="34" w:line="359" w:lineRule="auto"/>
              <w:ind w:left="116" w:right="224" w:firstLine="448" w:firstLineChars="200"/>
              <w:rPr>
                <w:rFonts w:hint="eastAsia"/>
                <w:sz w:val="21"/>
                <w:szCs w:val="21"/>
                <w:lang w:eastAsia="zh-CN"/>
              </w:rPr>
            </w:pPr>
            <w:r>
              <w:rPr>
                <w:spacing w:val="7"/>
                <w:sz w:val="21"/>
                <w:szCs w:val="21"/>
                <w:lang w:eastAsia="zh-CN"/>
              </w:rPr>
              <w:t>2、程序规范，快捷、高效。（共</w:t>
            </w:r>
            <w:r>
              <w:rPr>
                <w:spacing w:val="-20"/>
                <w:sz w:val="21"/>
                <w:szCs w:val="21"/>
                <w:lang w:eastAsia="zh-CN"/>
              </w:rPr>
              <w:t xml:space="preserve"> </w:t>
            </w:r>
            <w:r>
              <w:rPr>
                <w:spacing w:val="7"/>
                <w:sz w:val="21"/>
                <w:szCs w:val="21"/>
                <w:lang w:eastAsia="zh-CN"/>
              </w:rPr>
              <w:t>3</w:t>
            </w:r>
            <w:r>
              <w:rPr>
                <w:spacing w:val="-36"/>
                <w:sz w:val="21"/>
                <w:szCs w:val="21"/>
                <w:lang w:eastAsia="zh-CN"/>
              </w:rPr>
              <w:t xml:space="preserve"> </w:t>
            </w:r>
            <w:r>
              <w:rPr>
                <w:spacing w:val="7"/>
                <w:sz w:val="21"/>
                <w:szCs w:val="21"/>
                <w:lang w:eastAsia="zh-CN"/>
              </w:rPr>
              <w:t>分，任何一</w:t>
            </w:r>
            <w:r>
              <w:rPr>
                <w:sz w:val="21"/>
                <w:szCs w:val="21"/>
                <w:lang w:eastAsia="zh-CN"/>
              </w:rPr>
              <w:t xml:space="preserve"> </w:t>
            </w:r>
            <w:r>
              <w:rPr>
                <w:spacing w:val="2"/>
                <w:sz w:val="21"/>
                <w:szCs w:val="21"/>
                <w:lang w:eastAsia="zh-CN"/>
              </w:rPr>
              <w:t>项不符合扣</w:t>
            </w:r>
            <w:r>
              <w:rPr>
                <w:spacing w:val="-24"/>
                <w:sz w:val="21"/>
                <w:szCs w:val="21"/>
                <w:lang w:eastAsia="zh-CN"/>
              </w:rPr>
              <w:t xml:space="preserve"> </w:t>
            </w:r>
            <w:r>
              <w:rPr>
                <w:spacing w:val="2"/>
                <w:sz w:val="21"/>
                <w:szCs w:val="21"/>
                <w:lang w:eastAsia="zh-CN"/>
              </w:rPr>
              <w:t>1</w:t>
            </w:r>
            <w:r>
              <w:rPr>
                <w:spacing w:val="-36"/>
                <w:sz w:val="21"/>
                <w:szCs w:val="21"/>
                <w:lang w:eastAsia="zh-CN"/>
              </w:rPr>
              <w:t xml:space="preserve"> </w:t>
            </w:r>
            <w:r>
              <w:rPr>
                <w:spacing w:val="2"/>
                <w:sz w:val="21"/>
                <w:szCs w:val="21"/>
                <w:lang w:eastAsia="zh-CN"/>
              </w:rPr>
              <w:t>分）</w:t>
            </w:r>
          </w:p>
        </w:tc>
        <w:tc>
          <w:tcPr>
            <w:tcW w:w="682" w:type="pct"/>
          </w:tcPr>
          <w:p w14:paraId="256DFF98">
            <w:pPr>
              <w:rPr>
                <w:rFonts w:hint="eastAsia" w:ascii="Arial"/>
                <w:szCs w:val="21"/>
              </w:rPr>
            </w:pPr>
          </w:p>
        </w:tc>
        <w:tc>
          <w:tcPr>
            <w:tcW w:w="647" w:type="pct"/>
          </w:tcPr>
          <w:p w14:paraId="1DB5640F">
            <w:pPr>
              <w:rPr>
                <w:rFonts w:hint="eastAsia" w:ascii="Arial"/>
                <w:szCs w:val="21"/>
              </w:rPr>
            </w:pPr>
          </w:p>
        </w:tc>
      </w:tr>
      <w:tr w14:paraId="7868C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jc w:val="center"/>
        </w:trPr>
        <w:tc>
          <w:tcPr>
            <w:tcW w:w="448" w:type="pct"/>
          </w:tcPr>
          <w:p w14:paraId="3B585FA6">
            <w:pPr>
              <w:spacing w:line="376" w:lineRule="auto"/>
              <w:rPr>
                <w:rFonts w:hint="eastAsia" w:ascii="Arial"/>
                <w:szCs w:val="21"/>
              </w:rPr>
            </w:pPr>
          </w:p>
          <w:p w14:paraId="6EC09409">
            <w:pPr>
              <w:pStyle w:val="208"/>
              <w:spacing w:before="65" w:line="229" w:lineRule="auto"/>
              <w:ind w:left="354"/>
              <w:rPr>
                <w:rFonts w:hint="eastAsia"/>
                <w:sz w:val="21"/>
                <w:szCs w:val="21"/>
              </w:rPr>
            </w:pPr>
            <w:r>
              <w:rPr>
                <w:sz w:val="21"/>
                <w:szCs w:val="21"/>
              </w:rPr>
              <w:t>十</w:t>
            </w:r>
          </w:p>
        </w:tc>
        <w:tc>
          <w:tcPr>
            <w:tcW w:w="684" w:type="pct"/>
          </w:tcPr>
          <w:p w14:paraId="3695D832">
            <w:pPr>
              <w:pStyle w:val="208"/>
              <w:spacing w:before="35" w:line="367" w:lineRule="auto"/>
              <w:ind w:right="220"/>
              <w:rPr>
                <w:rFonts w:hint="eastAsia"/>
                <w:sz w:val="21"/>
                <w:szCs w:val="21"/>
              </w:rPr>
            </w:pPr>
            <w:r>
              <w:rPr>
                <w:spacing w:val="8"/>
                <w:sz w:val="21"/>
                <w:szCs w:val="21"/>
              </w:rPr>
              <w:t>满意度管</w:t>
            </w:r>
            <w:r>
              <w:rPr>
                <w:sz w:val="21"/>
                <w:szCs w:val="21"/>
              </w:rPr>
              <w:t xml:space="preserve"> 理（10</w:t>
            </w:r>
            <w:r>
              <w:rPr>
                <w:spacing w:val="-38"/>
                <w:sz w:val="21"/>
                <w:szCs w:val="21"/>
              </w:rPr>
              <w:t xml:space="preserve"> </w:t>
            </w:r>
            <w:r>
              <w:rPr>
                <w:sz w:val="21"/>
                <w:szCs w:val="21"/>
              </w:rPr>
              <w:t>分）</w:t>
            </w:r>
          </w:p>
        </w:tc>
        <w:tc>
          <w:tcPr>
            <w:tcW w:w="2537" w:type="pct"/>
          </w:tcPr>
          <w:p w14:paraId="5EB2F2DB">
            <w:pPr>
              <w:pStyle w:val="208"/>
              <w:spacing w:before="237" w:line="362" w:lineRule="auto"/>
              <w:ind w:left="137" w:right="277" w:hanging="8"/>
              <w:rPr>
                <w:rFonts w:hint="eastAsia"/>
                <w:sz w:val="21"/>
                <w:szCs w:val="21"/>
                <w:lang w:eastAsia="zh-CN"/>
              </w:rPr>
            </w:pPr>
            <w:r>
              <w:rPr>
                <w:spacing w:val="7"/>
                <w:sz w:val="21"/>
                <w:szCs w:val="21"/>
                <w:lang w:eastAsia="zh-CN"/>
              </w:rPr>
              <w:t>现场进行用户满意度测评，满意率达</w:t>
            </w:r>
            <w:r>
              <w:rPr>
                <w:spacing w:val="-29"/>
                <w:sz w:val="21"/>
                <w:szCs w:val="21"/>
                <w:lang w:eastAsia="zh-CN"/>
              </w:rPr>
              <w:t xml:space="preserve"> </w:t>
            </w:r>
            <w:r>
              <w:rPr>
                <w:spacing w:val="7"/>
                <w:sz w:val="21"/>
                <w:szCs w:val="21"/>
                <w:lang w:eastAsia="zh-CN"/>
              </w:rPr>
              <w:t>70%及</w:t>
            </w:r>
            <w:r>
              <w:rPr>
                <w:sz w:val="21"/>
                <w:szCs w:val="21"/>
                <w:lang w:eastAsia="zh-CN"/>
              </w:rPr>
              <w:t xml:space="preserve"> </w:t>
            </w:r>
            <w:r>
              <w:rPr>
                <w:spacing w:val="2"/>
                <w:sz w:val="21"/>
                <w:szCs w:val="21"/>
                <w:lang w:eastAsia="zh-CN"/>
              </w:rPr>
              <w:t>以上。（共10</w:t>
            </w:r>
            <w:r>
              <w:rPr>
                <w:spacing w:val="-38"/>
                <w:sz w:val="21"/>
                <w:szCs w:val="21"/>
                <w:lang w:eastAsia="zh-CN"/>
              </w:rPr>
              <w:t xml:space="preserve"> </w:t>
            </w:r>
            <w:r>
              <w:rPr>
                <w:spacing w:val="2"/>
                <w:sz w:val="21"/>
                <w:szCs w:val="21"/>
                <w:lang w:eastAsia="zh-CN"/>
              </w:rPr>
              <w:t>分，满意率不达</w:t>
            </w:r>
            <w:r>
              <w:rPr>
                <w:spacing w:val="-32"/>
                <w:sz w:val="21"/>
                <w:szCs w:val="21"/>
                <w:lang w:eastAsia="zh-CN"/>
              </w:rPr>
              <w:t xml:space="preserve"> </w:t>
            </w:r>
            <w:r>
              <w:rPr>
                <w:spacing w:val="2"/>
                <w:sz w:val="21"/>
                <w:szCs w:val="21"/>
                <w:lang w:eastAsia="zh-CN"/>
              </w:rPr>
              <w:t>70%扣</w:t>
            </w:r>
            <w:r>
              <w:rPr>
                <w:spacing w:val="-24"/>
                <w:sz w:val="21"/>
                <w:szCs w:val="21"/>
                <w:lang w:eastAsia="zh-CN"/>
              </w:rPr>
              <w:t xml:space="preserve"> </w:t>
            </w:r>
            <w:r>
              <w:rPr>
                <w:spacing w:val="2"/>
                <w:sz w:val="21"/>
                <w:szCs w:val="21"/>
                <w:lang w:eastAsia="zh-CN"/>
              </w:rPr>
              <w:t>10</w:t>
            </w:r>
            <w:r>
              <w:rPr>
                <w:spacing w:val="-35"/>
                <w:sz w:val="21"/>
                <w:szCs w:val="21"/>
                <w:lang w:eastAsia="zh-CN"/>
              </w:rPr>
              <w:t xml:space="preserve"> </w:t>
            </w:r>
            <w:r>
              <w:rPr>
                <w:spacing w:val="2"/>
                <w:sz w:val="21"/>
                <w:szCs w:val="21"/>
                <w:lang w:eastAsia="zh-CN"/>
              </w:rPr>
              <w:t>分）</w:t>
            </w:r>
          </w:p>
        </w:tc>
        <w:tc>
          <w:tcPr>
            <w:tcW w:w="682" w:type="pct"/>
          </w:tcPr>
          <w:p w14:paraId="60246621">
            <w:pPr>
              <w:rPr>
                <w:rFonts w:hint="eastAsia" w:ascii="Arial"/>
                <w:szCs w:val="21"/>
              </w:rPr>
            </w:pPr>
          </w:p>
        </w:tc>
        <w:tc>
          <w:tcPr>
            <w:tcW w:w="647" w:type="pct"/>
          </w:tcPr>
          <w:p w14:paraId="6EF0EE37">
            <w:pPr>
              <w:rPr>
                <w:rFonts w:hint="eastAsia" w:ascii="Arial"/>
                <w:szCs w:val="21"/>
              </w:rPr>
            </w:pPr>
          </w:p>
        </w:tc>
      </w:tr>
      <w:tr w14:paraId="237DE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1132" w:type="pct"/>
            <w:gridSpan w:val="2"/>
          </w:tcPr>
          <w:p w14:paraId="45AEE641">
            <w:pPr>
              <w:pStyle w:val="208"/>
              <w:spacing w:before="35" w:line="367" w:lineRule="auto"/>
              <w:ind w:right="220" w:firstLine="680" w:firstLineChars="300"/>
              <w:jc w:val="center"/>
              <w:rPr>
                <w:rFonts w:hint="eastAsia"/>
                <w:spacing w:val="8"/>
                <w:sz w:val="21"/>
                <w:szCs w:val="21"/>
                <w:lang w:eastAsia="zh-CN"/>
              </w:rPr>
            </w:pPr>
            <w:r>
              <w:rPr>
                <w:rFonts w:hint="eastAsia"/>
                <w:b/>
                <w:bCs/>
                <w:spacing w:val="8"/>
                <w:sz w:val="21"/>
                <w:szCs w:val="21"/>
                <w:lang w:eastAsia="zh-CN"/>
              </w:rPr>
              <w:t>总得分</w:t>
            </w:r>
          </w:p>
        </w:tc>
        <w:tc>
          <w:tcPr>
            <w:tcW w:w="3867" w:type="pct"/>
            <w:gridSpan w:val="3"/>
          </w:tcPr>
          <w:p w14:paraId="05750977">
            <w:pPr>
              <w:rPr>
                <w:rFonts w:hint="eastAsia" w:ascii="Arial"/>
                <w:szCs w:val="21"/>
              </w:rPr>
            </w:pPr>
          </w:p>
        </w:tc>
      </w:tr>
    </w:tbl>
    <w:p w14:paraId="01445AB1">
      <w:pPr>
        <w:rPr>
          <w:rFonts w:hint="eastAsia" w:ascii="Arial"/>
        </w:rPr>
      </w:pPr>
    </w:p>
    <w:p w14:paraId="1B7FB358">
      <w:pPr>
        <w:pStyle w:val="2"/>
        <w:spacing w:line="360" w:lineRule="auto"/>
        <w:ind w:firstLine="420" w:firstLineChars="200"/>
        <w:jc w:val="left"/>
        <w:rPr>
          <w:rFonts w:hint="eastAsia" w:hAnsi="宋体" w:cs="宋体"/>
          <w:sz w:val="21"/>
          <w:szCs w:val="21"/>
        </w:rPr>
      </w:pPr>
      <w:r>
        <w:rPr>
          <w:rFonts w:hint="eastAsia" w:hAnsi="宋体" w:cs="宋体"/>
          <w:b w:val="0"/>
          <w:bCs w:val="0"/>
          <w:sz w:val="21"/>
          <w:szCs w:val="21"/>
          <w:lang w:val="en-US"/>
        </w:rPr>
        <w:t>（二）水业大厦</w:t>
      </w:r>
      <w:r>
        <w:rPr>
          <w:rFonts w:hint="eastAsia" w:hAnsi="宋体" w:cs="宋体"/>
          <w:b w:val="0"/>
          <w:sz w:val="21"/>
          <w:szCs w:val="21"/>
        </w:rPr>
        <w:t>食堂</w:t>
      </w:r>
      <w:r>
        <w:rPr>
          <w:rFonts w:hint="eastAsia" w:hAnsi="宋体" w:cs="宋体"/>
          <w:b w:val="0"/>
          <w:bCs w:val="0"/>
          <w:sz w:val="21"/>
          <w:szCs w:val="21"/>
        </w:rPr>
        <w:t>服务年度综合考评表</w:t>
      </w:r>
    </w:p>
    <w:tbl>
      <w:tblPr>
        <w:tblStyle w:val="38"/>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4791"/>
        <w:gridCol w:w="2034"/>
        <w:gridCol w:w="797"/>
        <w:gridCol w:w="723"/>
      </w:tblGrid>
      <w:tr w14:paraId="4CF5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1" w:type="dxa"/>
            <w:vAlign w:val="center"/>
          </w:tcPr>
          <w:p w14:paraId="655FC560">
            <w:pPr>
              <w:jc w:val="center"/>
              <w:rPr>
                <w:rFonts w:hint="eastAsia" w:ascii="宋体" w:hAnsi="宋体" w:eastAsia="宋体" w:cs="宋体"/>
                <w:szCs w:val="21"/>
              </w:rPr>
            </w:pPr>
            <w:r>
              <w:rPr>
                <w:rFonts w:hint="eastAsia" w:ascii="宋体" w:hAnsi="宋体" w:eastAsia="宋体" w:cs="宋体"/>
                <w:szCs w:val="21"/>
              </w:rPr>
              <w:t>项目</w:t>
            </w:r>
          </w:p>
        </w:tc>
        <w:tc>
          <w:tcPr>
            <w:tcW w:w="4791" w:type="dxa"/>
            <w:vAlign w:val="center"/>
          </w:tcPr>
          <w:p w14:paraId="686929E8">
            <w:pPr>
              <w:jc w:val="center"/>
              <w:rPr>
                <w:rFonts w:hint="eastAsia" w:ascii="宋体" w:hAnsi="宋体" w:eastAsia="宋体" w:cs="宋体"/>
                <w:szCs w:val="21"/>
              </w:rPr>
            </w:pPr>
            <w:r>
              <w:rPr>
                <w:rFonts w:hint="eastAsia" w:ascii="宋体" w:hAnsi="宋体" w:eastAsia="宋体" w:cs="宋体"/>
                <w:szCs w:val="21"/>
              </w:rPr>
              <w:t>内容与标准</w:t>
            </w:r>
          </w:p>
        </w:tc>
        <w:tc>
          <w:tcPr>
            <w:tcW w:w="2034" w:type="dxa"/>
            <w:vAlign w:val="center"/>
          </w:tcPr>
          <w:p w14:paraId="75FB01E2">
            <w:pPr>
              <w:jc w:val="center"/>
              <w:rPr>
                <w:rFonts w:hint="eastAsia" w:ascii="宋体" w:hAnsi="宋体" w:eastAsia="宋体" w:cs="宋体"/>
                <w:szCs w:val="21"/>
              </w:rPr>
            </w:pPr>
            <w:r>
              <w:rPr>
                <w:rFonts w:hint="eastAsia" w:ascii="宋体" w:hAnsi="宋体" w:eastAsia="宋体" w:cs="宋体"/>
                <w:szCs w:val="21"/>
              </w:rPr>
              <w:t>扣分方法</w:t>
            </w:r>
          </w:p>
        </w:tc>
        <w:tc>
          <w:tcPr>
            <w:tcW w:w="797" w:type="dxa"/>
            <w:vAlign w:val="center"/>
          </w:tcPr>
          <w:p w14:paraId="40A45953">
            <w:pPr>
              <w:jc w:val="center"/>
              <w:rPr>
                <w:rFonts w:hint="eastAsia" w:ascii="宋体" w:hAnsi="宋体" w:eastAsia="宋体" w:cs="宋体"/>
                <w:szCs w:val="21"/>
              </w:rPr>
            </w:pPr>
            <w:r>
              <w:rPr>
                <w:rFonts w:hint="eastAsia" w:ascii="宋体" w:hAnsi="宋体" w:eastAsia="宋体" w:cs="宋体"/>
                <w:szCs w:val="21"/>
              </w:rPr>
              <w:t>得分</w:t>
            </w:r>
          </w:p>
        </w:tc>
        <w:tc>
          <w:tcPr>
            <w:tcW w:w="723" w:type="dxa"/>
            <w:vAlign w:val="center"/>
          </w:tcPr>
          <w:p w14:paraId="773097C9">
            <w:pPr>
              <w:jc w:val="center"/>
              <w:rPr>
                <w:rFonts w:hint="eastAsia" w:ascii="宋体" w:hAnsi="宋体" w:eastAsia="宋体" w:cs="宋体"/>
                <w:szCs w:val="21"/>
              </w:rPr>
            </w:pPr>
            <w:r>
              <w:rPr>
                <w:rFonts w:hint="eastAsia" w:ascii="宋体" w:hAnsi="宋体" w:eastAsia="宋体" w:cs="宋体"/>
                <w:szCs w:val="21"/>
              </w:rPr>
              <w:t>备注</w:t>
            </w:r>
          </w:p>
        </w:tc>
      </w:tr>
      <w:tr w14:paraId="4DBCA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921" w:type="dxa"/>
            <w:vAlign w:val="center"/>
          </w:tcPr>
          <w:p w14:paraId="0C2B78B1">
            <w:pPr>
              <w:pStyle w:val="208"/>
              <w:spacing w:before="35" w:line="367" w:lineRule="auto"/>
              <w:ind w:right="220"/>
              <w:jc w:val="center"/>
              <w:rPr>
                <w:rFonts w:hint="eastAsia"/>
                <w:sz w:val="21"/>
                <w:szCs w:val="21"/>
              </w:rPr>
            </w:pPr>
            <w:r>
              <w:rPr>
                <w:sz w:val="21"/>
                <w:szCs w:val="21"/>
                <w:lang w:eastAsia="zh-CN"/>
              </w:rPr>
              <w:t>经营理念及</w:t>
            </w:r>
            <w:r>
              <w:rPr>
                <w:sz w:val="21"/>
                <w:szCs w:val="21"/>
              </w:rPr>
              <w:t>制度健全</w:t>
            </w:r>
          </w:p>
        </w:tc>
        <w:tc>
          <w:tcPr>
            <w:tcW w:w="4791" w:type="dxa"/>
          </w:tcPr>
          <w:p w14:paraId="5EF4BA0D">
            <w:pPr>
              <w:pStyle w:val="208"/>
              <w:spacing w:before="34" w:line="359" w:lineRule="auto"/>
              <w:ind w:left="116" w:right="224"/>
              <w:rPr>
                <w:rFonts w:hint="eastAsia"/>
                <w:spacing w:val="7"/>
                <w:sz w:val="21"/>
                <w:szCs w:val="21"/>
                <w:lang w:eastAsia="zh-CN"/>
              </w:rPr>
            </w:pPr>
            <w:r>
              <w:rPr>
                <w:spacing w:val="7"/>
                <w:sz w:val="21"/>
                <w:szCs w:val="21"/>
                <w:lang w:eastAsia="zh-CN"/>
              </w:rPr>
              <w:t>1、食堂卫生管理制度。2、各岗位职责。3、仓储保管制度。4、卫生责任划分制度。5、粗加工管理制度。6、清洁消毒制度。7、烹调加工管理制度。8、面点操作管理制度。9、安全防范制度与措施。10、食堂人员个人卫生制度等。以上制度要求每年更新一次</w:t>
            </w:r>
            <w:r>
              <w:rPr>
                <w:rFonts w:hint="eastAsia"/>
                <w:spacing w:val="7"/>
                <w:sz w:val="21"/>
                <w:szCs w:val="21"/>
                <w:lang w:eastAsia="zh-CN"/>
              </w:rPr>
              <w:t>。（共5分）</w:t>
            </w:r>
          </w:p>
        </w:tc>
        <w:tc>
          <w:tcPr>
            <w:tcW w:w="2034" w:type="dxa"/>
            <w:vAlign w:val="center"/>
          </w:tcPr>
          <w:p w14:paraId="07518E1D">
            <w:pPr>
              <w:pStyle w:val="208"/>
              <w:spacing w:before="34" w:line="359" w:lineRule="auto"/>
              <w:ind w:left="116" w:right="224"/>
              <w:jc w:val="center"/>
              <w:rPr>
                <w:rFonts w:hint="eastAsia"/>
                <w:spacing w:val="7"/>
                <w:sz w:val="21"/>
                <w:szCs w:val="21"/>
                <w:lang w:eastAsia="zh-CN"/>
              </w:rPr>
            </w:pPr>
            <w:r>
              <w:rPr>
                <w:spacing w:val="7"/>
                <w:sz w:val="21"/>
                <w:szCs w:val="21"/>
                <w:lang w:eastAsia="zh-CN"/>
              </w:rPr>
              <w:t>管理制度上墙公布，每缺少一项扣1分，未按制度执行扣1分∕项次。</w:t>
            </w:r>
          </w:p>
        </w:tc>
        <w:tc>
          <w:tcPr>
            <w:tcW w:w="797" w:type="dxa"/>
            <w:vAlign w:val="center"/>
          </w:tcPr>
          <w:p w14:paraId="4D9D855A">
            <w:pPr>
              <w:jc w:val="center"/>
              <w:rPr>
                <w:rFonts w:hint="eastAsia" w:ascii="宋体" w:hAnsi="宋体" w:eastAsia="宋体" w:cs="宋体"/>
                <w:szCs w:val="21"/>
              </w:rPr>
            </w:pPr>
          </w:p>
        </w:tc>
        <w:tc>
          <w:tcPr>
            <w:tcW w:w="723" w:type="dxa"/>
            <w:vAlign w:val="center"/>
          </w:tcPr>
          <w:p w14:paraId="76E117B6">
            <w:pPr>
              <w:jc w:val="center"/>
              <w:rPr>
                <w:rFonts w:hint="eastAsia" w:ascii="宋体" w:hAnsi="宋体" w:eastAsia="宋体" w:cs="宋体"/>
                <w:szCs w:val="21"/>
              </w:rPr>
            </w:pPr>
          </w:p>
        </w:tc>
      </w:tr>
      <w:tr w14:paraId="2EEFA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921" w:type="dxa"/>
            <w:vAlign w:val="center"/>
          </w:tcPr>
          <w:p w14:paraId="3212F04D">
            <w:pPr>
              <w:pStyle w:val="208"/>
              <w:spacing w:before="35" w:line="367" w:lineRule="auto"/>
              <w:ind w:right="220"/>
              <w:jc w:val="center"/>
              <w:rPr>
                <w:rFonts w:hint="eastAsia"/>
                <w:sz w:val="21"/>
                <w:szCs w:val="21"/>
              </w:rPr>
            </w:pPr>
            <w:r>
              <w:rPr>
                <w:sz w:val="21"/>
                <w:szCs w:val="21"/>
              </w:rPr>
              <w:t>品质保障</w:t>
            </w:r>
          </w:p>
        </w:tc>
        <w:tc>
          <w:tcPr>
            <w:tcW w:w="4791" w:type="dxa"/>
          </w:tcPr>
          <w:p w14:paraId="0048C652">
            <w:pPr>
              <w:pStyle w:val="208"/>
              <w:spacing w:before="34" w:line="359" w:lineRule="auto"/>
              <w:ind w:left="116" w:right="224"/>
              <w:rPr>
                <w:rFonts w:hint="eastAsia"/>
                <w:spacing w:val="7"/>
                <w:sz w:val="21"/>
                <w:szCs w:val="21"/>
                <w:lang w:eastAsia="zh-CN"/>
              </w:rPr>
            </w:pPr>
            <w:r>
              <w:rPr>
                <w:spacing w:val="7"/>
                <w:sz w:val="21"/>
                <w:szCs w:val="21"/>
                <w:lang w:eastAsia="zh-CN"/>
              </w:rPr>
              <w:t>1、不得有霉烂、变质、老化的蔬菜食品入库。2、拣菜人员必须将不合格的菜品分出来。3、成品、半成品、调料必须有厂商、生产日期、合格证。4、烹饪加工品质控制有指定的专业责任人。</w:t>
            </w:r>
            <w:r>
              <w:rPr>
                <w:rFonts w:hint="eastAsia"/>
                <w:spacing w:val="7"/>
                <w:sz w:val="21"/>
                <w:szCs w:val="21"/>
                <w:lang w:eastAsia="zh-CN"/>
              </w:rPr>
              <w:t>（共15分）</w:t>
            </w:r>
          </w:p>
        </w:tc>
        <w:tc>
          <w:tcPr>
            <w:tcW w:w="2034" w:type="dxa"/>
            <w:vAlign w:val="center"/>
          </w:tcPr>
          <w:p w14:paraId="1842BD31">
            <w:pPr>
              <w:pStyle w:val="208"/>
              <w:spacing w:before="34" w:line="359" w:lineRule="auto"/>
              <w:ind w:left="116" w:right="224"/>
              <w:jc w:val="center"/>
              <w:rPr>
                <w:rFonts w:hint="eastAsia"/>
                <w:spacing w:val="7"/>
                <w:sz w:val="21"/>
                <w:szCs w:val="21"/>
                <w:lang w:eastAsia="zh-CN"/>
              </w:rPr>
            </w:pPr>
            <w:r>
              <w:rPr>
                <w:spacing w:val="7"/>
                <w:sz w:val="21"/>
                <w:szCs w:val="21"/>
                <w:lang w:eastAsia="zh-CN"/>
              </w:rPr>
              <w:t>现场随机抽查，违反一项扣5分。</w:t>
            </w:r>
          </w:p>
        </w:tc>
        <w:tc>
          <w:tcPr>
            <w:tcW w:w="797" w:type="dxa"/>
            <w:vAlign w:val="center"/>
          </w:tcPr>
          <w:p w14:paraId="76F2EBCC">
            <w:pPr>
              <w:jc w:val="center"/>
              <w:rPr>
                <w:rFonts w:hint="eastAsia" w:ascii="宋体" w:hAnsi="宋体" w:eastAsia="宋体" w:cs="宋体"/>
                <w:szCs w:val="21"/>
              </w:rPr>
            </w:pPr>
          </w:p>
        </w:tc>
        <w:tc>
          <w:tcPr>
            <w:tcW w:w="723" w:type="dxa"/>
            <w:vAlign w:val="center"/>
          </w:tcPr>
          <w:p w14:paraId="75C9C31B">
            <w:pPr>
              <w:jc w:val="center"/>
              <w:rPr>
                <w:rFonts w:hint="eastAsia" w:ascii="宋体" w:hAnsi="宋体" w:eastAsia="宋体" w:cs="宋体"/>
                <w:szCs w:val="21"/>
              </w:rPr>
            </w:pPr>
          </w:p>
        </w:tc>
      </w:tr>
      <w:tr w14:paraId="2745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921" w:type="dxa"/>
            <w:vAlign w:val="center"/>
          </w:tcPr>
          <w:p w14:paraId="523F7C74">
            <w:pPr>
              <w:pStyle w:val="208"/>
              <w:spacing w:before="35" w:line="367" w:lineRule="auto"/>
              <w:ind w:right="220"/>
              <w:jc w:val="center"/>
              <w:rPr>
                <w:rFonts w:hint="eastAsia"/>
                <w:sz w:val="21"/>
                <w:szCs w:val="21"/>
              </w:rPr>
            </w:pPr>
            <w:r>
              <w:rPr>
                <w:sz w:val="21"/>
                <w:szCs w:val="21"/>
              </w:rPr>
              <w:t>品质口味</w:t>
            </w:r>
          </w:p>
        </w:tc>
        <w:tc>
          <w:tcPr>
            <w:tcW w:w="4791" w:type="dxa"/>
          </w:tcPr>
          <w:p w14:paraId="53C5316F">
            <w:pPr>
              <w:pStyle w:val="208"/>
              <w:spacing w:before="34" w:line="359" w:lineRule="auto"/>
              <w:ind w:left="116" w:right="224"/>
              <w:rPr>
                <w:rFonts w:hint="eastAsia"/>
                <w:spacing w:val="7"/>
                <w:sz w:val="21"/>
                <w:szCs w:val="21"/>
                <w:lang w:eastAsia="zh-CN"/>
              </w:rPr>
            </w:pPr>
            <w:r>
              <w:rPr>
                <w:spacing w:val="7"/>
                <w:sz w:val="21"/>
                <w:szCs w:val="21"/>
                <w:lang w:eastAsia="zh-CN"/>
              </w:rPr>
              <w:t>1、是否每天对荤菜品种变化调整。2、是否每天对蔬菜品种搭配变化调整。3、是否每周对点菜、汤品进行变化翻新。4、有无约定品种供应。5、每周是否有克重和配比的菜单公布。</w:t>
            </w:r>
            <w:r>
              <w:rPr>
                <w:rFonts w:hint="eastAsia"/>
                <w:spacing w:val="7"/>
                <w:sz w:val="21"/>
                <w:szCs w:val="21"/>
                <w:lang w:eastAsia="zh-CN"/>
              </w:rPr>
              <w:t>（共15分）</w:t>
            </w:r>
          </w:p>
        </w:tc>
        <w:tc>
          <w:tcPr>
            <w:tcW w:w="2034" w:type="dxa"/>
            <w:vAlign w:val="center"/>
          </w:tcPr>
          <w:p w14:paraId="637820F4">
            <w:pPr>
              <w:pStyle w:val="208"/>
              <w:spacing w:before="34" w:line="359" w:lineRule="auto"/>
              <w:ind w:left="116" w:right="224"/>
              <w:jc w:val="center"/>
              <w:rPr>
                <w:rFonts w:hint="eastAsia"/>
                <w:spacing w:val="7"/>
                <w:sz w:val="21"/>
                <w:szCs w:val="21"/>
                <w:lang w:eastAsia="zh-CN"/>
              </w:rPr>
            </w:pPr>
            <w:r>
              <w:rPr>
                <w:spacing w:val="7"/>
                <w:sz w:val="21"/>
                <w:szCs w:val="21"/>
                <w:lang w:eastAsia="zh-CN"/>
              </w:rPr>
              <w:t>现场抽查，违反一项扣5分。</w:t>
            </w:r>
          </w:p>
        </w:tc>
        <w:tc>
          <w:tcPr>
            <w:tcW w:w="797" w:type="dxa"/>
            <w:vAlign w:val="center"/>
          </w:tcPr>
          <w:p w14:paraId="20B69653">
            <w:pPr>
              <w:jc w:val="center"/>
              <w:rPr>
                <w:rFonts w:hint="eastAsia" w:ascii="宋体" w:hAnsi="宋体" w:eastAsia="宋体" w:cs="宋体"/>
                <w:szCs w:val="21"/>
              </w:rPr>
            </w:pPr>
          </w:p>
        </w:tc>
        <w:tc>
          <w:tcPr>
            <w:tcW w:w="723" w:type="dxa"/>
            <w:vAlign w:val="center"/>
          </w:tcPr>
          <w:p w14:paraId="4EB49403">
            <w:pPr>
              <w:jc w:val="center"/>
              <w:rPr>
                <w:rFonts w:hint="eastAsia" w:ascii="宋体" w:hAnsi="宋体" w:eastAsia="宋体" w:cs="宋体"/>
                <w:szCs w:val="21"/>
              </w:rPr>
            </w:pPr>
          </w:p>
        </w:tc>
      </w:tr>
      <w:tr w14:paraId="7146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1" w:type="dxa"/>
            <w:vAlign w:val="center"/>
          </w:tcPr>
          <w:p w14:paraId="323BB6BB">
            <w:pPr>
              <w:pStyle w:val="208"/>
              <w:spacing w:before="35" w:line="367" w:lineRule="auto"/>
              <w:ind w:right="220"/>
              <w:jc w:val="center"/>
              <w:rPr>
                <w:rFonts w:hint="eastAsia"/>
                <w:sz w:val="21"/>
                <w:szCs w:val="21"/>
              </w:rPr>
            </w:pPr>
            <w:r>
              <w:rPr>
                <w:sz w:val="21"/>
                <w:szCs w:val="21"/>
              </w:rPr>
              <w:t>饭菜量价</w:t>
            </w:r>
          </w:p>
        </w:tc>
        <w:tc>
          <w:tcPr>
            <w:tcW w:w="4791" w:type="dxa"/>
          </w:tcPr>
          <w:p w14:paraId="4A09909D">
            <w:pPr>
              <w:pStyle w:val="208"/>
              <w:spacing w:before="34" w:line="359" w:lineRule="auto"/>
              <w:ind w:left="116" w:right="224"/>
              <w:rPr>
                <w:rFonts w:hint="eastAsia"/>
                <w:spacing w:val="7"/>
                <w:sz w:val="21"/>
                <w:szCs w:val="21"/>
                <w:lang w:eastAsia="zh-CN"/>
              </w:rPr>
            </w:pPr>
            <w:r>
              <w:rPr>
                <w:spacing w:val="7"/>
                <w:sz w:val="21"/>
                <w:szCs w:val="21"/>
                <w:lang w:eastAsia="zh-CN"/>
              </w:rPr>
              <w:t>1、各类食品是否按公布的菜式供应。2、是否定期提供原料进价单。3、是否按用户需求的克重进行定价。</w:t>
            </w:r>
            <w:r>
              <w:rPr>
                <w:rFonts w:hint="eastAsia"/>
                <w:spacing w:val="7"/>
                <w:sz w:val="21"/>
                <w:szCs w:val="21"/>
                <w:lang w:eastAsia="zh-CN"/>
              </w:rPr>
              <w:t>（共10分）</w:t>
            </w:r>
          </w:p>
        </w:tc>
        <w:tc>
          <w:tcPr>
            <w:tcW w:w="2034" w:type="dxa"/>
            <w:vAlign w:val="center"/>
          </w:tcPr>
          <w:p w14:paraId="53C03B95">
            <w:pPr>
              <w:pStyle w:val="208"/>
              <w:spacing w:before="34" w:line="359" w:lineRule="auto"/>
              <w:ind w:left="116" w:right="224"/>
              <w:jc w:val="center"/>
              <w:rPr>
                <w:rFonts w:hint="eastAsia"/>
                <w:spacing w:val="7"/>
                <w:sz w:val="21"/>
                <w:szCs w:val="21"/>
                <w:lang w:eastAsia="zh-CN"/>
              </w:rPr>
            </w:pPr>
            <w:r>
              <w:rPr>
                <w:spacing w:val="7"/>
                <w:sz w:val="21"/>
                <w:szCs w:val="21"/>
                <w:lang w:eastAsia="zh-CN"/>
              </w:rPr>
              <w:t>现场抽查，违反一项扣5分。</w:t>
            </w:r>
          </w:p>
        </w:tc>
        <w:tc>
          <w:tcPr>
            <w:tcW w:w="797" w:type="dxa"/>
            <w:vAlign w:val="center"/>
          </w:tcPr>
          <w:p w14:paraId="09FDD6D7">
            <w:pPr>
              <w:jc w:val="center"/>
              <w:rPr>
                <w:rFonts w:hint="eastAsia" w:ascii="宋体" w:hAnsi="宋体" w:eastAsia="宋体" w:cs="宋体"/>
                <w:szCs w:val="21"/>
              </w:rPr>
            </w:pPr>
          </w:p>
        </w:tc>
        <w:tc>
          <w:tcPr>
            <w:tcW w:w="723" w:type="dxa"/>
            <w:vAlign w:val="center"/>
          </w:tcPr>
          <w:p w14:paraId="1741F934">
            <w:pPr>
              <w:jc w:val="center"/>
              <w:rPr>
                <w:rFonts w:hint="eastAsia" w:ascii="宋体" w:hAnsi="宋体" w:eastAsia="宋体" w:cs="宋体"/>
                <w:szCs w:val="21"/>
              </w:rPr>
            </w:pPr>
          </w:p>
        </w:tc>
      </w:tr>
      <w:tr w14:paraId="64F89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921" w:type="dxa"/>
            <w:vAlign w:val="center"/>
          </w:tcPr>
          <w:p w14:paraId="65ECBEE7">
            <w:pPr>
              <w:pStyle w:val="208"/>
              <w:spacing w:before="35" w:line="367" w:lineRule="auto"/>
              <w:ind w:right="220"/>
              <w:jc w:val="center"/>
              <w:rPr>
                <w:rFonts w:hint="eastAsia"/>
                <w:sz w:val="21"/>
                <w:szCs w:val="21"/>
              </w:rPr>
            </w:pPr>
            <w:r>
              <w:rPr>
                <w:sz w:val="21"/>
                <w:szCs w:val="21"/>
              </w:rPr>
              <w:t>清洁卫生</w:t>
            </w:r>
          </w:p>
        </w:tc>
        <w:tc>
          <w:tcPr>
            <w:tcW w:w="4791" w:type="dxa"/>
          </w:tcPr>
          <w:p w14:paraId="06D617D7">
            <w:pPr>
              <w:pStyle w:val="208"/>
              <w:spacing w:before="34" w:line="359" w:lineRule="auto"/>
              <w:ind w:left="116" w:right="224"/>
              <w:rPr>
                <w:rFonts w:hint="eastAsia"/>
                <w:spacing w:val="7"/>
                <w:sz w:val="21"/>
                <w:szCs w:val="21"/>
                <w:lang w:eastAsia="zh-CN"/>
              </w:rPr>
            </w:pPr>
            <w:r>
              <w:rPr>
                <w:spacing w:val="7"/>
                <w:sz w:val="21"/>
                <w:szCs w:val="21"/>
                <w:lang w:eastAsia="zh-CN"/>
              </w:rPr>
              <w:t>1、熟食品、面点、酱菜等有防蚊蝇措施。2、操作间地板、墙壁无油污、水渍，厨具、设备清洁，定位整齐。3、就餐大厅地面、门窗清洁，无积尘、蛛网，地毯清洁，铺设整齐。4、厨具、餐具按规定消毒，无污物，无水渍。5、食堂人员个人服装整洁，无不良卫生习惯，且每半年提供健康证。6、定期疏通排水沟和管网，确保畅通。</w:t>
            </w:r>
            <w:r>
              <w:rPr>
                <w:rFonts w:hint="eastAsia"/>
                <w:spacing w:val="7"/>
                <w:sz w:val="21"/>
                <w:szCs w:val="21"/>
                <w:lang w:eastAsia="zh-CN"/>
              </w:rPr>
              <w:t>（共10分）</w:t>
            </w:r>
          </w:p>
        </w:tc>
        <w:tc>
          <w:tcPr>
            <w:tcW w:w="2034" w:type="dxa"/>
            <w:vAlign w:val="center"/>
          </w:tcPr>
          <w:p w14:paraId="1C1B027A">
            <w:pPr>
              <w:pStyle w:val="208"/>
              <w:spacing w:before="34" w:line="359" w:lineRule="auto"/>
              <w:ind w:left="116" w:right="224"/>
              <w:jc w:val="center"/>
              <w:rPr>
                <w:rFonts w:hint="eastAsia"/>
                <w:spacing w:val="7"/>
                <w:sz w:val="21"/>
                <w:szCs w:val="21"/>
                <w:lang w:eastAsia="zh-CN"/>
              </w:rPr>
            </w:pPr>
            <w:r>
              <w:rPr>
                <w:spacing w:val="7"/>
                <w:sz w:val="21"/>
                <w:szCs w:val="21"/>
                <w:lang w:eastAsia="zh-CN"/>
              </w:rPr>
              <w:t>现场抽查，违反一项扣1分。</w:t>
            </w:r>
          </w:p>
        </w:tc>
        <w:tc>
          <w:tcPr>
            <w:tcW w:w="797" w:type="dxa"/>
            <w:vAlign w:val="center"/>
          </w:tcPr>
          <w:p w14:paraId="0E6AF3D4">
            <w:pPr>
              <w:jc w:val="center"/>
              <w:rPr>
                <w:rFonts w:hint="eastAsia" w:ascii="宋体" w:hAnsi="宋体" w:eastAsia="宋体" w:cs="宋体"/>
                <w:szCs w:val="21"/>
              </w:rPr>
            </w:pPr>
          </w:p>
        </w:tc>
        <w:tc>
          <w:tcPr>
            <w:tcW w:w="723" w:type="dxa"/>
            <w:vAlign w:val="center"/>
          </w:tcPr>
          <w:p w14:paraId="757D9844">
            <w:pPr>
              <w:jc w:val="center"/>
              <w:rPr>
                <w:rFonts w:hint="eastAsia" w:ascii="宋体" w:hAnsi="宋体" w:eastAsia="宋体" w:cs="宋体"/>
                <w:szCs w:val="21"/>
              </w:rPr>
            </w:pPr>
          </w:p>
        </w:tc>
      </w:tr>
      <w:tr w14:paraId="1E33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921" w:type="dxa"/>
            <w:vAlign w:val="center"/>
          </w:tcPr>
          <w:p w14:paraId="418C0D72">
            <w:pPr>
              <w:pStyle w:val="208"/>
              <w:spacing w:before="35" w:line="367" w:lineRule="auto"/>
              <w:ind w:right="220"/>
              <w:jc w:val="center"/>
              <w:rPr>
                <w:rFonts w:hint="eastAsia"/>
                <w:sz w:val="21"/>
                <w:szCs w:val="21"/>
              </w:rPr>
            </w:pPr>
            <w:r>
              <w:rPr>
                <w:sz w:val="21"/>
                <w:szCs w:val="21"/>
              </w:rPr>
              <w:t>窗口服务</w:t>
            </w:r>
            <w:r>
              <w:rPr>
                <w:sz w:val="21"/>
                <w:szCs w:val="21"/>
                <w:lang w:eastAsia="zh-CN"/>
              </w:rPr>
              <w:t>员工管理</w:t>
            </w:r>
          </w:p>
        </w:tc>
        <w:tc>
          <w:tcPr>
            <w:tcW w:w="4791" w:type="dxa"/>
          </w:tcPr>
          <w:p w14:paraId="53247126">
            <w:pPr>
              <w:pStyle w:val="208"/>
              <w:spacing w:before="34" w:line="359" w:lineRule="auto"/>
              <w:ind w:left="116" w:right="224"/>
              <w:rPr>
                <w:rFonts w:hint="eastAsia"/>
                <w:spacing w:val="7"/>
                <w:sz w:val="21"/>
                <w:szCs w:val="21"/>
                <w:lang w:eastAsia="zh-CN"/>
              </w:rPr>
            </w:pPr>
            <w:r>
              <w:rPr>
                <w:spacing w:val="7"/>
                <w:sz w:val="21"/>
                <w:szCs w:val="21"/>
                <w:lang w:eastAsia="zh-CN"/>
              </w:rPr>
              <w:t>1、窗口服务态度是否热情，发生与员工争吵每次扣2分。2、发生员工投诉每次扣2分。3、计价准确。4、食堂工作人员衣服整洁，按规定戴帽子、口罩、手套、工号牌等。5、供货商能主动到食堂随访，倾听食堂意见，每月至少一次。</w:t>
            </w:r>
            <w:r>
              <w:rPr>
                <w:rFonts w:hint="eastAsia"/>
                <w:spacing w:val="7"/>
                <w:sz w:val="21"/>
                <w:szCs w:val="21"/>
                <w:lang w:eastAsia="zh-CN"/>
              </w:rPr>
              <w:t>（共10分）</w:t>
            </w:r>
          </w:p>
        </w:tc>
        <w:tc>
          <w:tcPr>
            <w:tcW w:w="2034" w:type="dxa"/>
            <w:vAlign w:val="center"/>
          </w:tcPr>
          <w:p w14:paraId="5731709E">
            <w:pPr>
              <w:pStyle w:val="208"/>
              <w:spacing w:before="34" w:line="359" w:lineRule="auto"/>
              <w:ind w:left="116" w:right="224"/>
              <w:jc w:val="center"/>
              <w:rPr>
                <w:rFonts w:hint="eastAsia"/>
                <w:spacing w:val="7"/>
                <w:sz w:val="21"/>
                <w:szCs w:val="21"/>
              </w:rPr>
            </w:pPr>
            <w:r>
              <w:rPr>
                <w:spacing w:val="7"/>
                <w:sz w:val="21"/>
                <w:szCs w:val="21"/>
              </w:rPr>
              <w:t>现场抽查和员工投诉</w:t>
            </w:r>
          </w:p>
        </w:tc>
        <w:tc>
          <w:tcPr>
            <w:tcW w:w="797" w:type="dxa"/>
            <w:vAlign w:val="center"/>
          </w:tcPr>
          <w:p w14:paraId="0B924694">
            <w:pPr>
              <w:jc w:val="center"/>
              <w:rPr>
                <w:rFonts w:hint="eastAsia" w:ascii="宋体" w:hAnsi="宋体" w:eastAsia="宋体" w:cs="宋体"/>
                <w:szCs w:val="21"/>
              </w:rPr>
            </w:pPr>
          </w:p>
        </w:tc>
        <w:tc>
          <w:tcPr>
            <w:tcW w:w="723" w:type="dxa"/>
            <w:vAlign w:val="center"/>
          </w:tcPr>
          <w:p w14:paraId="45F44C2A">
            <w:pPr>
              <w:jc w:val="center"/>
              <w:rPr>
                <w:rFonts w:hint="eastAsia" w:ascii="宋体" w:hAnsi="宋体" w:eastAsia="宋体" w:cs="宋体"/>
                <w:szCs w:val="21"/>
              </w:rPr>
            </w:pPr>
          </w:p>
        </w:tc>
      </w:tr>
      <w:tr w14:paraId="4FB64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921" w:type="dxa"/>
            <w:vAlign w:val="center"/>
          </w:tcPr>
          <w:p w14:paraId="1C7FCC10">
            <w:pPr>
              <w:pStyle w:val="208"/>
              <w:spacing w:before="35" w:line="367" w:lineRule="auto"/>
              <w:ind w:right="220"/>
              <w:jc w:val="center"/>
              <w:rPr>
                <w:rFonts w:hint="eastAsia"/>
                <w:sz w:val="21"/>
                <w:szCs w:val="21"/>
                <w:lang w:eastAsia="zh-CN"/>
              </w:rPr>
            </w:pPr>
            <w:r>
              <w:rPr>
                <w:sz w:val="21"/>
                <w:szCs w:val="21"/>
                <w:lang w:eastAsia="zh-CN"/>
              </w:rPr>
              <w:t>重点及特色服务</w:t>
            </w:r>
          </w:p>
        </w:tc>
        <w:tc>
          <w:tcPr>
            <w:tcW w:w="4791" w:type="dxa"/>
          </w:tcPr>
          <w:p w14:paraId="25D6A26D">
            <w:pPr>
              <w:pStyle w:val="208"/>
              <w:spacing w:before="34" w:line="359" w:lineRule="auto"/>
              <w:ind w:left="116" w:right="224"/>
              <w:rPr>
                <w:rFonts w:hint="eastAsia"/>
                <w:spacing w:val="7"/>
                <w:sz w:val="21"/>
                <w:szCs w:val="21"/>
                <w:lang w:eastAsia="zh-CN"/>
              </w:rPr>
            </w:pPr>
            <w:r>
              <w:rPr>
                <w:spacing w:val="7"/>
                <w:sz w:val="21"/>
                <w:szCs w:val="21"/>
                <w:lang w:eastAsia="zh-CN"/>
              </w:rPr>
              <w:t>1、提供业主灵活的就餐服务；2、能够根据业主方的需求提供完善、品质、优秀的需求，赢得员工的满意度；3.能够根据业主的需求变化，做出及时服务调整，并为大厦提供优质的膳食服务。</w:t>
            </w:r>
            <w:r>
              <w:rPr>
                <w:rFonts w:hint="eastAsia"/>
                <w:spacing w:val="7"/>
                <w:sz w:val="21"/>
                <w:szCs w:val="21"/>
                <w:lang w:eastAsia="zh-CN"/>
              </w:rPr>
              <w:t>（共5分）</w:t>
            </w:r>
          </w:p>
        </w:tc>
        <w:tc>
          <w:tcPr>
            <w:tcW w:w="2034" w:type="dxa"/>
            <w:vAlign w:val="center"/>
          </w:tcPr>
          <w:p w14:paraId="7F512E10">
            <w:pPr>
              <w:pStyle w:val="208"/>
              <w:spacing w:before="34" w:line="359" w:lineRule="auto"/>
              <w:ind w:left="116" w:right="224"/>
              <w:jc w:val="center"/>
              <w:rPr>
                <w:rFonts w:hint="eastAsia"/>
                <w:spacing w:val="7"/>
                <w:sz w:val="21"/>
                <w:szCs w:val="21"/>
                <w:lang w:eastAsia="zh-CN"/>
              </w:rPr>
            </w:pPr>
            <w:r>
              <w:rPr>
                <w:spacing w:val="7"/>
                <w:sz w:val="21"/>
                <w:szCs w:val="21"/>
              </w:rPr>
              <w:t>现场抽查和员工投诉</w:t>
            </w:r>
          </w:p>
        </w:tc>
        <w:tc>
          <w:tcPr>
            <w:tcW w:w="797" w:type="dxa"/>
            <w:vAlign w:val="center"/>
          </w:tcPr>
          <w:p w14:paraId="03FF9B25">
            <w:pPr>
              <w:jc w:val="center"/>
              <w:rPr>
                <w:rFonts w:hint="eastAsia" w:ascii="宋体" w:hAnsi="宋体" w:eastAsia="宋体" w:cs="宋体"/>
                <w:szCs w:val="21"/>
              </w:rPr>
            </w:pPr>
          </w:p>
        </w:tc>
        <w:tc>
          <w:tcPr>
            <w:tcW w:w="723" w:type="dxa"/>
            <w:vAlign w:val="center"/>
          </w:tcPr>
          <w:p w14:paraId="5BF1AEF2">
            <w:pPr>
              <w:jc w:val="center"/>
              <w:rPr>
                <w:rFonts w:hint="eastAsia" w:ascii="宋体" w:hAnsi="宋体" w:eastAsia="宋体" w:cs="宋体"/>
                <w:szCs w:val="21"/>
              </w:rPr>
            </w:pPr>
          </w:p>
        </w:tc>
      </w:tr>
      <w:tr w14:paraId="3EB4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921" w:type="dxa"/>
            <w:vAlign w:val="center"/>
          </w:tcPr>
          <w:p w14:paraId="4C83AC55">
            <w:pPr>
              <w:pStyle w:val="208"/>
              <w:spacing w:before="35" w:line="367" w:lineRule="auto"/>
              <w:ind w:right="220"/>
              <w:jc w:val="center"/>
              <w:rPr>
                <w:rFonts w:hint="eastAsia"/>
                <w:sz w:val="21"/>
                <w:szCs w:val="21"/>
              </w:rPr>
            </w:pPr>
            <w:r>
              <w:rPr>
                <w:sz w:val="21"/>
                <w:szCs w:val="21"/>
              </w:rPr>
              <w:t>安全防范</w:t>
            </w:r>
          </w:p>
        </w:tc>
        <w:tc>
          <w:tcPr>
            <w:tcW w:w="4791" w:type="dxa"/>
          </w:tcPr>
          <w:p w14:paraId="53E190B3">
            <w:pPr>
              <w:pStyle w:val="208"/>
              <w:spacing w:before="34" w:line="359" w:lineRule="auto"/>
              <w:ind w:left="116" w:right="224"/>
              <w:rPr>
                <w:rFonts w:hint="eastAsia"/>
                <w:spacing w:val="7"/>
                <w:sz w:val="21"/>
                <w:szCs w:val="21"/>
                <w:lang w:eastAsia="zh-CN"/>
              </w:rPr>
            </w:pPr>
            <w:r>
              <w:rPr>
                <w:spacing w:val="7"/>
                <w:sz w:val="21"/>
                <w:szCs w:val="21"/>
                <w:lang w:eastAsia="zh-CN"/>
              </w:rPr>
              <w:t>1、食品、储藏室专人管理、钥匙专管。2、有预防农药残留制度，操作流程和检测责任人。3、餐具消毒清洗有流程、方法和责任人。4、食堂人员会使用灭火器，有预防措施和安全责任人。5、餐样留存48小时，有食物中毒预案。</w:t>
            </w:r>
            <w:r>
              <w:rPr>
                <w:rFonts w:hint="eastAsia"/>
                <w:spacing w:val="7"/>
                <w:sz w:val="21"/>
                <w:szCs w:val="21"/>
                <w:lang w:eastAsia="zh-CN"/>
              </w:rPr>
              <w:t>（共10分）</w:t>
            </w:r>
          </w:p>
        </w:tc>
        <w:tc>
          <w:tcPr>
            <w:tcW w:w="2034" w:type="dxa"/>
            <w:vAlign w:val="center"/>
          </w:tcPr>
          <w:p w14:paraId="200E274D">
            <w:pPr>
              <w:pStyle w:val="208"/>
              <w:spacing w:before="34" w:line="359" w:lineRule="auto"/>
              <w:ind w:left="116" w:right="224"/>
              <w:jc w:val="center"/>
              <w:rPr>
                <w:rFonts w:hint="eastAsia"/>
                <w:spacing w:val="7"/>
                <w:sz w:val="21"/>
                <w:szCs w:val="21"/>
                <w:lang w:eastAsia="zh-CN"/>
              </w:rPr>
            </w:pPr>
            <w:r>
              <w:rPr>
                <w:spacing w:val="7"/>
                <w:sz w:val="21"/>
                <w:szCs w:val="21"/>
                <w:lang w:eastAsia="zh-CN"/>
              </w:rPr>
              <w:t>现场抽查，违反一项扣2分。</w:t>
            </w:r>
          </w:p>
        </w:tc>
        <w:tc>
          <w:tcPr>
            <w:tcW w:w="797" w:type="dxa"/>
            <w:vAlign w:val="center"/>
          </w:tcPr>
          <w:p w14:paraId="0E1A41AB">
            <w:pPr>
              <w:jc w:val="center"/>
              <w:rPr>
                <w:rFonts w:hint="eastAsia" w:ascii="宋体" w:hAnsi="宋体" w:eastAsia="宋体" w:cs="宋体"/>
                <w:szCs w:val="21"/>
              </w:rPr>
            </w:pPr>
          </w:p>
        </w:tc>
        <w:tc>
          <w:tcPr>
            <w:tcW w:w="723" w:type="dxa"/>
            <w:vAlign w:val="center"/>
          </w:tcPr>
          <w:p w14:paraId="198C1D86">
            <w:pPr>
              <w:jc w:val="center"/>
              <w:rPr>
                <w:rFonts w:hint="eastAsia" w:ascii="宋体" w:hAnsi="宋体" w:eastAsia="宋体" w:cs="宋体"/>
                <w:szCs w:val="21"/>
              </w:rPr>
            </w:pPr>
          </w:p>
        </w:tc>
      </w:tr>
      <w:tr w14:paraId="1F1EB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921" w:type="dxa"/>
            <w:vAlign w:val="center"/>
          </w:tcPr>
          <w:p w14:paraId="70FBA90C">
            <w:pPr>
              <w:pStyle w:val="208"/>
              <w:spacing w:before="35" w:line="367" w:lineRule="auto"/>
              <w:ind w:right="220"/>
              <w:jc w:val="center"/>
              <w:rPr>
                <w:rFonts w:hint="eastAsia"/>
                <w:sz w:val="21"/>
                <w:szCs w:val="21"/>
              </w:rPr>
            </w:pPr>
            <w:r>
              <w:rPr>
                <w:sz w:val="21"/>
                <w:szCs w:val="21"/>
              </w:rPr>
              <w:t>月考核评定</w:t>
            </w:r>
          </w:p>
        </w:tc>
        <w:tc>
          <w:tcPr>
            <w:tcW w:w="4791" w:type="dxa"/>
          </w:tcPr>
          <w:p w14:paraId="57EDA14C">
            <w:pPr>
              <w:pStyle w:val="208"/>
              <w:spacing w:before="34" w:line="359" w:lineRule="auto"/>
              <w:ind w:left="116" w:right="224"/>
              <w:rPr>
                <w:rFonts w:hint="eastAsia"/>
                <w:spacing w:val="7"/>
                <w:sz w:val="21"/>
                <w:szCs w:val="21"/>
              </w:rPr>
            </w:pPr>
            <w:r>
              <w:rPr>
                <w:spacing w:val="7"/>
                <w:sz w:val="21"/>
                <w:szCs w:val="21"/>
                <w:lang w:eastAsia="zh-CN"/>
              </w:rPr>
              <w:t>每月实施一次月度考核，平均分数达到80分以上视为满分，若低于80分，则每减少5分扣减1分。</w:t>
            </w:r>
            <w:r>
              <w:rPr>
                <w:rFonts w:hint="eastAsia"/>
                <w:spacing w:val="7"/>
                <w:sz w:val="21"/>
                <w:szCs w:val="21"/>
                <w:lang w:eastAsia="zh-CN"/>
              </w:rPr>
              <w:t>（共20分）</w:t>
            </w:r>
          </w:p>
        </w:tc>
        <w:tc>
          <w:tcPr>
            <w:tcW w:w="2034" w:type="dxa"/>
            <w:vAlign w:val="center"/>
          </w:tcPr>
          <w:p w14:paraId="014403B7">
            <w:pPr>
              <w:pStyle w:val="208"/>
              <w:spacing w:before="34" w:line="359" w:lineRule="auto"/>
              <w:ind w:left="116" w:right="224"/>
              <w:jc w:val="center"/>
              <w:rPr>
                <w:rFonts w:hint="eastAsia"/>
                <w:spacing w:val="7"/>
                <w:sz w:val="21"/>
                <w:szCs w:val="21"/>
              </w:rPr>
            </w:pPr>
            <w:r>
              <w:rPr>
                <w:spacing w:val="7"/>
                <w:sz w:val="21"/>
                <w:szCs w:val="21"/>
              </w:rPr>
              <w:t>每月考核一次</w:t>
            </w:r>
          </w:p>
        </w:tc>
        <w:tc>
          <w:tcPr>
            <w:tcW w:w="797" w:type="dxa"/>
            <w:vAlign w:val="center"/>
          </w:tcPr>
          <w:p w14:paraId="67434AFB">
            <w:pPr>
              <w:jc w:val="center"/>
              <w:rPr>
                <w:rFonts w:hint="eastAsia" w:ascii="宋体" w:hAnsi="宋体" w:eastAsia="宋体" w:cs="宋体"/>
                <w:szCs w:val="21"/>
              </w:rPr>
            </w:pPr>
          </w:p>
        </w:tc>
        <w:tc>
          <w:tcPr>
            <w:tcW w:w="723" w:type="dxa"/>
            <w:vAlign w:val="center"/>
          </w:tcPr>
          <w:p w14:paraId="71C86371">
            <w:pPr>
              <w:jc w:val="center"/>
              <w:rPr>
                <w:rFonts w:hint="eastAsia" w:ascii="宋体" w:hAnsi="宋体" w:eastAsia="宋体" w:cs="宋体"/>
                <w:szCs w:val="21"/>
              </w:rPr>
            </w:pPr>
          </w:p>
        </w:tc>
      </w:tr>
      <w:tr w14:paraId="577B1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46" w:type="dxa"/>
            <w:gridSpan w:val="3"/>
          </w:tcPr>
          <w:p w14:paraId="0C190244">
            <w:pPr>
              <w:ind w:firstLine="3675" w:firstLineChars="1750"/>
              <w:rPr>
                <w:rFonts w:hint="eastAsia" w:ascii="宋体" w:hAnsi="宋体" w:eastAsia="宋体" w:cs="宋体"/>
                <w:szCs w:val="21"/>
              </w:rPr>
            </w:pPr>
            <w:r>
              <w:rPr>
                <w:rFonts w:hint="eastAsia" w:ascii="宋体" w:hAnsi="宋体" w:eastAsia="宋体" w:cs="宋体"/>
                <w:szCs w:val="21"/>
              </w:rPr>
              <w:t>合计得分：</w:t>
            </w:r>
          </w:p>
        </w:tc>
        <w:tc>
          <w:tcPr>
            <w:tcW w:w="797" w:type="dxa"/>
          </w:tcPr>
          <w:p w14:paraId="606092D1">
            <w:pPr>
              <w:rPr>
                <w:rFonts w:hint="eastAsia" w:ascii="宋体" w:hAnsi="宋体" w:eastAsia="宋体" w:cs="宋体"/>
                <w:szCs w:val="21"/>
              </w:rPr>
            </w:pPr>
          </w:p>
        </w:tc>
        <w:tc>
          <w:tcPr>
            <w:tcW w:w="723" w:type="dxa"/>
          </w:tcPr>
          <w:p w14:paraId="6DE8F649">
            <w:pPr>
              <w:rPr>
                <w:rFonts w:hint="eastAsia" w:ascii="宋体" w:hAnsi="宋体" w:eastAsia="宋体" w:cs="宋体"/>
                <w:szCs w:val="21"/>
              </w:rPr>
            </w:pPr>
          </w:p>
        </w:tc>
      </w:tr>
    </w:tbl>
    <w:p w14:paraId="57C62094">
      <w:pPr>
        <w:keepNext w:val="0"/>
        <w:keepLines w:val="0"/>
        <w:pageBreakBefore w:val="0"/>
        <w:widowControl/>
        <w:kinsoku/>
        <w:wordWrap/>
        <w:overflowPunct/>
        <w:topLinePunct w:val="0"/>
        <w:autoSpaceDE/>
        <w:autoSpaceDN/>
        <w:bidi w:val="0"/>
        <w:adjustRightInd/>
        <w:snapToGrid w:val="0"/>
        <w:spacing w:before="0" w:beforeLines="-2147483648" w:after="0" w:afterLines="-2147483648" w:line="360" w:lineRule="auto"/>
        <w:ind w:right="0" w:rightChars="0" w:firstLine="2480" w:firstLineChars="1181"/>
        <w:jc w:val="right"/>
        <w:textAlignment w:val="auto"/>
        <w:rPr>
          <w:rFonts w:hint="eastAsia" w:ascii="宋体" w:hAnsi="宋体" w:eastAsia="宋体" w:cs="宋体"/>
          <w:sz w:val="21"/>
          <w:szCs w:val="21"/>
          <w:highlight w:val="none"/>
        </w:rPr>
      </w:pPr>
    </w:p>
    <w:p w14:paraId="7858069E">
      <w:pPr>
        <w:pStyle w:val="2"/>
        <w:spacing w:after="0" w:line="360" w:lineRule="auto"/>
        <w:ind w:firstLine="0" w:firstLineChars="0"/>
        <w:rPr>
          <w:rFonts w:hint="eastAsia" w:hAnsi="宋体" w:cs="宋体"/>
          <w:color w:val="auto"/>
          <w:szCs w:val="21"/>
          <w:highlight w:val="none"/>
        </w:rPr>
      </w:pPr>
    </w:p>
    <w:p w14:paraId="69405B8D">
      <w:pPr>
        <w:keepNext w:val="0"/>
        <w:keepLines w:val="0"/>
        <w:pageBreakBefore w:val="0"/>
        <w:widowControl/>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729CFDB9">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auto"/>
          <w:kern w:val="44"/>
          <w:sz w:val="32"/>
          <w:szCs w:val="32"/>
          <w:highlight w:val="none"/>
          <w:lang w:val="zh-CN"/>
        </w:rPr>
      </w:pPr>
      <w:bookmarkStart w:id="600" w:name="_Toc6839"/>
      <w:bookmarkStart w:id="601" w:name="_Toc11281_WPSOffice_Level1"/>
      <w:bookmarkStart w:id="602" w:name="_Toc20453"/>
      <w:bookmarkStart w:id="603" w:name="_Toc486167707"/>
      <w:bookmarkStart w:id="604" w:name="_Toc20401"/>
      <w:bookmarkStart w:id="605" w:name="_Toc142508359"/>
      <w:bookmarkStart w:id="606" w:name="_Toc16287"/>
      <w:bookmarkStart w:id="607" w:name="_Toc31232"/>
      <w:bookmarkStart w:id="608" w:name="_Toc10238"/>
      <w:bookmarkStart w:id="609" w:name="_Toc450662892"/>
      <w:bookmarkStart w:id="610" w:name="_Toc25251"/>
      <w:bookmarkStart w:id="611" w:name="_Toc2782"/>
      <w:r>
        <w:rPr>
          <w:rFonts w:hint="eastAsia" w:ascii="宋体" w:hAnsi="宋体" w:eastAsia="宋体" w:cs="宋体"/>
          <w:b/>
          <w:bCs/>
          <w:color w:val="auto"/>
          <w:kern w:val="44"/>
          <w:sz w:val="32"/>
          <w:szCs w:val="32"/>
          <w:highlight w:val="none"/>
          <w:lang w:val="zh-CN"/>
        </w:rPr>
        <w:t>第四篇 合同条款格式</w:t>
      </w:r>
      <w:bookmarkEnd w:id="600"/>
      <w:bookmarkEnd w:id="601"/>
      <w:bookmarkEnd w:id="602"/>
      <w:bookmarkEnd w:id="603"/>
      <w:bookmarkEnd w:id="604"/>
      <w:bookmarkEnd w:id="605"/>
      <w:bookmarkEnd w:id="606"/>
      <w:bookmarkEnd w:id="607"/>
      <w:bookmarkEnd w:id="608"/>
      <w:bookmarkEnd w:id="609"/>
      <w:bookmarkEnd w:id="610"/>
      <w:bookmarkEnd w:id="611"/>
    </w:p>
    <w:p w14:paraId="64CDB2B4">
      <w:pPr>
        <w:autoSpaceDE w:val="0"/>
        <w:autoSpaceDN w:val="0"/>
        <w:adjustRightInd w:val="0"/>
        <w:snapToGrid w:val="0"/>
        <w:spacing w:line="360" w:lineRule="auto"/>
        <w:jc w:val="center"/>
        <w:rPr>
          <w:rFonts w:hint="eastAsia" w:ascii="宋体" w:hAnsi="宋体" w:eastAsia="宋体" w:cs="宋体"/>
          <w:color w:val="auto"/>
          <w:kern w:val="0"/>
          <w:sz w:val="24"/>
          <w:szCs w:val="24"/>
          <w:highlight w:val="none"/>
        </w:rPr>
      </w:pPr>
    </w:p>
    <w:p w14:paraId="7B2B626A">
      <w:pPr>
        <w:autoSpaceDE w:val="0"/>
        <w:autoSpaceDN w:val="0"/>
        <w:adjustRightInd w:val="0"/>
        <w:snapToGrid w:val="0"/>
        <w:spacing w:line="360" w:lineRule="auto"/>
        <w:jc w:val="center"/>
        <w:outlineLvl w:val="9"/>
        <w:rPr>
          <w:rFonts w:hint="eastAsia" w:ascii="宋体" w:hAnsi="宋体" w:eastAsia="宋体" w:cs="宋体"/>
          <w:color w:val="auto"/>
          <w:kern w:val="0"/>
          <w:sz w:val="24"/>
          <w:szCs w:val="24"/>
          <w:highlight w:val="none"/>
        </w:rPr>
      </w:pPr>
    </w:p>
    <w:p w14:paraId="1CDF16FA">
      <w:pPr>
        <w:autoSpaceDE w:val="0"/>
        <w:autoSpaceDN w:val="0"/>
        <w:adjustRightInd w:val="0"/>
        <w:snapToGrid w:val="0"/>
        <w:spacing w:line="360" w:lineRule="auto"/>
        <w:jc w:val="center"/>
        <w:outlineLvl w:val="9"/>
        <w:rPr>
          <w:rFonts w:hint="eastAsia" w:ascii="宋体" w:hAnsi="宋体" w:eastAsia="宋体" w:cs="宋体"/>
          <w:color w:val="auto"/>
          <w:kern w:val="0"/>
          <w:sz w:val="24"/>
          <w:szCs w:val="24"/>
          <w:highlight w:val="none"/>
        </w:rPr>
      </w:pPr>
    </w:p>
    <w:p w14:paraId="302CA8D9">
      <w:pPr>
        <w:autoSpaceDE w:val="0"/>
        <w:autoSpaceDN w:val="0"/>
        <w:adjustRightInd w:val="0"/>
        <w:spacing w:line="360" w:lineRule="auto"/>
        <w:jc w:val="center"/>
        <w:outlineLvl w:val="9"/>
        <w:rPr>
          <w:rFonts w:hint="eastAsia" w:ascii="宋体" w:hAnsi="宋体" w:eastAsia="宋体" w:cs="宋体"/>
          <w:b/>
          <w:color w:val="auto"/>
          <w:kern w:val="0"/>
          <w:sz w:val="52"/>
          <w:szCs w:val="96"/>
          <w:highlight w:val="none"/>
          <w:lang w:eastAsia="zh-CN"/>
        </w:rPr>
      </w:pPr>
      <w:r>
        <w:rPr>
          <w:rFonts w:hint="eastAsia" w:ascii="宋体" w:hAnsi="宋体" w:eastAsia="宋体" w:cs="宋体"/>
          <w:b/>
          <w:color w:val="auto"/>
          <w:kern w:val="0"/>
          <w:sz w:val="52"/>
          <w:szCs w:val="96"/>
          <w:highlight w:val="none"/>
          <w:lang w:eastAsia="zh-CN"/>
        </w:rPr>
        <w:t>东莞市</w:t>
      </w:r>
      <w:r>
        <w:rPr>
          <w:rFonts w:hint="eastAsia" w:ascii="宋体" w:hAnsi="宋体" w:eastAsia="宋体" w:cs="宋体"/>
          <w:b/>
          <w:color w:val="auto"/>
          <w:kern w:val="0"/>
          <w:sz w:val="52"/>
          <w:szCs w:val="96"/>
          <w:highlight w:val="none"/>
          <w:lang w:val="en-US" w:eastAsia="zh-CN"/>
        </w:rPr>
        <w:t>置拓</w:t>
      </w:r>
      <w:r>
        <w:rPr>
          <w:rFonts w:hint="eastAsia" w:ascii="宋体" w:hAnsi="宋体" w:eastAsia="宋体" w:cs="宋体"/>
          <w:b/>
          <w:color w:val="auto"/>
          <w:kern w:val="0"/>
          <w:sz w:val="52"/>
          <w:szCs w:val="96"/>
          <w:highlight w:val="none"/>
          <w:lang w:eastAsia="zh-CN"/>
        </w:rPr>
        <w:t>投资有限公司</w:t>
      </w:r>
      <w:r>
        <w:rPr>
          <w:rFonts w:hint="eastAsia" w:ascii="宋体" w:hAnsi="宋体" w:eastAsia="宋体" w:cs="宋体"/>
          <w:b/>
          <w:color w:val="auto"/>
          <w:kern w:val="0"/>
          <w:sz w:val="52"/>
          <w:szCs w:val="96"/>
          <w:highlight w:val="none"/>
          <w:lang w:val="en-US" w:eastAsia="zh-CN"/>
        </w:rPr>
        <w:t>水业大厦食堂经营服务</w:t>
      </w:r>
      <w:r>
        <w:rPr>
          <w:rFonts w:hint="eastAsia" w:ascii="宋体" w:hAnsi="宋体" w:eastAsia="宋体" w:cs="宋体"/>
          <w:b/>
          <w:color w:val="auto"/>
          <w:kern w:val="0"/>
          <w:sz w:val="52"/>
          <w:szCs w:val="96"/>
          <w:highlight w:val="none"/>
          <w:lang w:eastAsia="zh-CN"/>
        </w:rPr>
        <w:t>采购项目</w:t>
      </w:r>
    </w:p>
    <w:p w14:paraId="5D2EB9AE">
      <w:pPr>
        <w:autoSpaceDE w:val="0"/>
        <w:autoSpaceDN w:val="0"/>
        <w:adjustRightInd w:val="0"/>
        <w:spacing w:line="360" w:lineRule="auto"/>
        <w:jc w:val="both"/>
        <w:outlineLvl w:val="9"/>
        <w:rPr>
          <w:rFonts w:hint="eastAsia" w:ascii="宋体" w:hAnsi="宋体" w:eastAsia="宋体" w:cs="宋体"/>
          <w:bCs/>
          <w:color w:val="auto"/>
          <w:kern w:val="0"/>
          <w:sz w:val="52"/>
          <w:szCs w:val="52"/>
          <w:highlight w:val="none"/>
        </w:rPr>
      </w:pPr>
    </w:p>
    <w:p w14:paraId="64C46A3E">
      <w:pPr>
        <w:autoSpaceDE w:val="0"/>
        <w:autoSpaceDN w:val="0"/>
        <w:adjustRightInd w:val="0"/>
        <w:spacing w:before="840" w:beforeLines="350" w:after="360" w:afterLines="150" w:line="360" w:lineRule="auto"/>
        <w:jc w:val="center"/>
        <w:outlineLvl w:val="9"/>
        <w:rPr>
          <w:rFonts w:hint="eastAsia" w:ascii="宋体" w:hAnsi="宋体" w:eastAsia="宋体" w:cs="宋体"/>
          <w:b/>
          <w:bCs/>
          <w:spacing w:val="60"/>
          <w:kern w:val="0"/>
          <w:sz w:val="52"/>
          <w:szCs w:val="52"/>
          <w:highlight w:val="none"/>
        </w:rPr>
      </w:pPr>
      <w:r>
        <w:rPr>
          <w:rFonts w:hint="eastAsia" w:ascii="宋体" w:hAnsi="宋体" w:eastAsia="宋体" w:cs="宋体"/>
          <w:b/>
          <w:bCs/>
          <w:spacing w:val="60"/>
          <w:kern w:val="0"/>
          <w:sz w:val="52"/>
          <w:szCs w:val="52"/>
          <w:highlight w:val="none"/>
        </w:rPr>
        <w:t>采购合同</w:t>
      </w:r>
    </w:p>
    <w:p w14:paraId="472EA030">
      <w:pPr>
        <w:autoSpaceDE w:val="0"/>
        <w:autoSpaceDN w:val="0"/>
        <w:adjustRightInd w:val="0"/>
        <w:spacing w:line="360" w:lineRule="auto"/>
        <w:jc w:val="center"/>
        <w:outlineLvl w:val="9"/>
        <w:rPr>
          <w:rFonts w:hint="eastAsia" w:ascii="宋体" w:hAnsi="宋体" w:eastAsia="宋体" w:cs="宋体"/>
          <w:b/>
          <w:bCs/>
          <w:kern w:val="0"/>
          <w:sz w:val="24"/>
          <w:szCs w:val="21"/>
          <w:highlight w:val="none"/>
        </w:rPr>
      </w:pPr>
      <w:r>
        <w:rPr>
          <w:rFonts w:hint="eastAsia" w:ascii="宋体" w:hAnsi="宋体" w:eastAsia="宋体" w:cs="宋体"/>
          <w:b/>
          <w:bCs/>
          <w:kern w:val="0"/>
          <w:sz w:val="24"/>
          <w:szCs w:val="21"/>
          <w:highlight w:val="none"/>
        </w:rPr>
        <w:t>（合同编号：       ）</w:t>
      </w:r>
    </w:p>
    <w:p w14:paraId="290BFEA1">
      <w:pPr>
        <w:autoSpaceDE w:val="0"/>
        <w:autoSpaceDN w:val="0"/>
        <w:adjustRightInd w:val="0"/>
        <w:spacing w:line="360" w:lineRule="auto"/>
        <w:jc w:val="left"/>
        <w:outlineLvl w:val="9"/>
        <w:rPr>
          <w:rFonts w:hint="eastAsia" w:ascii="宋体" w:hAnsi="宋体" w:eastAsia="宋体" w:cs="宋体"/>
          <w:b/>
          <w:bCs/>
          <w:kern w:val="0"/>
          <w:sz w:val="24"/>
          <w:szCs w:val="21"/>
          <w:highlight w:val="none"/>
        </w:rPr>
      </w:pPr>
    </w:p>
    <w:p w14:paraId="672F2D9B">
      <w:pPr>
        <w:autoSpaceDE w:val="0"/>
        <w:autoSpaceDN w:val="0"/>
        <w:adjustRightInd w:val="0"/>
        <w:spacing w:line="360" w:lineRule="auto"/>
        <w:jc w:val="left"/>
        <w:outlineLvl w:val="9"/>
        <w:rPr>
          <w:rFonts w:hint="eastAsia" w:ascii="宋体" w:hAnsi="宋体" w:eastAsia="宋体" w:cs="宋体"/>
          <w:b/>
          <w:bCs/>
          <w:kern w:val="0"/>
          <w:sz w:val="24"/>
          <w:szCs w:val="21"/>
          <w:highlight w:val="none"/>
        </w:rPr>
      </w:pPr>
    </w:p>
    <w:p w14:paraId="09F925E6">
      <w:pPr>
        <w:pStyle w:val="36"/>
        <w:ind w:left="0" w:leftChars="0" w:firstLine="0" w:firstLineChars="0"/>
        <w:outlineLvl w:val="9"/>
        <w:rPr>
          <w:rFonts w:hint="eastAsia" w:ascii="宋体" w:hAnsi="宋体" w:eastAsia="宋体" w:cs="宋体"/>
          <w:highlight w:val="none"/>
        </w:rPr>
      </w:pPr>
    </w:p>
    <w:p w14:paraId="7CBCE903">
      <w:pPr>
        <w:pStyle w:val="36"/>
        <w:outlineLvl w:val="9"/>
        <w:rPr>
          <w:rFonts w:hint="eastAsia" w:ascii="宋体" w:hAnsi="宋体" w:eastAsia="宋体" w:cs="宋体"/>
          <w:highlight w:val="none"/>
        </w:rPr>
      </w:pPr>
    </w:p>
    <w:p w14:paraId="1491D565">
      <w:pPr>
        <w:pStyle w:val="36"/>
        <w:outlineLvl w:val="9"/>
        <w:rPr>
          <w:rFonts w:hint="eastAsia" w:ascii="宋体" w:hAnsi="宋体" w:eastAsia="宋体" w:cs="宋体"/>
          <w:highlight w:val="none"/>
        </w:rPr>
      </w:pPr>
    </w:p>
    <w:p w14:paraId="3519ADDD">
      <w:pPr>
        <w:pStyle w:val="36"/>
        <w:outlineLvl w:val="9"/>
        <w:rPr>
          <w:rFonts w:hint="eastAsia" w:ascii="宋体" w:hAnsi="宋体" w:eastAsia="宋体" w:cs="宋体"/>
          <w:highlight w:val="none"/>
        </w:rPr>
      </w:pPr>
    </w:p>
    <w:p w14:paraId="59CCFF74">
      <w:pPr>
        <w:autoSpaceDE w:val="0"/>
        <w:autoSpaceDN w:val="0"/>
        <w:adjustRightInd w:val="0"/>
        <w:spacing w:line="360" w:lineRule="auto"/>
        <w:jc w:val="left"/>
        <w:outlineLvl w:val="9"/>
        <w:rPr>
          <w:rFonts w:hint="eastAsia" w:ascii="宋体" w:hAnsi="宋体" w:eastAsia="宋体" w:cs="宋体"/>
          <w:b/>
          <w:bCs/>
          <w:kern w:val="0"/>
          <w:sz w:val="24"/>
          <w:szCs w:val="21"/>
          <w:highlight w:val="none"/>
        </w:rPr>
      </w:pPr>
    </w:p>
    <w:p w14:paraId="5CC885BF">
      <w:pPr>
        <w:autoSpaceDE w:val="0"/>
        <w:autoSpaceDN w:val="0"/>
        <w:adjustRightInd w:val="0"/>
        <w:spacing w:line="480" w:lineRule="auto"/>
        <w:ind w:left="0" w:leftChars="0" w:firstLine="2951" w:firstLineChars="1050"/>
        <w:jc w:val="left"/>
        <w:outlineLvl w:val="9"/>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甲方：</w:t>
      </w:r>
      <w:r>
        <w:rPr>
          <w:rFonts w:hint="eastAsia" w:ascii="宋体" w:hAnsi="宋体" w:eastAsia="宋体" w:cs="宋体"/>
          <w:b/>
          <w:bCs/>
          <w:kern w:val="0"/>
          <w:sz w:val="28"/>
          <w:szCs w:val="28"/>
          <w:highlight w:val="none"/>
          <w:u w:val="single"/>
        </w:rPr>
        <w:t>东莞市</w:t>
      </w:r>
      <w:r>
        <w:rPr>
          <w:rFonts w:hint="eastAsia" w:ascii="宋体" w:hAnsi="宋体" w:eastAsia="宋体" w:cs="宋体"/>
          <w:b/>
          <w:bCs/>
          <w:kern w:val="0"/>
          <w:sz w:val="28"/>
          <w:szCs w:val="28"/>
          <w:highlight w:val="none"/>
          <w:u w:val="single"/>
          <w:lang w:val="en-US" w:eastAsia="zh-CN"/>
        </w:rPr>
        <w:t>置拓</w:t>
      </w:r>
      <w:r>
        <w:rPr>
          <w:rFonts w:hint="eastAsia" w:ascii="宋体" w:hAnsi="宋体" w:eastAsia="宋体" w:cs="宋体"/>
          <w:b/>
          <w:bCs/>
          <w:kern w:val="0"/>
          <w:sz w:val="28"/>
          <w:szCs w:val="28"/>
          <w:highlight w:val="none"/>
          <w:u w:val="single"/>
        </w:rPr>
        <w:t xml:space="preserve">投资有限公司 </w:t>
      </w:r>
      <w:r>
        <w:rPr>
          <w:rFonts w:hint="eastAsia" w:ascii="宋体" w:hAnsi="宋体" w:eastAsia="宋体" w:cs="宋体"/>
          <w:b/>
          <w:bCs/>
          <w:kern w:val="0"/>
          <w:sz w:val="28"/>
          <w:szCs w:val="28"/>
          <w:highlight w:val="none"/>
        </w:rPr>
        <w:t xml:space="preserve"> </w:t>
      </w:r>
    </w:p>
    <w:p w14:paraId="4E6B5AE4">
      <w:pPr>
        <w:autoSpaceDE w:val="0"/>
        <w:autoSpaceDN w:val="0"/>
        <w:adjustRightInd w:val="0"/>
        <w:spacing w:line="480" w:lineRule="auto"/>
        <w:ind w:left="0" w:leftChars="0" w:firstLine="2951" w:firstLineChars="1050"/>
        <w:jc w:val="left"/>
        <w:outlineLvl w:val="9"/>
        <w:rPr>
          <w:rFonts w:hint="eastAsia" w:ascii="宋体" w:hAnsi="宋体" w:eastAsia="宋体" w:cs="宋体"/>
          <w:b/>
          <w:bCs/>
          <w:kern w:val="0"/>
          <w:sz w:val="28"/>
          <w:szCs w:val="28"/>
          <w:highlight w:val="none"/>
          <w:u w:val="single"/>
          <w:lang w:val="en-US" w:eastAsia="zh-CN"/>
        </w:rPr>
      </w:pPr>
      <w:r>
        <w:rPr>
          <w:rFonts w:hint="eastAsia" w:ascii="宋体" w:hAnsi="宋体" w:eastAsia="宋体" w:cs="宋体"/>
          <w:b/>
          <w:bCs/>
          <w:kern w:val="0"/>
          <w:sz w:val="28"/>
          <w:szCs w:val="28"/>
          <w:highlight w:val="none"/>
        </w:rPr>
        <w:t>乙方：</w:t>
      </w:r>
      <w:r>
        <w:rPr>
          <w:rFonts w:hint="eastAsia" w:ascii="宋体" w:hAnsi="宋体" w:eastAsia="宋体" w:cs="宋体"/>
          <w:b/>
          <w:bCs/>
          <w:kern w:val="0"/>
          <w:sz w:val="28"/>
          <w:szCs w:val="28"/>
          <w:highlight w:val="none"/>
          <w:u w:val="single"/>
        </w:rPr>
        <w:t xml:space="preserve">                      </w:t>
      </w:r>
      <w:r>
        <w:rPr>
          <w:rFonts w:hint="eastAsia" w:ascii="宋体" w:hAnsi="宋体" w:eastAsia="宋体" w:cs="宋体"/>
          <w:b/>
          <w:bCs/>
          <w:kern w:val="0"/>
          <w:sz w:val="28"/>
          <w:szCs w:val="28"/>
          <w:highlight w:val="none"/>
          <w:u w:val="single"/>
          <w:lang w:val="en-US" w:eastAsia="zh-CN"/>
        </w:rPr>
        <w:t xml:space="preserve"> </w:t>
      </w:r>
    </w:p>
    <w:p w14:paraId="1DC7568E">
      <w:pPr>
        <w:autoSpaceDE w:val="0"/>
        <w:autoSpaceDN w:val="0"/>
        <w:adjustRightInd w:val="0"/>
        <w:spacing w:line="480" w:lineRule="auto"/>
        <w:ind w:left="0" w:leftChars="0" w:firstLine="2951" w:firstLineChars="1050"/>
        <w:jc w:val="left"/>
        <w:outlineLvl w:val="9"/>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签订日期：   年   月   日</w:t>
      </w:r>
    </w:p>
    <w:p w14:paraId="2988EE63">
      <w:pPr>
        <w:outlineLvl w:val="9"/>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br w:type="page"/>
      </w:r>
    </w:p>
    <w:p w14:paraId="5EC7C8E8">
      <w:pPr>
        <w:snapToGrid w:val="0"/>
        <w:spacing w:line="360" w:lineRule="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委托方（甲方）：东莞市</w:t>
      </w:r>
      <w:r>
        <w:rPr>
          <w:rFonts w:hint="eastAsia" w:ascii="宋体" w:hAnsi="宋体" w:eastAsia="宋体" w:cs="宋体"/>
          <w:b/>
          <w:bCs/>
          <w:sz w:val="21"/>
          <w:szCs w:val="21"/>
          <w:highlight w:val="none"/>
          <w:lang w:val="en-US" w:eastAsia="zh-CN"/>
        </w:rPr>
        <w:t>置拓</w:t>
      </w:r>
      <w:r>
        <w:rPr>
          <w:rFonts w:hint="eastAsia" w:ascii="宋体" w:hAnsi="宋体" w:eastAsia="宋体" w:cs="宋体"/>
          <w:b/>
          <w:bCs/>
          <w:sz w:val="21"/>
          <w:szCs w:val="21"/>
          <w:highlight w:val="none"/>
        </w:rPr>
        <w:t xml:space="preserve">投资有限公司 </w:t>
      </w:r>
    </w:p>
    <w:p w14:paraId="152104D2">
      <w:pPr>
        <w:widowControl/>
        <w:snapToGrid w:val="0"/>
        <w:spacing w:line="360" w:lineRule="auto"/>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统一社会信用代码： </w:t>
      </w:r>
    </w:p>
    <w:p w14:paraId="52A7304C">
      <w:pPr>
        <w:widowControl/>
        <w:snapToGrid w:val="0"/>
        <w:spacing w:line="360" w:lineRule="auto"/>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住所：</w:t>
      </w:r>
    </w:p>
    <w:p w14:paraId="300A283C">
      <w:pPr>
        <w:widowControl/>
        <w:snapToGrid w:val="0"/>
        <w:spacing w:line="360" w:lineRule="auto"/>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p>
    <w:p w14:paraId="4B7991DF">
      <w:pPr>
        <w:widowControl/>
        <w:snapToGrid w:val="0"/>
        <w:spacing w:line="360" w:lineRule="auto"/>
        <w:outlineLvl w:val="9"/>
        <w:rPr>
          <w:rFonts w:hint="eastAsia" w:ascii="宋体" w:hAnsi="宋体" w:eastAsia="宋体" w:cs="宋体"/>
          <w:b/>
          <w:bCs/>
          <w:sz w:val="21"/>
          <w:szCs w:val="21"/>
          <w:highlight w:val="none"/>
        </w:rPr>
      </w:pPr>
    </w:p>
    <w:p w14:paraId="6E473A43">
      <w:pPr>
        <w:widowControl/>
        <w:snapToGrid w:val="0"/>
        <w:spacing w:line="360" w:lineRule="auto"/>
        <w:outlineLvl w:val="9"/>
        <w:rPr>
          <w:rFonts w:hint="eastAsia" w:ascii="宋体" w:hAnsi="宋体" w:eastAsia="宋体" w:cs="宋体"/>
          <w:sz w:val="21"/>
          <w:szCs w:val="21"/>
          <w:highlight w:val="none"/>
        </w:rPr>
      </w:pPr>
      <w:r>
        <w:rPr>
          <w:rFonts w:hint="eastAsia" w:ascii="宋体" w:hAnsi="宋体" w:eastAsia="宋体" w:cs="宋体"/>
          <w:b/>
          <w:bCs/>
          <w:sz w:val="21"/>
          <w:szCs w:val="21"/>
          <w:highlight w:val="none"/>
        </w:rPr>
        <w:t xml:space="preserve">受托方（乙方）： </w:t>
      </w:r>
    </w:p>
    <w:p w14:paraId="0005C66D">
      <w:pPr>
        <w:widowControl/>
        <w:snapToGrid w:val="0"/>
        <w:spacing w:line="360" w:lineRule="auto"/>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统一社会信用代码： </w:t>
      </w:r>
    </w:p>
    <w:p w14:paraId="11BAA952">
      <w:pPr>
        <w:widowControl/>
        <w:snapToGrid w:val="0"/>
        <w:spacing w:line="360" w:lineRule="auto"/>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住所： </w:t>
      </w:r>
    </w:p>
    <w:p w14:paraId="41AA80CE">
      <w:pPr>
        <w:widowControl/>
        <w:snapToGrid w:val="0"/>
        <w:spacing w:line="360" w:lineRule="auto"/>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法定代表人： </w:t>
      </w:r>
    </w:p>
    <w:p w14:paraId="1A3E58FD">
      <w:pPr>
        <w:widowControl/>
        <w:snapToGrid w:val="0"/>
        <w:spacing w:line="360" w:lineRule="auto"/>
        <w:ind w:firstLine="420" w:firstLineChars="200"/>
        <w:outlineLvl w:val="9"/>
        <w:rPr>
          <w:rFonts w:hint="eastAsia" w:ascii="宋体" w:hAnsi="宋体" w:eastAsia="宋体" w:cs="宋体"/>
          <w:sz w:val="21"/>
          <w:szCs w:val="21"/>
          <w:highlight w:val="none"/>
        </w:rPr>
      </w:pPr>
    </w:p>
    <w:p w14:paraId="45B15FDD">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基于甲方通过公开招标方式确定乙方为东莞市置拓投资有限公司水业大厦食堂经营服务采购项目的中标单位，</w:t>
      </w:r>
      <w:r>
        <w:rPr>
          <w:rFonts w:hint="eastAsia" w:ascii="宋体" w:hAnsi="宋体" w:eastAsia="宋体" w:cs="宋体"/>
          <w:szCs w:val="21"/>
          <w:lang w:val="en-US" w:eastAsia="zh-CN"/>
        </w:rPr>
        <w:t>乙方以独立法人（按规办理资质）承包水业大厦食堂经营服务</w:t>
      </w:r>
      <w:r>
        <w:rPr>
          <w:rFonts w:hint="eastAsia" w:ascii="宋体" w:hAnsi="宋体" w:eastAsia="宋体" w:cs="宋体"/>
          <w:szCs w:val="21"/>
        </w:rPr>
        <w:t xml:space="preserve">，甲乙双方本着诚实守信、平等互利的原则，经平等协商，订立本合同。 </w:t>
      </w:r>
    </w:p>
    <w:p w14:paraId="379D6A07">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第一条 项目概况</w:t>
      </w:r>
    </w:p>
    <w:p w14:paraId="6DDA08AA">
      <w:pPr>
        <w:numPr>
          <w:ilvl w:val="255"/>
          <w:numId w:val="0"/>
        </w:numPr>
        <w:spacing w:line="360" w:lineRule="auto"/>
        <w:ind w:firstLine="420" w:firstLineChars="200"/>
        <w:rPr>
          <w:rFonts w:hint="eastAsia" w:ascii="宋体" w:hAnsi="宋体" w:eastAsia="宋体" w:cs="宋体"/>
          <w:bCs/>
          <w:szCs w:val="21"/>
        </w:rPr>
      </w:pPr>
      <w:r>
        <w:rPr>
          <w:rFonts w:hint="eastAsia" w:ascii="宋体" w:hAnsi="宋体" w:eastAsia="宋体" w:cs="宋体"/>
          <w:szCs w:val="21"/>
        </w:rPr>
        <w:t>1.1 项目地点：广东省东莞市南城街道宏北路16号水业大厦食堂</w:t>
      </w:r>
    </w:p>
    <w:p w14:paraId="544448C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1.2 食堂面积：建设面积约3590㎡（套内面积约2000㎡）</w:t>
      </w:r>
    </w:p>
    <w:p w14:paraId="14C245CA">
      <w:pPr>
        <w:spacing w:line="360" w:lineRule="auto"/>
        <w:ind w:firstLine="420" w:firstLineChars="200"/>
        <w:rPr>
          <w:rFonts w:hint="eastAsia" w:ascii="宋体" w:hAnsi="宋体" w:eastAsia="宋体" w:cs="宋体"/>
          <w:szCs w:val="21"/>
        </w:rPr>
      </w:pPr>
      <w:r>
        <w:rPr>
          <w:rFonts w:hint="eastAsia" w:ascii="宋体" w:hAnsi="宋体" w:eastAsia="宋体" w:cs="宋体"/>
          <w:bCs/>
          <w:szCs w:val="21"/>
        </w:rPr>
        <w:t>1.3 规模情况：设置厨房区、公共就餐区（暂设436个公区座位，就餐人员规模为650人，远期可满足800人就餐）、独立就餐区、非就餐区等</w:t>
      </w:r>
      <w:r>
        <w:rPr>
          <w:rFonts w:hint="eastAsia" w:ascii="宋体" w:hAnsi="宋体" w:eastAsia="宋体" w:cs="宋体"/>
          <w:szCs w:val="21"/>
        </w:rPr>
        <w:t>（就餐人数以实际为准），为甲方员工（指甲方及甲方关联公司、上级单位水务集团等集团内入驻水业大厦的员工，下同）及外来零散人员和外来团体人员及公务接待人员等提供早餐、午餐、晚餐及相关产品。</w:t>
      </w:r>
    </w:p>
    <w:p w14:paraId="2FAB608F">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第二条 服务内容</w:t>
      </w:r>
    </w:p>
    <w:p w14:paraId="55A793F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甲方对水业大厦食堂进行装修并提供厨房设备设施及餐桌椅，乙方负责水业大厦食堂餐具、智能管理系统、智能称重设备和厨房用品等投入，负责水业大厦食堂的经营，包括食材原料采购、配料、加工，为进入水业大厦食堂就餐的人员提供餐饮服务，并负责食堂范围内所有设备设施的清洁、维护维修等工作。具体包括但不限于以下内容：</w:t>
      </w:r>
    </w:p>
    <w:p w14:paraId="77324B3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2.1 乙方自行采购餐具、智能管理系统、智能称重设备和厨房用品，负责原料采购、配料、加工和食堂范围内所有设备设施的清洁、维护维修等工作，承接水业大厦食堂的经营管理，为在水业大厦食堂就餐人员提供早餐、午餐、晚餐餐饮服务；</w:t>
      </w:r>
    </w:p>
    <w:p w14:paraId="4BE7591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2.2 经营期间，乙方负责对食堂及硬软件设施设备进行维护、维修、保养、清理及检测等，因此产生的燃气管道检测费、燃气报警装置检测费、抽排烟管道清理费、下水道清理费、隔油池清理费等费用全部由乙方承担；</w:t>
      </w:r>
    </w:p>
    <w:p w14:paraId="1464DA1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2.3 因食堂经营所需的能耗，如水电费、燃气费、供冷费等全部由乙方承担；</w:t>
      </w:r>
    </w:p>
    <w:p w14:paraId="7BBCDA6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2.4 乙方应按照要求配置充足和满足资质要求的食堂工作人员，并承担食堂工作人员的管理和人员工资、福利、社保等相关费用。</w:t>
      </w:r>
    </w:p>
    <w:p w14:paraId="20DFDE9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2.5 乙方应自行负责经营管理食堂所应承担的其他全部事项，并自行承担因此发生的全部费用。</w:t>
      </w:r>
    </w:p>
    <w:p w14:paraId="4BB76F18">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第三条 服务要求</w:t>
      </w:r>
    </w:p>
    <w:p w14:paraId="25BA396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3.1 乙方依法经营，开展经营服务活动应符合《中华人民共和国食品安全法》《中华人民共和国安全生产法》《餐饮服务食品安全操作规范》等法律、法规以及甲方的相关管理规定和要求。保障在食堂就餐人员的合法权益，确保饮食安全卫生，提供优质的饮食服务。  </w:t>
      </w:r>
    </w:p>
    <w:p w14:paraId="1194B36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3.2 乙方在食堂经营管理过程中，应有立足为客户提供优质服务的思想素质和职业道德，应充分认识食堂具有服务性、微利性的特点，坚持薄利、质优、卫生、安全的经营理念，按照甲方的要求，根据就餐人数，每工作日按时、足量、优质、价廉向就餐人员提供一日三餐（早餐、中餐、晚餐）的主、副食品及相关服务。</w:t>
      </w:r>
    </w:p>
    <w:p w14:paraId="29ADF96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3.3 乙方在水业大厦食堂出售的各类菜色品种（含风味小吃）及饭价须经甲方依据市场价格和东莞市同类食堂菜品的价格核价同意后明码标价销售。乙方须提供水业大厦外来人员个性化用餐服务，外来人员现场充值，充值金额余额随时可退。乙方须提供包间接待用餐服务，提供围餐套餐或单点方式供甲方或其他用餐人员选择。</w:t>
      </w:r>
    </w:p>
    <w:p w14:paraId="512CB71B">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3.4 甲方员工</w:t>
      </w:r>
      <w:r>
        <w:rPr>
          <w:rFonts w:hint="eastAsia" w:ascii="宋体" w:hAnsi="宋体" w:eastAsia="宋体" w:cs="宋体"/>
          <w:szCs w:val="21"/>
          <w:lang w:val="en-US" w:eastAsia="zh-CN"/>
        </w:rPr>
        <w:t>就餐区消费按</w:t>
      </w:r>
      <w:r>
        <w:rPr>
          <w:rFonts w:hint="eastAsia" w:ascii="宋体" w:hAnsi="宋体" w:eastAsia="宋体" w:cs="宋体"/>
          <w:szCs w:val="21"/>
        </w:rPr>
        <w:t>售价的70%计价</w:t>
      </w:r>
      <w:r>
        <w:rPr>
          <w:rFonts w:hint="eastAsia" w:ascii="宋体" w:hAnsi="宋体" w:eastAsia="宋体" w:cs="宋体"/>
          <w:szCs w:val="21"/>
          <w:lang w:eastAsia="zh-CN"/>
        </w:rPr>
        <w:t>，</w:t>
      </w:r>
      <w:r>
        <w:rPr>
          <w:rFonts w:hint="eastAsia" w:ascii="宋体" w:hAnsi="宋体" w:eastAsia="宋体" w:cs="宋体"/>
          <w:szCs w:val="21"/>
          <w:lang w:val="en-US" w:eastAsia="zh-CN"/>
        </w:rPr>
        <w:t>在用餐标准（即1100元/人/月）范围内的，消费部分从虚拟账户中扣减；超出用餐标准（即1100元/人/月）范围的，消费部分从员工充值账户中扣减</w:t>
      </w:r>
      <w:r>
        <w:rPr>
          <w:rFonts w:hint="eastAsia" w:ascii="宋体" w:hAnsi="宋体" w:eastAsia="宋体" w:cs="宋体"/>
          <w:szCs w:val="21"/>
        </w:rPr>
        <w:t>。</w:t>
      </w:r>
      <w:r>
        <w:rPr>
          <w:rFonts w:hint="eastAsia" w:ascii="宋体" w:hAnsi="宋体" w:eastAsia="宋体" w:cs="宋体"/>
          <w:szCs w:val="21"/>
          <w:lang w:val="en-US" w:eastAsia="zh-CN"/>
        </w:rPr>
        <w:t>甲方员工在非就餐区</w:t>
      </w:r>
      <w:r>
        <w:rPr>
          <w:rFonts w:hint="eastAsia" w:ascii="宋体" w:hAnsi="宋体" w:eastAsia="宋体" w:cs="宋体"/>
          <w:szCs w:val="21"/>
        </w:rPr>
        <w:t>消费按照全价计费，</w:t>
      </w:r>
      <w:r>
        <w:rPr>
          <w:rFonts w:hint="eastAsia" w:ascii="宋体" w:hAnsi="宋体" w:eastAsia="宋体" w:cs="宋体"/>
          <w:szCs w:val="21"/>
          <w:lang w:val="en-US" w:eastAsia="zh-CN"/>
        </w:rPr>
        <w:t>甲方员工非就餐区消费</w:t>
      </w:r>
      <w:r>
        <w:rPr>
          <w:rFonts w:hint="eastAsia" w:ascii="宋体" w:hAnsi="宋体" w:eastAsia="宋体" w:cs="宋体"/>
          <w:szCs w:val="21"/>
        </w:rPr>
        <w:t>在</w:t>
      </w:r>
      <w:r>
        <w:rPr>
          <w:rFonts w:hint="eastAsia" w:ascii="宋体" w:hAnsi="宋体" w:eastAsia="宋体" w:cs="宋体"/>
          <w:szCs w:val="21"/>
          <w:lang w:val="en-US" w:eastAsia="zh-CN"/>
        </w:rPr>
        <w:t>用餐标准（即1100元/人/月）</w:t>
      </w:r>
      <w:r>
        <w:rPr>
          <w:rFonts w:hint="eastAsia" w:ascii="宋体" w:hAnsi="宋体" w:eastAsia="宋体" w:cs="宋体"/>
          <w:szCs w:val="21"/>
        </w:rPr>
        <w:t>范围内的，在虚拟账户中扣减；超出</w:t>
      </w:r>
      <w:r>
        <w:rPr>
          <w:rFonts w:hint="eastAsia" w:ascii="宋体" w:hAnsi="宋体" w:eastAsia="宋体" w:cs="宋体"/>
          <w:szCs w:val="21"/>
          <w:lang w:val="en-US" w:eastAsia="zh-CN"/>
        </w:rPr>
        <w:t>用餐标准（即1100元/人/月）</w:t>
      </w:r>
      <w:r>
        <w:rPr>
          <w:rFonts w:hint="eastAsia" w:ascii="宋体" w:hAnsi="宋体" w:eastAsia="宋体" w:cs="宋体"/>
          <w:szCs w:val="21"/>
        </w:rPr>
        <w:t>范围的，按实际消费从员工充值账户中扣减。外来</w:t>
      </w:r>
      <w:r>
        <w:rPr>
          <w:rFonts w:hint="eastAsia" w:ascii="宋体" w:hAnsi="宋体" w:eastAsia="宋体" w:cs="宋体"/>
          <w:szCs w:val="21"/>
          <w:lang w:val="en-US" w:eastAsia="zh-CN"/>
        </w:rPr>
        <w:t>人员</w:t>
      </w:r>
      <w:r>
        <w:rPr>
          <w:rFonts w:hint="eastAsia" w:ascii="宋体" w:hAnsi="宋体" w:eastAsia="宋体" w:cs="宋体"/>
          <w:szCs w:val="21"/>
        </w:rPr>
        <w:t>消费按售价全价收取</w:t>
      </w:r>
      <w:r>
        <w:rPr>
          <w:rFonts w:hint="eastAsia" w:ascii="宋体" w:hAnsi="宋体" w:eastAsia="宋体" w:cs="宋体"/>
          <w:szCs w:val="21"/>
          <w:lang w:eastAsia="zh-CN"/>
        </w:rPr>
        <w:t>（</w:t>
      </w:r>
      <w:r>
        <w:rPr>
          <w:rFonts w:hint="eastAsia" w:ascii="宋体" w:hAnsi="宋体" w:eastAsia="宋体" w:cs="宋体"/>
          <w:szCs w:val="21"/>
          <w:lang w:val="en-US" w:eastAsia="zh-CN"/>
        </w:rPr>
        <w:t>就餐区消费和非就餐区消费</w:t>
      </w:r>
      <w:r>
        <w:rPr>
          <w:rFonts w:hint="eastAsia" w:ascii="宋体" w:hAnsi="宋体" w:eastAsia="宋体" w:cs="宋体"/>
          <w:szCs w:val="21"/>
          <w:lang w:eastAsia="zh-CN"/>
        </w:rPr>
        <w:t>），</w:t>
      </w:r>
      <w:r>
        <w:rPr>
          <w:rFonts w:hint="eastAsia" w:ascii="宋体" w:hAnsi="宋体" w:eastAsia="宋体" w:cs="宋体"/>
          <w:szCs w:val="21"/>
          <w:lang w:val="en-US" w:eastAsia="zh-CN"/>
        </w:rPr>
        <w:t>外来人员消费费用全部由现金充值金额中结算</w:t>
      </w:r>
      <w:r>
        <w:rPr>
          <w:rFonts w:hint="eastAsia" w:ascii="宋体" w:hAnsi="宋体" w:eastAsia="宋体" w:cs="宋体"/>
          <w:szCs w:val="21"/>
          <w:lang w:eastAsia="zh-CN"/>
        </w:rPr>
        <w:t>。</w:t>
      </w:r>
    </w:p>
    <w:p w14:paraId="3A07344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3.5 乙方在非就餐区配置多元化的商品供应，</w:t>
      </w:r>
      <w:r>
        <w:rPr>
          <w:rFonts w:hint="eastAsia" w:ascii="宋体" w:hAnsi="宋体" w:eastAsia="宋体" w:cs="宋体"/>
          <w:szCs w:val="21"/>
          <w:lang w:val="en-US" w:eastAsia="zh-CN"/>
        </w:rPr>
        <w:t>非就餐区多元化产品销售价格要求不能高于大型商超同类产品的零售价格</w:t>
      </w:r>
      <w:r>
        <w:rPr>
          <w:rFonts w:hint="eastAsia" w:ascii="宋体" w:hAnsi="宋体" w:eastAsia="宋体" w:cs="宋体"/>
          <w:szCs w:val="21"/>
        </w:rPr>
        <w:t>。</w:t>
      </w:r>
    </w:p>
    <w:p w14:paraId="497F53C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3.6 工作日乙方须按甲方要求提供一日三餐服务，其中7:00-9:10提供早餐服务，11:30-13:30提供午餐服务，17:00-19:00提供晚餐服务，食堂服务时间甲方可按实际需求随时调整，乙方应无条件配合。</w:t>
      </w:r>
    </w:p>
    <w:p w14:paraId="03C11E5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3.7 菜品价格要求：</w:t>
      </w:r>
      <w:r>
        <w:rPr>
          <w:rFonts w:hint="eastAsia" w:ascii="宋体" w:hAnsi="宋体" w:eastAsia="宋体" w:cs="宋体"/>
          <w:szCs w:val="21"/>
          <w:lang w:val="en-US" w:eastAsia="zh-CN"/>
        </w:rPr>
        <w:t>价格</w:t>
      </w:r>
      <w:r>
        <w:rPr>
          <w:rFonts w:hint="eastAsia" w:ascii="宋体" w:hAnsi="宋体" w:eastAsia="宋体" w:cs="宋体"/>
          <w:szCs w:val="21"/>
        </w:rPr>
        <w:t>参考附近</w:t>
      </w:r>
      <w:r>
        <w:rPr>
          <w:rFonts w:hint="eastAsia" w:ascii="宋体" w:hAnsi="宋体" w:eastAsia="宋体" w:cs="宋体"/>
          <w:szCs w:val="21"/>
          <w:lang w:val="en-US" w:eastAsia="zh-CN"/>
        </w:rPr>
        <w:t>3</w:t>
      </w:r>
      <w:r>
        <w:rPr>
          <w:rFonts w:hint="eastAsia" w:ascii="宋体" w:hAnsi="宋体" w:eastAsia="宋体" w:cs="宋体"/>
          <w:szCs w:val="21"/>
        </w:rPr>
        <w:t>公里内，选取不低于3家同类</w:t>
      </w:r>
      <w:r>
        <w:rPr>
          <w:rFonts w:hint="eastAsia" w:ascii="宋体" w:hAnsi="宋体" w:eastAsia="宋体" w:cs="宋体"/>
          <w:szCs w:val="21"/>
          <w:lang w:val="en-US" w:eastAsia="zh-CN"/>
        </w:rPr>
        <w:t>型智慧</w:t>
      </w:r>
      <w:r>
        <w:rPr>
          <w:rFonts w:hint="eastAsia" w:ascii="宋体" w:hAnsi="宋体" w:eastAsia="宋体" w:cs="宋体"/>
          <w:szCs w:val="21"/>
        </w:rPr>
        <w:t>餐厅或平价快餐店的平均价格计算平均值。售价须</w:t>
      </w:r>
      <w:r>
        <w:rPr>
          <w:rFonts w:hint="eastAsia" w:ascii="宋体" w:hAnsi="宋体" w:eastAsia="宋体" w:cs="宋体"/>
          <w:szCs w:val="21"/>
          <w:lang w:val="en-US" w:eastAsia="zh-CN"/>
        </w:rPr>
        <w:t>与甲方商定</w:t>
      </w:r>
      <w:r>
        <w:rPr>
          <w:rFonts w:hint="eastAsia" w:ascii="宋体" w:hAnsi="宋体" w:eastAsia="宋体" w:cs="宋体"/>
          <w:szCs w:val="21"/>
        </w:rPr>
        <w:t>后方可执行，并且在未经</w:t>
      </w:r>
      <w:r>
        <w:rPr>
          <w:rFonts w:hint="eastAsia" w:ascii="宋体" w:hAnsi="宋体" w:eastAsia="宋体" w:cs="宋体"/>
          <w:szCs w:val="21"/>
          <w:lang w:val="en-US" w:eastAsia="zh-CN"/>
        </w:rPr>
        <w:t>甲方</w:t>
      </w:r>
      <w:r>
        <w:rPr>
          <w:rFonts w:hint="eastAsia" w:ascii="宋体" w:hAnsi="宋体" w:eastAsia="宋体" w:cs="宋体"/>
          <w:szCs w:val="21"/>
        </w:rPr>
        <w:t>同意的情况下，</w:t>
      </w:r>
      <w:r>
        <w:rPr>
          <w:rFonts w:hint="eastAsia" w:ascii="宋体" w:hAnsi="宋体" w:eastAsia="宋体" w:cs="宋体"/>
          <w:szCs w:val="21"/>
          <w:lang w:val="en-US" w:eastAsia="zh-CN"/>
        </w:rPr>
        <w:t>乙方</w:t>
      </w:r>
      <w:r>
        <w:rPr>
          <w:rFonts w:hint="eastAsia" w:ascii="宋体" w:hAnsi="宋体" w:eastAsia="宋体" w:cs="宋体"/>
          <w:szCs w:val="21"/>
        </w:rPr>
        <w:t>不得随意变更售价，</w:t>
      </w:r>
      <w:r>
        <w:rPr>
          <w:rFonts w:hint="eastAsia" w:ascii="宋体" w:hAnsi="宋体" w:eastAsia="宋体" w:cs="宋体"/>
          <w:szCs w:val="21"/>
          <w:lang w:val="en-US" w:eastAsia="zh-CN"/>
        </w:rPr>
        <w:t>甲方</w:t>
      </w:r>
      <w:r>
        <w:rPr>
          <w:rFonts w:hint="eastAsia" w:ascii="宋体" w:hAnsi="宋体" w:eastAsia="宋体" w:cs="宋体"/>
          <w:szCs w:val="21"/>
        </w:rPr>
        <w:t>按菜品定价及监督机制进行定价审核、监督。</w:t>
      </w:r>
    </w:p>
    <w:p w14:paraId="079D4C0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3.8 菜品要求：根据实际就餐人数合理规划，早餐：提供一品一价自选模式供就餐人员自由选择，自选品种不少于</w:t>
      </w:r>
      <w:r>
        <w:rPr>
          <w:rFonts w:hint="eastAsia" w:ascii="宋体" w:hAnsi="宋体" w:eastAsia="宋体" w:cs="宋体"/>
          <w:szCs w:val="21"/>
          <w:lang w:val="en-US" w:eastAsia="zh-CN"/>
        </w:rPr>
        <w:t>16</w:t>
      </w:r>
      <w:r>
        <w:rPr>
          <w:rFonts w:hint="eastAsia" w:ascii="宋体" w:hAnsi="宋体" w:eastAsia="宋体" w:cs="宋体"/>
          <w:szCs w:val="21"/>
        </w:rPr>
        <w:t>个；中餐提供不少于16个品种供选择，其中，</w:t>
      </w:r>
      <w:r>
        <w:rPr>
          <w:rFonts w:hint="eastAsia" w:ascii="宋体" w:hAnsi="宋体" w:eastAsia="宋体" w:cs="宋体"/>
          <w:szCs w:val="21"/>
          <w:lang w:val="en-US" w:eastAsia="zh-CN"/>
        </w:rPr>
        <w:t>全</w:t>
      </w:r>
      <w:r>
        <w:rPr>
          <w:rFonts w:hint="eastAsia" w:ascii="宋体" w:hAnsi="宋体" w:eastAsia="宋体" w:cs="宋体"/>
          <w:szCs w:val="21"/>
        </w:rPr>
        <w:t>荤菜不低于</w:t>
      </w:r>
      <w:r>
        <w:rPr>
          <w:rFonts w:hint="eastAsia" w:ascii="宋体" w:hAnsi="宋体" w:eastAsia="宋体" w:cs="宋体"/>
          <w:szCs w:val="21"/>
          <w:lang w:val="en-US" w:eastAsia="zh-CN"/>
        </w:rPr>
        <w:t>2</w:t>
      </w:r>
      <w:r>
        <w:rPr>
          <w:rFonts w:hint="eastAsia" w:ascii="宋体" w:hAnsi="宋体" w:eastAsia="宋体" w:cs="宋体"/>
          <w:szCs w:val="21"/>
        </w:rPr>
        <w:t>个，</w:t>
      </w:r>
      <w:r>
        <w:rPr>
          <w:rFonts w:hint="eastAsia" w:ascii="宋体" w:hAnsi="宋体" w:eastAsia="宋体" w:cs="宋体"/>
          <w:szCs w:val="21"/>
          <w:lang w:val="en-US" w:eastAsia="zh-CN"/>
        </w:rPr>
        <w:t>主荤菜</w:t>
      </w:r>
      <w:r>
        <w:rPr>
          <w:rFonts w:hint="eastAsia" w:ascii="宋体" w:hAnsi="宋体" w:eastAsia="宋体" w:cs="宋体"/>
          <w:szCs w:val="21"/>
        </w:rPr>
        <w:t>不低于5个，素菜不低于4个，每日至少提供一种减脂套餐及地方美食；</w:t>
      </w:r>
      <w:r>
        <w:rPr>
          <w:rFonts w:hint="eastAsia" w:ascii="宋体" w:hAnsi="宋体" w:eastAsia="宋体" w:cs="宋体"/>
          <w:sz w:val="21"/>
          <w:szCs w:val="21"/>
          <w:highlight w:val="none"/>
        </w:rPr>
        <w:t>晚餐提供不少于 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 xml:space="preserve"> 个品种供选择</w:t>
      </w:r>
      <w:r>
        <w:rPr>
          <w:rFonts w:hint="eastAsia" w:ascii="宋体" w:hAnsi="宋体" w:eastAsia="宋体" w:cs="宋体"/>
          <w:sz w:val="21"/>
          <w:szCs w:val="21"/>
          <w:highlight w:val="none"/>
          <w:lang w:eastAsia="zh-CN"/>
        </w:rPr>
        <w:t>。</w:t>
      </w:r>
      <w:r>
        <w:rPr>
          <w:rFonts w:hint="eastAsia" w:ascii="宋体" w:hAnsi="宋体" w:eastAsia="宋体" w:cs="宋体"/>
          <w:szCs w:val="21"/>
          <w:lang w:val="en-US" w:eastAsia="zh-CN"/>
        </w:rPr>
        <w:t>同时食堂应设置专门的铁板烧功能区，增加菜品的丰富性。</w:t>
      </w:r>
      <w:r>
        <w:rPr>
          <w:rFonts w:hint="eastAsia" w:ascii="宋体" w:hAnsi="宋体" w:eastAsia="宋体" w:cs="宋体"/>
          <w:szCs w:val="21"/>
        </w:rPr>
        <w:t>每个菜品独立定价称重计费。各菜品售卖价格须与甲方商定后执行，</w:t>
      </w:r>
      <w:r>
        <w:rPr>
          <w:rFonts w:hint="eastAsia" w:ascii="宋体" w:hAnsi="宋体" w:eastAsia="宋体" w:cs="宋体"/>
          <w:szCs w:val="21"/>
          <w:lang w:val="en-US" w:eastAsia="zh-CN"/>
        </w:rPr>
        <w:t>白</w:t>
      </w:r>
      <w:r>
        <w:rPr>
          <w:rFonts w:hint="eastAsia" w:ascii="宋体" w:hAnsi="宋体" w:eastAsia="宋体" w:cs="宋体"/>
          <w:szCs w:val="21"/>
        </w:rPr>
        <w:t>米饭、例汤免费提供，后续应根据就餐人数的增加及时调整，以满足就餐人员的需求。</w:t>
      </w:r>
    </w:p>
    <w:p w14:paraId="360B880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3.9 乙方须每周四12:00前提交下一周</w:t>
      </w:r>
      <w:r>
        <w:rPr>
          <w:rFonts w:hint="eastAsia" w:ascii="宋体" w:hAnsi="宋体" w:eastAsia="宋体" w:cs="宋体"/>
          <w:bCs/>
          <w:szCs w:val="21"/>
        </w:rPr>
        <w:t>菜谱</w:t>
      </w:r>
      <w:r>
        <w:rPr>
          <w:rFonts w:hint="eastAsia" w:ascii="宋体" w:hAnsi="宋体" w:eastAsia="宋体" w:cs="宋体"/>
          <w:szCs w:val="21"/>
        </w:rPr>
        <w:t>供甲方审核，批准后由乙方每周一上午公布实施。每天菜品与前一天相比更换率必须不低于30%，菜品烹饪要求干净卫生，制作精细，色、香、味俱全，烹饪调配符合平衡营养健康要求。</w:t>
      </w:r>
    </w:p>
    <w:p w14:paraId="2C0B2DC5">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第四条 合同期限</w:t>
      </w:r>
    </w:p>
    <w:p w14:paraId="0CBECF0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4.1 合同服务期限自甲方发出《进场通知书》之日起2年（甲方每月和每年度末对乙方进行考核，乙方未通过考核的，甲方有权单方面终止合同）。</w:t>
      </w:r>
      <w:r>
        <w:rPr>
          <w:rFonts w:hint="eastAsia" w:ascii="宋体" w:hAnsi="宋体" w:eastAsia="宋体" w:cs="宋体"/>
          <w:color w:val="000000" w:themeColor="text1"/>
          <w:szCs w:val="21"/>
          <w:lang w:val="zh-CN"/>
          <w14:textFill>
            <w14:solidFill>
              <w14:schemeClr w14:val="tx1"/>
            </w14:solidFill>
          </w14:textFill>
        </w:rPr>
        <w:t>服务期限满后，双方经友好协商一致，签订补充协议延长服务资格期限，延长的服务资格期限原则上不超过三个月。</w:t>
      </w:r>
    </w:p>
    <w:p w14:paraId="072A189B">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第五条 甲方的权利和义务</w:t>
      </w:r>
    </w:p>
    <w:p w14:paraId="59C7EC4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5.1 甲方有权对乙方的</w:t>
      </w:r>
      <w:r>
        <w:rPr>
          <w:rFonts w:hint="eastAsia" w:ascii="宋体" w:hAnsi="宋体" w:eastAsia="宋体" w:cs="宋体"/>
          <w:szCs w:val="21"/>
          <w:lang w:val="en-US" w:eastAsia="zh-CN"/>
        </w:rPr>
        <w:t>食堂</w:t>
      </w:r>
      <w:r>
        <w:rPr>
          <w:rFonts w:hint="eastAsia" w:ascii="宋体" w:hAnsi="宋体" w:eastAsia="宋体" w:cs="宋体"/>
          <w:szCs w:val="21"/>
        </w:rPr>
        <w:t>经营进行监督、</w:t>
      </w:r>
      <w:r>
        <w:rPr>
          <w:rFonts w:hint="eastAsia" w:ascii="宋体" w:hAnsi="宋体" w:eastAsia="宋体" w:cs="宋体"/>
          <w:szCs w:val="21"/>
          <w:lang w:val="en-US" w:eastAsia="zh-CN"/>
        </w:rPr>
        <w:t>管理、</w:t>
      </w:r>
      <w:r>
        <w:rPr>
          <w:rFonts w:hint="eastAsia" w:ascii="宋体" w:hAnsi="宋体" w:eastAsia="宋体" w:cs="宋体"/>
          <w:szCs w:val="21"/>
        </w:rPr>
        <w:t>检查，如卫生、安全、治安、消防、质量、份量、服务、进货渠道等方面，乙方应杜绝食物中毒事故的发生，一旦发生事故，经行政或相关部门审查后确认乙方有过错的，则甲方有权解除合同、要求乙方赔偿损失，且乙方应负责妥善处理中毒人员（包括但不限于赔偿医疗费、误工费等）。</w:t>
      </w:r>
    </w:p>
    <w:p w14:paraId="7BD61E35">
      <w:pPr>
        <w:spacing w:line="360" w:lineRule="auto"/>
        <w:ind w:firstLine="420" w:firstLineChars="200"/>
        <w:rPr>
          <w:rFonts w:hint="eastAsia" w:ascii="宋体" w:hAnsi="宋体" w:eastAsia="宋体" w:cs="宋体"/>
        </w:rPr>
      </w:pPr>
      <w:r>
        <w:rPr>
          <w:rFonts w:hint="eastAsia" w:ascii="宋体" w:hAnsi="宋体" w:eastAsia="宋体" w:cs="宋体"/>
          <w:szCs w:val="21"/>
        </w:rPr>
        <w:t>5.2 甲方有权对乙方加工场地和出品的主、配菜搭配等进行检查和监管。</w:t>
      </w:r>
    </w:p>
    <w:p w14:paraId="7885FD6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5.3 甲方有权自行联系政府卫生检疫部门对食堂食物和餐具随时抽查送检，若抽查结果不超标，费用由甲方承担，若抽查结果超标，费用由乙方承担。</w:t>
      </w:r>
    </w:p>
    <w:p w14:paraId="61FE43C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5.4 甲方有权在有需要的时候，要求乙方提供其与本项目服务内容相关的管理资料。</w:t>
      </w:r>
    </w:p>
    <w:p w14:paraId="24F1DBE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5.5 对于乙方食堂工作人员的服务，经考核不合格的，甲方有权要求更换工作人员。</w:t>
      </w:r>
    </w:p>
    <w:p w14:paraId="5FCC874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5.6 当乙方提供的主要原材料及食物达不到甲方要求、标准时，甲方有权要求乙方更换品种或原料供应商。</w:t>
      </w:r>
    </w:p>
    <w:p w14:paraId="7C60AA5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5.7 甲方有权在水业大厦食堂安装监控设备，及时掌握了解食堂的卫生、食材和运作情况，掌握用餐情况。</w:t>
      </w:r>
    </w:p>
    <w:p w14:paraId="630C20D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5.8 因乙方原因造成误餐或停餐，甲方有权要求乙方支付违约金，并书面警告一次。</w:t>
      </w:r>
    </w:p>
    <w:p w14:paraId="774CE69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5.9 甲方有权对水业大厦食堂菜品的价格进行审核、监督。</w:t>
      </w:r>
    </w:p>
    <w:p w14:paraId="0CDEC40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5.10 甲方有权按实际需求随时调整水业大厦食堂就餐服务时间。</w:t>
      </w:r>
    </w:p>
    <w:p w14:paraId="5DBF144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5.11 甲方对乙方的服务进行监督管理，定期或不定期对食堂工作进行检查考评，每月做服务考评汇总。</w:t>
      </w:r>
    </w:p>
    <w:p w14:paraId="5AA5267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5.12 甲方有权每月对就餐人员进行食堂服务质量的满意度调查（乙方可派人参与），内容包括食堂饮食卫生、质量、份量和工作人员的服务态度等。</w:t>
      </w:r>
    </w:p>
    <w:p w14:paraId="56EAA16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5.13 甲方提供水、电、燃气等能源供应，乙方在使用过程中应本着节约使用的态度，相关费用由乙方自行承担。</w:t>
      </w:r>
    </w:p>
    <w:p w14:paraId="5FA2D70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5.14 甲方负责协助维护食堂的就餐秩序。</w:t>
      </w:r>
    </w:p>
    <w:p w14:paraId="2B6A473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5.15 甲方有权监督乙方是否严格按要求和标准供应膳食。甲方可派专人进行全程监督（服务、卫生、膳食质量、采购、贮藏、消防、安全等）评定，并随时配合接受卫生、安全、消防和技术监督等部门的监督和检查，乙方保证严格执行合同约定。若乙方提供的服务令甲方不满意或不符合双方约定，甲方书面通知乙方限期改善，若期限内没有改善，则甲方有权终止合同，要求乙方赔偿损失并没收履约保证金，乙方应无条件接受。</w:t>
      </w:r>
    </w:p>
    <w:p w14:paraId="2F29E0C4">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rPr>
        <w:t xml:space="preserve">5.16 </w:t>
      </w:r>
      <w:r>
        <w:rPr>
          <w:rFonts w:hint="eastAsia" w:ascii="宋体" w:hAnsi="宋体" w:eastAsia="宋体" w:cs="宋体"/>
          <w:szCs w:val="21"/>
          <w:highlight w:val="none"/>
        </w:rPr>
        <w:t>甲方负责就餐人员意见征询和满意度调查工作，并及时向乙方通报调查结果。</w:t>
      </w:r>
    </w:p>
    <w:p w14:paraId="1E227760">
      <w:pPr>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highlight w:val="none"/>
          <w:lang w:val="en-US" w:eastAsia="zh-CN"/>
        </w:rPr>
        <w:t>5.17 若甲方因乙方的过错需承担连带责任或赔偿责任时，甲方有权向乙方进行追偿。</w:t>
      </w:r>
    </w:p>
    <w:p w14:paraId="5A1AB52F">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第六条 乙方的权利和义务</w:t>
      </w:r>
    </w:p>
    <w:p w14:paraId="73D5E31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6.1 乙方自主经营，有权自主聘用、管理食堂工作人员。</w:t>
      </w:r>
    </w:p>
    <w:p w14:paraId="5E9FD50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6.2 乙方有权依据本合同约定向甲方收取食堂经营服务费用。</w:t>
      </w:r>
    </w:p>
    <w:p w14:paraId="399E5CE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6.3 食堂内所有设备设施（含餐桌椅）的维修保养费用由乙方承担，经营期间，如甲方认为需在合同范围外增加或补充餐具、厨具等设备的，相关费用由甲方承担。</w:t>
      </w:r>
    </w:p>
    <w:p w14:paraId="021838E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6.4 乙方在甲方规定的场所内，严格按照甲方的要求和本合同规定的标准为员工供应可口的饭菜，确保所采购的食材、粮油、蔬菜、调味品等原料的卫生符合国家标准和行业标准，并符合本合同约定。</w:t>
      </w:r>
    </w:p>
    <w:p w14:paraId="6A1C354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6.5 乙方负责食堂范围内的厨房区、用餐区、独立就餐区（含包房外公共区域）及非就餐区的环境卫生。乙方要合理使用、妥善保管厨房设备设施，餐具必须彻底清洁消毒。乙方负责搞好室内外环境清洁和消毒工作，清除卫生死角，保持墙壁、墙裙、天花板、地面整洁，疏通下水道，垃圾桶须加盖并保持桶身的清洁。</w:t>
      </w:r>
    </w:p>
    <w:p w14:paraId="15B79F7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6.6 乙方提供食堂经营服务须无条件接受甲方以及相关部门的监督，且乙方确保乙方人员并遵守甲方公司规定。</w:t>
      </w:r>
    </w:p>
    <w:p w14:paraId="0E98DD2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6.7 乙方应确保食堂工作人员符合如下卫生要求： 1．具有有效的健康证明；2．工作时间穿戴清洁（要求穿清洁工作服，戴帽子、口罩等），配餐时戴手套操作；3．勤剪指甲、勤洗手；4．感冒或患有传染病的患者不能上岗。</w:t>
      </w:r>
    </w:p>
    <w:p w14:paraId="154D047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6.8 乙方确保食堂环境符合如下卫生要求：1．食堂和餐厅内的门窗、天花板、风扇每星期清洁一次；2．餐厅内的桌、椅需摆放整齐、每天清洁，要求无油污、脏物等；3．及时清除产生的垃圾、废弃食物等；4．不可在食堂内吸烟；5．具体的食堂环境卫生要求按甲方食堂管理办法的要求执行。</w:t>
      </w:r>
    </w:p>
    <w:p w14:paraId="41F05ED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6.9 乙方与乙方聘用的食堂工作人员签订劳动合同，并按法律规定及时向其工作人员发放薪酬、购买社保等并承担全部费用。乙方食堂工作人员发生意外事故或人身财产损害的，其法律责任和经济责任概由乙方自行负责，与甲方无关，如甲方因该等事件承担了责任的，甲方有权在应付乙方的服务费用中直接抵扣或直接启用履约担保。</w:t>
      </w:r>
    </w:p>
    <w:p w14:paraId="5B527E6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6.10 乙方应对水业大厦食堂就餐人员提出的意见限期内做出积极改善。 </w:t>
      </w:r>
    </w:p>
    <w:p w14:paraId="408A045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6.11 乙方定期对食堂进行全面消毒除四害“蚊、老鼠、蟑螂、苍蝇”等，且要做好书面记录。 </w:t>
      </w:r>
    </w:p>
    <w:p w14:paraId="4CA2A08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6.12 乙方每周四12:00前提交下一周</w:t>
      </w:r>
      <w:r>
        <w:rPr>
          <w:rFonts w:hint="eastAsia" w:ascii="宋体" w:hAnsi="宋体" w:eastAsia="宋体" w:cs="宋体"/>
          <w:bCs/>
          <w:szCs w:val="21"/>
        </w:rPr>
        <w:t>菜谱</w:t>
      </w:r>
      <w:r>
        <w:rPr>
          <w:rFonts w:hint="eastAsia" w:ascii="宋体" w:hAnsi="宋体" w:eastAsia="宋体" w:cs="宋体"/>
          <w:szCs w:val="21"/>
        </w:rPr>
        <w:t>供甲方审核，批准后由乙方每周一上午公布实施。</w:t>
      </w:r>
    </w:p>
    <w:p w14:paraId="0301FD1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6.13 由乙方负责《餐饮服务许可证》等全部相关证件的年检工作。</w:t>
      </w:r>
    </w:p>
    <w:p w14:paraId="7789DB4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6.14 乙方应自行独立应对卫生检疫单位对食堂的检查，负责按政府主管部门的意见整改，并承担因此发生的全部费用，如被给予行政处罚的，相关罚款或其他处罚措施均由乙方自行承担或负责。如因此导致甲方损失的，乙方应承担赔偿责任。</w:t>
      </w:r>
    </w:p>
    <w:p w14:paraId="2844788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6.15 乙方合理安排甲方食堂所需的原材料配送，禁止将大量食材堆积在甲方食堂，仓库不能存放超过2天的食材需求量。所产生的生活垃圾、泔水、废弃油脂等由乙方自行处理（处理方式及处理单位符合法律、法规及行业规定），必须做到当天垃圾当天清理。</w:t>
      </w:r>
    </w:p>
    <w:p w14:paraId="0625EE3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6.16 乙方应要求食堂工作人员在上班时间必须统一穿着工作服装和使用卫生用品，费用由乙方自理。</w:t>
      </w:r>
    </w:p>
    <w:p w14:paraId="35AF6A0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6.17 乙方必须按照甲方规定的时间，准时开餐，并设置专门冰柜冷藏样品餐，样品餐陈列时间不得少于48小时。</w:t>
      </w:r>
    </w:p>
    <w:p w14:paraId="6733C65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6.18 夏季期间，根据《广东省高温天气劳动保护办法》的规定，当气温在33°C及以上时，应甲方要求，乙方应向甲方员工供应消暑饮料（凉茶、粥品等），供应数量由甲方确定。</w:t>
      </w:r>
    </w:p>
    <w:p w14:paraId="3E1DE04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6.19 乙方所购肉品，需在购买当日提交食品卫生检验证明给甲方，以备卫生检疫单位检查，若违反规定，一切后果由乙方负责，同时做好资料归档工作，甲方有权监管。</w:t>
      </w:r>
    </w:p>
    <w:p w14:paraId="74359D2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6.20 乙方接到甲方突发性需求通知后的</w:t>
      </w:r>
      <w:r>
        <w:rPr>
          <w:rFonts w:hint="eastAsia" w:ascii="宋体" w:hAnsi="宋体" w:eastAsia="宋体" w:cs="宋体"/>
          <w:szCs w:val="21"/>
          <w:u w:val="single"/>
        </w:rPr>
        <w:t xml:space="preserve"> 1 </w:t>
      </w:r>
      <w:r>
        <w:rPr>
          <w:rFonts w:hint="eastAsia" w:ascii="宋体" w:hAnsi="宋体" w:eastAsia="宋体" w:cs="宋体"/>
          <w:szCs w:val="21"/>
        </w:rPr>
        <w:t>个小时内到达项目现场并响应服务要求。</w:t>
      </w:r>
    </w:p>
    <w:p w14:paraId="357C2FA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6.21 乙方负责购买</w:t>
      </w:r>
      <w:r>
        <w:rPr>
          <w:rFonts w:hint="eastAsia" w:ascii="宋体" w:hAnsi="宋体" w:eastAsia="宋体" w:cs="宋体"/>
          <w:szCs w:val="21"/>
          <w:lang w:val="en-US" w:eastAsia="zh-CN"/>
        </w:rPr>
        <w:t>本</w:t>
      </w:r>
      <w:r>
        <w:rPr>
          <w:rFonts w:hint="eastAsia" w:ascii="宋体" w:hAnsi="宋体" w:eastAsia="宋体" w:cs="宋体"/>
          <w:szCs w:val="21"/>
        </w:rPr>
        <w:t>餐饮</w:t>
      </w:r>
      <w:r>
        <w:rPr>
          <w:rFonts w:hint="eastAsia" w:ascii="宋体" w:hAnsi="宋体" w:eastAsia="宋体" w:cs="宋体"/>
          <w:szCs w:val="21"/>
          <w:lang w:val="en-US" w:eastAsia="zh-CN"/>
        </w:rPr>
        <w:t>食堂</w:t>
      </w:r>
      <w:r>
        <w:rPr>
          <w:rFonts w:hint="eastAsia" w:ascii="宋体" w:hAnsi="宋体" w:eastAsia="宋体" w:cs="宋体"/>
          <w:szCs w:val="21"/>
        </w:rPr>
        <w:t>场所公众责任保险，保额不低于1000万元，</w:t>
      </w:r>
      <w:r>
        <w:rPr>
          <w:rFonts w:hint="eastAsia" w:ascii="宋体" w:hAnsi="宋体" w:eastAsia="宋体" w:cs="宋体"/>
          <w:szCs w:val="21"/>
          <w:lang w:val="en-US" w:eastAsia="zh-CN"/>
        </w:rPr>
        <w:t>乙方必须为甲方提供一份甲方为受益人的食品安全责任险</w:t>
      </w:r>
      <w:r>
        <w:rPr>
          <w:rFonts w:hint="eastAsia" w:ascii="宋体" w:hAnsi="宋体" w:eastAsia="宋体" w:cs="宋体"/>
          <w:szCs w:val="21"/>
        </w:rPr>
        <w:t>，食品安全责任险不少于1亿元。</w:t>
      </w:r>
    </w:p>
    <w:p w14:paraId="5B9BB87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6.22  乙方负责为本项目服务人员购买不低于300万元的人身意外保险。 </w:t>
      </w:r>
    </w:p>
    <w:p w14:paraId="39C2587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6.23 乙方负责甲方水业大厦值守岗位人员的送餐和餐具回收服务。</w:t>
      </w:r>
    </w:p>
    <w:p w14:paraId="3A33C55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6.24 乙方做好食堂的消防安全工作，确保不得出现任何人为的消防安全事故隐患，并定期接受甲方的监督检查。食堂内的消防安全及工具、燃气、电源（炉灶、各种炊事设备）操作事故责任均由乙方自行承担。如甲方因此被追究责任的，甲方有权从应付乙方服务费用中直接抵扣或启用履约担保。</w:t>
      </w:r>
    </w:p>
    <w:p w14:paraId="14FC2F6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6.25 对就餐人员要有良好的服务态度，讲究职业道德及各项文明礼仪（包括着装整齐、干净），并自觉接受就餐人员的监督。 </w:t>
      </w:r>
    </w:p>
    <w:p w14:paraId="1F33AC3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6.26 乙方需制定应急预案，当甲方食堂发生突发情况或因故不能使用及供餐时，乙方须按相关质量、要求向甲方提供餐饮配送服务，确保甲方员工正常用餐。</w:t>
      </w:r>
    </w:p>
    <w:p w14:paraId="2448EF0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6.27 自觉维护甲方设备、厨具、用具等，节约能源，未经甲方同意，任何设备、厨具、用具、餐具和桌椅等不得搬离餐厅范围或提供给第三者使用。 </w:t>
      </w:r>
    </w:p>
    <w:p w14:paraId="7FB02B3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6.28 乙方负责提供食堂管理系统，可实现各类型用餐群体的消费管理、统计、报餐等功能，此部分功能同步开放权限给甲方，便于日常运营。</w:t>
      </w:r>
    </w:p>
    <w:p w14:paraId="7B53457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6.29 其他在采购文件中约定的乙方应履行的义务。</w:t>
      </w:r>
    </w:p>
    <w:p w14:paraId="643027EC">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第七条 餐饮供应时间</w:t>
      </w:r>
    </w:p>
    <w:p w14:paraId="6AAE305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7.1 水业大厦食堂常规用餐：</w:t>
      </w:r>
      <w:r>
        <w:rPr>
          <w:rFonts w:hint="eastAsia" w:ascii="宋体" w:hAnsi="宋体" w:eastAsia="宋体" w:cs="宋体"/>
          <w:szCs w:val="21"/>
          <w:lang w:val="en-US" w:eastAsia="zh-CN"/>
        </w:rPr>
        <w:t>每工作日</w:t>
      </w:r>
      <w:r>
        <w:rPr>
          <w:rFonts w:hint="eastAsia" w:ascii="宋体" w:hAnsi="宋体" w:eastAsia="宋体" w:cs="宋体"/>
          <w:szCs w:val="21"/>
        </w:rPr>
        <w:t>早餐、中餐、晚餐。7:00-9:10提供早餐服务，11:30-13:30提供午餐服务，17:00-19:00提供晚餐服务，食堂服务时间甲方可按实际需求随时调整，乙方应无条件配合。</w:t>
      </w:r>
    </w:p>
    <w:p w14:paraId="41D224E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7.2 外来人员用餐：用餐时间不确定，按照甲方具体要求开展。</w:t>
      </w:r>
    </w:p>
    <w:p w14:paraId="1DB8A76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7.3 甲方如需加餐，由甲方购买或委托乙方采购食材，乙方负责加工，如是乙方采购食材，甲方支付合理的食材费用，但不额外支付加工或其他费用；如是甲方自行购买食材，乙方负责加工，甲方不额外支付加工费用或其他费用给乙方。</w:t>
      </w:r>
    </w:p>
    <w:p w14:paraId="37B18AC8">
      <w:pPr>
        <w:spacing w:line="360" w:lineRule="auto"/>
        <w:ind w:firstLine="422" w:firstLineChars="200"/>
        <w:rPr>
          <w:rFonts w:hint="eastAsia" w:ascii="宋体" w:hAnsi="宋体" w:eastAsia="宋体" w:cs="宋体"/>
          <w:szCs w:val="21"/>
        </w:rPr>
      </w:pPr>
      <w:r>
        <w:rPr>
          <w:rFonts w:hint="eastAsia" w:ascii="宋体" w:hAnsi="宋体" w:eastAsia="宋体" w:cs="宋体"/>
          <w:b/>
          <w:bCs/>
          <w:szCs w:val="21"/>
        </w:rPr>
        <w:t>第八条 用餐标准、费用结算方式</w:t>
      </w:r>
    </w:p>
    <w:p w14:paraId="04729ED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8.1</w:t>
      </w:r>
      <w:r>
        <w:rPr>
          <w:rFonts w:hint="eastAsia" w:ascii="宋体" w:hAnsi="宋体" w:eastAsia="宋体" w:cs="宋体"/>
          <w:szCs w:val="21"/>
          <w:lang w:val="en-US" w:eastAsia="zh-CN"/>
        </w:rPr>
        <w:t>甲方</w:t>
      </w:r>
      <w:r>
        <w:rPr>
          <w:rFonts w:hint="eastAsia" w:ascii="宋体" w:hAnsi="宋体" w:eastAsia="宋体" w:cs="宋体"/>
          <w:szCs w:val="21"/>
        </w:rPr>
        <w:t>员工：甲方员工的用餐标准1100/人/月（仅用于食材的补助），折合50元/人/天，每月清零。</w:t>
      </w:r>
      <w:r>
        <w:rPr>
          <w:rFonts w:hint="eastAsia" w:ascii="宋体" w:hAnsi="宋体" w:eastAsia="宋体" w:cs="宋体"/>
          <w:szCs w:val="21"/>
          <w:lang w:val="en-US" w:eastAsia="zh-CN"/>
        </w:rPr>
        <w:t>甲方</w:t>
      </w:r>
      <w:r>
        <w:rPr>
          <w:rFonts w:hint="eastAsia" w:ascii="宋体" w:hAnsi="宋体" w:eastAsia="宋体" w:cs="宋体"/>
          <w:szCs w:val="21"/>
        </w:rPr>
        <w:t>员工</w:t>
      </w:r>
      <w:r>
        <w:rPr>
          <w:rFonts w:hint="eastAsia" w:ascii="宋体" w:hAnsi="宋体" w:eastAsia="宋体" w:cs="宋体"/>
          <w:szCs w:val="21"/>
          <w:lang w:val="en-US" w:eastAsia="zh-CN"/>
        </w:rPr>
        <w:t>就餐区</w:t>
      </w:r>
      <w:r>
        <w:rPr>
          <w:rFonts w:hint="eastAsia" w:ascii="宋体" w:hAnsi="宋体" w:eastAsia="宋体" w:cs="宋体"/>
          <w:szCs w:val="21"/>
        </w:rPr>
        <w:t>消费按售价70%计价（要求食材成本不低于菜价的70%），在</w:t>
      </w:r>
      <w:r>
        <w:rPr>
          <w:rFonts w:hint="eastAsia" w:ascii="宋体" w:hAnsi="宋体" w:eastAsia="宋体" w:cs="宋体"/>
          <w:szCs w:val="21"/>
          <w:lang w:val="en-US" w:eastAsia="zh-CN"/>
        </w:rPr>
        <w:t>用餐标准（即1100元/人/月）</w:t>
      </w:r>
      <w:r>
        <w:rPr>
          <w:rFonts w:hint="eastAsia" w:ascii="宋体" w:hAnsi="宋体" w:eastAsia="宋体" w:cs="宋体"/>
          <w:szCs w:val="21"/>
        </w:rPr>
        <w:t>范围内的，消费部分从虚拟账户中扣减；超出</w:t>
      </w:r>
      <w:r>
        <w:rPr>
          <w:rFonts w:hint="eastAsia" w:ascii="宋体" w:hAnsi="宋体" w:eastAsia="宋体" w:cs="宋体"/>
          <w:szCs w:val="21"/>
          <w:lang w:val="en-US" w:eastAsia="zh-CN"/>
        </w:rPr>
        <w:t>用餐标准（即1100元/人/月）</w:t>
      </w:r>
      <w:r>
        <w:rPr>
          <w:rFonts w:hint="eastAsia" w:ascii="宋体" w:hAnsi="宋体" w:eastAsia="宋体" w:cs="宋体"/>
          <w:szCs w:val="21"/>
        </w:rPr>
        <w:t>范围的，消费部分从员工充值账户中扣减。</w:t>
      </w:r>
    </w:p>
    <w:p w14:paraId="0F725DF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8.2</w:t>
      </w:r>
      <w:r>
        <w:rPr>
          <w:rFonts w:hint="eastAsia" w:ascii="宋体" w:hAnsi="宋体" w:eastAsia="宋体" w:cs="宋体"/>
          <w:szCs w:val="21"/>
          <w:lang w:val="en-US" w:eastAsia="zh-CN"/>
        </w:rPr>
        <w:t>甲方</w:t>
      </w:r>
      <w:r>
        <w:rPr>
          <w:rFonts w:hint="eastAsia" w:ascii="宋体" w:hAnsi="宋体" w:eastAsia="宋体" w:cs="宋体"/>
          <w:szCs w:val="21"/>
        </w:rPr>
        <w:t>员工</w:t>
      </w:r>
      <w:r>
        <w:rPr>
          <w:rFonts w:hint="eastAsia" w:ascii="宋体" w:hAnsi="宋体" w:eastAsia="宋体" w:cs="宋体"/>
          <w:szCs w:val="21"/>
          <w:lang w:val="en-US" w:eastAsia="zh-CN"/>
        </w:rPr>
        <w:t>在非就餐区消费</w:t>
      </w:r>
      <w:r>
        <w:rPr>
          <w:rFonts w:hint="eastAsia" w:ascii="宋体" w:hAnsi="宋体" w:eastAsia="宋体" w:cs="宋体"/>
          <w:szCs w:val="21"/>
        </w:rPr>
        <w:t>按照全价计费，</w:t>
      </w:r>
      <w:r>
        <w:rPr>
          <w:rFonts w:hint="eastAsia" w:ascii="宋体" w:hAnsi="宋体" w:eastAsia="宋体" w:cs="宋体"/>
          <w:szCs w:val="21"/>
          <w:lang w:val="en-US" w:eastAsia="zh-CN"/>
        </w:rPr>
        <w:t>甲方员工在非就餐区</w:t>
      </w:r>
      <w:r>
        <w:rPr>
          <w:rFonts w:hint="eastAsia" w:ascii="宋体" w:hAnsi="宋体" w:eastAsia="宋体" w:cs="宋体"/>
          <w:szCs w:val="21"/>
        </w:rPr>
        <w:t>消费在</w:t>
      </w:r>
      <w:r>
        <w:rPr>
          <w:rFonts w:hint="eastAsia" w:ascii="宋体" w:hAnsi="宋体" w:eastAsia="宋体" w:cs="宋体"/>
          <w:szCs w:val="21"/>
          <w:lang w:val="en-US" w:eastAsia="zh-CN"/>
        </w:rPr>
        <w:t>用餐标准（即1100元/人/月）</w:t>
      </w:r>
      <w:r>
        <w:rPr>
          <w:rFonts w:hint="eastAsia" w:ascii="宋体" w:hAnsi="宋体" w:eastAsia="宋体" w:cs="宋体"/>
          <w:szCs w:val="21"/>
        </w:rPr>
        <w:t>范围内的，在虚拟账户中扣减；超出</w:t>
      </w:r>
      <w:r>
        <w:rPr>
          <w:rFonts w:hint="eastAsia" w:ascii="宋体" w:hAnsi="宋体" w:eastAsia="宋体" w:cs="宋体"/>
          <w:szCs w:val="21"/>
          <w:lang w:val="en-US" w:eastAsia="zh-CN"/>
        </w:rPr>
        <w:t>用餐标准（即1100元/人/月）</w:t>
      </w:r>
      <w:r>
        <w:rPr>
          <w:rFonts w:hint="eastAsia" w:ascii="宋体" w:hAnsi="宋体" w:eastAsia="宋体" w:cs="宋体"/>
          <w:szCs w:val="21"/>
        </w:rPr>
        <w:t>范围的，按实际消费从员工充值账户中扣减。</w:t>
      </w:r>
    </w:p>
    <w:p w14:paraId="5F98647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8.3 外来人员消费按全价收取，外来人员</w:t>
      </w:r>
      <w:r>
        <w:rPr>
          <w:rFonts w:hint="eastAsia" w:ascii="宋体" w:hAnsi="宋体" w:eastAsia="宋体" w:cs="宋体"/>
          <w:szCs w:val="21"/>
          <w:lang w:val="en-US" w:eastAsia="zh-CN"/>
        </w:rPr>
        <w:t>消费</w:t>
      </w:r>
      <w:r>
        <w:rPr>
          <w:rFonts w:hint="eastAsia" w:ascii="宋体" w:hAnsi="宋体" w:eastAsia="宋体" w:cs="宋体"/>
          <w:szCs w:val="21"/>
        </w:rPr>
        <w:t>费用全部由现金充值金额中结算</w:t>
      </w:r>
      <w:r>
        <w:rPr>
          <w:rFonts w:hint="eastAsia" w:ascii="宋体" w:hAnsi="宋体" w:eastAsia="宋体" w:cs="宋体"/>
          <w:szCs w:val="21"/>
          <w:lang w:eastAsia="zh-CN"/>
        </w:rPr>
        <w:t>，</w:t>
      </w:r>
      <w:r>
        <w:rPr>
          <w:rFonts w:hint="eastAsia" w:ascii="宋体" w:hAnsi="宋体" w:eastAsia="宋体" w:cs="宋体"/>
          <w:szCs w:val="21"/>
          <w:lang w:val="en-US" w:eastAsia="zh-CN"/>
        </w:rPr>
        <w:t>甲方按照外来人员消费全额的95%与乙方结算</w:t>
      </w:r>
      <w:r>
        <w:rPr>
          <w:rFonts w:hint="eastAsia" w:ascii="宋体" w:hAnsi="宋体" w:eastAsia="宋体" w:cs="宋体"/>
          <w:szCs w:val="21"/>
        </w:rPr>
        <w:t>。</w:t>
      </w:r>
    </w:p>
    <w:p w14:paraId="019E028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8.4 菜品销售收入由甲方设置账户统一收支，收入来源于甲方员工消费和外来人员消费。乙方提供食堂管理系统工餐卡两个账户，一个</w:t>
      </w:r>
      <w:r>
        <w:rPr>
          <w:rFonts w:hint="eastAsia" w:ascii="宋体" w:hAnsi="宋体" w:eastAsia="宋体" w:cs="宋体"/>
          <w:szCs w:val="21"/>
          <w:lang w:val="en-US" w:eastAsia="zh-CN"/>
        </w:rPr>
        <w:t>员工</w:t>
      </w:r>
      <w:r>
        <w:rPr>
          <w:rFonts w:hint="eastAsia" w:ascii="宋体" w:hAnsi="宋体" w:eastAsia="宋体" w:cs="宋体"/>
          <w:szCs w:val="21"/>
        </w:rPr>
        <w:t>虚拟账户和一个员工充值账户，餐补部分每月充值到虚拟账户，此账户只产生消费记录，餐补额度内消费，按实扣费，超过餐补部分从员工充值账户支出。</w:t>
      </w:r>
    </w:p>
    <w:p w14:paraId="3F29724A">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rPr>
        <w:t xml:space="preserve">8.5 </w:t>
      </w:r>
      <w:r>
        <w:rPr>
          <w:rFonts w:hint="eastAsia" w:ascii="宋体" w:hAnsi="宋体" w:eastAsia="宋体" w:cs="宋体"/>
          <w:szCs w:val="21"/>
          <w:lang w:val="en-US" w:eastAsia="zh-CN"/>
        </w:rPr>
        <w:t>甲方员工：甲方员工</w:t>
      </w:r>
      <w:r>
        <w:rPr>
          <w:rFonts w:hint="eastAsia" w:ascii="宋体" w:hAnsi="宋体" w:eastAsia="宋体" w:cs="宋体"/>
          <w:szCs w:val="21"/>
        </w:rPr>
        <w:t>消费在</w:t>
      </w:r>
      <w:r>
        <w:rPr>
          <w:rFonts w:hint="eastAsia" w:ascii="宋体" w:hAnsi="宋体" w:eastAsia="宋体" w:cs="宋体"/>
          <w:szCs w:val="21"/>
          <w:lang w:val="en-US" w:eastAsia="zh-CN"/>
        </w:rPr>
        <w:t>用餐标准（即1100元/人/月）</w:t>
      </w:r>
      <w:r>
        <w:rPr>
          <w:rFonts w:hint="eastAsia" w:ascii="宋体" w:hAnsi="宋体" w:eastAsia="宋体" w:cs="宋体"/>
          <w:szCs w:val="21"/>
        </w:rPr>
        <w:t>范围内的，甲方与乙方按照员工消费（</w:t>
      </w:r>
      <w:r>
        <w:rPr>
          <w:rFonts w:hint="eastAsia" w:ascii="宋体" w:hAnsi="宋体" w:eastAsia="宋体" w:cs="宋体"/>
          <w:szCs w:val="21"/>
          <w:lang w:val="en-US" w:eastAsia="zh-CN"/>
        </w:rPr>
        <w:t>就餐区</w:t>
      </w:r>
      <w:r>
        <w:rPr>
          <w:rFonts w:hint="eastAsia" w:ascii="宋体" w:hAnsi="宋体" w:eastAsia="宋体" w:cs="宋体"/>
          <w:szCs w:val="21"/>
        </w:rPr>
        <w:t>消费和</w:t>
      </w:r>
      <w:r>
        <w:rPr>
          <w:rFonts w:hint="eastAsia" w:ascii="宋体" w:hAnsi="宋体" w:eastAsia="宋体" w:cs="宋体"/>
          <w:szCs w:val="21"/>
          <w:lang w:val="en-US" w:eastAsia="zh-CN"/>
        </w:rPr>
        <w:t>非就餐区</w:t>
      </w:r>
      <w:r>
        <w:rPr>
          <w:rFonts w:hint="eastAsia" w:ascii="宋体" w:hAnsi="宋体" w:eastAsia="宋体" w:cs="宋体"/>
          <w:szCs w:val="21"/>
        </w:rPr>
        <w:t>消费）</w:t>
      </w:r>
      <w:r>
        <w:rPr>
          <w:rFonts w:hint="eastAsia" w:ascii="宋体" w:hAnsi="宋体" w:eastAsia="宋体" w:cs="宋体"/>
          <w:szCs w:val="21"/>
          <w:lang w:val="en-US" w:eastAsia="zh-CN"/>
        </w:rPr>
        <w:t>原价的售价</w:t>
      </w:r>
      <w:r>
        <w:rPr>
          <w:rFonts w:hint="eastAsia" w:ascii="宋体" w:hAnsi="宋体" w:eastAsia="宋体" w:cs="宋体"/>
          <w:szCs w:val="21"/>
        </w:rPr>
        <w:t>总额95%结算</w:t>
      </w:r>
      <w:r>
        <w:rPr>
          <w:rFonts w:hint="eastAsia" w:ascii="宋体" w:hAnsi="宋体" w:eastAsia="宋体" w:cs="宋体"/>
          <w:szCs w:val="21"/>
          <w:lang w:eastAsia="zh-CN"/>
        </w:rPr>
        <w:t>（</w:t>
      </w:r>
      <w:r>
        <w:rPr>
          <w:rFonts w:hint="eastAsia" w:ascii="宋体" w:hAnsi="宋体" w:eastAsia="宋体" w:cs="宋体"/>
          <w:szCs w:val="21"/>
          <w:lang w:val="en-US" w:eastAsia="zh-CN"/>
        </w:rPr>
        <w:t>其余5%为甲方固定投入成本</w:t>
      </w:r>
      <w:r>
        <w:rPr>
          <w:rFonts w:hint="eastAsia" w:ascii="宋体" w:hAnsi="宋体" w:eastAsia="宋体" w:cs="宋体"/>
          <w:szCs w:val="21"/>
          <w:lang w:eastAsia="zh-CN"/>
        </w:rPr>
        <w:t>）</w:t>
      </w:r>
      <w:r>
        <w:rPr>
          <w:rFonts w:hint="eastAsia" w:ascii="宋体" w:hAnsi="宋体" w:eastAsia="宋体" w:cs="宋体"/>
          <w:szCs w:val="21"/>
        </w:rPr>
        <w:t>。</w:t>
      </w:r>
      <w:r>
        <w:rPr>
          <w:rFonts w:hint="eastAsia" w:ascii="宋体" w:hAnsi="宋体" w:eastAsia="宋体" w:cs="宋体"/>
          <w:szCs w:val="21"/>
          <w:lang w:val="en-US" w:eastAsia="zh-CN"/>
        </w:rPr>
        <w:t>甲方员工</w:t>
      </w:r>
      <w:r>
        <w:rPr>
          <w:rFonts w:hint="eastAsia" w:ascii="宋体" w:hAnsi="宋体" w:eastAsia="宋体" w:cs="宋体"/>
          <w:szCs w:val="21"/>
        </w:rPr>
        <w:t>消费</w:t>
      </w:r>
      <w:r>
        <w:rPr>
          <w:rFonts w:hint="eastAsia" w:ascii="宋体" w:hAnsi="宋体" w:eastAsia="宋体" w:cs="宋体"/>
          <w:szCs w:val="21"/>
          <w:lang w:eastAsia="zh-CN"/>
        </w:rPr>
        <w:t>（</w:t>
      </w:r>
      <w:r>
        <w:rPr>
          <w:rFonts w:hint="eastAsia" w:ascii="宋体" w:hAnsi="宋体" w:eastAsia="宋体" w:cs="宋体"/>
          <w:szCs w:val="21"/>
          <w:lang w:val="en-US" w:eastAsia="zh-CN"/>
        </w:rPr>
        <w:t>就餐区消费和非就餐区消费</w:t>
      </w:r>
      <w:r>
        <w:rPr>
          <w:rFonts w:hint="eastAsia" w:ascii="宋体" w:hAnsi="宋体" w:eastAsia="宋体" w:cs="宋体"/>
          <w:szCs w:val="21"/>
          <w:lang w:eastAsia="zh-CN"/>
        </w:rPr>
        <w:t>）</w:t>
      </w:r>
      <w:r>
        <w:rPr>
          <w:rFonts w:hint="eastAsia" w:ascii="宋体" w:hAnsi="宋体" w:eastAsia="宋体" w:cs="宋体"/>
          <w:szCs w:val="21"/>
        </w:rPr>
        <w:t>超出</w:t>
      </w:r>
      <w:r>
        <w:rPr>
          <w:rFonts w:hint="eastAsia" w:ascii="宋体" w:hAnsi="宋体" w:eastAsia="宋体" w:cs="宋体"/>
          <w:szCs w:val="21"/>
          <w:lang w:val="en-US" w:eastAsia="zh-CN"/>
        </w:rPr>
        <w:t>用餐标准（即1100元/人/月）</w:t>
      </w:r>
      <w:r>
        <w:rPr>
          <w:rFonts w:hint="eastAsia" w:ascii="宋体" w:hAnsi="宋体" w:eastAsia="宋体" w:cs="宋体"/>
          <w:szCs w:val="21"/>
        </w:rPr>
        <w:t>范围的，</w:t>
      </w:r>
      <w:r>
        <w:rPr>
          <w:rFonts w:hint="eastAsia" w:ascii="宋体" w:hAnsi="宋体" w:eastAsia="宋体" w:cs="宋体"/>
          <w:szCs w:val="21"/>
          <w:lang w:val="en-US" w:eastAsia="zh-CN"/>
        </w:rPr>
        <w:t>甲方按照超额部分实际支付金额与乙方结算，甲方</w:t>
      </w:r>
      <w:r>
        <w:rPr>
          <w:rFonts w:hint="eastAsia" w:ascii="宋体" w:hAnsi="宋体" w:eastAsia="宋体" w:cs="宋体"/>
          <w:szCs w:val="21"/>
        </w:rPr>
        <w:t>不再向</w:t>
      </w:r>
      <w:r>
        <w:rPr>
          <w:rFonts w:hint="eastAsia" w:ascii="宋体" w:hAnsi="宋体" w:eastAsia="宋体" w:cs="宋体"/>
          <w:szCs w:val="21"/>
          <w:lang w:val="en-US" w:eastAsia="zh-CN"/>
        </w:rPr>
        <w:t>乙方</w:t>
      </w:r>
      <w:r>
        <w:rPr>
          <w:rFonts w:hint="eastAsia" w:ascii="宋体" w:hAnsi="宋体" w:eastAsia="宋体" w:cs="宋体"/>
          <w:szCs w:val="21"/>
        </w:rPr>
        <w:t>收取5%的固定成本。</w:t>
      </w:r>
      <w:r>
        <w:rPr>
          <w:rFonts w:hint="eastAsia" w:ascii="宋体" w:hAnsi="宋体" w:eastAsia="宋体" w:cs="宋体"/>
          <w:szCs w:val="21"/>
          <w:lang w:val="en-US" w:eastAsia="zh-CN"/>
        </w:rPr>
        <w:t>超额部分的消费结算规定试行一年，一年后由甲方与乙方总结试行情况后再行修改完善。</w:t>
      </w:r>
    </w:p>
    <w:p w14:paraId="5C6F868C">
      <w:pPr>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8.6 外来人员：外来人员消费按全价计价（就餐区消费和非就餐区消费），甲方按照外来人员消费全额的95%与乙方结算。</w:t>
      </w:r>
    </w:p>
    <w:p w14:paraId="3E9145E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8.</w:t>
      </w:r>
      <w:r>
        <w:rPr>
          <w:rFonts w:hint="eastAsia" w:ascii="宋体" w:hAnsi="宋体" w:eastAsia="宋体" w:cs="宋体"/>
          <w:szCs w:val="21"/>
          <w:lang w:val="en-US" w:eastAsia="zh-CN"/>
        </w:rPr>
        <w:t>7</w:t>
      </w:r>
      <w:r>
        <w:rPr>
          <w:rFonts w:hint="eastAsia" w:ascii="宋体" w:hAnsi="宋体" w:eastAsia="宋体" w:cs="宋体"/>
          <w:szCs w:val="21"/>
        </w:rPr>
        <w:t xml:space="preserve"> 月度绩效考评费用。将乙方月度食堂经营服务费用的10%费用作为考评费用，每月绩效考评[90-100]分的，按每月绩效考评费用的100%支付；每月绩效考评（80-90]分的，按每月绩效考评费用的90%支付；每月绩效考评[60-80）分的，按每月绩效考评费用的80%支付；每月绩效考评60分以下的，按每月绩效考评费用的60%支付。</w:t>
      </w:r>
    </w:p>
    <w:p w14:paraId="0E421A51">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第九条 支付方式</w:t>
      </w:r>
    </w:p>
    <w:p w14:paraId="706AE49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9.1 合同的履约过程中，乙方根据本合同约定需向甲方支付违约金、赔偿金、或其他应付费用等款项的，甲方有权直接从未付食堂经营服务费款项中直接扣除，且乙方必须按照扣除前述费用前的经营服务费（销售额）开具等额、合法、有效的增值税发票（具体发票类型以甲方或</w:t>
      </w:r>
      <w:r>
        <w:rPr>
          <w:rFonts w:hint="eastAsia" w:ascii="宋体" w:hAnsi="宋体" w:eastAsia="宋体" w:cs="宋体"/>
          <w:szCs w:val="21"/>
          <w:lang w:val="en-US" w:eastAsia="zh-CN"/>
        </w:rPr>
        <w:t>甲方</w:t>
      </w:r>
      <w:r>
        <w:rPr>
          <w:rFonts w:hint="eastAsia" w:ascii="宋体" w:hAnsi="宋体" w:eastAsia="宋体" w:cs="宋体"/>
          <w:szCs w:val="21"/>
        </w:rPr>
        <w:t>上级单位水务集团或</w:t>
      </w:r>
      <w:r>
        <w:rPr>
          <w:rFonts w:hint="eastAsia" w:ascii="宋体" w:hAnsi="宋体" w:eastAsia="宋体" w:cs="宋体"/>
          <w:szCs w:val="21"/>
          <w:lang w:val="en-US" w:eastAsia="zh-CN"/>
        </w:rPr>
        <w:t>甲方</w:t>
      </w:r>
      <w:r>
        <w:rPr>
          <w:rFonts w:hint="eastAsia" w:ascii="宋体" w:hAnsi="宋体" w:eastAsia="宋体" w:cs="宋体"/>
          <w:szCs w:val="21"/>
        </w:rPr>
        <w:t>关联公司要求为准）。</w:t>
      </w:r>
    </w:p>
    <w:p w14:paraId="72ECDD9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9.2 本合同生效后10日内，乙方按本合同第六条第6.20款要求购买餐饮场所公众责任保险和第六条第6.21款要求为进驻本项目的食堂工作人员购买人身意外保险后，甲方按月支付食堂经营管理服务费用给乙方。如乙方未能购买上述保险的，甲方有权暂缓支付服务费用并不构成违约，且乙方不得以此为由不予履行合同。</w:t>
      </w:r>
    </w:p>
    <w:p w14:paraId="4E3192FA">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rPr>
        <w:t>9.3 乙方应于每月的前5个工作日内向甲方提供上一个月的消费记录表等请款资料，甲方根据双方签字的每月实际发生金额进行审核，</w:t>
      </w:r>
      <w:r>
        <w:rPr>
          <w:rFonts w:hint="eastAsia" w:ascii="宋体" w:hAnsi="宋体" w:eastAsia="宋体" w:cs="宋体"/>
          <w:szCs w:val="21"/>
          <w:lang w:val="en-US" w:eastAsia="zh-CN"/>
        </w:rPr>
        <w:t>具体付款如下：</w:t>
      </w:r>
    </w:p>
    <w:p w14:paraId="5A619EB6">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甲方员工</w:t>
      </w:r>
      <w:r>
        <w:rPr>
          <w:rFonts w:hint="eastAsia" w:ascii="宋体" w:hAnsi="宋体" w:eastAsia="宋体" w:cs="宋体"/>
          <w:szCs w:val="21"/>
          <w:lang w:eastAsia="zh-CN"/>
        </w:rPr>
        <w:t>：</w:t>
      </w:r>
      <w:r>
        <w:rPr>
          <w:rFonts w:hint="eastAsia" w:ascii="宋体" w:hAnsi="宋体" w:eastAsia="宋体" w:cs="宋体"/>
          <w:szCs w:val="21"/>
          <w:lang w:val="en-US" w:eastAsia="zh-CN"/>
        </w:rPr>
        <w:t>甲方员工</w:t>
      </w:r>
      <w:r>
        <w:rPr>
          <w:rFonts w:hint="eastAsia" w:ascii="宋体" w:hAnsi="宋体" w:eastAsia="宋体" w:cs="宋体"/>
          <w:szCs w:val="21"/>
        </w:rPr>
        <w:t>消费在</w:t>
      </w:r>
      <w:r>
        <w:rPr>
          <w:rFonts w:hint="eastAsia" w:ascii="宋体" w:hAnsi="宋体" w:eastAsia="宋体" w:cs="宋体"/>
          <w:szCs w:val="21"/>
          <w:lang w:val="en-US" w:eastAsia="zh-CN"/>
        </w:rPr>
        <w:t>用餐标准（即1100元/人/月）</w:t>
      </w:r>
      <w:r>
        <w:rPr>
          <w:rFonts w:hint="eastAsia" w:ascii="宋体" w:hAnsi="宋体" w:eastAsia="宋体" w:cs="宋体"/>
          <w:szCs w:val="21"/>
        </w:rPr>
        <w:t>范围内的，甲方与乙方按照员工消费（</w:t>
      </w:r>
      <w:r>
        <w:rPr>
          <w:rFonts w:hint="eastAsia" w:ascii="宋体" w:hAnsi="宋体" w:eastAsia="宋体" w:cs="宋体"/>
          <w:szCs w:val="21"/>
          <w:lang w:val="en-US" w:eastAsia="zh-CN"/>
        </w:rPr>
        <w:t>就餐区</w:t>
      </w:r>
      <w:r>
        <w:rPr>
          <w:rFonts w:hint="eastAsia" w:ascii="宋体" w:hAnsi="宋体" w:eastAsia="宋体" w:cs="宋体"/>
          <w:szCs w:val="21"/>
        </w:rPr>
        <w:t>消费和</w:t>
      </w:r>
      <w:r>
        <w:rPr>
          <w:rFonts w:hint="eastAsia" w:ascii="宋体" w:hAnsi="宋体" w:eastAsia="宋体" w:cs="宋体"/>
          <w:szCs w:val="21"/>
          <w:lang w:val="en-US" w:eastAsia="zh-CN"/>
        </w:rPr>
        <w:t>非就餐区</w:t>
      </w:r>
      <w:r>
        <w:rPr>
          <w:rFonts w:hint="eastAsia" w:ascii="宋体" w:hAnsi="宋体" w:eastAsia="宋体" w:cs="宋体"/>
          <w:szCs w:val="21"/>
        </w:rPr>
        <w:t>消费）</w:t>
      </w:r>
      <w:r>
        <w:rPr>
          <w:rFonts w:hint="eastAsia" w:ascii="宋体" w:hAnsi="宋体" w:eastAsia="宋体" w:cs="宋体"/>
          <w:szCs w:val="21"/>
          <w:lang w:val="en-US" w:eastAsia="zh-CN"/>
        </w:rPr>
        <w:t>原价的售价</w:t>
      </w:r>
      <w:r>
        <w:rPr>
          <w:rFonts w:hint="eastAsia" w:ascii="宋体" w:hAnsi="宋体" w:eastAsia="宋体" w:cs="宋体"/>
          <w:szCs w:val="21"/>
        </w:rPr>
        <w:t>总额95%结算。甲方员工消费超出</w:t>
      </w:r>
      <w:r>
        <w:rPr>
          <w:rFonts w:hint="eastAsia" w:ascii="宋体" w:hAnsi="宋体" w:eastAsia="宋体" w:cs="宋体"/>
          <w:szCs w:val="21"/>
          <w:lang w:val="en-US" w:eastAsia="zh-CN"/>
        </w:rPr>
        <w:t>用餐标准（即1100元/人/月）</w:t>
      </w:r>
      <w:r>
        <w:rPr>
          <w:rFonts w:hint="eastAsia" w:ascii="宋体" w:hAnsi="宋体" w:eastAsia="宋体" w:cs="宋体"/>
          <w:szCs w:val="21"/>
        </w:rPr>
        <w:t>范围的，甲方按照员工超额消费部分</w:t>
      </w:r>
      <w:r>
        <w:rPr>
          <w:rFonts w:hint="eastAsia" w:ascii="宋体" w:hAnsi="宋体" w:eastAsia="宋体" w:cs="宋体"/>
          <w:szCs w:val="21"/>
          <w:lang w:val="en-US" w:eastAsia="zh-CN"/>
        </w:rPr>
        <w:t>实际支付金额结算</w:t>
      </w:r>
      <w:r>
        <w:rPr>
          <w:rFonts w:hint="eastAsia" w:ascii="宋体" w:hAnsi="宋体" w:eastAsia="宋体" w:cs="宋体"/>
          <w:szCs w:val="21"/>
        </w:rPr>
        <w:t>，不再向乙方收取5%的固定成本。</w:t>
      </w:r>
    </w:p>
    <w:p w14:paraId="32D39F12">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lang w:eastAsia="zh-CN"/>
        </w:rPr>
        <w:t>）</w:t>
      </w:r>
      <w:r>
        <w:rPr>
          <w:rFonts w:hint="eastAsia" w:ascii="宋体" w:hAnsi="宋体" w:eastAsia="宋体" w:cs="宋体"/>
          <w:szCs w:val="21"/>
          <w:lang w:val="en-US" w:eastAsia="zh-CN"/>
        </w:rPr>
        <w:t>外来人员：外来人员消费按全价计价（就餐区消费和非就餐区消费），甲方按照外来人员消费全额的95%与乙方结算。</w:t>
      </w:r>
    </w:p>
    <w:p w14:paraId="278B1AF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双方核对无误后，甲方根据月度绩效考评情况确定最终支付乙方月度食堂经营服务费用，乙方提交请款资料和对应金额的增值税发票（具体发票类型以甲方或</w:t>
      </w:r>
      <w:r>
        <w:rPr>
          <w:rFonts w:hint="eastAsia" w:ascii="宋体" w:hAnsi="宋体" w:eastAsia="宋体" w:cs="宋体"/>
          <w:szCs w:val="21"/>
          <w:lang w:val="en-US" w:eastAsia="zh-CN"/>
        </w:rPr>
        <w:t>甲方</w:t>
      </w:r>
      <w:r>
        <w:rPr>
          <w:rFonts w:hint="eastAsia" w:ascii="宋体" w:hAnsi="宋体" w:eastAsia="宋体" w:cs="宋体"/>
          <w:szCs w:val="21"/>
        </w:rPr>
        <w:t>上级单位水务集团或</w:t>
      </w:r>
      <w:r>
        <w:rPr>
          <w:rFonts w:hint="eastAsia" w:ascii="宋体" w:hAnsi="宋体" w:eastAsia="宋体" w:cs="宋体"/>
          <w:szCs w:val="21"/>
          <w:lang w:val="en-US" w:eastAsia="zh-CN"/>
        </w:rPr>
        <w:t>甲方</w:t>
      </w:r>
      <w:r>
        <w:rPr>
          <w:rFonts w:hint="eastAsia" w:ascii="宋体" w:hAnsi="宋体" w:eastAsia="宋体" w:cs="宋体"/>
          <w:szCs w:val="21"/>
        </w:rPr>
        <w:t>关联公司要求为准），甲方在收到前述材料并确认无误后15个工作日内向乙方支付上个月食堂经营服务费用。若乙方迟延提供请款资料或发票，甲方付款时间相应顺延。</w:t>
      </w:r>
    </w:p>
    <w:p w14:paraId="0B03939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乙方收款账户信息如下：</w:t>
      </w:r>
    </w:p>
    <w:p w14:paraId="12975E4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账名户名：</w:t>
      </w:r>
    </w:p>
    <w:p w14:paraId="67AFBB5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开户银行名称：</w:t>
      </w:r>
    </w:p>
    <w:p w14:paraId="3977DA0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银行账号：</w:t>
      </w:r>
    </w:p>
    <w:p w14:paraId="710A43C1">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第十条 伙食质量要求及标准</w:t>
      </w:r>
    </w:p>
    <w:p w14:paraId="3A4C31F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10.1 严格按《中华人民共和国食品安全法》要求制作各种食品，做到食材新鲜、饭熟菜香，营养搭配科学合理。乙方在经营期间应注意保证提供每天每餐的质量、份量，菜式要经常更新，兼顾南北方特色口味，品种齐全，保证每餐有新鲜鱼/肉/禽/蛋/蔬菜等菜色供应，每天公示菜单。乙方应全力协助甲方实施安全营养膳食，认真完成甲方提出的其他膳食要求或开膳方式。</w:t>
      </w:r>
    </w:p>
    <w:p w14:paraId="451D626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10.2 乙方所采购、使用的一切原料、辅料须由正规渠道供应，符合国家食品安全管理的有关规定。不使用散装原料，不使用非法生产的食盐。采购票据应当妥善保存，以备检查。 </w:t>
      </w:r>
    </w:p>
    <w:p w14:paraId="7D68834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10.3 法定节假日（如需要提供，届时以甲方通知为准）提供与周一至周五相同质量的饭、菜、汤标准。 </w:t>
      </w:r>
    </w:p>
    <w:p w14:paraId="42B0E0D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10.4 乙方须认真执行市场监督管理部门要求的饭菜留样备案制度，派专人负责收集每日售出饭菜样品封存。若出现食品卫生安全乃至食物中毒现象等，经有关部门检验确定是由乙方提供的饭菜引起的，一切责任和费用由乙方承担。若后果严重导致就餐人员出现集体中毒事件，除追究乙方违约责任外，甲方有权解除本合同并依法移送有关部门追究其相关法律责任。</w:t>
      </w:r>
    </w:p>
    <w:p w14:paraId="01212BB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10.5 乙方必须提供食堂食材质量保证，保证肉类、蔬菜每日新鲜。</w:t>
      </w:r>
    </w:p>
    <w:p w14:paraId="509787F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10.6 甲方有权监管食堂食材，对不符合要求的食材，甲方有权要求乙方进行更换。</w:t>
      </w:r>
    </w:p>
    <w:p w14:paraId="536F06A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10.7 蔬菜、水果供应货品质量要求：</w:t>
      </w:r>
    </w:p>
    <w:p w14:paraId="49335D3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10.7.1 乙方提供的蔬菜必须保证每日新鲜，品种、质量应符合甲方要求，产品符合食品卫生安全法要求并出具有效的《农产品检验报告》。应保持较好的色泽和新鲜度，不得有黄叶，不得腐烂或有异常味道，不存在泥沙和异物。</w:t>
      </w:r>
    </w:p>
    <w:p w14:paraId="2BF83F7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10.7.2 提供的水果符合国家食品质量管理条例，果面干净新鲜，果柄鲜绿，果型完整且形好，个体均匀，结实，有光泽，表面光滑，无疤痕，不干皱，不变色，无压伤，无阴伤，无病虫害。</w:t>
      </w:r>
    </w:p>
    <w:p w14:paraId="140291A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10.7.3 不得供应转基因产品。</w:t>
      </w:r>
    </w:p>
    <w:p w14:paraId="4C579A9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10.8 禽肉类、水产品类供应货品质量要求：</w:t>
      </w:r>
    </w:p>
    <w:p w14:paraId="759549C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10.8.1 禽肉类全部来源于正规肉联厂，保证为当日新鲜肉，并提供政府检疫部门出示的《检验检疫合格证明》。</w:t>
      </w:r>
    </w:p>
    <w:p w14:paraId="7241E2D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10.8.2 非冰鲜类必须鲜活。</w:t>
      </w:r>
    </w:p>
    <w:p w14:paraId="3E57E16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10.8.3 鲜鱼鳞片完整，有光泽无脱落，眼球光亮透明，鳃口紧闭，鱼鳃鲜红，鳍尾完整，确保新鲜。</w:t>
      </w:r>
    </w:p>
    <w:p w14:paraId="540784F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10.8.4 身体饱满结实，无腐烂，无异味（如泥腥味、电油味等），肉质紧密有弹性，无离骨脱刺现象。</w:t>
      </w:r>
    </w:p>
    <w:p w14:paraId="7B17D14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10.8.5 来源可靠放心，无毒、无害、无污染。</w:t>
      </w:r>
    </w:p>
    <w:p w14:paraId="4DE91F9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10.9 粮油副食品百货类供应货品质量要求</w:t>
      </w:r>
    </w:p>
    <w:p w14:paraId="33B10FD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10.9.1 需要由正规厂家生产，有相应的食品生产许可证号，内外包装完整无变形。</w:t>
      </w:r>
    </w:p>
    <w:p w14:paraId="3F29B1C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10.9.2 所供应货品需要符合相关质量安全要求，需要通过SC认证的货品必须有SC认证标志。</w:t>
      </w:r>
    </w:p>
    <w:p w14:paraId="0F2B379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10.9.3 颜色品质纯正，不得有掺假、变质、变味等现象出现。</w:t>
      </w:r>
    </w:p>
    <w:p w14:paraId="4BB3819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10.9.4 剩余保质期不得少于标注保质期的70%。</w:t>
      </w:r>
    </w:p>
    <w:p w14:paraId="4A7AE20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10.9.5 必须购买非转基因大豆油，大米必须是国家一级大米。</w:t>
      </w:r>
    </w:p>
    <w:p w14:paraId="1CC3AB6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10.9.6 每天使用的水，例如煲汤，煮饭、炒菜的用水必须是过滤水，经检测需达到国家生活饮用水卫生标准并提供相关检测报告。</w:t>
      </w:r>
    </w:p>
    <w:p w14:paraId="51B7250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10.10 冻品类供应货品质量要求：</w:t>
      </w:r>
    </w:p>
    <w:p w14:paraId="7EB219F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10.10.1 必须保证供应的货品均为正规生产的检验合格产品，符合国家有关卫生、质量和包装的标准。</w:t>
      </w:r>
    </w:p>
    <w:p w14:paraId="6DA3C73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10.10.2 有保质期限的货品，其剩余保质期不得少于标注保质期的70%。</w:t>
      </w:r>
    </w:p>
    <w:p w14:paraId="7E6354B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10.10.3 有包装的货品，包装必须完整洁净，清晰列明品牌、规格、生产日期等相关参数。</w:t>
      </w:r>
    </w:p>
    <w:p w14:paraId="63C5109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10.10.</w:t>
      </w:r>
      <w:r>
        <w:rPr>
          <w:rFonts w:hint="eastAsia" w:ascii="宋体" w:hAnsi="宋体" w:eastAsia="宋体" w:cs="宋体"/>
          <w:szCs w:val="21"/>
          <w:lang w:val="en-US" w:eastAsia="zh-CN"/>
        </w:rPr>
        <w:t>4</w:t>
      </w:r>
      <w:r>
        <w:rPr>
          <w:rFonts w:hint="eastAsia" w:ascii="宋体" w:hAnsi="宋体" w:eastAsia="宋体" w:cs="宋体"/>
          <w:szCs w:val="21"/>
        </w:rPr>
        <w:t xml:space="preserve"> 冻畜类应色泽均匀，肉边齐整，无血污、碎肉、碎骨，无风干现象，解冻后有肉的正常色泽和味道。冻禽类应外观滋润，无残羽、血污、伤斑，无风干现象，解冻后特征与鲜禽相同。冰鲜鱼应眼球饱满突出、透明清亮，鱼鳃鲜红无异味，鱼皮完整，鳞片有光泽且与鱼体贴附紧密，鱼体有正常的清洁透明粘液，肉质坚实有弹性，骨肉不分离。</w:t>
      </w:r>
    </w:p>
    <w:p w14:paraId="0DAC29C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10.11 食品溯源要求：</w:t>
      </w:r>
    </w:p>
    <w:p w14:paraId="4319704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10.11.1 食品供应链必须明确，所有食品的来源必须清晰，来源应当是受到地方政府部门监管的流通市场或具有相关资质的供应商，乙方与食材供应商要有固定的合法的供应关系。</w:t>
      </w:r>
    </w:p>
    <w:p w14:paraId="717CDDA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10.11.2 乙方应保存以下资料备查：（1）食材购销合同（或协议）；（2）相关的送货单和销售发票。</w:t>
      </w:r>
    </w:p>
    <w:p w14:paraId="3319FD1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10.12 每周菜式不能重复，须根据季节的变化经常轮换菜式，及时推出新菜品。乙方负责制定每周菜谱，每周四提供下周菜单给甲方审核同意后实施。</w:t>
      </w:r>
    </w:p>
    <w:p w14:paraId="1F08564A">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第十一条 工作人员要求和配置</w:t>
      </w:r>
    </w:p>
    <w:p w14:paraId="63DD590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11.1 乙方须严格按照国家的法律法规，合法用工；工作人员必须具有与本项目服务内容有关的合法有效的工作资质及健康证；持证上岗，严格按照各项专业技术规范及有关法律法规提供服务；乙方拟派驻本项目的工作人员必须进行严格调查审核。</w:t>
      </w:r>
    </w:p>
    <w:p w14:paraId="57DBC9D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11.2 保证录用的人员无犯罪记录，健康状况良好、无传染性疾病和其他有碍食品安全的疾病，无精神病史，保证队伍良好素质和相对稳定。</w:t>
      </w:r>
    </w:p>
    <w:p w14:paraId="1510A2F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11.3 乙方应按法律法规规定，与录用的人员签订书面劳动合同并按本合同约定为其购买商业保险，自行承担包括但不限于所聘用人员的工资、福利、健康证、社会保险（包含养老、失业、医疗、工伤、生育）、商业保险、劳保福利等一切费用。</w:t>
      </w:r>
    </w:p>
    <w:p w14:paraId="33DD1D9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11.4 食堂管理经理(现场负责人，姓名：  ，身份证号：    ，联系电话：   )负责对日常综合服务工作进行计划、安排、检查等日常管理工作，负责与甲方管理人员沟通联系，及时解决工作中出现的问题。</w:t>
      </w:r>
    </w:p>
    <w:p w14:paraId="12606FA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11.5 食堂管理经理应熟悉掌握食品安全卫生管理方面的法规制度，拥有5年以上餐饮管理工作经验和较强的管理工作能力，与乙方签订书面劳动合同。乙方授权食堂管理经理负责水业大厦食堂的管理、统筹、协调和落实相关经营管理工作。食堂管理经理不得随意调动，如需调动必须有正当理由提出申请并经甲方书面同意后方可调动，同时调动后应委派具有相同资质条件的人员到场负责管理。</w:t>
      </w:r>
    </w:p>
    <w:p w14:paraId="1ED49B4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11.6 乙方在营业期间应当用明显的标识对外标识乙方员工的身份，该标识不能使任何第三人产生乙方与甲方具有关联关系的误解。乙方应按有关规定对其员工每天进行晨检保证个人卫生符合要求，同时所有员工要穿戴统一的工衣、工裤、工帽、工鞋和带上工牌上岗。</w:t>
      </w:r>
    </w:p>
    <w:p w14:paraId="08C30D7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11.7 本项目须按供餐650人以上的标准配置不少于16名餐厅员工。专职食品安全管理员不少于1人、持证中（初）级厨师不少于2人。乙方主要岗位人员必须按甲方的要求和乙方的承诺配置，岗位人员经甲方确定后，乙方不得随意更换，如需更换岗位服务人员，乙方需报甲方同意后方可进行，否则视为乙方违约，甲方有权追究乙方违约责任。</w:t>
      </w:r>
    </w:p>
    <w:p w14:paraId="069B0EC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11.8 乙方应确保向其工作人员支付的工资不得低于国家、省、市及当地行政主管部门规定的最低工资标准。乙方工作人员的具体要求如下：</w:t>
      </w:r>
    </w:p>
    <w:tbl>
      <w:tblPr>
        <w:tblStyle w:val="38"/>
        <w:tblW w:w="4997" w:type="pct"/>
        <w:jc w:val="center"/>
        <w:tblLayout w:type="autofit"/>
        <w:tblCellMar>
          <w:top w:w="0" w:type="dxa"/>
          <w:left w:w="108" w:type="dxa"/>
          <w:bottom w:w="0" w:type="dxa"/>
          <w:right w:w="108" w:type="dxa"/>
        </w:tblCellMar>
      </w:tblPr>
      <w:tblGrid>
        <w:gridCol w:w="1850"/>
        <w:gridCol w:w="1275"/>
        <w:gridCol w:w="4228"/>
        <w:gridCol w:w="3011"/>
      </w:tblGrid>
      <w:tr w14:paraId="54BE81F4">
        <w:tblPrEx>
          <w:tblCellMar>
            <w:top w:w="0" w:type="dxa"/>
            <w:left w:w="108" w:type="dxa"/>
            <w:bottom w:w="0" w:type="dxa"/>
            <w:right w:w="108" w:type="dxa"/>
          </w:tblCellMar>
        </w:tblPrEx>
        <w:trPr>
          <w:trHeight w:val="251" w:hRule="atLeast"/>
          <w:jc w:val="center"/>
        </w:trPr>
        <w:tc>
          <w:tcPr>
            <w:tcW w:w="892" w:type="pct"/>
            <w:tcBorders>
              <w:top w:val="single" w:color="auto" w:sz="4" w:space="0"/>
              <w:left w:val="single" w:color="auto" w:sz="4" w:space="0"/>
              <w:bottom w:val="single" w:color="auto" w:sz="4" w:space="0"/>
              <w:right w:val="single" w:color="auto" w:sz="4" w:space="0"/>
            </w:tcBorders>
            <w:vAlign w:val="center"/>
          </w:tcPr>
          <w:p w14:paraId="0B855AD8">
            <w:pPr>
              <w:spacing w:line="360" w:lineRule="auto"/>
              <w:jc w:val="center"/>
              <w:rPr>
                <w:rFonts w:hint="eastAsia" w:ascii="宋体" w:hAnsi="宋体" w:eastAsia="宋体" w:cs="宋体"/>
                <w:szCs w:val="21"/>
              </w:rPr>
            </w:pPr>
            <w:r>
              <w:rPr>
                <w:rFonts w:hint="eastAsia" w:ascii="宋体" w:hAnsi="宋体" w:eastAsia="宋体" w:cs="宋体"/>
                <w:szCs w:val="21"/>
              </w:rPr>
              <w:t>岗位</w:t>
            </w:r>
          </w:p>
        </w:tc>
        <w:tc>
          <w:tcPr>
            <w:tcW w:w="615" w:type="pct"/>
            <w:tcBorders>
              <w:top w:val="single" w:color="auto" w:sz="4" w:space="0"/>
              <w:left w:val="single" w:color="auto" w:sz="4" w:space="0"/>
              <w:bottom w:val="single" w:color="auto" w:sz="4" w:space="0"/>
              <w:right w:val="single" w:color="auto" w:sz="4" w:space="0"/>
            </w:tcBorders>
            <w:vAlign w:val="center"/>
          </w:tcPr>
          <w:p w14:paraId="6EA6CCB7">
            <w:pPr>
              <w:spacing w:line="360" w:lineRule="auto"/>
              <w:jc w:val="center"/>
              <w:rPr>
                <w:rFonts w:hint="eastAsia" w:ascii="宋体" w:hAnsi="宋体" w:eastAsia="宋体" w:cs="宋体"/>
                <w:szCs w:val="21"/>
              </w:rPr>
            </w:pPr>
            <w:r>
              <w:rPr>
                <w:rFonts w:hint="eastAsia" w:ascii="宋体" w:hAnsi="宋体" w:eastAsia="宋体" w:cs="宋体"/>
                <w:szCs w:val="21"/>
              </w:rPr>
              <w:t>人数</w:t>
            </w:r>
          </w:p>
        </w:tc>
        <w:tc>
          <w:tcPr>
            <w:tcW w:w="2039" w:type="pct"/>
            <w:tcBorders>
              <w:top w:val="single" w:color="auto" w:sz="4" w:space="0"/>
              <w:left w:val="single" w:color="auto" w:sz="4" w:space="0"/>
              <w:bottom w:val="single" w:color="auto" w:sz="4" w:space="0"/>
              <w:right w:val="single" w:color="auto" w:sz="4" w:space="0"/>
            </w:tcBorders>
            <w:vAlign w:val="center"/>
          </w:tcPr>
          <w:p w14:paraId="58BE6152">
            <w:pPr>
              <w:spacing w:line="360" w:lineRule="auto"/>
              <w:jc w:val="center"/>
              <w:rPr>
                <w:rFonts w:hint="eastAsia" w:ascii="宋体" w:hAnsi="宋体" w:eastAsia="宋体" w:cs="宋体"/>
                <w:szCs w:val="21"/>
              </w:rPr>
            </w:pPr>
            <w:r>
              <w:rPr>
                <w:rFonts w:hint="eastAsia" w:ascii="宋体" w:hAnsi="宋体" w:eastAsia="宋体" w:cs="宋体"/>
                <w:szCs w:val="21"/>
              </w:rPr>
              <w:t>岗位简介</w:t>
            </w:r>
          </w:p>
        </w:tc>
        <w:tc>
          <w:tcPr>
            <w:tcW w:w="1452" w:type="pct"/>
            <w:tcBorders>
              <w:top w:val="single" w:color="auto" w:sz="4" w:space="0"/>
              <w:left w:val="single" w:color="auto" w:sz="4" w:space="0"/>
              <w:bottom w:val="single" w:color="auto" w:sz="4" w:space="0"/>
              <w:right w:val="single" w:color="auto" w:sz="4" w:space="0"/>
            </w:tcBorders>
            <w:vAlign w:val="center"/>
          </w:tcPr>
          <w:p w14:paraId="23EFF393">
            <w:pPr>
              <w:spacing w:line="360" w:lineRule="auto"/>
              <w:jc w:val="center"/>
              <w:rPr>
                <w:rFonts w:hint="eastAsia" w:ascii="宋体" w:hAnsi="宋体" w:eastAsia="宋体" w:cs="宋体"/>
                <w:szCs w:val="21"/>
              </w:rPr>
            </w:pPr>
            <w:r>
              <w:rPr>
                <w:rFonts w:hint="eastAsia" w:ascii="宋体" w:hAnsi="宋体" w:eastAsia="宋体" w:cs="宋体"/>
                <w:szCs w:val="21"/>
              </w:rPr>
              <w:t>经验要求</w:t>
            </w:r>
          </w:p>
        </w:tc>
      </w:tr>
      <w:tr w14:paraId="03E11029">
        <w:tblPrEx>
          <w:tblCellMar>
            <w:top w:w="0" w:type="dxa"/>
            <w:left w:w="108" w:type="dxa"/>
            <w:bottom w:w="0" w:type="dxa"/>
            <w:right w:w="108" w:type="dxa"/>
          </w:tblCellMar>
        </w:tblPrEx>
        <w:trPr>
          <w:trHeight w:val="191" w:hRule="atLeast"/>
          <w:jc w:val="center"/>
        </w:trPr>
        <w:tc>
          <w:tcPr>
            <w:tcW w:w="892" w:type="pct"/>
            <w:tcBorders>
              <w:top w:val="single" w:color="auto" w:sz="4" w:space="0"/>
              <w:left w:val="single" w:color="auto" w:sz="4" w:space="0"/>
              <w:bottom w:val="single" w:color="auto" w:sz="4" w:space="0"/>
              <w:right w:val="single" w:color="auto" w:sz="4" w:space="0"/>
            </w:tcBorders>
            <w:vAlign w:val="center"/>
          </w:tcPr>
          <w:p w14:paraId="5BB9EDC1">
            <w:pPr>
              <w:spacing w:line="360" w:lineRule="auto"/>
              <w:jc w:val="center"/>
              <w:rPr>
                <w:rFonts w:hint="eastAsia" w:ascii="宋体" w:hAnsi="宋体" w:eastAsia="宋体" w:cs="宋体"/>
                <w:szCs w:val="21"/>
              </w:rPr>
            </w:pPr>
            <w:r>
              <w:rPr>
                <w:rFonts w:hint="eastAsia" w:ascii="宋体" w:hAnsi="宋体" w:eastAsia="宋体" w:cs="宋体"/>
                <w:szCs w:val="21"/>
              </w:rPr>
              <w:t>食堂管理经理</w:t>
            </w:r>
          </w:p>
        </w:tc>
        <w:tc>
          <w:tcPr>
            <w:tcW w:w="615" w:type="pct"/>
            <w:tcBorders>
              <w:top w:val="single" w:color="auto" w:sz="4" w:space="0"/>
              <w:left w:val="single" w:color="auto" w:sz="4" w:space="0"/>
              <w:bottom w:val="single" w:color="auto" w:sz="4" w:space="0"/>
              <w:right w:val="single" w:color="auto" w:sz="4" w:space="0"/>
            </w:tcBorders>
            <w:vAlign w:val="center"/>
          </w:tcPr>
          <w:p w14:paraId="20DBC020">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2039" w:type="pct"/>
            <w:tcBorders>
              <w:top w:val="single" w:color="auto" w:sz="4" w:space="0"/>
              <w:left w:val="single" w:color="auto" w:sz="4" w:space="0"/>
              <w:bottom w:val="single" w:color="auto" w:sz="4" w:space="0"/>
              <w:right w:val="single" w:color="auto" w:sz="4" w:space="0"/>
            </w:tcBorders>
            <w:vAlign w:val="center"/>
          </w:tcPr>
          <w:p w14:paraId="0242A11B">
            <w:pPr>
              <w:spacing w:line="360" w:lineRule="auto"/>
              <w:jc w:val="center"/>
              <w:rPr>
                <w:rFonts w:hint="eastAsia" w:ascii="宋体" w:hAnsi="宋体" w:eastAsia="宋体" w:cs="宋体"/>
                <w:szCs w:val="21"/>
              </w:rPr>
            </w:pPr>
            <w:r>
              <w:rPr>
                <w:rFonts w:hint="eastAsia" w:ascii="宋体" w:hAnsi="宋体" w:eastAsia="宋体" w:cs="宋体"/>
                <w:szCs w:val="21"/>
              </w:rPr>
              <w:t>24小时驻场，食堂直接负责人</w:t>
            </w:r>
          </w:p>
        </w:tc>
        <w:tc>
          <w:tcPr>
            <w:tcW w:w="1452" w:type="pct"/>
            <w:tcBorders>
              <w:top w:val="single" w:color="auto" w:sz="4" w:space="0"/>
              <w:left w:val="single" w:color="auto" w:sz="4" w:space="0"/>
              <w:bottom w:val="single" w:color="auto" w:sz="4" w:space="0"/>
              <w:right w:val="single" w:color="auto" w:sz="4" w:space="0"/>
            </w:tcBorders>
            <w:vAlign w:val="center"/>
          </w:tcPr>
          <w:p w14:paraId="39C0A92F">
            <w:pPr>
              <w:spacing w:line="360" w:lineRule="auto"/>
              <w:jc w:val="center"/>
              <w:rPr>
                <w:rFonts w:hint="eastAsia" w:ascii="宋体" w:hAnsi="宋体" w:eastAsia="宋体" w:cs="宋体"/>
                <w:szCs w:val="21"/>
              </w:rPr>
            </w:pPr>
            <w:r>
              <w:rPr>
                <w:rFonts w:hint="eastAsia" w:ascii="宋体" w:hAnsi="宋体" w:eastAsia="宋体" w:cs="宋体"/>
                <w:szCs w:val="21"/>
              </w:rPr>
              <w:t>5年及以上</w:t>
            </w:r>
          </w:p>
        </w:tc>
      </w:tr>
      <w:tr w14:paraId="5449D741">
        <w:tblPrEx>
          <w:tblCellMar>
            <w:top w:w="0" w:type="dxa"/>
            <w:left w:w="108" w:type="dxa"/>
            <w:bottom w:w="0" w:type="dxa"/>
            <w:right w:w="108" w:type="dxa"/>
          </w:tblCellMar>
        </w:tblPrEx>
        <w:trPr>
          <w:trHeight w:val="281" w:hRule="atLeast"/>
          <w:jc w:val="center"/>
        </w:trPr>
        <w:tc>
          <w:tcPr>
            <w:tcW w:w="892" w:type="pct"/>
            <w:tcBorders>
              <w:top w:val="single" w:color="auto" w:sz="4" w:space="0"/>
              <w:left w:val="single" w:color="auto" w:sz="4" w:space="0"/>
              <w:bottom w:val="single" w:color="auto" w:sz="4" w:space="0"/>
              <w:right w:val="single" w:color="auto" w:sz="4" w:space="0"/>
            </w:tcBorders>
            <w:vAlign w:val="center"/>
          </w:tcPr>
          <w:p w14:paraId="2EF1EEAB">
            <w:pPr>
              <w:spacing w:line="360" w:lineRule="auto"/>
              <w:jc w:val="center"/>
              <w:rPr>
                <w:rFonts w:hint="eastAsia" w:ascii="宋体" w:hAnsi="宋体" w:eastAsia="宋体" w:cs="宋体"/>
                <w:szCs w:val="21"/>
              </w:rPr>
            </w:pPr>
            <w:r>
              <w:rPr>
                <w:rFonts w:hint="eastAsia" w:ascii="宋体" w:hAnsi="宋体" w:eastAsia="宋体" w:cs="宋体"/>
                <w:szCs w:val="21"/>
              </w:rPr>
              <w:t>仓管</w:t>
            </w:r>
          </w:p>
        </w:tc>
        <w:tc>
          <w:tcPr>
            <w:tcW w:w="615" w:type="pct"/>
            <w:tcBorders>
              <w:top w:val="single" w:color="auto" w:sz="4" w:space="0"/>
              <w:left w:val="single" w:color="auto" w:sz="4" w:space="0"/>
              <w:bottom w:val="single" w:color="auto" w:sz="4" w:space="0"/>
              <w:right w:val="single" w:color="auto" w:sz="4" w:space="0"/>
            </w:tcBorders>
            <w:vAlign w:val="center"/>
          </w:tcPr>
          <w:p w14:paraId="52573A29">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2039" w:type="pct"/>
            <w:tcBorders>
              <w:top w:val="single" w:color="auto" w:sz="4" w:space="0"/>
              <w:left w:val="single" w:color="auto" w:sz="4" w:space="0"/>
              <w:bottom w:val="single" w:color="auto" w:sz="4" w:space="0"/>
              <w:right w:val="single" w:color="auto" w:sz="4" w:space="0"/>
            </w:tcBorders>
            <w:vAlign w:val="center"/>
          </w:tcPr>
          <w:p w14:paraId="3DA4733C">
            <w:pPr>
              <w:spacing w:line="360" w:lineRule="auto"/>
              <w:jc w:val="center"/>
              <w:rPr>
                <w:rFonts w:hint="eastAsia" w:ascii="宋体" w:hAnsi="宋体" w:eastAsia="宋体" w:cs="宋体"/>
                <w:szCs w:val="21"/>
              </w:rPr>
            </w:pPr>
            <w:r>
              <w:rPr>
                <w:rFonts w:hint="eastAsia" w:ascii="宋体" w:hAnsi="宋体" w:eastAsia="宋体" w:cs="宋体"/>
                <w:szCs w:val="21"/>
              </w:rPr>
              <w:t>仓库管理、台账管理，食品安全管理</w:t>
            </w:r>
          </w:p>
        </w:tc>
        <w:tc>
          <w:tcPr>
            <w:tcW w:w="1452" w:type="pct"/>
            <w:tcBorders>
              <w:top w:val="single" w:color="auto" w:sz="4" w:space="0"/>
              <w:left w:val="single" w:color="auto" w:sz="4" w:space="0"/>
              <w:bottom w:val="single" w:color="auto" w:sz="4" w:space="0"/>
              <w:right w:val="single" w:color="auto" w:sz="4" w:space="0"/>
            </w:tcBorders>
            <w:vAlign w:val="center"/>
          </w:tcPr>
          <w:p w14:paraId="33471FE7">
            <w:pPr>
              <w:spacing w:line="360" w:lineRule="auto"/>
              <w:jc w:val="center"/>
              <w:rPr>
                <w:rFonts w:hint="eastAsia" w:ascii="宋体" w:hAnsi="宋体" w:eastAsia="宋体" w:cs="宋体"/>
                <w:szCs w:val="21"/>
              </w:rPr>
            </w:pPr>
            <w:r>
              <w:rPr>
                <w:rFonts w:hint="eastAsia" w:ascii="宋体" w:hAnsi="宋体" w:eastAsia="宋体" w:cs="宋体"/>
                <w:szCs w:val="21"/>
              </w:rPr>
              <w:t>2年及以上</w:t>
            </w:r>
          </w:p>
        </w:tc>
      </w:tr>
      <w:tr w14:paraId="6CF85B5E">
        <w:tblPrEx>
          <w:tblCellMar>
            <w:top w:w="0" w:type="dxa"/>
            <w:left w:w="108" w:type="dxa"/>
            <w:bottom w:w="0" w:type="dxa"/>
            <w:right w:w="108" w:type="dxa"/>
          </w:tblCellMar>
        </w:tblPrEx>
        <w:trPr>
          <w:trHeight w:val="201" w:hRule="atLeast"/>
          <w:jc w:val="center"/>
        </w:trPr>
        <w:tc>
          <w:tcPr>
            <w:tcW w:w="892" w:type="pct"/>
            <w:tcBorders>
              <w:top w:val="single" w:color="auto" w:sz="4" w:space="0"/>
              <w:left w:val="single" w:color="auto" w:sz="4" w:space="0"/>
              <w:bottom w:val="single" w:color="auto" w:sz="4" w:space="0"/>
              <w:right w:val="single" w:color="auto" w:sz="4" w:space="0"/>
            </w:tcBorders>
            <w:vAlign w:val="center"/>
          </w:tcPr>
          <w:p w14:paraId="01ED0BA8">
            <w:pPr>
              <w:spacing w:line="360" w:lineRule="auto"/>
              <w:jc w:val="center"/>
              <w:rPr>
                <w:rFonts w:hint="eastAsia" w:ascii="宋体" w:hAnsi="宋体" w:eastAsia="宋体" w:cs="宋体"/>
                <w:szCs w:val="21"/>
              </w:rPr>
            </w:pPr>
            <w:r>
              <w:rPr>
                <w:rFonts w:hint="eastAsia" w:ascii="宋体" w:hAnsi="宋体" w:eastAsia="宋体" w:cs="宋体"/>
                <w:szCs w:val="21"/>
              </w:rPr>
              <w:t>大厨</w:t>
            </w:r>
          </w:p>
        </w:tc>
        <w:tc>
          <w:tcPr>
            <w:tcW w:w="615" w:type="pct"/>
            <w:tcBorders>
              <w:top w:val="single" w:color="auto" w:sz="4" w:space="0"/>
              <w:left w:val="single" w:color="auto" w:sz="4" w:space="0"/>
              <w:bottom w:val="single" w:color="auto" w:sz="4" w:space="0"/>
              <w:right w:val="single" w:color="auto" w:sz="4" w:space="0"/>
            </w:tcBorders>
            <w:vAlign w:val="center"/>
          </w:tcPr>
          <w:p w14:paraId="5A97F831">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2039" w:type="pct"/>
            <w:tcBorders>
              <w:top w:val="single" w:color="auto" w:sz="4" w:space="0"/>
              <w:left w:val="single" w:color="auto" w:sz="4" w:space="0"/>
              <w:bottom w:val="single" w:color="auto" w:sz="4" w:space="0"/>
              <w:right w:val="single" w:color="auto" w:sz="4" w:space="0"/>
            </w:tcBorders>
            <w:vAlign w:val="center"/>
          </w:tcPr>
          <w:p w14:paraId="278646A8">
            <w:pPr>
              <w:spacing w:line="360" w:lineRule="auto"/>
              <w:jc w:val="center"/>
              <w:rPr>
                <w:rFonts w:hint="eastAsia" w:ascii="宋体" w:hAnsi="宋体" w:eastAsia="宋体" w:cs="宋体"/>
                <w:szCs w:val="21"/>
              </w:rPr>
            </w:pPr>
            <w:r>
              <w:rPr>
                <w:rFonts w:hint="eastAsia" w:ascii="宋体" w:hAnsi="宋体" w:eastAsia="宋体" w:cs="宋体"/>
                <w:szCs w:val="21"/>
              </w:rPr>
              <w:t>餐菜式烹饪</w:t>
            </w:r>
          </w:p>
        </w:tc>
        <w:tc>
          <w:tcPr>
            <w:tcW w:w="1452" w:type="pct"/>
            <w:tcBorders>
              <w:top w:val="single" w:color="auto" w:sz="4" w:space="0"/>
              <w:left w:val="single" w:color="auto" w:sz="4" w:space="0"/>
              <w:bottom w:val="single" w:color="auto" w:sz="4" w:space="0"/>
              <w:right w:val="single" w:color="auto" w:sz="4" w:space="0"/>
            </w:tcBorders>
            <w:vAlign w:val="center"/>
          </w:tcPr>
          <w:p w14:paraId="43CF390A">
            <w:pPr>
              <w:spacing w:line="360" w:lineRule="auto"/>
              <w:jc w:val="center"/>
              <w:rPr>
                <w:rFonts w:hint="eastAsia" w:ascii="宋体" w:hAnsi="宋体" w:eastAsia="宋体" w:cs="宋体"/>
                <w:szCs w:val="21"/>
              </w:rPr>
            </w:pPr>
            <w:r>
              <w:rPr>
                <w:rFonts w:hint="eastAsia" w:ascii="宋体" w:hAnsi="宋体" w:eastAsia="宋体" w:cs="宋体"/>
                <w:szCs w:val="21"/>
              </w:rPr>
              <w:t>5年及以上</w:t>
            </w:r>
          </w:p>
        </w:tc>
      </w:tr>
      <w:tr w14:paraId="5ECE1E4C">
        <w:tblPrEx>
          <w:tblCellMar>
            <w:top w:w="0" w:type="dxa"/>
            <w:left w:w="108" w:type="dxa"/>
            <w:bottom w:w="0" w:type="dxa"/>
            <w:right w:w="108" w:type="dxa"/>
          </w:tblCellMar>
        </w:tblPrEx>
        <w:trPr>
          <w:trHeight w:val="281" w:hRule="atLeast"/>
          <w:jc w:val="center"/>
        </w:trPr>
        <w:tc>
          <w:tcPr>
            <w:tcW w:w="892" w:type="pct"/>
            <w:tcBorders>
              <w:top w:val="single" w:color="auto" w:sz="4" w:space="0"/>
              <w:left w:val="single" w:color="auto" w:sz="4" w:space="0"/>
              <w:bottom w:val="single" w:color="auto" w:sz="4" w:space="0"/>
              <w:right w:val="single" w:color="auto" w:sz="4" w:space="0"/>
            </w:tcBorders>
            <w:vAlign w:val="center"/>
          </w:tcPr>
          <w:p w14:paraId="7CC17406">
            <w:pPr>
              <w:spacing w:line="360" w:lineRule="auto"/>
              <w:jc w:val="center"/>
              <w:rPr>
                <w:rFonts w:hint="eastAsia" w:ascii="宋体" w:hAnsi="宋体" w:eastAsia="宋体" w:cs="宋体"/>
                <w:szCs w:val="21"/>
              </w:rPr>
            </w:pPr>
            <w:r>
              <w:rPr>
                <w:rFonts w:hint="eastAsia" w:ascii="宋体" w:hAnsi="宋体" w:eastAsia="宋体" w:cs="宋体"/>
                <w:szCs w:val="21"/>
              </w:rPr>
              <w:t>厨师</w:t>
            </w:r>
          </w:p>
        </w:tc>
        <w:tc>
          <w:tcPr>
            <w:tcW w:w="615" w:type="pct"/>
            <w:tcBorders>
              <w:top w:val="single" w:color="auto" w:sz="4" w:space="0"/>
              <w:left w:val="single" w:color="auto" w:sz="4" w:space="0"/>
              <w:bottom w:val="single" w:color="auto" w:sz="4" w:space="0"/>
              <w:right w:val="single" w:color="auto" w:sz="4" w:space="0"/>
            </w:tcBorders>
            <w:vAlign w:val="center"/>
          </w:tcPr>
          <w:p w14:paraId="04CB1E75">
            <w:pPr>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2039" w:type="pct"/>
            <w:tcBorders>
              <w:top w:val="single" w:color="auto" w:sz="4" w:space="0"/>
              <w:left w:val="single" w:color="auto" w:sz="4" w:space="0"/>
              <w:bottom w:val="single" w:color="auto" w:sz="4" w:space="0"/>
              <w:right w:val="single" w:color="auto" w:sz="4" w:space="0"/>
            </w:tcBorders>
            <w:vAlign w:val="center"/>
          </w:tcPr>
          <w:p w14:paraId="26CF94CB">
            <w:pPr>
              <w:spacing w:line="360" w:lineRule="auto"/>
              <w:jc w:val="center"/>
              <w:rPr>
                <w:rFonts w:hint="eastAsia" w:ascii="宋体" w:hAnsi="宋体" w:eastAsia="宋体" w:cs="宋体"/>
                <w:szCs w:val="21"/>
              </w:rPr>
            </w:pPr>
            <w:r>
              <w:rPr>
                <w:rFonts w:hint="eastAsia" w:ascii="宋体" w:hAnsi="宋体" w:eastAsia="宋体" w:cs="宋体"/>
                <w:szCs w:val="21"/>
              </w:rPr>
              <w:t>餐菜式烹饪</w:t>
            </w:r>
          </w:p>
        </w:tc>
        <w:tc>
          <w:tcPr>
            <w:tcW w:w="1452" w:type="pct"/>
            <w:tcBorders>
              <w:top w:val="single" w:color="auto" w:sz="4" w:space="0"/>
              <w:left w:val="single" w:color="auto" w:sz="4" w:space="0"/>
              <w:bottom w:val="single" w:color="auto" w:sz="4" w:space="0"/>
              <w:right w:val="single" w:color="auto" w:sz="4" w:space="0"/>
            </w:tcBorders>
            <w:vAlign w:val="center"/>
          </w:tcPr>
          <w:p w14:paraId="08F04F39">
            <w:pPr>
              <w:spacing w:line="360" w:lineRule="auto"/>
              <w:jc w:val="center"/>
              <w:rPr>
                <w:rFonts w:hint="eastAsia" w:ascii="宋体" w:hAnsi="宋体" w:eastAsia="宋体" w:cs="宋体"/>
                <w:szCs w:val="21"/>
              </w:rPr>
            </w:pPr>
            <w:r>
              <w:rPr>
                <w:rFonts w:hint="eastAsia" w:ascii="宋体" w:hAnsi="宋体" w:eastAsia="宋体" w:cs="宋体"/>
                <w:szCs w:val="21"/>
              </w:rPr>
              <w:t>3年及以上</w:t>
            </w:r>
          </w:p>
        </w:tc>
      </w:tr>
      <w:tr w14:paraId="1069E9DC">
        <w:tblPrEx>
          <w:tblCellMar>
            <w:top w:w="0" w:type="dxa"/>
            <w:left w:w="108" w:type="dxa"/>
            <w:bottom w:w="0" w:type="dxa"/>
            <w:right w:w="108" w:type="dxa"/>
          </w:tblCellMar>
        </w:tblPrEx>
        <w:trPr>
          <w:trHeight w:val="201" w:hRule="atLeast"/>
          <w:jc w:val="center"/>
        </w:trPr>
        <w:tc>
          <w:tcPr>
            <w:tcW w:w="892" w:type="pct"/>
            <w:tcBorders>
              <w:top w:val="single" w:color="auto" w:sz="4" w:space="0"/>
              <w:left w:val="single" w:color="auto" w:sz="4" w:space="0"/>
              <w:bottom w:val="single" w:color="auto" w:sz="4" w:space="0"/>
              <w:right w:val="single" w:color="auto" w:sz="4" w:space="0"/>
            </w:tcBorders>
            <w:vAlign w:val="center"/>
          </w:tcPr>
          <w:p w14:paraId="4FA999BF">
            <w:pPr>
              <w:spacing w:line="360" w:lineRule="auto"/>
              <w:jc w:val="center"/>
              <w:rPr>
                <w:rFonts w:hint="eastAsia" w:ascii="宋体" w:hAnsi="宋体" w:eastAsia="宋体" w:cs="宋体"/>
                <w:szCs w:val="21"/>
              </w:rPr>
            </w:pPr>
            <w:r>
              <w:rPr>
                <w:rFonts w:hint="eastAsia" w:ascii="宋体" w:hAnsi="宋体" w:eastAsia="宋体" w:cs="宋体"/>
                <w:szCs w:val="21"/>
              </w:rPr>
              <w:t>面点师</w:t>
            </w:r>
          </w:p>
        </w:tc>
        <w:tc>
          <w:tcPr>
            <w:tcW w:w="615" w:type="pct"/>
            <w:tcBorders>
              <w:top w:val="single" w:color="auto" w:sz="4" w:space="0"/>
              <w:left w:val="nil"/>
              <w:bottom w:val="single" w:color="auto" w:sz="4" w:space="0"/>
              <w:right w:val="single" w:color="auto" w:sz="4" w:space="0"/>
            </w:tcBorders>
            <w:vAlign w:val="center"/>
          </w:tcPr>
          <w:p w14:paraId="500A98A7">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2039" w:type="pct"/>
            <w:tcBorders>
              <w:top w:val="single" w:color="auto" w:sz="4" w:space="0"/>
              <w:left w:val="nil"/>
              <w:bottom w:val="single" w:color="auto" w:sz="4" w:space="0"/>
              <w:right w:val="single" w:color="auto" w:sz="4" w:space="0"/>
            </w:tcBorders>
            <w:vAlign w:val="center"/>
          </w:tcPr>
          <w:p w14:paraId="7BDF851D">
            <w:pPr>
              <w:spacing w:line="360" w:lineRule="auto"/>
              <w:jc w:val="center"/>
              <w:rPr>
                <w:rFonts w:hint="eastAsia" w:ascii="宋体" w:hAnsi="宋体" w:eastAsia="宋体" w:cs="宋体"/>
                <w:szCs w:val="21"/>
              </w:rPr>
            </w:pPr>
            <w:r>
              <w:rPr>
                <w:rFonts w:hint="eastAsia" w:ascii="宋体" w:hAnsi="宋体" w:eastAsia="宋体" w:cs="宋体"/>
                <w:szCs w:val="21"/>
              </w:rPr>
              <w:t>中西点心制作</w:t>
            </w:r>
          </w:p>
        </w:tc>
        <w:tc>
          <w:tcPr>
            <w:tcW w:w="1452" w:type="pct"/>
            <w:tcBorders>
              <w:top w:val="single" w:color="auto" w:sz="4" w:space="0"/>
              <w:left w:val="nil"/>
              <w:bottom w:val="single" w:color="auto" w:sz="4" w:space="0"/>
              <w:right w:val="single" w:color="auto" w:sz="4" w:space="0"/>
            </w:tcBorders>
            <w:vAlign w:val="center"/>
          </w:tcPr>
          <w:p w14:paraId="6245C48D">
            <w:pPr>
              <w:spacing w:line="360" w:lineRule="auto"/>
              <w:jc w:val="center"/>
              <w:rPr>
                <w:rFonts w:hint="eastAsia" w:ascii="宋体" w:hAnsi="宋体" w:eastAsia="宋体" w:cs="宋体"/>
                <w:szCs w:val="21"/>
              </w:rPr>
            </w:pPr>
            <w:r>
              <w:rPr>
                <w:rFonts w:hint="eastAsia" w:ascii="宋体" w:hAnsi="宋体" w:eastAsia="宋体" w:cs="宋体"/>
                <w:szCs w:val="21"/>
              </w:rPr>
              <w:t>3年及以上</w:t>
            </w:r>
          </w:p>
        </w:tc>
      </w:tr>
      <w:tr w14:paraId="4F572F7A">
        <w:tblPrEx>
          <w:tblCellMar>
            <w:top w:w="0" w:type="dxa"/>
            <w:left w:w="108" w:type="dxa"/>
            <w:bottom w:w="0" w:type="dxa"/>
            <w:right w:w="108" w:type="dxa"/>
          </w:tblCellMar>
        </w:tblPrEx>
        <w:trPr>
          <w:trHeight w:val="171" w:hRule="atLeast"/>
          <w:jc w:val="center"/>
        </w:trPr>
        <w:tc>
          <w:tcPr>
            <w:tcW w:w="892" w:type="pct"/>
            <w:tcBorders>
              <w:top w:val="nil"/>
              <w:left w:val="single" w:color="auto" w:sz="4" w:space="0"/>
              <w:bottom w:val="single" w:color="auto" w:sz="4" w:space="0"/>
              <w:right w:val="single" w:color="auto" w:sz="4" w:space="0"/>
            </w:tcBorders>
            <w:vAlign w:val="center"/>
          </w:tcPr>
          <w:p w14:paraId="6BDD2FDC">
            <w:pPr>
              <w:spacing w:line="360" w:lineRule="auto"/>
              <w:jc w:val="center"/>
              <w:rPr>
                <w:rFonts w:hint="eastAsia" w:ascii="宋体" w:hAnsi="宋体" w:eastAsia="宋体" w:cs="宋体"/>
                <w:szCs w:val="21"/>
              </w:rPr>
            </w:pPr>
            <w:r>
              <w:rPr>
                <w:rFonts w:hint="eastAsia" w:ascii="宋体" w:hAnsi="宋体" w:eastAsia="宋体" w:cs="宋体"/>
                <w:szCs w:val="21"/>
              </w:rPr>
              <w:t>蒸炖师</w:t>
            </w:r>
          </w:p>
        </w:tc>
        <w:tc>
          <w:tcPr>
            <w:tcW w:w="615" w:type="pct"/>
            <w:tcBorders>
              <w:top w:val="nil"/>
              <w:left w:val="nil"/>
              <w:bottom w:val="single" w:color="auto" w:sz="4" w:space="0"/>
              <w:right w:val="single" w:color="auto" w:sz="4" w:space="0"/>
            </w:tcBorders>
            <w:vAlign w:val="center"/>
          </w:tcPr>
          <w:p w14:paraId="6EA876EE">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2039" w:type="pct"/>
            <w:tcBorders>
              <w:top w:val="nil"/>
              <w:left w:val="nil"/>
              <w:bottom w:val="single" w:color="auto" w:sz="4" w:space="0"/>
              <w:right w:val="single" w:color="auto" w:sz="4" w:space="0"/>
            </w:tcBorders>
            <w:vAlign w:val="center"/>
          </w:tcPr>
          <w:p w14:paraId="5F45AD8D">
            <w:pPr>
              <w:spacing w:line="360" w:lineRule="auto"/>
              <w:jc w:val="center"/>
              <w:rPr>
                <w:rFonts w:hint="eastAsia" w:ascii="宋体" w:hAnsi="宋体" w:eastAsia="宋体" w:cs="宋体"/>
                <w:szCs w:val="21"/>
              </w:rPr>
            </w:pPr>
            <w:r>
              <w:rPr>
                <w:rFonts w:hint="eastAsia" w:ascii="宋体" w:hAnsi="宋体" w:eastAsia="宋体" w:cs="宋体"/>
                <w:szCs w:val="21"/>
              </w:rPr>
              <w:t>蒸饭、煲汤、协助蒸菜</w:t>
            </w:r>
          </w:p>
        </w:tc>
        <w:tc>
          <w:tcPr>
            <w:tcW w:w="1452" w:type="pct"/>
            <w:tcBorders>
              <w:top w:val="nil"/>
              <w:left w:val="nil"/>
              <w:bottom w:val="single" w:color="auto" w:sz="4" w:space="0"/>
              <w:right w:val="single" w:color="auto" w:sz="4" w:space="0"/>
            </w:tcBorders>
            <w:vAlign w:val="center"/>
          </w:tcPr>
          <w:p w14:paraId="545ACF9E">
            <w:pPr>
              <w:spacing w:line="360" w:lineRule="auto"/>
              <w:jc w:val="center"/>
              <w:rPr>
                <w:rFonts w:hint="eastAsia" w:ascii="宋体" w:hAnsi="宋体" w:eastAsia="宋体" w:cs="宋体"/>
                <w:szCs w:val="21"/>
              </w:rPr>
            </w:pPr>
            <w:r>
              <w:rPr>
                <w:rFonts w:hint="eastAsia" w:ascii="宋体" w:hAnsi="宋体" w:eastAsia="宋体" w:cs="宋体"/>
                <w:szCs w:val="21"/>
              </w:rPr>
              <w:t>3年及以上</w:t>
            </w:r>
          </w:p>
        </w:tc>
      </w:tr>
      <w:tr w14:paraId="198A4503">
        <w:tblPrEx>
          <w:tblCellMar>
            <w:top w:w="0" w:type="dxa"/>
            <w:left w:w="108" w:type="dxa"/>
            <w:bottom w:w="0" w:type="dxa"/>
            <w:right w:w="108" w:type="dxa"/>
          </w:tblCellMar>
        </w:tblPrEx>
        <w:trPr>
          <w:trHeight w:val="251" w:hRule="atLeast"/>
          <w:jc w:val="center"/>
        </w:trPr>
        <w:tc>
          <w:tcPr>
            <w:tcW w:w="892" w:type="pct"/>
            <w:tcBorders>
              <w:top w:val="nil"/>
              <w:left w:val="single" w:color="auto" w:sz="4" w:space="0"/>
              <w:bottom w:val="single" w:color="auto" w:sz="4" w:space="0"/>
              <w:right w:val="single" w:color="auto" w:sz="4" w:space="0"/>
            </w:tcBorders>
            <w:vAlign w:val="center"/>
          </w:tcPr>
          <w:p w14:paraId="5A7F116D">
            <w:pPr>
              <w:spacing w:line="360" w:lineRule="auto"/>
              <w:jc w:val="center"/>
              <w:rPr>
                <w:rFonts w:hint="eastAsia" w:ascii="宋体" w:hAnsi="宋体" w:eastAsia="宋体" w:cs="宋体"/>
                <w:szCs w:val="21"/>
              </w:rPr>
            </w:pPr>
            <w:r>
              <w:rPr>
                <w:rFonts w:hint="eastAsia" w:ascii="宋体" w:hAnsi="宋体" w:eastAsia="宋体" w:cs="宋体"/>
                <w:szCs w:val="21"/>
              </w:rPr>
              <w:t>厨工</w:t>
            </w:r>
          </w:p>
        </w:tc>
        <w:tc>
          <w:tcPr>
            <w:tcW w:w="615" w:type="pct"/>
            <w:tcBorders>
              <w:top w:val="nil"/>
              <w:left w:val="nil"/>
              <w:bottom w:val="single" w:color="auto" w:sz="4" w:space="0"/>
              <w:right w:val="single" w:color="auto" w:sz="4" w:space="0"/>
            </w:tcBorders>
            <w:vAlign w:val="center"/>
          </w:tcPr>
          <w:p w14:paraId="59A7B53A">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2039" w:type="pct"/>
            <w:tcBorders>
              <w:top w:val="nil"/>
              <w:left w:val="nil"/>
              <w:bottom w:val="single" w:color="auto" w:sz="4" w:space="0"/>
              <w:right w:val="single" w:color="auto" w:sz="4" w:space="0"/>
            </w:tcBorders>
            <w:vAlign w:val="center"/>
          </w:tcPr>
          <w:p w14:paraId="113A9382">
            <w:pPr>
              <w:spacing w:line="360" w:lineRule="auto"/>
              <w:jc w:val="center"/>
              <w:rPr>
                <w:rFonts w:hint="eastAsia" w:ascii="宋体" w:hAnsi="宋体" w:eastAsia="宋体" w:cs="宋体"/>
                <w:szCs w:val="21"/>
              </w:rPr>
            </w:pPr>
            <w:r>
              <w:rPr>
                <w:rFonts w:hint="eastAsia" w:ascii="宋体" w:hAnsi="宋体" w:eastAsia="宋体" w:cs="宋体"/>
                <w:szCs w:val="21"/>
              </w:rPr>
              <w:t>厨房切配、清洁，开餐间服务、清洁</w:t>
            </w:r>
          </w:p>
        </w:tc>
        <w:tc>
          <w:tcPr>
            <w:tcW w:w="1452" w:type="pct"/>
            <w:tcBorders>
              <w:top w:val="nil"/>
              <w:left w:val="nil"/>
              <w:bottom w:val="single" w:color="auto" w:sz="4" w:space="0"/>
              <w:right w:val="single" w:color="auto" w:sz="4" w:space="0"/>
            </w:tcBorders>
            <w:vAlign w:val="center"/>
          </w:tcPr>
          <w:p w14:paraId="621FBD5A">
            <w:pPr>
              <w:spacing w:line="360" w:lineRule="auto"/>
              <w:jc w:val="center"/>
              <w:rPr>
                <w:rFonts w:hint="eastAsia" w:ascii="宋体" w:hAnsi="宋体" w:eastAsia="宋体" w:cs="宋体"/>
                <w:szCs w:val="21"/>
              </w:rPr>
            </w:pPr>
            <w:r>
              <w:rPr>
                <w:rFonts w:hint="eastAsia" w:ascii="宋体" w:hAnsi="宋体" w:eastAsia="宋体" w:cs="宋体"/>
                <w:szCs w:val="21"/>
              </w:rPr>
              <w:t>1年及以上</w:t>
            </w:r>
          </w:p>
        </w:tc>
      </w:tr>
      <w:tr w14:paraId="68083B28">
        <w:tblPrEx>
          <w:tblCellMar>
            <w:top w:w="0" w:type="dxa"/>
            <w:left w:w="108" w:type="dxa"/>
            <w:bottom w:w="0" w:type="dxa"/>
            <w:right w:w="108" w:type="dxa"/>
          </w:tblCellMar>
        </w:tblPrEx>
        <w:trPr>
          <w:trHeight w:val="90" w:hRule="atLeast"/>
          <w:jc w:val="center"/>
        </w:trPr>
        <w:tc>
          <w:tcPr>
            <w:tcW w:w="892" w:type="pct"/>
            <w:tcBorders>
              <w:top w:val="nil"/>
              <w:left w:val="single" w:color="auto" w:sz="4" w:space="0"/>
              <w:bottom w:val="single" w:color="auto" w:sz="4" w:space="0"/>
              <w:right w:val="single" w:color="auto" w:sz="4" w:space="0"/>
            </w:tcBorders>
            <w:vAlign w:val="center"/>
          </w:tcPr>
          <w:p w14:paraId="6DDE56A0">
            <w:pPr>
              <w:spacing w:line="360" w:lineRule="auto"/>
              <w:jc w:val="center"/>
              <w:rPr>
                <w:rFonts w:hint="eastAsia" w:ascii="宋体" w:hAnsi="宋体" w:eastAsia="宋体" w:cs="宋体"/>
                <w:szCs w:val="21"/>
              </w:rPr>
            </w:pPr>
            <w:r>
              <w:rPr>
                <w:rFonts w:hint="eastAsia" w:ascii="宋体" w:hAnsi="宋体" w:eastAsia="宋体" w:cs="宋体"/>
                <w:szCs w:val="21"/>
              </w:rPr>
              <w:t>服务部长</w:t>
            </w:r>
          </w:p>
        </w:tc>
        <w:tc>
          <w:tcPr>
            <w:tcW w:w="615" w:type="pct"/>
            <w:tcBorders>
              <w:top w:val="nil"/>
              <w:left w:val="nil"/>
              <w:bottom w:val="single" w:color="auto" w:sz="4" w:space="0"/>
              <w:right w:val="single" w:color="auto" w:sz="4" w:space="0"/>
            </w:tcBorders>
            <w:vAlign w:val="center"/>
          </w:tcPr>
          <w:p w14:paraId="0884E2C2">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2039" w:type="pct"/>
            <w:tcBorders>
              <w:top w:val="nil"/>
              <w:left w:val="nil"/>
              <w:bottom w:val="single" w:color="auto" w:sz="4" w:space="0"/>
              <w:right w:val="single" w:color="auto" w:sz="4" w:space="0"/>
            </w:tcBorders>
            <w:vAlign w:val="center"/>
          </w:tcPr>
          <w:p w14:paraId="6B99922A">
            <w:pPr>
              <w:spacing w:line="360" w:lineRule="auto"/>
              <w:jc w:val="center"/>
              <w:rPr>
                <w:rFonts w:hint="eastAsia" w:ascii="宋体" w:hAnsi="宋体" w:eastAsia="宋体" w:cs="宋体"/>
                <w:szCs w:val="21"/>
              </w:rPr>
            </w:pPr>
            <w:r>
              <w:rPr>
                <w:rFonts w:hint="eastAsia" w:ascii="宋体" w:hAnsi="宋体" w:eastAsia="宋体" w:cs="宋体"/>
                <w:szCs w:val="21"/>
              </w:rPr>
              <w:t>接待餐服务统筹</w:t>
            </w:r>
          </w:p>
        </w:tc>
        <w:tc>
          <w:tcPr>
            <w:tcW w:w="1452" w:type="pct"/>
            <w:tcBorders>
              <w:top w:val="nil"/>
              <w:left w:val="nil"/>
              <w:bottom w:val="single" w:color="auto" w:sz="4" w:space="0"/>
              <w:right w:val="single" w:color="auto" w:sz="4" w:space="0"/>
            </w:tcBorders>
            <w:vAlign w:val="center"/>
          </w:tcPr>
          <w:p w14:paraId="7AA1B3B9">
            <w:pPr>
              <w:spacing w:line="360" w:lineRule="auto"/>
              <w:jc w:val="center"/>
              <w:rPr>
                <w:rFonts w:hint="eastAsia" w:ascii="宋体" w:hAnsi="宋体" w:eastAsia="宋体" w:cs="宋体"/>
                <w:szCs w:val="21"/>
              </w:rPr>
            </w:pPr>
            <w:r>
              <w:rPr>
                <w:rFonts w:hint="eastAsia" w:ascii="宋体" w:hAnsi="宋体" w:eastAsia="宋体" w:cs="宋体"/>
                <w:szCs w:val="21"/>
              </w:rPr>
              <w:t>3年及以上</w:t>
            </w:r>
          </w:p>
        </w:tc>
      </w:tr>
      <w:tr w14:paraId="64439427">
        <w:tblPrEx>
          <w:tblCellMar>
            <w:top w:w="0" w:type="dxa"/>
            <w:left w:w="108" w:type="dxa"/>
            <w:bottom w:w="0" w:type="dxa"/>
            <w:right w:w="108" w:type="dxa"/>
          </w:tblCellMar>
        </w:tblPrEx>
        <w:trPr>
          <w:trHeight w:val="288" w:hRule="atLeast"/>
          <w:jc w:val="center"/>
        </w:trPr>
        <w:tc>
          <w:tcPr>
            <w:tcW w:w="892" w:type="pct"/>
            <w:tcBorders>
              <w:top w:val="nil"/>
              <w:left w:val="single" w:color="auto" w:sz="4" w:space="0"/>
              <w:bottom w:val="single" w:color="auto" w:sz="4" w:space="0"/>
              <w:right w:val="single" w:color="auto" w:sz="4" w:space="0"/>
            </w:tcBorders>
            <w:vAlign w:val="center"/>
          </w:tcPr>
          <w:p w14:paraId="6ECBD61B">
            <w:pPr>
              <w:spacing w:line="360" w:lineRule="auto"/>
              <w:jc w:val="center"/>
              <w:rPr>
                <w:rFonts w:hint="eastAsia" w:ascii="宋体" w:hAnsi="宋体" w:eastAsia="宋体" w:cs="宋体"/>
                <w:szCs w:val="21"/>
              </w:rPr>
            </w:pPr>
            <w:r>
              <w:rPr>
                <w:rFonts w:hint="eastAsia" w:ascii="宋体" w:hAnsi="宋体" w:eastAsia="宋体" w:cs="宋体"/>
                <w:szCs w:val="21"/>
              </w:rPr>
              <w:t>接待餐服务员</w:t>
            </w:r>
          </w:p>
        </w:tc>
        <w:tc>
          <w:tcPr>
            <w:tcW w:w="615" w:type="pct"/>
            <w:tcBorders>
              <w:top w:val="nil"/>
              <w:left w:val="nil"/>
              <w:bottom w:val="single" w:color="auto" w:sz="4" w:space="0"/>
              <w:right w:val="single" w:color="auto" w:sz="4" w:space="0"/>
            </w:tcBorders>
            <w:vAlign w:val="center"/>
          </w:tcPr>
          <w:p w14:paraId="0FD5B007">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2039" w:type="pct"/>
            <w:tcBorders>
              <w:top w:val="nil"/>
              <w:left w:val="nil"/>
              <w:bottom w:val="single" w:color="auto" w:sz="4" w:space="0"/>
              <w:right w:val="single" w:color="auto" w:sz="4" w:space="0"/>
            </w:tcBorders>
            <w:vAlign w:val="center"/>
          </w:tcPr>
          <w:p w14:paraId="68968840">
            <w:pPr>
              <w:spacing w:line="360" w:lineRule="auto"/>
              <w:jc w:val="center"/>
              <w:rPr>
                <w:rFonts w:hint="eastAsia" w:ascii="宋体" w:hAnsi="宋体" w:eastAsia="宋体" w:cs="宋体"/>
                <w:szCs w:val="21"/>
              </w:rPr>
            </w:pPr>
            <w:r>
              <w:rPr>
                <w:rFonts w:hint="eastAsia" w:ascii="宋体" w:hAnsi="宋体" w:eastAsia="宋体" w:cs="宋体"/>
                <w:szCs w:val="21"/>
              </w:rPr>
              <w:t>接待餐服务</w:t>
            </w:r>
          </w:p>
        </w:tc>
        <w:tc>
          <w:tcPr>
            <w:tcW w:w="1452" w:type="pct"/>
            <w:tcBorders>
              <w:top w:val="nil"/>
              <w:left w:val="nil"/>
              <w:bottom w:val="single" w:color="auto" w:sz="4" w:space="0"/>
              <w:right w:val="single" w:color="auto" w:sz="4" w:space="0"/>
            </w:tcBorders>
            <w:vAlign w:val="center"/>
          </w:tcPr>
          <w:p w14:paraId="2CACC695">
            <w:pPr>
              <w:spacing w:line="360" w:lineRule="auto"/>
              <w:jc w:val="center"/>
              <w:rPr>
                <w:rFonts w:hint="eastAsia" w:ascii="宋体" w:hAnsi="宋体" w:eastAsia="宋体" w:cs="宋体"/>
                <w:szCs w:val="21"/>
              </w:rPr>
            </w:pPr>
            <w:r>
              <w:rPr>
                <w:rFonts w:hint="eastAsia" w:ascii="宋体" w:hAnsi="宋体" w:eastAsia="宋体" w:cs="宋体"/>
                <w:szCs w:val="21"/>
              </w:rPr>
              <w:t>1年及以上</w:t>
            </w:r>
          </w:p>
        </w:tc>
      </w:tr>
      <w:tr w14:paraId="2EA7E9EB">
        <w:tblPrEx>
          <w:tblCellMar>
            <w:top w:w="0" w:type="dxa"/>
            <w:left w:w="108" w:type="dxa"/>
            <w:bottom w:w="0" w:type="dxa"/>
            <w:right w:w="108" w:type="dxa"/>
          </w:tblCellMar>
        </w:tblPrEx>
        <w:trPr>
          <w:trHeight w:val="251" w:hRule="atLeast"/>
          <w:jc w:val="center"/>
        </w:trPr>
        <w:tc>
          <w:tcPr>
            <w:tcW w:w="892" w:type="pct"/>
            <w:tcBorders>
              <w:top w:val="single" w:color="auto" w:sz="4" w:space="0"/>
              <w:left w:val="single" w:color="auto" w:sz="4" w:space="0"/>
              <w:bottom w:val="single" w:color="auto" w:sz="4" w:space="0"/>
              <w:right w:val="single" w:color="auto" w:sz="4" w:space="0"/>
            </w:tcBorders>
            <w:vAlign w:val="center"/>
          </w:tcPr>
          <w:p w14:paraId="5B8902C4">
            <w:pPr>
              <w:spacing w:line="360" w:lineRule="auto"/>
              <w:jc w:val="center"/>
              <w:rPr>
                <w:rFonts w:hint="eastAsia" w:ascii="宋体" w:hAnsi="宋体" w:eastAsia="宋体" w:cs="宋体"/>
                <w:szCs w:val="21"/>
              </w:rPr>
            </w:pPr>
            <w:r>
              <w:rPr>
                <w:rFonts w:hint="eastAsia" w:ascii="宋体" w:hAnsi="宋体" w:eastAsia="宋体" w:cs="宋体"/>
                <w:szCs w:val="21"/>
              </w:rPr>
              <w:t>清洁工</w:t>
            </w:r>
          </w:p>
        </w:tc>
        <w:tc>
          <w:tcPr>
            <w:tcW w:w="615" w:type="pct"/>
            <w:tcBorders>
              <w:top w:val="single" w:color="auto" w:sz="4" w:space="0"/>
              <w:left w:val="single" w:color="auto" w:sz="4" w:space="0"/>
              <w:bottom w:val="single" w:color="auto" w:sz="4" w:space="0"/>
              <w:right w:val="single" w:color="auto" w:sz="4" w:space="0"/>
            </w:tcBorders>
            <w:vAlign w:val="center"/>
          </w:tcPr>
          <w:p w14:paraId="588D0D01">
            <w:pPr>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2039" w:type="pct"/>
            <w:tcBorders>
              <w:top w:val="single" w:color="auto" w:sz="4" w:space="0"/>
              <w:left w:val="single" w:color="auto" w:sz="4" w:space="0"/>
              <w:bottom w:val="single" w:color="auto" w:sz="4" w:space="0"/>
              <w:right w:val="single" w:color="auto" w:sz="4" w:space="0"/>
            </w:tcBorders>
            <w:vAlign w:val="center"/>
          </w:tcPr>
          <w:p w14:paraId="35C7E0F6">
            <w:pPr>
              <w:spacing w:line="360" w:lineRule="auto"/>
              <w:jc w:val="center"/>
              <w:rPr>
                <w:rFonts w:hint="eastAsia" w:ascii="宋体" w:hAnsi="宋体" w:eastAsia="宋体" w:cs="宋体"/>
                <w:szCs w:val="21"/>
              </w:rPr>
            </w:pPr>
            <w:r>
              <w:rPr>
                <w:rFonts w:hint="eastAsia" w:ascii="宋体" w:hAnsi="宋体" w:eastAsia="宋体" w:cs="宋体"/>
                <w:szCs w:val="21"/>
              </w:rPr>
              <w:t>餐厅清洁和消毒</w:t>
            </w:r>
          </w:p>
        </w:tc>
        <w:tc>
          <w:tcPr>
            <w:tcW w:w="1452" w:type="pct"/>
            <w:tcBorders>
              <w:top w:val="single" w:color="auto" w:sz="4" w:space="0"/>
              <w:left w:val="single" w:color="auto" w:sz="4" w:space="0"/>
              <w:bottom w:val="single" w:color="auto" w:sz="4" w:space="0"/>
              <w:right w:val="single" w:color="auto" w:sz="4" w:space="0"/>
            </w:tcBorders>
            <w:vAlign w:val="center"/>
          </w:tcPr>
          <w:p w14:paraId="1D200BA2">
            <w:pPr>
              <w:spacing w:line="360" w:lineRule="auto"/>
              <w:jc w:val="center"/>
              <w:rPr>
                <w:rFonts w:hint="eastAsia" w:ascii="宋体" w:hAnsi="宋体" w:eastAsia="宋体" w:cs="宋体"/>
                <w:szCs w:val="21"/>
              </w:rPr>
            </w:pPr>
            <w:r>
              <w:rPr>
                <w:rFonts w:hint="eastAsia" w:ascii="宋体" w:hAnsi="宋体" w:eastAsia="宋体" w:cs="宋体"/>
                <w:szCs w:val="21"/>
              </w:rPr>
              <w:t>1年及以上</w:t>
            </w:r>
          </w:p>
        </w:tc>
      </w:tr>
      <w:tr w14:paraId="5FB73BDD">
        <w:tblPrEx>
          <w:tblCellMar>
            <w:top w:w="0" w:type="dxa"/>
            <w:left w:w="108" w:type="dxa"/>
            <w:bottom w:w="0" w:type="dxa"/>
            <w:right w:w="108" w:type="dxa"/>
          </w:tblCellMar>
        </w:tblPrEx>
        <w:trPr>
          <w:trHeight w:val="161" w:hRule="atLeast"/>
          <w:jc w:val="center"/>
        </w:trPr>
        <w:tc>
          <w:tcPr>
            <w:tcW w:w="892" w:type="pct"/>
            <w:tcBorders>
              <w:top w:val="single" w:color="auto" w:sz="4" w:space="0"/>
              <w:left w:val="single" w:color="auto" w:sz="4" w:space="0"/>
              <w:bottom w:val="single" w:color="auto" w:sz="4" w:space="0"/>
              <w:right w:val="single" w:color="auto" w:sz="4" w:space="0"/>
            </w:tcBorders>
            <w:vAlign w:val="center"/>
          </w:tcPr>
          <w:p w14:paraId="58D34B9F">
            <w:pPr>
              <w:spacing w:line="360" w:lineRule="auto"/>
              <w:jc w:val="center"/>
              <w:rPr>
                <w:rFonts w:hint="eastAsia" w:ascii="宋体" w:hAnsi="宋体" w:eastAsia="宋体" w:cs="宋体"/>
                <w:szCs w:val="21"/>
              </w:rPr>
            </w:pPr>
            <w:r>
              <w:rPr>
                <w:rFonts w:hint="eastAsia" w:ascii="宋体" w:hAnsi="宋体" w:eastAsia="宋体" w:cs="宋体"/>
                <w:szCs w:val="21"/>
              </w:rPr>
              <w:t>洗碗工</w:t>
            </w:r>
          </w:p>
        </w:tc>
        <w:tc>
          <w:tcPr>
            <w:tcW w:w="615" w:type="pct"/>
            <w:tcBorders>
              <w:top w:val="single" w:color="auto" w:sz="4" w:space="0"/>
              <w:left w:val="single" w:color="auto" w:sz="4" w:space="0"/>
              <w:bottom w:val="single" w:color="auto" w:sz="4" w:space="0"/>
              <w:right w:val="single" w:color="auto" w:sz="4" w:space="0"/>
            </w:tcBorders>
            <w:vAlign w:val="center"/>
          </w:tcPr>
          <w:p w14:paraId="29008BCD">
            <w:pPr>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2039" w:type="pct"/>
            <w:tcBorders>
              <w:top w:val="single" w:color="auto" w:sz="4" w:space="0"/>
              <w:left w:val="single" w:color="auto" w:sz="4" w:space="0"/>
              <w:bottom w:val="single" w:color="auto" w:sz="4" w:space="0"/>
              <w:right w:val="single" w:color="auto" w:sz="4" w:space="0"/>
            </w:tcBorders>
            <w:vAlign w:val="center"/>
          </w:tcPr>
          <w:p w14:paraId="3E138CC1">
            <w:pPr>
              <w:spacing w:line="360" w:lineRule="auto"/>
              <w:jc w:val="center"/>
              <w:rPr>
                <w:rFonts w:hint="eastAsia" w:ascii="宋体" w:hAnsi="宋体" w:eastAsia="宋体" w:cs="宋体"/>
                <w:szCs w:val="21"/>
              </w:rPr>
            </w:pPr>
            <w:r>
              <w:rPr>
                <w:rFonts w:hint="eastAsia" w:ascii="宋体" w:hAnsi="宋体" w:eastAsia="宋体" w:cs="宋体"/>
                <w:szCs w:val="21"/>
              </w:rPr>
              <w:t>餐具收集、清洁和消毒</w:t>
            </w:r>
          </w:p>
        </w:tc>
        <w:tc>
          <w:tcPr>
            <w:tcW w:w="1452" w:type="pct"/>
            <w:tcBorders>
              <w:top w:val="single" w:color="auto" w:sz="4" w:space="0"/>
              <w:left w:val="single" w:color="auto" w:sz="4" w:space="0"/>
              <w:bottom w:val="single" w:color="auto" w:sz="4" w:space="0"/>
              <w:right w:val="single" w:color="auto" w:sz="4" w:space="0"/>
            </w:tcBorders>
            <w:vAlign w:val="center"/>
          </w:tcPr>
          <w:p w14:paraId="7526D774">
            <w:pPr>
              <w:spacing w:line="360" w:lineRule="auto"/>
              <w:jc w:val="center"/>
              <w:rPr>
                <w:rFonts w:hint="eastAsia" w:ascii="宋体" w:hAnsi="宋体" w:eastAsia="宋体" w:cs="宋体"/>
                <w:szCs w:val="21"/>
              </w:rPr>
            </w:pPr>
            <w:r>
              <w:rPr>
                <w:rFonts w:hint="eastAsia" w:ascii="宋体" w:hAnsi="宋体" w:eastAsia="宋体" w:cs="宋体"/>
                <w:szCs w:val="21"/>
              </w:rPr>
              <w:t>1年及以上</w:t>
            </w:r>
          </w:p>
        </w:tc>
      </w:tr>
      <w:tr w14:paraId="1DE36A5B">
        <w:tblPrEx>
          <w:tblCellMar>
            <w:top w:w="0" w:type="dxa"/>
            <w:left w:w="108" w:type="dxa"/>
            <w:bottom w:w="0" w:type="dxa"/>
            <w:right w:w="108" w:type="dxa"/>
          </w:tblCellMar>
        </w:tblPrEx>
        <w:trPr>
          <w:trHeight w:val="90" w:hRule="atLeast"/>
          <w:jc w:val="center"/>
        </w:trPr>
        <w:tc>
          <w:tcPr>
            <w:tcW w:w="892" w:type="pct"/>
            <w:tcBorders>
              <w:top w:val="single" w:color="auto" w:sz="4" w:space="0"/>
              <w:left w:val="single" w:color="auto" w:sz="4" w:space="0"/>
              <w:bottom w:val="single" w:color="auto" w:sz="4" w:space="0"/>
              <w:right w:val="single" w:color="auto" w:sz="4" w:space="0"/>
            </w:tcBorders>
            <w:vAlign w:val="center"/>
          </w:tcPr>
          <w:p w14:paraId="4CC3B765">
            <w:pPr>
              <w:spacing w:line="360" w:lineRule="auto"/>
              <w:jc w:val="center"/>
              <w:rPr>
                <w:rFonts w:hint="eastAsia" w:ascii="宋体" w:hAnsi="宋体" w:eastAsia="宋体" w:cs="宋体"/>
                <w:szCs w:val="21"/>
              </w:rPr>
            </w:pPr>
            <w:r>
              <w:rPr>
                <w:rFonts w:hint="eastAsia" w:ascii="宋体" w:hAnsi="宋体" w:eastAsia="宋体" w:cs="宋体"/>
                <w:szCs w:val="21"/>
              </w:rPr>
              <w:t>食品安全员</w:t>
            </w:r>
          </w:p>
        </w:tc>
        <w:tc>
          <w:tcPr>
            <w:tcW w:w="615" w:type="pct"/>
            <w:tcBorders>
              <w:top w:val="single" w:color="auto" w:sz="4" w:space="0"/>
              <w:left w:val="single" w:color="auto" w:sz="4" w:space="0"/>
              <w:bottom w:val="single" w:color="auto" w:sz="4" w:space="0"/>
              <w:right w:val="single" w:color="auto" w:sz="4" w:space="0"/>
            </w:tcBorders>
            <w:vAlign w:val="center"/>
          </w:tcPr>
          <w:p w14:paraId="1E3115DE">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2039" w:type="pct"/>
            <w:tcBorders>
              <w:top w:val="single" w:color="auto" w:sz="4" w:space="0"/>
              <w:left w:val="single" w:color="auto" w:sz="4" w:space="0"/>
              <w:bottom w:val="single" w:color="auto" w:sz="4" w:space="0"/>
              <w:right w:val="single" w:color="auto" w:sz="4" w:space="0"/>
            </w:tcBorders>
            <w:vAlign w:val="center"/>
          </w:tcPr>
          <w:p w14:paraId="0551E2AD">
            <w:pPr>
              <w:spacing w:line="360" w:lineRule="auto"/>
              <w:jc w:val="center"/>
              <w:rPr>
                <w:rFonts w:hint="eastAsia" w:ascii="宋体" w:hAnsi="宋体" w:eastAsia="宋体" w:cs="宋体"/>
                <w:szCs w:val="21"/>
              </w:rPr>
            </w:pPr>
            <w:r>
              <w:rPr>
                <w:rFonts w:hint="eastAsia" w:ascii="宋体" w:hAnsi="宋体" w:eastAsia="宋体" w:cs="宋体"/>
                <w:szCs w:val="21"/>
              </w:rPr>
              <w:t>暂定</w:t>
            </w:r>
          </w:p>
        </w:tc>
        <w:tc>
          <w:tcPr>
            <w:tcW w:w="1452" w:type="pct"/>
            <w:tcBorders>
              <w:top w:val="single" w:color="auto" w:sz="4" w:space="0"/>
              <w:left w:val="single" w:color="auto" w:sz="4" w:space="0"/>
              <w:bottom w:val="single" w:color="auto" w:sz="4" w:space="0"/>
              <w:right w:val="single" w:color="auto" w:sz="4" w:space="0"/>
            </w:tcBorders>
            <w:vAlign w:val="center"/>
          </w:tcPr>
          <w:p w14:paraId="0D13C09B">
            <w:pPr>
              <w:spacing w:line="360" w:lineRule="auto"/>
              <w:jc w:val="center"/>
              <w:rPr>
                <w:rFonts w:hint="eastAsia" w:ascii="宋体" w:hAnsi="宋体" w:eastAsia="宋体" w:cs="宋体"/>
                <w:szCs w:val="21"/>
              </w:rPr>
            </w:pPr>
            <w:r>
              <w:rPr>
                <w:rFonts w:hint="eastAsia" w:ascii="宋体" w:hAnsi="宋体" w:eastAsia="宋体" w:cs="宋体"/>
                <w:szCs w:val="21"/>
              </w:rPr>
              <w:t>2年及以上</w:t>
            </w:r>
          </w:p>
        </w:tc>
      </w:tr>
    </w:tbl>
    <w:p w14:paraId="562E8AA0">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第十二条 考核评价</w:t>
      </w:r>
    </w:p>
    <w:p w14:paraId="765D5D5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12.1 月度绩效考评：甲方对乙方的经营服务工作进行月度绩效考评，月度绩效考评每月最少1次，将乙方月度食堂经营服务费用的10%费用作为考评费用，根据当月考评得分，按以下比例支付给乙方：每月绩效考评[90-100]分的，按每月绩效考评费用的100%支付；每月绩效考评（80-90]分的，按每月绩效考评费用的90%支付；每月绩效考评[60-80）分的，按每月绩效考评费用的80%支付；每月绩效考评60分以下的，按每月绩效考评费用的60%支付；连续两个月或累计三个月月度绩效考评总分60分以下的甲方可以单方面解除合同，并追究乙方的违约责任。</w:t>
      </w:r>
    </w:p>
    <w:p w14:paraId="5CA9844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12.2 年度综合考评：甲方每年组织食堂经营服务综合考评工作。年度综合考评工作由甲方组织相关职能部门人员参与测评等进行开展，</w:t>
      </w:r>
      <w:r>
        <w:rPr>
          <w:rFonts w:hint="eastAsia" w:ascii="宋体" w:hAnsi="宋体" w:eastAsia="宋体" w:cs="宋体"/>
          <w:szCs w:val="21"/>
          <w:lang w:val="en-US" w:eastAsia="zh-CN"/>
        </w:rPr>
        <w:t>结合</w:t>
      </w:r>
      <w:r>
        <w:rPr>
          <w:rFonts w:hint="eastAsia" w:ascii="宋体" w:hAnsi="宋体" w:eastAsia="宋体" w:cs="宋体"/>
          <w:szCs w:val="21"/>
        </w:rPr>
        <w:t>月度绩效考评结果，通过综合评分法确定考评结果。年度综合考评分必须达到80分（含80分，小数点四舍五入）或以上才算通过考评，年度考评不通过，甲方有权单方面解除合同，并追究乙方的违约责任。</w:t>
      </w:r>
    </w:p>
    <w:p w14:paraId="0C25D21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12.3 月度绩效考评与年度综合考评工作具体内容详见附件，服务期内甲方有权根据实际需求调整考评内容，乙方须无条件配合。</w:t>
      </w:r>
    </w:p>
    <w:p w14:paraId="2C4733F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12.4 乙方通过年度综合考评后，甲方与乙方可以根据合同实际履行情况和下一年度工作计划对本合同做出修改或补充，并签订补充协议。</w:t>
      </w:r>
    </w:p>
    <w:p w14:paraId="175CA012">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第十三条 菜品定价机制</w:t>
      </w:r>
    </w:p>
    <w:p w14:paraId="25FB1BE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13.1 菜品定价原则</w:t>
      </w:r>
    </w:p>
    <w:p w14:paraId="539F884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13.1.1 成本导向原则：以菜品的成本为基础，考虑厨房人工成本、原材料成本以及其他间接成本，计算出菜品的基本售价。</w:t>
      </w:r>
    </w:p>
    <w:p w14:paraId="5481934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13.1.2 市场定价原则：考虑到市场的供求关系和用餐员工的支付能力，灵活调整菜品的价格，使之符合员工需求。</w:t>
      </w:r>
    </w:p>
    <w:p w14:paraId="0ABA5FA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13.1.3 健康优先原则：以推动健康饮食为出发点，鼓励售卖健康菜品，控制高糖、高盐、高脂肪食品的售价，提高蔬菜、水果的销售量。</w:t>
      </w:r>
    </w:p>
    <w:p w14:paraId="3E56530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13.2 菜品定价程序</w:t>
      </w:r>
    </w:p>
    <w:p w14:paraId="3A3FF97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13.2.1 菜品成本核算：乙方根据菜品的成本核算制定菜品的售价。成本核算包括原料成本、加工成本、人工成本等。</w:t>
      </w:r>
    </w:p>
    <w:p w14:paraId="3D98C9C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13.2.2 定价考虑：甲方通过对市场需求、支付能力进行深入研究，结合菜品的特性和市场定位，确定菜品的定价策略。</w:t>
      </w:r>
    </w:p>
    <w:p w14:paraId="3F550F0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13.2.3 定价合理化：不断搜集市场信息，根据菜品的成本、市场需求以及竞争情况进行定价调整，使售价更具合理性和竞争力。</w:t>
      </w:r>
    </w:p>
    <w:p w14:paraId="06588A7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13.2.4 确定价格：甲方与乙方根据周边市场平均价定出初步售价，由乙方提前一周通知甲方，经与甲方协商一致后，按确认的最终售价执行。当遇菜品价格无法达到一致时，可对菜品进行调整或更换，直至对价格达成一致为止。</w:t>
      </w:r>
    </w:p>
    <w:p w14:paraId="5628812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13.3 菜品定价控制</w:t>
      </w:r>
    </w:p>
    <w:p w14:paraId="2734D49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13.3.1 定价机制：建立菜品定价的内部审批机制，明确定价的责任部门和程序，确保定价的透明和公正。</w:t>
      </w:r>
    </w:p>
    <w:p w14:paraId="3D8808D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13.3.2 定价监控：建立定期菜品定价监测机制，及时收集和分析菜品定价情况，确保售价与实际成本相符，避免价格虚高或过低。</w:t>
      </w:r>
    </w:p>
    <w:p w14:paraId="2F7FFE9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13.3.3 定价调整：根据市场需求变化及菜品成本波动，灵活调整菜品的定价，及时回应市场变化。</w:t>
      </w:r>
    </w:p>
    <w:p w14:paraId="517818C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13.4 菜品定价执行</w:t>
      </w:r>
    </w:p>
    <w:p w14:paraId="692A3C1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13.4.1 价格公示：对确定的菜品售价进行公示，使用餐员工了解菜品的真实价格，杜绝价格欺诈的行为。</w:t>
      </w:r>
    </w:p>
    <w:p w14:paraId="14164FD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13.4.2 售价优惠：定期进行售价优惠活动，吸引消费者，提高销售量。</w:t>
      </w:r>
    </w:p>
    <w:p w14:paraId="6ED6D1B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13.4.3 售价稳定：除非有特殊原因，一般不得频繁调整菜品的定价，保持价格的相对稳定性。</w:t>
      </w:r>
    </w:p>
    <w:p w14:paraId="62E6D7A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13.5 菜品定价结果与效果评估</w:t>
      </w:r>
    </w:p>
    <w:p w14:paraId="7F4C4D4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13.5.1 定价效果评估：根据定价目标和员工需求情况，对定价效果进行评估，分析菜品定价是否符合员工的实际需求。</w:t>
      </w:r>
    </w:p>
    <w:p w14:paraId="65FDC162">
      <w:pPr>
        <w:spacing w:line="360" w:lineRule="auto"/>
        <w:ind w:firstLine="420" w:firstLineChars="200"/>
        <w:rPr>
          <w:rFonts w:hint="eastAsia" w:ascii="宋体" w:hAnsi="宋体" w:eastAsia="宋体" w:cs="宋体"/>
          <w:color w:val="000000"/>
          <w:szCs w:val="21"/>
        </w:rPr>
      </w:pPr>
      <w:r>
        <w:rPr>
          <w:rFonts w:hint="eastAsia" w:ascii="宋体" w:hAnsi="宋体" w:eastAsia="宋体" w:cs="宋体"/>
          <w:szCs w:val="21"/>
        </w:rPr>
        <w:t>13.5.2 定价改进措施：根据定价评估结果，调整和改进菜品定价管理制度，保持菜品售价的合理性和竞争力。</w:t>
      </w:r>
    </w:p>
    <w:p w14:paraId="017F5181">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第十四条 履约担保</w:t>
      </w:r>
    </w:p>
    <w:p w14:paraId="68C2C282">
      <w:pPr>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14.1 乙方应当在规定的时间内向甲方提供履约担保，履约担保形式及金额由乙方从以下方式中任选一种：</w:t>
      </w:r>
    </w:p>
    <w:p w14:paraId="17205A27">
      <w:pPr>
        <w:snapToGrid w:val="0"/>
        <w:spacing w:line="360" w:lineRule="auto"/>
        <w:ind w:firstLine="371" w:firstLineChars="177"/>
        <w:rPr>
          <w:rFonts w:hint="eastAsia" w:ascii="宋体" w:hAnsi="宋体" w:eastAsia="宋体" w:cs="宋体"/>
          <w:color w:val="000000"/>
          <w:szCs w:val="21"/>
          <w:u w:val="single"/>
        </w:rPr>
      </w:pPr>
      <w:r>
        <w:rPr>
          <w:rFonts w:hint="eastAsia" w:ascii="宋体" w:hAnsi="宋体" w:eastAsia="宋体" w:cs="宋体"/>
          <w:color w:val="000000"/>
          <w:szCs w:val="21"/>
        </w:rPr>
        <w:t>□ 履约保证金（银行转账形式）金额为人民币</w:t>
      </w:r>
      <w:r>
        <w:rPr>
          <w:rFonts w:hint="eastAsia" w:ascii="宋体" w:hAnsi="宋体" w:eastAsia="宋体" w:cs="宋体"/>
          <w:color w:val="000000"/>
          <w:szCs w:val="21"/>
          <w:u w:val="single"/>
        </w:rPr>
        <w:t xml:space="preserve">      。</w:t>
      </w:r>
    </w:p>
    <w:p w14:paraId="71BD50C4">
      <w:pPr>
        <w:snapToGrid w:val="0"/>
        <w:spacing w:line="360" w:lineRule="auto"/>
        <w:ind w:firstLine="371" w:firstLineChars="177"/>
        <w:rPr>
          <w:rFonts w:hint="eastAsia" w:ascii="宋体" w:hAnsi="宋体" w:eastAsia="宋体" w:cs="宋体"/>
          <w:color w:val="000000"/>
          <w:szCs w:val="21"/>
          <w:u w:val="single"/>
        </w:rPr>
      </w:pPr>
      <w:r>
        <w:rPr>
          <w:rFonts w:hint="eastAsia" w:ascii="宋体" w:hAnsi="宋体" w:eastAsia="宋体" w:cs="宋体"/>
          <w:color w:val="000000"/>
          <w:szCs w:val="21"/>
        </w:rPr>
        <w:t>□ 银行不可撤销履约保函（</w:t>
      </w:r>
      <w:r>
        <w:rPr>
          <w:rFonts w:hint="eastAsia" w:ascii="宋体" w:hAnsi="宋体" w:eastAsia="宋体" w:cs="宋体"/>
          <w:kern w:val="0"/>
          <w:szCs w:val="21"/>
        </w:rPr>
        <w:t>或履约保证保险</w:t>
      </w:r>
      <w:r>
        <w:rPr>
          <w:rFonts w:hint="eastAsia" w:ascii="宋体" w:hAnsi="宋体" w:eastAsia="宋体" w:cs="宋体"/>
          <w:color w:val="000000"/>
          <w:szCs w:val="21"/>
        </w:rPr>
        <w:t>）金额为</w:t>
      </w:r>
      <w:r>
        <w:rPr>
          <w:rFonts w:hint="eastAsia" w:ascii="宋体" w:hAnsi="宋体" w:eastAsia="宋体" w:cs="宋体"/>
          <w:color w:val="000000"/>
          <w:szCs w:val="21"/>
          <w:lang w:val="zh-CN"/>
        </w:rPr>
        <w:t>人民币</w:t>
      </w:r>
      <w:r>
        <w:rPr>
          <w:rFonts w:hint="eastAsia" w:ascii="宋体" w:hAnsi="宋体" w:eastAsia="宋体" w:cs="宋体"/>
          <w:color w:val="000000"/>
          <w:szCs w:val="21"/>
          <w:u w:val="single"/>
        </w:rPr>
        <w:t xml:space="preserve">       。</w:t>
      </w:r>
    </w:p>
    <w:p w14:paraId="386F9534">
      <w:pPr>
        <w:snapToGrid w:val="0"/>
        <w:spacing w:line="360" w:lineRule="auto"/>
        <w:ind w:firstLine="371" w:firstLineChars="177"/>
        <w:rPr>
          <w:rFonts w:hint="eastAsia" w:ascii="宋体" w:hAnsi="宋体" w:eastAsia="宋体" w:cs="宋体"/>
          <w:color w:val="000000"/>
          <w:szCs w:val="21"/>
          <w:u w:val="single"/>
        </w:rPr>
      </w:pPr>
      <w:r>
        <w:rPr>
          <w:rFonts w:hint="eastAsia" w:ascii="宋体" w:hAnsi="宋体" w:eastAsia="宋体" w:cs="宋体"/>
          <w:color w:val="000000"/>
          <w:szCs w:val="21"/>
        </w:rPr>
        <w:t>□ 担保公司履约担保书金额为</w:t>
      </w:r>
      <w:r>
        <w:rPr>
          <w:rFonts w:hint="eastAsia" w:ascii="宋体" w:hAnsi="宋体" w:eastAsia="宋体" w:cs="宋体"/>
          <w:color w:val="000000"/>
          <w:szCs w:val="21"/>
          <w:lang w:val="zh-CN"/>
        </w:rPr>
        <w:t>人民币</w:t>
      </w:r>
      <w:r>
        <w:rPr>
          <w:rFonts w:hint="eastAsia" w:ascii="宋体" w:hAnsi="宋体" w:eastAsia="宋体" w:cs="宋体"/>
          <w:color w:val="000000"/>
          <w:szCs w:val="21"/>
          <w:u w:val="single"/>
        </w:rPr>
        <w:t xml:space="preserve">        。</w:t>
      </w:r>
    </w:p>
    <w:p w14:paraId="604E255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14.2 履约担保用于补偿甲方因乙方不能完全履行其合同义务而蒙受的损失，如发生下列任一情况时，甲方除有权依合同追究乙方违约责任外，还有权提取履约担保并进行相应处理：</w:t>
      </w:r>
    </w:p>
    <w:p w14:paraId="058A2B0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14.2.1 乙方将本合同项下乙方的权利义务全部转让给第三方，或未经甲方书面同意，乙方将本合同部分权利义务转让给第三方，甲方有权没收其履约担保。</w:t>
      </w:r>
    </w:p>
    <w:p w14:paraId="3277C1F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14.2.2 在合同履行期间，乙方怠于履行合同义务，经甲方通知或要求承担违约金后仍拒不改正的，甲方有权没收或适当扣除其履约担保。</w:t>
      </w:r>
    </w:p>
    <w:p w14:paraId="37DEE8E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14.2.3 在合同履行期间，因乙方服务质量问题造成损害、侵权损失（包括但不限于甲方经济损失、乙方所雇人员及第三人人身财产损失等）、乙方拖欠供应商货款或与其所雇用员工发生劳资纠纷、上访、闹事、乙方在经营过程中发生任何食品安全隐患问题（造成甲方就餐员工食物中毒、食品安全事故等现象）或其他影响甲方生产经营等情况而其未及时妥善处理的，甲方有权使用履约担保予以支付或作出相应处理，由此产生的一切法律后果由乙方承担。</w:t>
      </w:r>
    </w:p>
    <w:p w14:paraId="2A09412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14.2.4 在合同履行期间，乙方违约产生的违约金、赔偿、罚款或其他应付费用等款项，甲方有权直接从未付服务费中扣除或使用履约担保予以支付。</w:t>
      </w:r>
    </w:p>
    <w:p w14:paraId="5465312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14.2.5 合同期内，乙方不能及时完成合同某项义务的，甲方有权使用履约担保用于处理该项工作。</w:t>
      </w:r>
    </w:p>
    <w:p w14:paraId="7E4533A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14.2.6 其他根据本合同约定或法律规定，甲方可使用履约担保的情形。</w:t>
      </w:r>
    </w:p>
    <w:p w14:paraId="26BF17D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14.3 在期限届满并在乙方完成本合同的全部服务义务后二十八（28）日内，甲方将履约担保余额无息退还乙方。</w:t>
      </w:r>
    </w:p>
    <w:p w14:paraId="096AB3F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14.4 如乙方提供不可撤销银行履约保函或担保公司履约担保书作为履约担保的，不可撤销银行履约保函或担保公司履约担保书应自合同签订之日起到期限届满并在乙方完成本合同的全部服务义务后二十八（28）日内保持有效。</w:t>
      </w:r>
    </w:p>
    <w:p w14:paraId="364659C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14.5 在合同履行过程中，不论何种原因导致履约担保数额不符合招标文件要求及本合同约定的，乙方应当在5日内予以补足。逾期不予补足的，甲方有权按需补足的金额要求乙方承担违约金，并要求乙方限期补足。如乙方仍不补足的，甲方有权单方解除合同。</w:t>
      </w:r>
    </w:p>
    <w:p w14:paraId="744DA7C1">
      <w:pPr>
        <w:spacing w:line="360" w:lineRule="auto"/>
        <w:ind w:firstLine="422" w:firstLineChars="200"/>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 xml:space="preserve">第十五条 </w:t>
      </w:r>
      <w:r>
        <w:rPr>
          <w:rFonts w:hint="eastAsia" w:ascii="宋体" w:hAnsi="宋体" w:eastAsia="宋体" w:cs="宋体"/>
          <w:b/>
          <w:bCs/>
          <w:sz w:val="21"/>
          <w:szCs w:val="21"/>
          <w:highlight w:val="none"/>
        </w:rPr>
        <w:t>违约责任</w:t>
      </w:r>
    </w:p>
    <w:p w14:paraId="6E1F185C">
      <w:pPr>
        <w:spacing w:line="360" w:lineRule="auto"/>
        <w:ind w:firstLine="420" w:firstLineChars="20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15.1 乙方接到甲方《进场通知书》后，无正当理由未按本合同约定的要求开展水业大厦食堂经营工作并提供餐饮服务的，乙方应按照人民币30,000元/天向甲方支付违约金，乙方逾期10日未能按本合同要求开展水业大厦食堂经营工作并提供餐饮服务的，在乙方根据前述约定支付违约金的同时，甲方有权单方解除合同。</w:t>
      </w:r>
    </w:p>
    <w:p w14:paraId="39E9D468">
      <w:pPr>
        <w:spacing w:line="360" w:lineRule="auto"/>
        <w:ind w:firstLine="420" w:firstLineChars="20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15.2 本合同服务有效期内，非经甲方同意，乙方不得以任何理由擅自停止提供餐饮服务。如擅自停止，甲方有权单方解除合同并要求乙方向甲方支付人民币300,000.00元的违约金，且乙方还需赔偿停餐导致甲方的损失（包括但不限于甲方另行委托其他方提供伙食的费用等）。</w:t>
      </w:r>
    </w:p>
    <w:p w14:paraId="436F35C9">
      <w:pPr>
        <w:spacing w:line="360" w:lineRule="auto"/>
        <w:ind w:firstLine="420" w:firstLineChars="20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15.3 因乙方原因未按时提供餐饮服务或供应菜品的数量、质量等不符合合同约定、菜品口味不佳、烹饪火候掌握不当、菜品分量明显不足等问题，经甲方要求整改后仍未能达到要求的，乙方应按照人民币2,000元/次向甲方支付违约金，如一个月内5次或累计10次出现上述情况，甲方有权单方解除合同并要求乙方向甲方支付人民币300,000.00元的违约金。违约金不足以弥补乙方因此给甲方所造成的损失的，乙方还应当予以补足。</w:t>
      </w:r>
    </w:p>
    <w:p w14:paraId="6961748C">
      <w:pPr>
        <w:spacing w:line="360" w:lineRule="auto"/>
        <w:ind w:firstLine="420" w:firstLineChars="20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15.4 本合同服务有效期内，乙方应保持相应资质的有效性，具备提供食堂经营服务工作的资格条件，因乙方资质条件丧失，导致无法承接食堂经营服务工作的，甲方有权单方解除合同并要求乙方向甲方支付人民币300,000.00元的违约金。</w:t>
      </w:r>
    </w:p>
    <w:p w14:paraId="4396325A">
      <w:pPr>
        <w:spacing w:line="360" w:lineRule="auto"/>
        <w:ind w:firstLine="420" w:firstLineChars="20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15.5 乙方应按照甲方的要求和投标文件承诺配备满足要求的食堂工作人员，乙方食堂工作人员被甲方认定不适合岗位要求或食堂工作人员因为调走、辞职、被乙方辞退或其他原因导致不满足甲方要求的，乙方必须在3个工作日内补充资质、能力相当的人员以满足食堂餐饮服务需要。乙方未能及时补充符合甲方要求的食堂工作人员，乙方应按照人民币10,000元/天向甲方支付违约金，乙方逾期10日未能及时补充符合甲方要求的食堂工作人员的，在乙方根据前述约定支付违约金的同时，甲方有权单方解除本合同。在此期间如造成食堂停止供应餐食或未按时提供餐饮服务或供应菜品数量、质量不符合要求或服务质量不符合要求的，视为乙方未按本合同约定的要求开展食堂经营服务工作，将按照本条第1款约定追究乙方的违约责任。</w:t>
      </w:r>
    </w:p>
    <w:p w14:paraId="6122E879">
      <w:pPr>
        <w:spacing w:line="360" w:lineRule="auto"/>
        <w:ind w:firstLine="420" w:firstLineChars="20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15.6 乙方应按投标时承诺的食堂管理经理投入本项目，在合同履约过程中不可无故更换食堂管理经理，如确实需要更换，乙方应提前1个月向甲方提出书面申请（申请应明确更换的理由，继任人员的资格、职称、经历经验及简历等资料），经甲方书面同意后方可更换；如乙方一年内连续两次更换食堂管理经理，第三次更换时，甲方有权单方解除合同且不承担任何违约责任，乙方还应向甲方支付人民币300，000.00元作为违约金；违约金不足以弥补乙方因此给甲方所造成的损失的，乙方还应当予以补足。因上述人员辞职、死亡、重大疾病导致不能履行职责或甲方要求撤换的除外。</w:t>
      </w:r>
    </w:p>
    <w:p w14:paraId="7E7C2D42">
      <w:pPr>
        <w:spacing w:line="360" w:lineRule="auto"/>
        <w:ind w:firstLine="420" w:firstLineChars="20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15.7 乙方更换其他工作人员，应提前7天向甲方提出书面申请，经甲方同意后方可更换，乙方应以相当资格、能力与经验的人员替换，否则视为乙方违约，乙方应向甲方支付人民币10,000.00元/次作为违约金；违约金不足以弥补乙方因此给甲方所造成的损失的，乙方还应当予以补足。</w:t>
      </w:r>
    </w:p>
    <w:p w14:paraId="515E295D">
      <w:pPr>
        <w:spacing w:line="360" w:lineRule="auto"/>
        <w:ind w:firstLine="420" w:firstLineChars="20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15.8 乙方有责任妥善使用甲方提供的厨房设备设施，若因乙方食堂工作人员操作不当、维护维修不及时或错误维护维修导致甲方食堂设备设施损害的，由乙方承担维护维修所有费用并负责维护维修至正常使用状态，因损坏严重导致无法维修的，乙方应购买同款设施设备或不低于原设施设备进行赔偿，且乙方还应向甲方支付人民币5,000.00元/次作为违约金，违约金不足以弥补甲方损失的，乙方还应当予以补足。如造成食堂停止供应餐食或未按时提供餐饮服务或供应菜品数量、质量不符合要求的，视为乙方未按本合同约定的要求开展食堂经营服务工作，将按照本条第1款约定追究乙方的违约责任。</w:t>
      </w:r>
    </w:p>
    <w:p w14:paraId="257FA4CC">
      <w:pPr>
        <w:spacing w:line="360" w:lineRule="auto"/>
        <w:ind w:firstLine="420" w:firstLineChars="20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15.9 乙方应按照设备的使用说明书及相关要求定期对厨房设备设施进行维护保养，并做好相应记录，以供甲方检查，若甲方检查发现乙方未按规定进行设备设施维护保养工作的，每发现一次，甲方有权要求乙方支付3,000元/次的违约金，乙方需立即整改，补做相应的维护保养措施，同时乙方承担设备设施的维修工作，由此产生的费用均由乙方承担，如造成食堂停止供应餐食或未按时提供餐饮服务或供应菜品数量、质量不符合要求的，视为乙方未按本合同约定的要求开展食堂经营服务工作，将按照本条第1款约定追究乙方的违约责任。</w:t>
      </w:r>
    </w:p>
    <w:p w14:paraId="0BE657B0">
      <w:pPr>
        <w:spacing w:line="360" w:lineRule="auto"/>
        <w:ind w:firstLine="420" w:firstLineChars="20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15.10 由于乙方工作失误的原因，造成食堂工作人员的经济损失，所产生的损失及后果由乙方承担。因乙方食堂工作人员蓄意破坏食堂设备设施的，一经查实，则视为乙方严重违约，甲方有权单方解除合同，乙方应向甲方支付人民币300,000.00元作为违约金，违约金不足以弥补损失的，乙方还应承担赔偿责任，情节严重的依法追究其法律责任。</w:t>
      </w:r>
    </w:p>
    <w:p w14:paraId="5CAB893A">
      <w:pPr>
        <w:spacing w:line="360" w:lineRule="auto"/>
        <w:ind w:firstLine="420" w:firstLineChars="20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15.11 乙方未按照合同约定，在菜品定价未经甲方审核通过的情况下，擅自确定菜品价格并在水业大厦食堂售卖，乙方应向甲方支付人民币1,000.00元/次作为违约金，并应立即将菜品价格报甲方审核，在未经甲方审核通过前，由甲方决定该菜品售卖价格或停止该菜品在水业大厦食堂售卖。</w:t>
      </w:r>
    </w:p>
    <w:p w14:paraId="0B70186A">
      <w:pPr>
        <w:spacing w:line="360" w:lineRule="auto"/>
        <w:ind w:firstLine="420" w:firstLineChars="20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15.12 乙方未按甲方审核的菜品定价在水业大厦食堂进行售卖，擅自调整甲方审核通过的菜品价格，乙方应向甲方支付人民币1,000.00元/次作为违约金，并应立即恢复菜品价格到甲方审核的价格。如一个月内5次或累计10次出现上述情况甲方有权单方解除合同并要求乙方向甲方支付人民币300,000.00元的违约金。违约金不足以弥补乙方因此给甲方所造成的损失的，乙方还应当予以补足。</w:t>
      </w:r>
    </w:p>
    <w:p w14:paraId="178D6CD2">
      <w:pPr>
        <w:spacing w:line="360" w:lineRule="auto"/>
        <w:ind w:firstLine="420" w:firstLineChars="20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15.13 若乙方提供的菜品存在食材变质、有异味、不符合食品安全卫生标准（以相关监管部门抽检结果或权威第三方检测报告为准）等严重质量问题，导致在水业大厦食堂就餐人员出现身体不适或食物中毒等食品安全事故的，则由乙方承担全部责任及赔偿甲方一切损失并妥善处理善后事宜，甲方保留法律追究的权利；如甲方先行垫付相关费用，有权向乙方进行追偿。同时要求乙方按人民币10,000元/次的标准向甲方支付违约金，出现以下情节特别严重事故的：（1）多人食物中毒或健康损害。导致10人及以上就餐人员出现食物中毒或其他健康损害，且经相关监管部门认定为乙方责任的；（2）严重健康损害或死亡。导致就餐人员出现严重健康损害（如住院治疗、器官损伤等）或死亡的；（3）食品安全事故被媒体报道或造成恶劣社会影响；（4）监管部门认定的重大食品安全事故；（5）造成甲方重大经济损失。因乙方提供的菜品质量问题导致甲方遭受重大经济损失，金额达到人民币50,000元及以上的；（6）乙方提供的菜品存在严重卫生问题、使用违禁添加剂、掺杂掺假等行为，且造成恶劣后果的，甲方有权单方解除合同并要求乙方向甲方支付人民币300,000.00元的违约金。违约金不足以弥补乙方因此给甲方所造成的损失的，乙方还应当予以补足。</w:t>
      </w:r>
    </w:p>
    <w:p w14:paraId="3A15EB1A">
      <w:pPr>
        <w:spacing w:line="360" w:lineRule="auto"/>
        <w:ind w:firstLine="420" w:firstLineChars="20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15.14 乙方应确保食堂厨房及就餐区域的环境卫生符合国家相关卫生标准以及甲方的要求，包括但不限于厨房操作台面整洁、无油污，餐具及时清洗消毒，就餐区域地面干净、桌椅摆放整齐等。若甲方在日常检查或卫生监督部门抽检中发现卫生不符合要求的情况，乙方应向甲方支付人民币3,000元/次的违约金，并需立即进行整改；若一个月内累计出现卫生问题达5次，乙方应向甲方支付人民币100,000元的违约金，同时乙方需加强卫生管理工作并向甲方提交详细的整改方案，若一个月内累计第6次出现卫生问题的，甲方有权单方解除合同，并要求乙方向甲方支付人民币300,000.00元的违约金。</w:t>
      </w:r>
    </w:p>
    <w:p w14:paraId="298332EA">
      <w:pPr>
        <w:spacing w:line="360" w:lineRule="auto"/>
        <w:ind w:firstLine="420" w:firstLineChars="20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15.15 若乙方未能严格遵守食品安全管理制度，如食品留样不符合规定（留样数量不足、留样时间不够等）、未按要求进行食材采购索证索票、食品加工过程不符合卫生规范等情况，乙方应向甲方支付人民币3,000元/次的违约金，并需立即进行整改；若因食品安全管理违规导致食品安全事故隐患或者发生食品安全事故的，则由乙方承担全部责任及赔偿甲方一切损失并妥善处理善后事宜，甲方保留法律追究的权利；如甲方先行垫付相关费用，有权向乙方进行追偿。同时甲方有权单方解除合同，并要求乙方向甲方支付人民币300,000.00元的违约金。违约金不足以弥补乙方因此给甲方所造成的损失的，乙方还应当予以补足。</w:t>
      </w:r>
    </w:p>
    <w:p w14:paraId="7DB9CD01">
      <w:pPr>
        <w:spacing w:line="360" w:lineRule="auto"/>
        <w:ind w:firstLine="420" w:firstLineChars="20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15.16 乙方负责食堂经营服务期间的安全管理工作，包括但不限于燃气使用安全、用电安全、防火防盗等。若因乙方安全管理疏忽，未落实相应安全措施，出现安全事故隐患，经甲方或相关监管部门指出后仍未及时整改的，乙方应向甲方支付人民币1,000元/次的违约金。若因安全管理不到位导致发生安全事故的，则由乙方承担全部责任及赔偿甲方一切损失并妥善处理善后事宜，甲方保留法律追究的权利；如甲方先行垫付相关费用，有权向乙方进行追偿。出现以下情节特别严重事故的：（1）造成人员伤亡。因乙方安全管理部到位导致发生安全事故，造成1人及以上伤亡，或者3人及以上重伤的；（2）重大财产损失。因乙方安全管理疏忽导致发生安全事故，造成财产损失金额达到人民币50,000元及以上的；（3）安全事故被媒体报道或造成恶劣社会影响；（4）乙方违规使用违禁物品、危险化学品、或未按安全操作规程进行燃气、用电等操作，导致发生重大安全事故的，甲方有权单方解除合同并要求乙方向甲方支付人民币300,000.00元的违约金。违约金不足以弥补乙方因此给甲方所造成的损失的，乙方还应当予以补足。</w:t>
      </w:r>
    </w:p>
    <w:p w14:paraId="33276765">
      <w:pPr>
        <w:spacing w:line="360" w:lineRule="auto"/>
        <w:ind w:firstLine="420" w:firstLineChars="20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15.17 若甲方接到关于乙方食堂工作人员服务态度恶劣（如言语不文明、与就餐人员发生争吵等情况）的有效投诉，经核实后，乙方应向甲方支付人民币1,000元/次的违约金，并需对涉事工作人员进行批评教育、培训和更换等处理；若一个月内累计出现此类投诉达5次，乙方应向甲方支付人民币10,000元的违约金，同时乙方需加强人员服务意识培训并向甲方提交书面整改报告，若一个月内累计第6次出现此类投诉的，甲方有权单方解除合同，并要求乙方向甲方支付人民币300,000.00元的违约金。</w:t>
      </w:r>
    </w:p>
    <w:p w14:paraId="5240E9F6">
      <w:pPr>
        <w:spacing w:line="360" w:lineRule="auto"/>
        <w:ind w:firstLine="420" w:firstLineChars="20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15.18 乙方人员进入甲方管辖区域、工作范围，必须遵守甲方有关管理规章制度，未经许可不得擅自移动或使用甲方设备、设施以及影响甲方的生产和正常工作，若造成甲方事故或经济损失，乙方须负全部法律责任。</w:t>
      </w:r>
      <w:r>
        <w:rPr>
          <w:rFonts w:hint="eastAsia" w:ascii="宋体" w:hAnsi="宋体" w:eastAsia="宋体" w:cs="宋体"/>
          <w:sz w:val="21"/>
          <w:szCs w:val="21"/>
          <w:highlight w:val="none"/>
          <w:lang w:val="en-US" w:eastAsia="zh-Hans"/>
        </w:rPr>
        <w:t>同时</w:t>
      </w:r>
      <w:r>
        <w:rPr>
          <w:rFonts w:hint="eastAsia" w:ascii="宋体" w:hAnsi="宋体" w:eastAsia="宋体" w:cs="宋体"/>
          <w:sz w:val="21"/>
          <w:szCs w:val="21"/>
          <w:highlight w:val="none"/>
          <w:lang w:val="en-US" w:eastAsia="zh-CN"/>
        </w:rPr>
        <w:t>甲方有权单方解除合同，并要求乙方向甲方支付人民币300,000.00元的违约金。</w:t>
      </w:r>
    </w:p>
    <w:p w14:paraId="0A22C751">
      <w:pPr>
        <w:spacing w:line="360" w:lineRule="auto"/>
        <w:ind w:firstLine="420" w:firstLineChars="20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15.19 乙方应及时、足额向食堂工作人员发放工资以及其他福利待遇等，不得无故拖欠或克扣，如乙方违反上述约定，并造成损失的，由乙方独立承担全部责任。如该行为对甲方工作造成影响的，甲方有权根据食堂工作人员的诉求，从当月应支付的经营服务款中先行支付给工作人员，如因此给甲方造成损失的，甲方有权要求乙方承担赔偿责任。情况严重的，甲方有权上报相关行政主管部门处理且有权单方解除本合同，并要求乙方向甲方支付人民币300,000.00元的违约金。</w:t>
      </w:r>
    </w:p>
    <w:p w14:paraId="0827C9CC">
      <w:pPr>
        <w:spacing w:line="360" w:lineRule="auto"/>
        <w:ind w:firstLine="420" w:firstLineChars="20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15.20 若乙方违反本合同之约定，或其食堂工作人员为甲方提供食堂经营服务的员工就劳动、社保、住房公积金等关系向甲方追索，或干扰甲方经营、甲方人员工作，或由于乙方或其所安排的食堂工作人员原因，致使甲方被第三方处罚、追索的，乙方应向甲方支付人民币100,000元的违约金；同时，甲方被处罚、追索费用由乙方承担；如由甲方承担被处罚、追索费用的，则乙方应向甲方支付由甲方承担之费用。</w:t>
      </w:r>
    </w:p>
    <w:p w14:paraId="01F121C1">
      <w:pPr>
        <w:spacing w:line="360" w:lineRule="auto"/>
        <w:ind w:firstLine="420" w:firstLineChars="20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15.21 甲方每月对乙方进行绩效考评，每月绩效考评[90-100]分的，按每月绩效考评费用的100%支付；每月绩效考评（80-90]分的，按每月绩效考评费用的90%支付；每月绩效考评[60-80）分的，按每月绩效考评费用的80%支付；每月绩效考评60分以下的，按每月绩效考评费用的60%支付，连续两个月或累计三个月月度绩效考评总分60分以下的，甲方有权单方解除本合同，并要求乙方向甲方支付人民币300,000.00元的违约金。</w:t>
      </w:r>
    </w:p>
    <w:p w14:paraId="64456833">
      <w:pPr>
        <w:spacing w:line="360" w:lineRule="auto"/>
        <w:ind w:firstLine="420" w:firstLineChars="20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15.22 甲方每月对就餐人员进行食堂服务质量的满意度调查（乙方可派人参与），内容包括食堂饮食卫生、质量、份量和工作人员的服务态度等。调查问卷不少于就餐人员的30%，满意度70%以上为合格。若满意度调查不合格，乙方应向甲方支付人民币1,000元/次的违约金，并责成乙方限期整改。</w:t>
      </w:r>
    </w:p>
    <w:p w14:paraId="7C035CDB">
      <w:pPr>
        <w:spacing w:line="360" w:lineRule="auto"/>
        <w:ind w:firstLine="420" w:firstLineChars="20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15.23 甲方每年组织对乙方经营服务工作进行综合考评，年度综合考评80分以下的，视为考核不通过，甲方有权单方解除本合同，并要求乙方向甲方支付人民币300,000.00元的违约金。</w:t>
      </w:r>
    </w:p>
    <w:p w14:paraId="089D41F3">
      <w:pPr>
        <w:spacing w:line="360" w:lineRule="auto"/>
        <w:ind w:firstLine="420" w:firstLineChars="20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15.24 乙方未在按甲方进场通知书约定时间内全数如实投入投标时承诺投入本项目使用的餐具、智能管理系统和智能称重设备或以任何理由拖延或拒绝的，甲方有权要求乙方限期内全数如实投入使用，同时乙方应按照人民币10,000元/天向甲方支付违约金，在此期间如影响食堂餐食供应的，视为乙方未按本合同约定的要求开展食堂经营服务工作，将按照本条第1款约定追究乙方的违约责任。</w:t>
      </w:r>
    </w:p>
    <w:p w14:paraId="2A8AF87E">
      <w:pPr>
        <w:spacing w:line="360" w:lineRule="auto"/>
        <w:ind w:firstLine="420" w:firstLineChars="20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15.25 未经甲方书面同意，乙方不得擅自将本项目服务合同项下的权利义务全部或部分转让；如违反，乙方应立即停止转让行为，并按人民币300,000元/次的标准向甲方支付违约金，甲方因此遭受损失的，乙方还应负责赔偿。</w:t>
      </w:r>
    </w:p>
    <w:p w14:paraId="6971F8C5">
      <w:pPr>
        <w:spacing w:line="360" w:lineRule="auto"/>
        <w:ind w:firstLine="420" w:firstLineChars="20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15.26 因乙方及其工作人员导致甲方员工、第三人遭受财产损失或人身损害的（包括但不限于食物中毒、地面湿滑导致的事故等），乙方应承担全部责任；甲方因此遭受损失的（包括但不限于第三方索赔、应诉所支出的费用等），有权向乙方追偿。</w:t>
      </w:r>
    </w:p>
    <w:p w14:paraId="1AE6735E">
      <w:pPr>
        <w:spacing w:line="360" w:lineRule="auto"/>
        <w:ind w:firstLine="420" w:firstLineChars="20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15.27 如因乙方原因，导致发生法律纠纷案件，甲方被列为承担责任的诉讼当事人（第三人或被告），或造成社会负面影响的，视为乙方违约，即有权要求乙方向甲方支付人民币300,000.00元的违约金；如造成甲方经济损失的（包括但不限于律师费、诉讼费、保全费、执行费、差旅费等损失），由乙方赔偿所有损失，并将相关情况报相关行政主管部门。甲方收到法院参与诉讼通知之日视为乙方构成违约，甲方即有权要求乙方承担前述违约金、损失赔偿的违约责任，即使甲方最终未被法院判决承担任何责任，乙方也无权要求甲方免除前述违约责任。</w:t>
      </w:r>
    </w:p>
    <w:p w14:paraId="5AE2510E">
      <w:pPr>
        <w:spacing w:line="360" w:lineRule="auto"/>
        <w:ind w:firstLine="420" w:firstLineChars="20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15.28 乙方确认，食材供应、乙方员工或劳务、安全事故、卫生安全事件等引致的付款请求或其他权利主张，由乙方负责承担和处理。如因乙方原因导致甲方被列为承担连带责任方或被上访单位，且相关生效判决/裁决判定甲方需向相关人员承担责任或基于维稳等原因导致甲方必须支付相关费用的，甲方在支付相关费用后有权从应支付的当期经营管理费等合同款中直接抵扣，且甲方因此发生的诉讼费、鉴定评估费、律师费、出具银行保函产生的费用、垫付款项利息损失（按中国人民银行同期贷款利率LPR的4倍计算）等全部损失，以及乙方应承担的违约金等，乙方亦同意由甲方在应支付的当期合同款中直接抵扣，当期合同款不足以抵扣的，可在下期应支付的合同款中继续抵扣，直至完全抵销后甲方再按约定支付剩余合同款，如合同款不足以抵扣的，乙方还应另行向甲方支付。</w:t>
      </w:r>
    </w:p>
    <w:p w14:paraId="63240B75">
      <w:pPr>
        <w:snapToGrid w:val="0"/>
        <w:spacing w:line="360" w:lineRule="auto"/>
        <w:ind w:firstLine="411" w:firstLineChars="195"/>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第</w:t>
      </w:r>
      <w:r>
        <w:rPr>
          <w:rFonts w:hint="eastAsia" w:ascii="宋体" w:hAnsi="宋体" w:eastAsia="宋体" w:cs="宋体"/>
          <w:b/>
          <w:sz w:val="21"/>
          <w:szCs w:val="21"/>
          <w:highlight w:val="none"/>
          <w:lang w:val="en-US" w:eastAsia="zh-CN"/>
        </w:rPr>
        <w:t>十六</w:t>
      </w:r>
      <w:r>
        <w:rPr>
          <w:rFonts w:hint="eastAsia" w:ascii="宋体" w:hAnsi="宋体" w:eastAsia="宋体" w:cs="宋体"/>
          <w:b/>
          <w:sz w:val="21"/>
          <w:szCs w:val="21"/>
          <w:highlight w:val="none"/>
        </w:rPr>
        <w:t>条 廉政保证</w:t>
      </w:r>
    </w:p>
    <w:p w14:paraId="66AE3B2A">
      <w:pPr>
        <w:widowControl/>
        <w:snapToGrid w:val="0"/>
        <w:spacing w:line="360" w:lineRule="auto"/>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16.1 </w:t>
      </w:r>
      <w:r>
        <w:rPr>
          <w:rFonts w:hint="eastAsia" w:ascii="宋体" w:hAnsi="宋体" w:eastAsia="宋体" w:cs="宋体"/>
          <w:szCs w:val="21"/>
          <w:highlight w:val="none"/>
        </w:rPr>
        <w:t>乙方应确保其以及其指定的第三方、其自身所有雇员等</w:t>
      </w:r>
      <w:r>
        <w:rPr>
          <w:rFonts w:hint="eastAsia" w:ascii="宋体" w:hAnsi="宋体" w:eastAsia="宋体" w:cs="宋体"/>
          <w:sz w:val="21"/>
          <w:szCs w:val="21"/>
          <w:highlight w:val="none"/>
        </w:rPr>
        <w:t xml:space="preserve">在本合同履行期间，应遵守甲方的各项政策和制度。甲方应当控制乙方代表和雇员在甲方办公区域进出，甲方对于现场的人员进出及员工管理方面的要求也应始终被遵守。 </w:t>
      </w:r>
    </w:p>
    <w:p w14:paraId="4C1593C7">
      <w:pPr>
        <w:widowControl/>
        <w:snapToGrid w:val="0"/>
        <w:spacing w:line="360" w:lineRule="auto"/>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16.2 </w:t>
      </w:r>
      <w:r>
        <w:rPr>
          <w:rFonts w:hint="eastAsia" w:ascii="宋体" w:hAnsi="宋体" w:eastAsia="宋体" w:cs="宋体"/>
          <w:sz w:val="21"/>
          <w:szCs w:val="21"/>
          <w:highlight w:val="none"/>
        </w:rPr>
        <w:t>乙方同意在本协议履行期间，遵守各项法律，特别是任何及所有反贿赂反腐败方面的法律。未经甲方事先</w:t>
      </w:r>
      <w:r>
        <w:rPr>
          <w:rFonts w:hint="eastAsia" w:ascii="宋体" w:hAnsi="宋体" w:eastAsia="宋体" w:cs="宋体"/>
          <w:sz w:val="21"/>
          <w:szCs w:val="21"/>
          <w:highlight w:val="none"/>
          <w:lang w:val="en-US" w:eastAsia="zh-CN"/>
        </w:rPr>
        <w:t>书面</w:t>
      </w:r>
      <w:r>
        <w:rPr>
          <w:rFonts w:hint="eastAsia" w:ascii="宋体" w:hAnsi="宋体" w:eastAsia="宋体" w:cs="宋体"/>
          <w:sz w:val="21"/>
          <w:szCs w:val="21"/>
          <w:highlight w:val="none"/>
        </w:rPr>
        <w:t>授权，</w:t>
      </w:r>
      <w:r>
        <w:rPr>
          <w:rFonts w:hint="eastAsia" w:ascii="宋体" w:hAnsi="宋体" w:eastAsia="宋体" w:cs="宋体"/>
          <w:szCs w:val="21"/>
          <w:highlight w:val="none"/>
        </w:rPr>
        <w:t>乙方应确保其以及其指定的第三方、其自身所有雇员等</w:t>
      </w:r>
      <w:r>
        <w:rPr>
          <w:rFonts w:hint="eastAsia" w:ascii="宋体" w:hAnsi="宋体" w:eastAsia="宋体" w:cs="宋体"/>
          <w:sz w:val="21"/>
          <w:szCs w:val="21"/>
          <w:highlight w:val="none"/>
        </w:rPr>
        <w:t>均不得向与本项目相关的任何个人、政府或单位支付任何款项，也不得提供任何形式的便利、利益。</w:t>
      </w:r>
    </w:p>
    <w:p w14:paraId="11D80D1F">
      <w:pPr>
        <w:widowControl/>
        <w:snapToGrid w:val="0"/>
        <w:spacing w:line="360" w:lineRule="auto"/>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16.3 </w:t>
      </w:r>
      <w:r>
        <w:rPr>
          <w:rFonts w:hint="eastAsia" w:ascii="宋体" w:hAnsi="宋体" w:eastAsia="宋体" w:cs="宋体"/>
          <w:sz w:val="21"/>
          <w:szCs w:val="21"/>
          <w:highlight w:val="none"/>
        </w:rPr>
        <w:t xml:space="preserve">为规范甲乙双方在订立、履行合同及经济业务往来过程中的行为，保持廉洁自律的工作作风,防止各种违法及不正当行为的发生,确保甲乙双方及其工作人员自觉遵守国家法律、法规及廉洁从业各项规定，甲乙双方自愿按附件格式签订《廉洁协议书》。 </w:t>
      </w:r>
    </w:p>
    <w:p w14:paraId="72EB550C">
      <w:pPr>
        <w:snapToGrid w:val="0"/>
        <w:spacing w:line="360" w:lineRule="auto"/>
        <w:ind w:firstLine="413" w:firstLineChars="196"/>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第十</w:t>
      </w:r>
      <w:r>
        <w:rPr>
          <w:rFonts w:hint="eastAsia" w:ascii="宋体" w:hAnsi="宋体" w:eastAsia="宋体" w:cs="宋体"/>
          <w:b/>
          <w:sz w:val="21"/>
          <w:szCs w:val="21"/>
          <w:highlight w:val="none"/>
          <w:lang w:val="en-US" w:eastAsia="zh-CN"/>
        </w:rPr>
        <w:t>七</w:t>
      </w:r>
      <w:r>
        <w:rPr>
          <w:rFonts w:hint="eastAsia" w:ascii="宋体" w:hAnsi="宋体" w:eastAsia="宋体" w:cs="宋体"/>
          <w:b/>
          <w:sz w:val="21"/>
          <w:szCs w:val="21"/>
          <w:highlight w:val="none"/>
        </w:rPr>
        <w:t>条 争议解决</w:t>
      </w:r>
    </w:p>
    <w:p w14:paraId="3986C800">
      <w:pPr>
        <w:widowControl/>
        <w:snapToGrid w:val="0"/>
        <w:spacing w:line="360" w:lineRule="auto"/>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本合同在履行过程中若发生争议，甲、乙双方应首先通过友好协商的方式解决，协商不成的，双方同意将争议提交到甲方所在地有管辖权的人民法院通过诉讼的方式解决。 </w:t>
      </w:r>
    </w:p>
    <w:p w14:paraId="0E9537B3">
      <w:pPr>
        <w:snapToGrid w:val="0"/>
        <w:spacing w:line="360" w:lineRule="auto"/>
        <w:ind w:firstLine="517" w:firstLineChars="245"/>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第十</w:t>
      </w:r>
      <w:r>
        <w:rPr>
          <w:rFonts w:hint="eastAsia" w:ascii="宋体" w:hAnsi="宋体" w:eastAsia="宋体" w:cs="宋体"/>
          <w:b/>
          <w:sz w:val="21"/>
          <w:szCs w:val="21"/>
          <w:highlight w:val="none"/>
          <w:lang w:val="en-US" w:eastAsia="zh-CN"/>
        </w:rPr>
        <w:t>八</w:t>
      </w:r>
      <w:r>
        <w:rPr>
          <w:rFonts w:hint="eastAsia" w:ascii="宋体" w:hAnsi="宋体" w:eastAsia="宋体" w:cs="宋体"/>
          <w:b/>
          <w:sz w:val="21"/>
          <w:szCs w:val="21"/>
          <w:highlight w:val="none"/>
        </w:rPr>
        <w:t>条 其他</w:t>
      </w:r>
    </w:p>
    <w:p w14:paraId="5CBC181C">
      <w:pPr>
        <w:widowControl/>
        <w:snapToGrid w:val="0"/>
        <w:spacing w:line="360" w:lineRule="auto"/>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18.1 </w:t>
      </w:r>
      <w:r>
        <w:rPr>
          <w:rFonts w:hint="eastAsia" w:ascii="宋体" w:hAnsi="宋体" w:eastAsia="宋体" w:cs="宋体"/>
          <w:sz w:val="21"/>
          <w:szCs w:val="21"/>
          <w:highlight w:val="none"/>
        </w:rPr>
        <w:t>本合同未尽事宜，由甲、乙双方协商解决并签订书面补充协议，补充协议与本合同同具法律效力，补充协议与本合同内容不一致时，以补充协议为准。</w:t>
      </w:r>
    </w:p>
    <w:p w14:paraId="6E7716F8">
      <w:pPr>
        <w:widowControl/>
        <w:snapToGrid w:val="0"/>
        <w:spacing w:line="360" w:lineRule="auto"/>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18.2 </w:t>
      </w:r>
      <w:r>
        <w:rPr>
          <w:rFonts w:hint="eastAsia" w:ascii="宋体" w:hAnsi="宋体" w:eastAsia="宋体" w:cs="宋体"/>
          <w:sz w:val="21"/>
          <w:szCs w:val="21"/>
          <w:highlight w:val="none"/>
        </w:rPr>
        <w:t>本合同原件一式【  】份，甲方执【伍】份、乙方执【   】份，各份具有同等的法律效力。合同自甲乙双方法定代表人</w:t>
      </w:r>
      <w:r>
        <w:rPr>
          <w:rFonts w:hint="eastAsia" w:ascii="宋体" w:hAnsi="宋体" w:eastAsia="宋体" w:cs="宋体"/>
          <w:sz w:val="21"/>
          <w:szCs w:val="21"/>
          <w:highlight w:val="none"/>
          <w:lang w:val="en-US" w:eastAsia="zh-CN"/>
        </w:rPr>
        <w:t>或负责人</w:t>
      </w:r>
      <w:r>
        <w:rPr>
          <w:rFonts w:hint="eastAsia" w:ascii="宋体" w:hAnsi="宋体" w:eastAsia="宋体" w:cs="宋体"/>
          <w:sz w:val="21"/>
          <w:szCs w:val="21"/>
          <w:highlight w:val="none"/>
        </w:rPr>
        <w:t>或</w:t>
      </w:r>
      <w:r>
        <w:rPr>
          <w:rFonts w:hint="eastAsia" w:ascii="宋体" w:hAnsi="宋体" w:eastAsia="宋体" w:cs="宋体"/>
          <w:sz w:val="21"/>
          <w:szCs w:val="21"/>
          <w:highlight w:val="none"/>
          <w:lang w:val="en-US" w:eastAsia="zh-CN"/>
        </w:rPr>
        <w:t>委托代理人</w:t>
      </w:r>
      <w:r>
        <w:rPr>
          <w:rFonts w:hint="eastAsia" w:ascii="宋体" w:hAnsi="宋体" w:eastAsia="宋体" w:cs="宋体"/>
          <w:sz w:val="21"/>
          <w:szCs w:val="21"/>
          <w:highlight w:val="none"/>
        </w:rPr>
        <w:t xml:space="preserve">签字并盖章之日起生效。 </w:t>
      </w:r>
    </w:p>
    <w:p w14:paraId="17D1270D">
      <w:pPr>
        <w:widowControl/>
        <w:snapToGrid w:val="0"/>
        <w:spacing w:line="360" w:lineRule="auto"/>
        <w:ind w:firstLine="840" w:firstLineChars="4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附件1：廉洁协议书</w:t>
      </w:r>
    </w:p>
    <w:p w14:paraId="13BE98C3">
      <w:pPr>
        <w:widowControl/>
        <w:snapToGrid w:val="0"/>
        <w:spacing w:line="360" w:lineRule="auto"/>
        <w:ind w:firstLine="840" w:firstLineChars="40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附件2：</w:t>
      </w:r>
      <w:r>
        <w:rPr>
          <w:rFonts w:hint="eastAsia" w:ascii="宋体" w:hAnsi="宋体" w:eastAsia="宋体" w:cs="宋体"/>
          <w:sz w:val="21"/>
          <w:szCs w:val="21"/>
          <w:highlight w:val="none"/>
          <w:lang w:val="en-US" w:eastAsia="zh-CN"/>
        </w:rPr>
        <w:t>用户需求书</w:t>
      </w:r>
    </w:p>
    <w:p w14:paraId="4E0DB3D1">
      <w:pPr>
        <w:widowControl/>
        <w:snapToGrid w:val="0"/>
        <w:spacing w:line="360" w:lineRule="auto"/>
        <w:ind w:firstLine="840" w:firstLineChars="4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安全生产管理协议</w:t>
      </w:r>
    </w:p>
    <w:p w14:paraId="1AF99F2B">
      <w:pPr>
        <w:widowControl/>
        <w:snapToGrid w:val="0"/>
        <w:spacing w:line="360" w:lineRule="auto"/>
        <w:ind w:firstLine="840" w:firstLineChars="4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附件4：月度绩效考评表</w:t>
      </w:r>
    </w:p>
    <w:p w14:paraId="3A9A990C">
      <w:pPr>
        <w:widowControl/>
        <w:snapToGrid w:val="0"/>
        <w:spacing w:line="360" w:lineRule="auto"/>
        <w:ind w:firstLine="840" w:firstLineChars="400"/>
        <w:outlineLvl w:val="9"/>
        <w:rPr>
          <w:rFonts w:hint="eastAsia" w:ascii="宋体" w:hAnsi="宋体" w:eastAsia="宋体" w:cs="宋体"/>
          <w:b/>
          <w:bCs/>
          <w:sz w:val="21"/>
          <w:szCs w:val="21"/>
          <w:highlight w:val="none"/>
        </w:rPr>
      </w:pPr>
      <w:r>
        <w:rPr>
          <w:rFonts w:hint="eastAsia" w:ascii="宋体" w:hAnsi="宋体" w:eastAsia="宋体" w:cs="宋体"/>
          <w:color w:val="auto"/>
          <w:sz w:val="21"/>
          <w:szCs w:val="21"/>
          <w:highlight w:val="none"/>
          <w:lang w:val="en-US" w:eastAsia="zh-CN"/>
        </w:rPr>
        <w:t>附件5：年度综合考评表</w:t>
      </w:r>
    </w:p>
    <w:p w14:paraId="6DF6CF85">
      <w:pPr>
        <w:widowControl/>
        <w:snapToGrid w:val="0"/>
        <w:spacing w:line="360" w:lineRule="auto"/>
        <w:outlineLvl w:val="9"/>
        <w:rPr>
          <w:rFonts w:hint="eastAsia" w:ascii="宋体" w:hAnsi="宋体" w:eastAsia="宋体" w:cs="宋体"/>
          <w:b/>
          <w:bCs/>
          <w:sz w:val="21"/>
          <w:szCs w:val="21"/>
          <w:highlight w:val="none"/>
        </w:rPr>
      </w:pPr>
    </w:p>
    <w:p w14:paraId="60899391">
      <w:pPr>
        <w:widowControl/>
        <w:snapToGrid w:val="0"/>
        <w:spacing w:line="360" w:lineRule="auto"/>
        <w:outlineLvl w:val="9"/>
        <w:rPr>
          <w:rFonts w:hint="eastAsia" w:ascii="宋体" w:hAnsi="宋体" w:eastAsia="宋体" w:cs="宋体"/>
          <w:b/>
          <w:bCs/>
          <w:sz w:val="21"/>
          <w:szCs w:val="21"/>
          <w:highlight w:val="none"/>
        </w:rPr>
      </w:pPr>
    </w:p>
    <w:p w14:paraId="3616EBD8">
      <w:pPr>
        <w:widowControl/>
        <w:snapToGrid w:val="0"/>
        <w:spacing w:line="360" w:lineRule="auto"/>
        <w:outlineLvl w:val="9"/>
        <w:rPr>
          <w:rFonts w:hint="eastAsia" w:ascii="宋体" w:hAnsi="宋体" w:eastAsia="宋体" w:cs="宋体"/>
          <w:b/>
          <w:bCs/>
          <w:sz w:val="21"/>
          <w:szCs w:val="21"/>
          <w:highlight w:val="none"/>
        </w:rPr>
      </w:pPr>
    </w:p>
    <w:p w14:paraId="7CE58BF6">
      <w:pPr>
        <w:widowControl/>
        <w:snapToGrid w:val="0"/>
        <w:spacing w:line="360" w:lineRule="auto"/>
        <w:outlineLvl w:val="9"/>
        <w:rPr>
          <w:rFonts w:hint="eastAsia" w:ascii="宋体" w:hAnsi="宋体" w:eastAsia="宋体" w:cs="宋体"/>
          <w:sz w:val="21"/>
          <w:szCs w:val="21"/>
          <w:highlight w:val="none"/>
        </w:rPr>
      </w:pPr>
      <w:r>
        <w:rPr>
          <w:rFonts w:hint="eastAsia" w:ascii="宋体" w:hAnsi="宋体" w:eastAsia="宋体" w:cs="宋体"/>
          <w:b/>
          <w:bCs/>
          <w:sz w:val="21"/>
          <w:szCs w:val="21"/>
          <w:highlight w:val="none"/>
        </w:rPr>
        <w:t>（以下无正文，为</w:t>
      </w:r>
      <w:r>
        <w:rPr>
          <w:rFonts w:hint="eastAsia" w:ascii="宋体" w:hAnsi="宋体" w:eastAsia="宋体" w:cs="宋体"/>
          <w:b/>
          <w:bCs/>
          <w:sz w:val="21"/>
          <w:szCs w:val="21"/>
          <w:highlight w:val="none"/>
          <w:lang w:eastAsia="zh-CN"/>
        </w:rPr>
        <w:t>东莞市</w:t>
      </w:r>
      <w:r>
        <w:rPr>
          <w:rFonts w:hint="eastAsia" w:ascii="宋体" w:hAnsi="宋体" w:eastAsia="宋体" w:cs="宋体"/>
          <w:b/>
          <w:bCs/>
          <w:sz w:val="21"/>
          <w:szCs w:val="21"/>
          <w:highlight w:val="none"/>
          <w:lang w:val="en-US" w:eastAsia="zh-CN"/>
        </w:rPr>
        <w:t>置拓</w:t>
      </w:r>
      <w:r>
        <w:rPr>
          <w:rFonts w:hint="eastAsia" w:ascii="宋体" w:hAnsi="宋体" w:eastAsia="宋体" w:cs="宋体"/>
          <w:b/>
          <w:bCs/>
          <w:sz w:val="21"/>
          <w:szCs w:val="21"/>
          <w:highlight w:val="none"/>
          <w:lang w:eastAsia="zh-CN"/>
        </w:rPr>
        <w:t>投资有限公司</w:t>
      </w:r>
      <w:r>
        <w:rPr>
          <w:rFonts w:hint="eastAsia" w:ascii="宋体" w:hAnsi="宋体" w:eastAsia="宋体" w:cs="宋体"/>
          <w:b/>
          <w:bCs/>
          <w:sz w:val="21"/>
          <w:szCs w:val="21"/>
          <w:highlight w:val="none"/>
          <w:lang w:val="en-US" w:eastAsia="zh-CN"/>
        </w:rPr>
        <w:t>水业大厦食堂经营服务</w:t>
      </w:r>
      <w:r>
        <w:rPr>
          <w:rFonts w:hint="eastAsia" w:ascii="宋体" w:hAnsi="宋体" w:eastAsia="宋体" w:cs="宋体"/>
          <w:b/>
          <w:bCs/>
          <w:sz w:val="21"/>
          <w:szCs w:val="21"/>
          <w:highlight w:val="none"/>
          <w:lang w:eastAsia="zh-CN"/>
        </w:rPr>
        <w:t>采购项目</w:t>
      </w:r>
      <w:r>
        <w:rPr>
          <w:rFonts w:hint="eastAsia" w:ascii="宋体" w:hAnsi="宋体" w:eastAsia="宋体" w:cs="宋体"/>
          <w:b/>
          <w:bCs/>
          <w:sz w:val="21"/>
          <w:szCs w:val="21"/>
          <w:highlight w:val="none"/>
        </w:rPr>
        <w:t>合同签字栏）</w:t>
      </w:r>
    </w:p>
    <w:p w14:paraId="12E51D64">
      <w:pPr>
        <w:widowControl/>
        <w:snapToGrid w:val="0"/>
        <w:spacing w:line="360" w:lineRule="auto"/>
        <w:outlineLvl w:val="9"/>
        <w:rPr>
          <w:rFonts w:hint="eastAsia" w:ascii="宋体" w:hAnsi="宋体" w:eastAsia="宋体" w:cs="宋体"/>
          <w:szCs w:val="21"/>
          <w:highlight w:val="none"/>
        </w:rPr>
      </w:pPr>
    </w:p>
    <w:tbl>
      <w:tblPr>
        <w:tblStyle w:val="38"/>
        <w:tblW w:w="0" w:type="auto"/>
        <w:jc w:val="center"/>
        <w:tblLayout w:type="fixed"/>
        <w:tblCellMar>
          <w:top w:w="0" w:type="dxa"/>
          <w:left w:w="108" w:type="dxa"/>
          <w:bottom w:w="0" w:type="dxa"/>
          <w:right w:w="108" w:type="dxa"/>
        </w:tblCellMar>
      </w:tblPr>
      <w:tblGrid>
        <w:gridCol w:w="4670"/>
        <w:gridCol w:w="454"/>
        <w:gridCol w:w="4253"/>
      </w:tblGrid>
      <w:tr w14:paraId="0CCB0177">
        <w:tblPrEx>
          <w:tblCellMar>
            <w:top w:w="0" w:type="dxa"/>
            <w:left w:w="108" w:type="dxa"/>
            <w:bottom w:w="0" w:type="dxa"/>
            <w:right w:w="108" w:type="dxa"/>
          </w:tblCellMar>
        </w:tblPrEx>
        <w:trPr>
          <w:jc w:val="center"/>
        </w:trPr>
        <w:tc>
          <w:tcPr>
            <w:tcW w:w="4670" w:type="dxa"/>
            <w:vAlign w:val="top"/>
          </w:tcPr>
          <w:p w14:paraId="388E70F7">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甲方（盖章）：</w:t>
            </w:r>
            <w:r>
              <w:rPr>
                <w:rFonts w:hint="eastAsia" w:ascii="宋体" w:hAnsi="宋体" w:eastAsia="宋体" w:cs="宋体"/>
                <w:sz w:val="21"/>
                <w:szCs w:val="21"/>
                <w:highlight w:val="none"/>
                <w:lang w:val="en-US" w:eastAsia="zh-CN"/>
              </w:rPr>
              <w:t>东莞市置拓投资有限公司</w:t>
            </w:r>
          </w:p>
          <w:p w14:paraId="6C391DE9">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负责人</w:t>
            </w:r>
            <w:r>
              <w:rPr>
                <w:rFonts w:hint="eastAsia" w:ascii="宋体" w:hAnsi="宋体" w:eastAsia="宋体" w:cs="宋体"/>
                <w:sz w:val="21"/>
                <w:szCs w:val="21"/>
                <w:highlight w:val="none"/>
                <w:lang w:val="en-US" w:eastAsia="zh-CN"/>
              </w:rPr>
              <w:t>(或委托代理人)</w:t>
            </w:r>
            <w:r>
              <w:rPr>
                <w:rFonts w:hint="eastAsia" w:ascii="宋体" w:hAnsi="宋体" w:eastAsia="宋体" w:cs="宋体"/>
                <w:sz w:val="21"/>
                <w:szCs w:val="21"/>
                <w:highlight w:val="none"/>
              </w:rPr>
              <w:t>：</w:t>
            </w:r>
          </w:p>
        </w:tc>
        <w:tc>
          <w:tcPr>
            <w:tcW w:w="454" w:type="dxa"/>
            <w:vAlign w:val="top"/>
          </w:tcPr>
          <w:p w14:paraId="74BCB4C6">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highlight w:val="none"/>
              </w:rPr>
            </w:pPr>
          </w:p>
        </w:tc>
        <w:tc>
          <w:tcPr>
            <w:tcW w:w="4253" w:type="dxa"/>
            <w:vAlign w:val="top"/>
          </w:tcPr>
          <w:p w14:paraId="1EB92E14">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乙方（盖章）：</w:t>
            </w:r>
            <w:r>
              <w:rPr>
                <w:rFonts w:hint="eastAsia" w:ascii="宋体" w:hAnsi="宋体" w:eastAsia="宋体" w:cs="宋体"/>
                <w:sz w:val="21"/>
                <w:szCs w:val="21"/>
                <w:highlight w:val="none"/>
                <w:lang w:val="en-US" w:eastAsia="zh-CN"/>
              </w:rPr>
              <w:t xml:space="preserve"> </w:t>
            </w:r>
          </w:p>
          <w:p w14:paraId="7F9ED0C6">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负责人</w:t>
            </w:r>
            <w:r>
              <w:rPr>
                <w:rFonts w:hint="eastAsia" w:ascii="宋体" w:hAnsi="宋体" w:eastAsia="宋体" w:cs="宋体"/>
                <w:sz w:val="21"/>
                <w:szCs w:val="21"/>
                <w:highlight w:val="none"/>
                <w:lang w:val="en-US" w:eastAsia="zh-CN"/>
              </w:rPr>
              <w:t>(或委托代理人)</w:t>
            </w:r>
            <w:r>
              <w:rPr>
                <w:rFonts w:hint="eastAsia" w:ascii="宋体" w:hAnsi="宋体" w:eastAsia="宋体" w:cs="宋体"/>
                <w:sz w:val="21"/>
                <w:szCs w:val="21"/>
                <w:highlight w:val="none"/>
              </w:rPr>
              <w:t>：</w:t>
            </w:r>
          </w:p>
        </w:tc>
      </w:tr>
      <w:tr w14:paraId="3128369B">
        <w:tblPrEx>
          <w:tblCellMar>
            <w:top w:w="0" w:type="dxa"/>
            <w:left w:w="108" w:type="dxa"/>
            <w:bottom w:w="0" w:type="dxa"/>
            <w:right w:w="108" w:type="dxa"/>
          </w:tblCellMar>
        </w:tblPrEx>
        <w:trPr>
          <w:jc w:val="center"/>
        </w:trPr>
        <w:tc>
          <w:tcPr>
            <w:tcW w:w="4670" w:type="dxa"/>
            <w:vAlign w:val="top"/>
          </w:tcPr>
          <w:p w14:paraId="351F9CD7">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tc>
        <w:tc>
          <w:tcPr>
            <w:tcW w:w="454" w:type="dxa"/>
            <w:vAlign w:val="top"/>
          </w:tcPr>
          <w:p w14:paraId="13EB947A">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highlight w:val="none"/>
              </w:rPr>
            </w:pPr>
          </w:p>
        </w:tc>
        <w:tc>
          <w:tcPr>
            <w:tcW w:w="4253" w:type="dxa"/>
            <w:vAlign w:val="top"/>
          </w:tcPr>
          <w:p w14:paraId="796C597C">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tc>
      </w:tr>
      <w:tr w14:paraId="1D893E6A">
        <w:tblPrEx>
          <w:tblCellMar>
            <w:top w:w="0" w:type="dxa"/>
            <w:left w:w="108" w:type="dxa"/>
            <w:bottom w:w="0" w:type="dxa"/>
            <w:right w:w="108" w:type="dxa"/>
          </w:tblCellMar>
        </w:tblPrEx>
        <w:trPr>
          <w:jc w:val="center"/>
        </w:trPr>
        <w:tc>
          <w:tcPr>
            <w:tcW w:w="4670" w:type="dxa"/>
            <w:vAlign w:val="top"/>
          </w:tcPr>
          <w:p w14:paraId="7FFA6AE9">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r>
              <w:rPr>
                <w:rFonts w:hint="eastAsia" w:ascii="宋体" w:hAnsi="宋体" w:eastAsia="宋体" w:cs="宋体"/>
                <w:sz w:val="21"/>
                <w:szCs w:val="21"/>
                <w:highlight w:val="none"/>
                <w:lang w:val="en-US" w:eastAsia="zh-CN"/>
              </w:rPr>
              <w:t>广东省东莞市东城街道火炼树红棉二路红锋大厦311室</w:t>
            </w:r>
          </w:p>
          <w:p w14:paraId="50276A0B">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开户名称：</w:t>
            </w:r>
            <w:r>
              <w:rPr>
                <w:rFonts w:hint="eastAsia" w:ascii="宋体" w:hAnsi="宋体" w:eastAsia="宋体" w:cs="宋体"/>
                <w:sz w:val="21"/>
                <w:szCs w:val="21"/>
                <w:highlight w:val="none"/>
                <w:lang w:val="en-US" w:eastAsia="zh-CN"/>
              </w:rPr>
              <w:t>东莞市置拓投资有限公司</w:t>
            </w:r>
          </w:p>
        </w:tc>
        <w:tc>
          <w:tcPr>
            <w:tcW w:w="454" w:type="dxa"/>
            <w:vAlign w:val="top"/>
          </w:tcPr>
          <w:p w14:paraId="7EF97494">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highlight w:val="none"/>
              </w:rPr>
            </w:pPr>
          </w:p>
        </w:tc>
        <w:tc>
          <w:tcPr>
            <w:tcW w:w="4253" w:type="dxa"/>
            <w:vAlign w:val="top"/>
          </w:tcPr>
          <w:p w14:paraId="37B49E25">
            <w:pPr>
              <w:keepNext w:val="0"/>
              <w:keepLines w:val="0"/>
              <w:suppressLineNumbers w:val="0"/>
              <w:spacing w:before="0" w:beforeAutospacing="0" w:after="0" w:afterAutospacing="0" w:line="360" w:lineRule="auto"/>
              <w:ind w:left="0" w:right="0"/>
              <w:outlineLvl w:val="9"/>
              <w:rPr>
                <w:rFonts w:hint="eastAsia" w:ascii="宋体" w:hAnsi="宋体" w:eastAsia="宋体" w:cs="宋体"/>
                <w:highlight w:val="none"/>
              </w:rPr>
            </w:pPr>
            <w:r>
              <w:rPr>
                <w:rFonts w:hint="eastAsia" w:ascii="宋体" w:hAnsi="宋体" w:eastAsia="宋体" w:cs="宋体"/>
                <w:sz w:val="21"/>
                <w:szCs w:val="21"/>
                <w:highlight w:val="none"/>
              </w:rPr>
              <w:t>地址：</w:t>
            </w:r>
          </w:p>
          <w:p w14:paraId="68A410FA">
            <w:pPr>
              <w:keepNext w:val="0"/>
              <w:keepLines w:val="0"/>
              <w:suppressLineNumbers w:val="0"/>
              <w:spacing w:before="0" w:beforeAutospacing="0" w:after="0" w:afterAutospacing="0" w:line="360" w:lineRule="auto"/>
              <w:ind w:left="0" w:right="0"/>
              <w:jc w:val="both"/>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开户名称：</w:t>
            </w:r>
          </w:p>
        </w:tc>
      </w:tr>
      <w:tr w14:paraId="6B72A451">
        <w:tblPrEx>
          <w:tblCellMar>
            <w:top w:w="0" w:type="dxa"/>
            <w:left w:w="108" w:type="dxa"/>
            <w:bottom w:w="0" w:type="dxa"/>
            <w:right w:w="108" w:type="dxa"/>
          </w:tblCellMar>
        </w:tblPrEx>
        <w:trPr>
          <w:jc w:val="center"/>
        </w:trPr>
        <w:tc>
          <w:tcPr>
            <w:tcW w:w="4670" w:type="dxa"/>
            <w:vAlign w:val="top"/>
          </w:tcPr>
          <w:p w14:paraId="670A822E">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p>
        </w:tc>
        <w:tc>
          <w:tcPr>
            <w:tcW w:w="454" w:type="dxa"/>
            <w:vAlign w:val="top"/>
          </w:tcPr>
          <w:p w14:paraId="660B6230">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highlight w:val="none"/>
              </w:rPr>
            </w:pPr>
          </w:p>
        </w:tc>
        <w:tc>
          <w:tcPr>
            <w:tcW w:w="4253" w:type="dxa"/>
            <w:vAlign w:val="top"/>
          </w:tcPr>
          <w:p w14:paraId="11648D91">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p>
        </w:tc>
      </w:tr>
      <w:tr w14:paraId="28AC3385">
        <w:tblPrEx>
          <w:tblCellMar>
            <w:top w:w="0" w:type="dxa"/>
            <w:left w:w="108" w:type="dxa"/>
            <w:bottom w:w="0" w:type="dxa"/>
            <w:right w:w="108" w:type="dxa"/>
          </w:tblCellMar>
        </w:tblPrEx>
        <w:trPr>
          <w:jc w:val="center"/>
        </w:trPr>
        <w:tc>
          <w:tcPr>
            <w:tcW w:w="4670" w:type="dxa"/>
            <w:vAlign w:val="top"/>
          </w:tcPr>
          <w:p w14:paraId="079E61C2">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账号：</w:t>
            </w:r>
          </w:p>
        </w:tc>
        <w:tc>
          <w:tcPr>
            <w:tcW w:w="454" w:type="dxa"/>
            <w:vAlign w:val="top"/>
          </w:tcPr>
          <w:p w14:paraId="2852D611">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highlight w:val="none"/>
              </w:rPr>
            </w:pPr>
          </w:p>
        </w:tc>
        <w:tc>
          <w:tcPr>
            <w:tcW w:w="4253" w:type="dxa"/>
            <w:vAlign w:val="top"/>
          </w:tcPr>
          <w:p w14:paraId="1E373FB2">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账号：</w:t>
            </w:r>
          </w:p>
        </w:tc>
      </w:tr>
    </w:tbl>
    <w:p w14:paraId="13B4A599">
      <w:pPr>
        <w:widowControl/>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sz w:val="21"/>
          <w:szCs w:val="21"/>
          <w:highlight w:val="none"/>
        </w:rPr>
        <w:br w:type="page"/>
      </w:r>
      <w:r>
        <w:rPr>
          <w:rFonts w:hint="eastAsia" w:ascii="宋体" w:hAnsi="宋体" w:eastAsia="宋体" w:cs="宋体"/>
          <w:b/>
          <w:color w:val="auto"/>
          <w:szCs w:val="21"/>
          <w:highlight w:val="none"/>
        </w:rPr>
        <w:t>附件1：廉洁协议书</w:t>
      </w:r>
    </w:p>
    <w:p w14:paraId="536F26C5">
      <w:pPr>
        <w:spacing w:line="360" w:lineRule="auto"/>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廉洁协议书</w:t>
      </w:r>
    </w:p>
    <w:p w14:paraId="54A78153">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lang w:eastAsia="zh-CN"/>
        </w:rPr>
        <w:t>东莞市</w:t>
      </w:r>
      <w:r>
        <w:rPr>
          <w:rFonts w:hint="eastAsia" w:ascii="宋体" w:hAnsi="宋体" w:eastAsia="宋体" w:cs="宋体"/>
          <w:color w:val="auto"/>
          <w:kern w:val="0"/>
          <w:szCs w:val="21"/>
          <w:highlight w:val="none"/>
          <w:lang w:val="en-US" w:eastAsia="zh-CN"/>
        </w:rPr>
        <w:t>置拓</w:t>
      </w:r>
      <w:r>
        <w:rPr>
          <w:rFonts w:hint="eastAsia" w:ascii="宋体" w:hAnsi="宋体" w:eastAsia="宋体" w:cs="宋体"/>
          <w:color w:val="auto"/>
          <w:kern w:val="0"/>
          <w:szCs w:val="21"/>
          <w:highlight w:val="none"/>
          <w:lang w:eastAsia="zh-CN"/>
        </w:rPr>
        <w:t>投资有限公司</w:t>
      </w:r>
      <w:r>
        <w:rPr>
          <w:rFonts w:hint="eastAsia" w:ascii="宋体" w:hAnsi="宋体" w:eastAsia="宋体" w:cs="宋体"/>
          <w:color w:val="auto"/>
          <w:kern w:val="0"/>
          <w:szCs w:val="21"/>
          <w:highlight w:val="none"/>
          <w:lang w:val="en-US" w:eastAsia="zh-CN"/>
        </w:rPr>
        <w:t>水业大厦食堂经营服务</w:t>
      </w:r>
      <w:r>
        <w:rPr>
          <w:rFonts w:hint="eastAsia" w:ascii="宋体" w:hAnsi="宋体" w:eastAsia="宋体" w:cs="宋体"/>
          <w:color w:val="auto"/>
          <w:kern w:val="0"/>
          <w:szCs w:val="21"/>
          <w:highlight w:val="none"/>
          <w:lang w:eastAsia="zh-CN"/>
        </w:rPr>
        <w:t>采购项目</w:t>
      </w:r>
      <w:r>
        <w:rPr>
          <w:rFonts w:hint="eastAsia" w:ascii="宋体" w:hAnsi="宋体" w:eastAsia="宋体" w:cs="宋体"/>
          <w:color w:val="auto"/>
          <w:szCs w:val="21"/>
          <w:highlight w:val="none"/>
        </w:rPr>
        <w:t>（招标编号：广建咨询（东招）2025-0020号）</w:t>
      </w:r>
    </w:p>
    <w:p w14:paraId="6D0E7C89">
      <w:pPr>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甲方（业主单位）：</w:t>
      </w:r>
    </w:p>
    <w:p w14:paraId="7AE367F7">
      <w:pPr>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p>
    <w:p w14:paraId="47251442">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3E007C2B">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第一条  甲乙双方的权利和义务</w:t>
      </w:r>
    </w:p>
    <w:p w14:paraId="79C9415D">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（一）严格遵守党和国家有关法律法规等有关廉洁从业规定。</w:t>
      </w:r>
    </w:p>
    <w:p w14:paraId="7BF8DB3C">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（二）严格执行本项目的合同文件，自觉按合同办事。</w:t>
      </w:r>
    </w:p>
    <w:p w14:paraId="29E9BB04">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（三）双方的业务活动坚持公开、公正、诚信、透明的原则（除法律认定的商业秘密和合同文件另有规定之外）不得损害国家和集体利益，违反工程建设管理及其他法律法规规章制度。</w:t>
      </w:r>
    </w:p>
    <w:p w14:paraId="3701E780">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（四）建立健全廉洁制度，开展廉洁教育，设立廉洁监督公示牌，公布举报电话，监督并认真查处违法违纪行为。</w:t>
      </w:r>
    </w:p>
    <w:p w14:paraId="17391F2D">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（五）发现对方在业务活动中有违反廉洁规定的行为，有及时提醒对方纠正的权利和义务。</w:t>
      </w:r>
    </w:p>
    <w:p w14:paraId="2D125EF9">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（六）发现对方严重违反本协议义务条款的行为，有向其上级有关部门举报、建议给予处理并要求告知处理结果的权利。</w:t>
      </w:r>
    </w:p>
    <w:p w14:paraId="7AB86B0D">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第二条  甲方的义务</w:t>
      </w:r>
    </w:p>
    <w:p w14:paraId="6DE31D4E">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（一）甲方及其工作人员不得索要或接受乙方的礼金、有价证券和贵重物品，不得在乙方报销任何应由甲方或个人支付的费用。</w:t>
      </w:r>
    </w:p>
    <w:p w14:paraId="512DD2FE">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（二）甲方工作人员不得参加乙方安排的高消费宴请和娱乐活动；不得接受乙方提供的通讯工具、交通工具和高档办公用品。</w:t>
      </w:r>
    </w:p>
    <w:p w14:paraId="72B0D942">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（三）甲方及其工作人员不得要求或者接受乙方为其住房装修、婚丧嫁娶活动、家属或亲友的工作安排以及出国出境、旅游等提供方便。</w:t>
      </w:r>
    </w:p>
    <w:p w14:paraId="01778E94">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（四）甲方工作人员不得向乙方介绍其家属或者亲友（包括家属或亲友开办的公司企业）从事于本项目涉及的经济业务活动。</w:t>
      </w:r>
    </w:p>
    <w:p w14:paraId="68E18E5D">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（五）甲方及其工作人员不得以任何理由向乙方推荐分包单位，不得要求乙方购买合同规定外的材料和设备。</w:t>
      </w:r>
    </w:p>
    <w:p w14:paraId="38C21F0A">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（六）甲方及其工作人员不得进行违反廉洁规定的其他活动。</w:t>
      </w:r>
    </w:p>
    <w:p w14:paraId="6683C7EF">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（七）甲方应对甲方工作人员进行廉洁监督管理，如甲方工作人员违反本协议第一、第二条，甲方应依据有关法律法规、党纪规定对其进行处理；涉嫌犯罪的，甲方应将其移交司法机关追究刑事责任。</w:t>
      </w:r>
    </w:p>
    <w:p w14:paraId="4056D160">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第三条  乙方义务</w:t>
      </w:r>
    </w:p>
    <w:p w14:paraId="6AB28F81">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（一）乙方不得以任何理由向甲方及其工作人员馈赠礼金、有价证券、贵重礼品，或报销应由甲方单位或个人支付的任何费用。</w:t>
      </w:r>
    </w:p>
    <w:p w14:paraId="5F1C18C5">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（二）乙方及其工作人员不得以考察、参观、洽谈业务、签订合同等的借口邀请甲方及其工作人员参加高消费的宴请、娱乐和健身等活动。</w:t>
      </w:r>
    </w:p>
    <w:p w14:paraId="33C5DBF8">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（三）乙方不得为甲方单位和个人购置或提供通讯工具、交通工具和高档办公用品等。</w:t>
      </w:r>
    </w:p>
    <w:p w14:paraId="4D6B8194">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（四）乙方及其工作人员不得为甲方工作人员购买、装修、维修私人住房、汽车等。</w:t>
      </w:r>
    </w:p>
    <w:p w14:paraId="2A943855">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（五）乙方及其工作人员不得为甲方工作人员的婚丧嫁娶、家属或亲友的工作安排，及出国出境提供方便以及报销任何私人消费的费用。</w:t>
      </w:r>
    </w:p>
    <w:p w14:paraId="3AC928D6">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（六）乙方及其工作人员不得进行影响甲方及其工作人员公正执行合同和履行职务的其他活动。</w:t>
      </w:r>
    </w:p>
    <w:p w14:paraId="49335BC3">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3707583D">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第四条  违约责任</w:t>
      </w:r>
    </w:p>
    <w:p w14:paraId="729A85DB">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（一）甲方违反本协议第一、第二条给乙方单位造成经济损失的，应予以赔偿。</w:t>
      </w:r>
    </w:p>
    <w:p w14:paraId="002099B8">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（二）乙方违反本协议第一、第三条给甲方单位造成经济损失的，应予以赔偿。</w:t>
      </w:r>
    </w:p>
    <w:p w14:paraId="47AB57FC">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第五条  监督检查</w:t>
      </w:r>
    </w:p>
    <w:p w14:paraId="1584477F">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甲乙双方的廉洁从业行为由双方或双方上级单位的纪检、监察部门负责监督，对本协议履行情况进行检查。</w:t>
      </w:r>
    </w:p>
    <w:p w14:paraId="4EF786A2">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第六条 举报信访受理</w:t>
      </w:r>
    </w:p>
    <w:p w14:paraId="660E3A6C">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（一）举报受理部门：东莞市水务集团有限公司纪检监察部。</w:t>
      </w:r>
    </w:p>
    <w:p w14:paraId="30E1A7E6">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（二）举报电话：（0769）23076092。</w:t>
      </w:r>
    </w:p>
    <w:p w14:paraId="453E90B4">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（三）举报邮箱：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"mailto:jcsj@dgswjt.cn。"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Cs w:val="21"/>
          <w:highlight w:val="none"/>
        </w:rPr>
        <w:t>jcsj@dgswjt.cn。</w:t>
      </w:r>
      <w:r>
        <w:rPr>
          <w:rFonts w:hint="eastAsia" w:ascii="宋体" w:hAnsi="宋体" w:eastAsia="宋体" w:cs="宋体"/>
          <w:color w:val="auto"/>
          <w:kern w:val="0"/>
          <w:szCs w:val="21"/>
          <w:highlight w:val="none"/>
        </w:rPr>
        <w:fldChar w:fldCharType="end"/>
      </w:r>
    </w:p>
    <w:p w14:paraId="2B017866">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（四）信访地址：广东省东莞市东城街道育华路1号。</w:t>
      </w:r>
    </w:p>
    <w:p w14:paraId="29865804">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第七条 其他</w:t>
      </w:r>
    </w:p>
    <w:p w14:paraId="6E6DC316">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本协议有效期为甲乙</w:t>
      </w:r>
      <w:r>
        <w:rPr>
          <w:rFonts w:hint="eastAsia" w:ascii="宋体" w:hAnsi="宋体" w:eastAsia="宋体" w:cs="宋体"/>
          <w:color w:val="auto"/>
          <w:kern w:val="0"/>
          <w:szCs w:val="21"/>
          <w:highlight w:val="none"/>
          <w:lang w:val="en-US" w:eastAsia="zh-CN"/>
        </w:rPr>
        <w:t>双方</w:t>
      </w:r>
      <w:r>
        <w:rPr>
          <w:rFonts w:hint="eastAsia" w:ascii="宋体" w:hAnsi="宋体" w:eastAsia="宋体" w:cs="宋体"/>
          <w:sz w:val="21"/>
          <w:szCs w:val="21"/>
          <w:highlight w:val="none"/>
        </w:rPr>
        <w:t>法定代表人</w:t>
      </w:r>
      <w:r>
        <w:rPr>
          <w:rFonts w:hint="eastAsia" w:ascii="宋体" w:hAnsi="宋体" w:eastAsia="宋体" w:cs="宋体"/>
          <w:sz w:val="21"/>
          <w:szCs w:val="21"/>
          <w:highlight w:val="none"/>
          <w:lang w:val="en-US" w:eastAsia="zh-CN"/>
        </w:rPr>
        <w:t>或负责人</w:t>
      </w:r>
      <w:r>
        <w:rPr>
          <w:rFonts w:hint="eastAsia" w:ascii="宋体" w:hAnsi="宋体" w:eastAsia="宋体" w:cs="宋体"/>
          <w:sz w:val="21"/>
          <w:szCs w:val="21"/>
          <w:highlight w:val="none"/>
        </w:rPr>
        <w:t>或</w:t>
      </w:r>
      <w:r>
        <w:rPr>
          <w:rFonts w:hint="eastAsia" w:ascii="宋体" w:hAnsi="宋体" w:eastAsia="宋体" w:cs="宋体"/>
          <w:sz w:val="21"/>
          <w:szCs w:val="21"/>
          <w:highlight w:val="none"/>
          <w:lang w:val="en-US" w:eastAsia="zh-CN"/>
        </w:rPr>
        <w:t>委托代理人</w:t>
      </w:r>
      <w:r>
        <w:rPr>
          <w:rFonts w:hint="eastAsia" w:ascii="宋体" w:hAnsi="宋体" w:eastAsia="宋体" w:cs="宋体"/>
          <w:sz w:val="21"/>
          <w:szCs w:val="21"/>
          <w:highlight w:val="none"/>
        </w:rPr>
        <w:t>签字并盖章之日</w:t>
      </w:r>
      <w:r>
        <w:rPr>
          <w:rFonts w:hint="eastAsia" w:ascii="宋体" w:hAnsi="宋体" w:eastAsia="宋体" w:cs="宋体"/>
          <w:color w:val="auto"/>
          <w:kern w:val="0"/>
          <w:szCs w:val="21"/>
          <w:highlight w:val="none"/>
        </w:rPr>
        <w:t>起至采购项目服务期满后止。</w:t>
      </w:r>
    </w:p>
    <w:p w14:paraId="78E060D4">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本协议一式   份，</w:t>
      </w:r>
      <w:r>
        <w:rPr>
          <w:rFonts w:hint="eastAsia" w:ascii="宋体" w:hAnsi="宋体" w:eastAsia="宋体" w:cs="宋体"/>
          <w:color w:val="auto"/>
          <w:szCs w:val="21"/>
          <w:highlight w:val="none"/>
        </w:rPr>
        <w:t>甲方执叁份，乙方执【】份，招标代理机构执  份</w:t>
      </w:r>
      <w:r>
        <w:rPr>
          <w:rFonts w:hint="eastAsia" w:ascii="宋体" w:hAnsi="宋体" w:eastAsia="宋体" w:cs="宋体"/>
          <w:color w:val="auto"/>
          <w:kern w:val="0"/>
          <w:szCs w:val="21"/>
          <w:highlight w:val="none"/>
        </w:rPr>
        <w:t>。</w:t>
      </w:r>
    </w:p>
    <w:p w14:paraId="3543056C">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p>
    <w:p w14:paraId="4DE1E8FB">
      <w:pPr>
        <w:spacing w:before="48" w:beforeLines="20" w:after="48" w:afterLines="20"/>
        <w:ind w:firstLine="420" w:firstLineChars="200"/>
        <w:outlineLvl w:val="9"/>
        <w:rPr>
          <w:rFonts w:hint="eastAsia" w:ascii="宋体" w:hAnsi="宋体" w:eastAsia="宋体" w:cs="宋体"/>
          <w:color w:val="auto"/>
          <w:szCs w:val="21"/>
          <w:highlight w:val="none"/>
        </w:rPr>
      </w:pPr>
    </w:p>
    <w:p w14:paraId="0F39EDBB">
      <w:pPr>
        <w:spacing w:before="48" w:beforeLines="20" w:after="48" w:afterLines="20"/>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甲方（盖章）：                         乙方（盖章）： </w:t>
      </w:r>
    </w:p>
    <w:p w14:paraId="229E201D">
      <w:pPr>
        <w:spacing w:before="48" w:beforeLines="20" w:after="48" w:afterLines="20"/>
        <w:ind w:firstLine="420" w:firstLineChars="200"/>
        <w:outlineLvl w:val="9"/>
        <w:rPr>
          <w:rFonts w:hint="eastAsia" w:ascii="宋体" w:hAnsi="宋体" w:eastAsia="宋体" w:cs="宋体"/>
          <w:color w:val="auto"/>
          <w:szCs w:val="21"/>
          <w:highlight w:val="none"/>
        </w:rPr>
      </w:pPr>
    </w:p>
    <w:p w14:paraId="40288DCC">
      <w:pPr>
        <w:spacing w:before="48" w:beforeLines="20" w:after="48" w:afterLines="20"/>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负责人</w:t>
      </w:r>
      <w:r>
        <w:rPr>
          <w:rFonts w:hint="eastAsia" w:ascii="宋体" w:hAnsi="宋体" w:eastAsia="宋体" w:cs="宋体"/>
          <w:color w:val="auto"/>
          <w:szCs w:val="21"/>
          <w:highlight w:val="none"/>
          <w:lang w:val="en-US" w:eastAsia="zh-CN"/>
        </w:rPr>
        <w:t>(或委托代理人)</w:t>
      </w:r>
      <w:r>
        <w:rPr>
          <w:rFonts w:hint="eastAsia" w:ascii="宋体" w:hAnsi="宋体" w:eastAsia="宋体" w:cs="宋体"/>
          <w:color w:val="auto"/>
          <w:szCs w:val="21"/>
          <w:highlight w:val="none"/>
        </w:rPr>
        <w:t>：      法定代表人</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负责人</w:t>
      </w:r>
      <w:r>
        <w:rPr>
          <w:rFonts w:hint="eastAsia" w:ascii="宋体" w:hAnsi="宋体" w:eastAsia="宋体" w:cs="宋体"/>
          <w:color w:val="auto"/>
          <w:szCs w:val="21"/>
          <w:highlight w:val="none"/>
          <w:lang w:val="en-US" w:eastAsia="zh-CN"/>
        </w:rPr>
        <w:t>(或委托代理人)</w:t>
      </w:r>
      <w:r>
        <w:rPr>
          <w:rFonts w:hint="eastAsia" w:ascii="宋体" w:hAnsi="宋体" w:eastAsia="宋体" w:cs="宋体"/>
          <w:color w:val="auto"/>
          <w:szCs w:val="21"/>
          <w:highlight w:val="none"/>
        </w:rPr>
        <w:t>：</w:t>
      </w:r>
    </w:p>
    <w:p w14:paraId="2A7D3D9A">
      <w:pPr>
        <w:spacing w:before="48" w:beforeLines="20" w:after="48" w:afterLines="20"/>
        <w:ind w:firstLine="420" w:firstLineChars="200"/>
        <w:outlineLvl w:val="9"/>
        <w:rPr>
          <w:rFonts w:hint="eastAsia" w:ascii="宋体" w:hAnsi="宋体" w:eastAsia="宋体" w:cs="宋体"/>
          <w:color w:val="auto"/>
          <w:szCs w:val="21"/>
          <w:highlight w:val="none"/>
        </w:rPr>
      </w:pPr>
    </w:p>
    <w:p w14:paraId="34412DE0">
      <w:pPr>
        <w:spacing w:before="48" w:beforeLines="20" w:after="48" w:afterLines="20"/>
        <w:outlineLvl w:val="9"/>
        <w:rPr>
          <w:rFonts w:hint="eastAsia" w:ascii="宋体" w:hAnsi="宋体" w:eastAsia="宋体" w:cs="宋体"/>
          <w:color w:val="auto"/>
          <w:szCs w:val="21"/>
          <w:highlight w:val="none"/>
        </w:rPr>
      </w:pPr>
    </w:p>
    <w:p w14:paraId="75DBBB40">
      <w:pPr>
        <w:spacing w:line="360" w:lineRule="auto"/>
        <w:ind w:firstLine="371" w:firstLineChars="177"/>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签订日期：    年  月  日                  年  月  日</w:t>
      </w:r>
      <w:r>
        <w:rPr>
          <w:rFonts w:hint="eastAsia" w:ascii="宋体" w:hAnsi="宋体" w:eastAsia="宋体" w:cs="宋体"/>
          <w:color w:val="auto"/>
          <w:szCs w:val="21"/>
          <w:highlight w:val="none"/>
          <w:lang w:val="en-US" w:eastAsia="zh-CN"/>
        </w:rPr>
        <w:t xml:space="preserve">   </w:t>
      </w:r>
    </w:p>
    <w:p w14:paraId="74CF186F">
      <w:pPr>
        <w:pageBreakBefore/>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附件3：安全</w:t>
      </w:r>
      <w:r>
        <w:rPr>
          <w:rFonts w:hint="eastAsia" w:ascii="宋体" w:hAnsi="宋体" w:eastAsia="宋体" w:cs="宋体"/>
          <w:b/>
          <w:color w:val="auto"/>
          <w:szCs w:val="21"/>
          <w:highlight w:val="none"/>
          <w:lang w:val="en-US" w:eastAsia="zh-CN"/>
        </w:rPr>
        <w:t>生产</w:t>
      </w:r>
      <w:r>
        <w:rPr>
          <w:rFonts w:hint="eastAsia" w:ascii="宋体" w:hAnsi="宋体" w:eastAsia="宋体" w:cs="宋体"/>
          <w:b/>
          <w:color w:val="auto"/>
          <w:szCs w:val="21"/>
          <w:highlight w:val="none"/>
        </w:rPr>
        <w:t>管理协议</w:t>
      </w:r>
    </w:p>
    <w:p w14:paraId="3E24723E">
      <w:pPr>
        <w:spacing w:line="360" w:lineRule="auto"/>
        <w:ind w:right="31" w:rightChars="1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安全</w:t>
      </w:r>
      <w:r>
        <w:rPr>
          <w:rFonts w:hint="eastAsia" w:ascii="宋体" w:hAnsi="宋体" w:eastAsia="宋体" w:cs="宋体"/>
          <w:b/>
          <w:color w:val="auto"/>
          <w:sz w:val="32"/>
          <w:szCs w:val="32"/>
          <w:highlight w:val="none"/>
          <w:lang w:val="en-US" w:eastAsia="zh-CN"/>
        </w:rPr>
        <w:t>生产</w:t>
      </w:r>
      <w:r>
        <w:rPr>
          <w:rFonts w:hint="eastAsia" w:ascii="宋体" w:hAnsi="宋体" w:eastAsia="宋体" w:cs="宋体"/>
          <w:b/>
          <w:color w:val="auto"/>
          <w:sz w:val="32"/>
          <w:szCs w:val="32"/>
          <w:highlight w:val="none"/>
        </w:rPr>
        <w:t>管理协议</w:t>
      </w:r>
    </w:p>
    <w:p w14:paraId="441807E1">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项目名称：东莞市</w:t>
      </w:r>
      <w:r>
        <w:rPr>
          <w:rFonts w:hint="eastAsia" w:ascii="宋体" w:hAnsi="宋体" w:eastAsia="宋体" w:cs="宋体"/>
          <w:color w:val="auto"/>
          <w:kern w:val="0"/>
          <w:szCs w:val="21"/>
          <w:highlight w:val="none"/>
          <w:lang w:val="en-US" w:eastAsia="zh-CN"/>
        </w:rPr>
        <w:t>置拓投资</w:t>
      </w:r>
      <w:r>
        <w:rPr>
          <w:rFonts w:hint="eastAsia" w:ascii="宋体" w:hAnsi="宋体" w:eastAsia="宋体" w:cs="宋体"/>
          <w:color w:val="auto"/>
          <w:kern w:val="0"/>
          <w:szCs w:val="21"/>
          <w:highlight w:val="none"/>
        </w:rPr>
        <w:t>有限公司</w:t>
      </w:r>
      <w:r>
        <w:rPr>
          <w:rFonts w:hint="eastAsia" w:ascii="宋体" w:hAnsi="宋体" w:eastAsia="宋体" w:cs="宋体"/>
          <w:color w:val="auto"/>
          <w:kern w:val="0"/>
          <w:szCs w:val="21"/>
          <w:highlight w:val="none"/>
          <w:lang w:val="en-US" w:eastAsia="zh-CN"/>
        </w:rPr>
        <w:t>水业大厦食堂经营</w:t>
      </w:r>
      <w:r>
        <w:rPr>
          <w:rFonts w:hint="eastAsia" w:ascii="宋体" w:hAnsi="宋体" w:eastAsia="宋体" w:cs="宋体"/>
          <w:color w:val="auto"/>
          <w:kern w:val="0"/>
          <w:szCs w:val="21"/>
          <w:highlight w:val="none"/>
        </w:rPr>
        <w:t>服务采购项目</w:t>
      </w:r>
      <w:r>
        <w:rPr>
          <w:rFonts w:hint="eastAsia" w:ascii="宋体" w:hAnsi="宋体" w:eastAsia="宋体" w:cs="宋体"/>
          <w:color w:val="auto"/>
          <w:szCs w:val="21"/>
          <w:highlight w:val="none"/>
        </w:rPr>
        <w:t>（招标编号：广建咨询（东招）2025-0020号）</w:t>
      </w:r>
    </w:p>
    <w:p w14:paraId="16BB9A10">
      <w:pPr>
        <w:spacing w:line="360" w:lineRule="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甲方：</w:t>
      </w:r>
    </w:p>
    <w:p w14:paraId="2F37F3C8">
      <w:pPr>
        <w:pStyle w:val="2"/>
        <w:spacing w:line="360" w:lineRule="auto"/>
        <w:jc w:val="both"/>
        <w:outlineLvl w:val="9"/>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地址：</w:t>
      </w:r>
    </w:p>
    <w:p w14:paraId="4B09B8C8">
      <w:pPr>
        <w:pStyle w:val="2"/>
        <w:jc w:val="both"/>
        <w:outlineLvl w:val="9"/>
        <w:rPr>
          <w:rFonts w:hint="eastAsia" w:ascii="宋体" w:hAnsi="宋体" w:eastAsia="宋体" w:cs="宋体"/>
          <w:color w:val="auto"/>
          <w:sz w:val="21"/>
          <w:szCs w:val="21"/>
          <w:highlight w:val="none"/>
          <w:lang w:val="en-US"/>
        </w:rPr>
      </w:pPr>
    </w:p>
    <w:p w14:paraId="40E93AA3">
      <w:pPr>
        <w:spacing w:line="360" w:lineRule="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乙方：</w:t>
      </w:r>
    </w:p>
    <w:p w14:paraId="40792507">
      <w:pPr>
        <w:pStyle w:val="2"/>
        <w:jc w:val="both"/>
        <w:outlineLvl w:val="9"/>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地址：</w:t>
      </w:r>
    </w:p>
    <w:p w14:paraId="3A3A90AD">
      <w:pPr>
        <w:pStyle w:val="47"/>
        <w:jc w:val="both"/>
        <w:outlineLvl w:val="9"/>
        <w:rPr>
          <w:rFonts w:hint="eastAsia" w:ascii="宋体" w:hAnsi="宋体" w:eastAsia="宋体" w:cs="宋体"/>
          <w:highlight w:val="none"/>
          <w:lang w:val="en-US" w:eastAsia="zh-CN"/>
        </w:rPr>
      </w:pPr>
    </w:p>
    <w:p w14:paraId="6C045D07">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安全生产法》和《建设工程安全生产管理条例》等法律法规要求，为加强作业现场的安全管理，落实甲乙双方的安全生产职责，进一步加强作业的安全管理，杜绝作业人员因安全管理不善而引发的各类安全事故，保证甲、乙双方的财产和员工的人身安全不受侵害，经甲乙双方协商一致，签订协议如下：</w:t>
      </w:r>
    </w:p>
    <w:p w14:paraId="17F3B5A6">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进场前乙方应将本企业的营业执照、企业资质等级证书、安全生产许可证、进场人员花名册、携带进场的机具一览表、特种作业人员及特种作业操作证的复印件报甲方。进场职工必须办好作业所在地所需办理的各种证件，不得雇用未成年工、童工、超龄工和安排女工从事禁忌劳动，进场前，乙方必须严格遵守甲方及项目所在地的相关防疫要求。</w:t>
      </w:r>
    </w:p>
    <w:p w14:paraId="2F8AF522">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应设置专职或兼职安全员，对作业进行安全管理，并在作业前对所属员工进行安全教育培训，并且进行经常性的安全教育，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6ED2AEB1">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3、乙方使用被派遣劳动者的，应当将被派遣劳动者纳入本单位从业人员统一管理，对被派遣劳动者进行岗位安全操作规程和安全操作技能的教育和培训。</w:t>
      </w:r>
    </w:p>
    <w:p w14:paraId="78325254">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应当在有较大危险因素的场所和有关设施、设备上，设置明显的安全警示标志。乙方应当对安全设备进行经常性维护、保养，并定期检测，保证正常运转。维护、保养、检测应当做好记录，并由乙方安全员或代表签字。</w:t>
      </w:r>
    </w:p>
    <w:p w14:paraId="761F3FA1">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5、乙方应当教育和督促从业人员严格执行本单位的安全生产规章制度和安全操作规程；并向从业人员如实告知作业场所和工作岗位存在的危险因素、防范措施以及事故应急措施。</w:t>
      </w:r>
    </w:p>
    <w:p w14:paraId="7D2946F1">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6、乙方应严格遵守国家、地方政府有关安全生产及劳动保护的法律法规、标准、规定，贯彻执行甲方的各项安全管理规章制度。</w:t>
      </w:r>
    </w:p>
    <w:p w14:paraId="3349A94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乙方应当服从甲方的安全管理，保证作业区域的现场文明安全管理达标，现场临时用电、机器设备、安全防护齐全、完好。接受和配合甲方的安全监督检查，乙方现场的所有安全装置、防护设施必须依据经甲方审批通过后的安全技术方案进行搭设、安装，乙方必须无条件保证安全防护设施使用的搭设材料的质量，在用于安全防护的物资进场前将有关物资的材质证明报甲方，经甲方确认后方可使用。</w:t>
      </w:r>
    </w:p>
    <w:p w14:paraId="113B403F">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14:paraId="5159EA29">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9、甲方有权对整个作业现场的安全管理工作进行协调和监督管理。指导、监督、检查乙方的执业健康安全管理工作，对乙方作业中的违章指挥、违章作业和安全隐患提出整改意见，督促、检查乙方的隐患整改落实情况。</w:t>
      </w:r>
    </w:p>
    <w:p w14:paraId="6F0FC346">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乙方在作业过程中违反有关安全管理规定、有违章现象发生、安全问题整改不到位或拒不接受甲方的正常安全管理的，甲方有权依据有关法律法规规定进行处理。乙方作业中存在重大隐患或险情时，甲方有权要求乙方立即整改直至隐患消除，若乙方整改后仍达不到甲方要求的，甲方有权要求与乙方解除合同，并要求乙方清退出场。</w:t>
      </w:r>
    </w:p>
    <w:p w14:paraId="102E5847">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乙方作业人员未经许可不得随意到作业区域以外的其它工作场所活动，乙方作业人员擅自到作业区域以外的其它工作场所活动，出现人身损伤或伤亡的，由乙方自行承担一切责任。乙方作业人员需动用或作业涉及到甲方所属设备、电器、管线及其他设施等，必须事先征得甲方代表的同意，并采取安全防护措施。</w:t>
      </w:r>
    </w:p>
    <w:p w14:paraId="355E9A3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在作业过程中，需要进行动土、动火、登高、吊装、断路、进入限制性空间等危险性较高的作业时，乙方的作业负责人、专职或兼职安全员必须现场确认，并在开始作业前报送甲方且甲方同意方可作业。乙方应严格按照甲方的关于危险作业安全要求执行。</w:t>
      </w:r>
    </w:p>
    <w:p w14:paraId="64199423">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13、因乙方原因，造成乙方损失，由乙方自负，给甲方造成财产损失和人员伤害，乙方要负全部责任，并全额赔偿甲方。</w:t>
      </w:r>
    </w:p>
    <w:p w14:paraId="1CBBAC38">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14、非因甲方原因，造成乙方损失的，甲方不承担任何责任，由乙方自行承担全部责任。</w:t>
      </w:r>
    </w:p>
    <w:p w14:paraId="7A7D9FC8">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15、乙方应严格遵守法律法规以及甲方的安全管理要求，并接受甲方的安全生产工作协调和监督，积极消除安全隐患。安全管理的基本要求包括但不限于以下条款：</w:t>
      </w:r>
    </w:p>
    <w:p w14:paraId="77EB371A">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①禁火区内严禁吸烟、动火。有火灾危险的作业区域，乙方必须配置足够的灭火设施。</w:t>
      </w:r>
    </w:p>
    <w:p w14:paraId="2C05509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②焊接、气割作业时两瓶距离必须达到5M及以上，气瓶距可能产生火花的电器、设备和其它火源的间距必须达到10M及以上。</w:t>
      </w:r>
    </w:p>
    <w:p w14:paraId="79C70B21">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③严禁在厂内道路、消防通道内搭建临时建筑或堆放物资。</w:t>
      </w:r>
    </w:p>
    <w:p w14:paraId="10FB8713">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④作业场所的电动工具、电焊机等须有漏电保护器和相应的安全防护装置。</w:t>
      </w:r>
    </w:p>
    <w:p w14:paraId="70EBAFD4">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⑤作业现场及居住室、办公室内的用电设施必须符合要求，严禁电线乱接、乱拉，刀闸和开关无盖，在电器设施上堆放物品。</w:t>
      </w:r>
    </w:p>
    <w:p w14:paraId="7F339C6F">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⑥防雷、防静电设施及用电设施要有良好接地。</w:t>
      </w:r>
    </w:p>
    <w:p w14:paraId="344E2133">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⑦作业现场的危险区域，如临边、深坑、土方堆填区等，必须设置围栏和危险标志，夜间要设信号灯。</w:t>
      </w:r>
    </w:p>
    <w:p w14:paraId="472BCCA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⑧乙方应当为从业人员提供符合国家标准或者行业标准的劳动防护用品，并监督、教育从业人员按照使用规则佩戴、使用，防止工伤事故的发生。乙方发生各类工伤事故，严禁隐瞒不报。发生重伤及重伤以上事故时，应及时组织抢救、保护好现场，并立即报告甲方主管领导。</w:t>
      </w:r>
    </w:p>
    <w:p w14:paraId="5DE9DC4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⑨登高架子、安全防护设施、脚手架搭设完毕后必须经乙方安全员或代表验收合格后方可使用，对从甲方接手及自行搭设的安全防护设施、脚手架做好日常维护与管理。安全防护设施、脚手架的拆除必须在接到专业工程师的作业指令后方可拆除，不得私自拆改任何安全防护设施。进行受限空间作业前，必须有作业票（或作业审批表），先通风，检测氧气、有毒有害气体，确保符合作业条件，做好个人防护和专人监护后，方可进入。</w:t>
      </w:r>
    </w:p>
    <w:p w14:paraId="7956CA9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14:paraId="5FCAAC60">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16、乙方必须接受甲方的检查与监督，并应主动配合，做好安全工作，凡有违反上述协议的即视为乙方违约，甲方有权视情况从工程结算款/服务价款中扣除</w:t>
      </w:r>
      <w:r>
        <w:rPr>
          <w:rFonts w:hint="default" w:ascii="宋体" w:hAnsi="宋体" w:eastAsia="宋体" w:cs="宋体"/>
          <w:color w:val="auto"/>
          <w:szCs w:val="21"/>
          <w:highlight w:val="none"/>
          <w:lang w:val="en-US"/>
        </w:rPr>
        <w:t>（1000-2000）</w:t>
      </w:r>
      <w:r>
        <w:rPr>
          <w:rFonts w:hint="eastAsia" w:ascii="宋体" w:hAnsi="宋体" w:eastAsia="宋体" w:cs="宋体"/>
          <w:color w:val="auto"/>
          <w:szCs w:val="21"/>
          <w:highlight w:val="none"/>
        </w:rPr>
        <w:t>元/次作为违约金。</w:t>
      </w:r>
    </w:p>
    <w:p w14:paraId="22173000">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17、乙方对作业过程中潜在的安全风险不明确的，不可盲目作业，否则，造成的后果由乙方独自承担。</w:t>
      </w:r>
    </w:p>
    <w:p w14:paraId="13C47A63">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18、本协议一式 贰 份，甲、乙双方各执 壹 份，本协议有效期为自甲乙双方法定代表人</w:t>
      </w:r>
      <w:r>
        <w:rPr>
          <w:rFonts w:hint="eastAsia" w:ascii="宋体" w:hAnsi="宋体" w:eastAsia="宋体" w:cs="宋体"/>
          <w:color w:val="auto"/>
          <w:szCs w:val="21"/>
          <w:highlight w:val="none"/>
          <w:lang w:val="en-US" w:eastAsia="zh-CN"/>
        </w:rPr>
        <w:t>或负责人</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val="en-US" w:eastAsia="zh-CN"/>
        </w:rPr>
        <w:t>委托代理人</w:t>
      </w:r>
      <w:r>
        <w:rPr>
          <w:rFonts w:hint="eastAsia" w:ascii="宋体" w:hAnsi="宋体" w:eastAsia="宋体" w:cs="宋体"/>
          <w:color w:val="auto"/>
          <w:szCs w:val="21"/>
          <w:highlight w:val="none"/>
        </w:rPr>
        <w:t>签字并盖章之日起至该项目合同义务履行完毕止。</w:t>
      </w:r>
    </w:p>
    <w:p w14:paraId="11564A4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乙方声明：</w:t>
      </w:r>
    </w:p>
    <w:p w14:paraId="52E59935">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乙方已认真阅读协议内容，对协议条款、现场的安全管理要求、安全风险充分理解，并自愿承担因违约造成的一切后果。</w:t>
      </w:r>
    </w:p>
    <w:p w14:paraId="672D8BD7">
      <w:pPr>
        <w:spacing w:line="360" w:lineRule="auto"/>
        <w:ind w:firstLine="420" w:firstLineChars="200"/>
        <w:outlineLvl w:val="9"/>
        <w:rPr>
          <w:rFonts w:hint="eastAsia" w:ascii="宋体" w:hAnsi="宋体" w:eastAsia="宋体" w:cs="宋体"/>
          <w:color w:val="auto"/>
          <w:szCs w:val="21"/>
          <w:highlight w:val="none"/>
        </w:rPr>
      </w:pPr>
    </w:p>
    <w:p w14:paraId="44EE05B1">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    （盖章）                             乙方：      （盖章）</w:t>
      </w:r>
    </w:p>
    <w:p w14:paraId="67D57119">
      <w:pPr>
        <w:spacing w:line="360" w:lineRule="auto"/>
        <w:ind w:firstLine="420" w:firstLineChars="200"/>
        <w:outlineLvl w:val="9"/>
        <w:rPr>
          <w:rFonts w:hint="eastAsia" w:ascii="宋体" w:hAnsi="宋体" w:eastAsia="宋体" w:cs="宋体"/>
          <w:color w:val="auto"/>
          <w:szCs w:val="21"/>
          <w:highlight w:val="none"/>
        </w:rPr>
      </w:pPr>
    </w:p>
    <w:p w14:paraId="6AAD7C31">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负责人</w:t>
      </w:r>
      <w:r>
        <w:rPr>
          <w:rFonts w:hint="eastAsia" w:ascii="宋体" w:hAnsi="宋体" w:eastAsia="宋体" w:cs="宋体"/>
          <w:color w:val="auto"/>
          <w:szCs w:val="21"/>
          <w:highlight w:val="none"/>
          <w:lang w:val="en-US" w:eastAsia="zh-CN"/>
        </w:rPr>
        <w:t>(或委托代理人)</w:t>
      </w:r>
      <w:r>
        <w:rPr>
          <w:rFonts w:hint="eastAsia" w:ascii="宋体" w:hAnsi="宋体" w:eastAsia="宋体" w:cs="宋体"/>
          <w:color w:val="auto"/>
          <w:szCs w:val="21"/>
          <w:highlight w:val="none"/>
        </w:rPr>
        <w:t>：              法定代表人</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负责人</w:t>
      </w:r>
      <w:r>
        <w:rPr>
          <w:rFonts w:hint="eastAsia" w:ascii="宋体" w:hAnsi="宋体" w:eastAsia="宋体" w:cs="宋体"/>
          <w:color w:val="auto"/>
          <w:szCs w:val="21"/>
          <w:highlight w:val="none"/>
          <w:lang w:val="en-US" w:eastAsia="zh-CN"/>
        </w:rPr>
        <w:t>(或委托代理人)</w:t>
      </w:r>
      <w:r>
        <w:rPr>
          <w:rFonts w:hint="eastAsia" w:ascii="宋体" w:hAnsi="宋体" w:eastAsia="宋体" w:cs="宋体"/>
          <w:color w:val="auto"/>
          <w:szCs w:val="21"/>
          <w:highlight w:val="none"/>
        </w:rPr>
        <w:t>：</w:t>
      </w:r>
    </w:p>
    <w:p w14:paraId="19C09E7A">
      <w:pPr>
        <w:spacing w:line="360" w:lineRule="auto"/>
        <w:ind w:firstLine="420" w:firstLineChars="200"/>
        <w:outlineLvl w:val="9"/>
        <w:rPr>
          <w:rFonts w:hint="eastAsia" w:ascii="宋体" w:hAnsi="宋体" w:eastAsia="宋体" w:cs="宋体"/>
          <w:color w:val="auto"/>
          <w:szCs w:val="21"/>
          <w:highlight w:val="none"/>
        </w:rPr>
      </w:pPr>
    </w:p>
    <w:p w14:paraId="60A569C8">
      <w:pPr>
        <w:spacing w:line="360" w:lineRule="auto"/>
        <w:outlineLvl w:val="9"/>
        <w:rPr>
          <w:rFonts w:hint="eastAsia" w:ascii="宋体" w:hAnsi="宋体" w:eastAsia="宋体" w:cs="宋体"/>
          <w:color w:val="auto"/>
          <w:szCs w:val="21"/>
          <w:highlight w:val="none"/>
        </w:rPr>
      </w:pPr>
    </w:p>
    <w:p w14:paraId="2FBECE0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签订日期：    年  月  日   </w:t>
      </w:r>
    </w:p>
    <w:p w14:paraId="1F0E2F4C">
      <w:pPr>
        <w:spacing w:line="360" w:lineRule="auto"/>
        <w:ind w:firstLine="420" w:firstLineChars="200"/>
        <w:rPr>
          <w:rFonts w:hint="eastAsia" w:ascii="宋体" w:hAnsi="宋体" w:eastAsia="宋体" w:cs="宋体"/>
          <w:color w:val="auto"/>
          <w:szCs w:val="21"/>
          <w:highlight w:val="none"/>
        </w:rPr>
      </w:pPr>
    </w:p>
    <w:p w14:paraId="032DEEEC">
      <w:pPr>
        <w:pageBreakBefore/>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附件</w:t>
      </w: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rPr>
        <w:t>：月度绩效考评表</w:t>
      </w:r>
    </w:p>
    <w:p w14:paraId="1C3BBA0B">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月度绩效考评表</w:t>
      </w:r>
    </w:p>
    <w:tbl>
      <w:tblPr>
        <w:tblStyle w:val="209"/>
        <w:tblW w:w="463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44"/>
        <w:gridCol w:w="1289"/>
        <w:gridCol w:w="4782"/>
        <w:gridCol w:w="1285"/>
        <w:gridCol w:w="1222"/>
      </w:tblGrid>
      <w:tr w14:paraId="32C5F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448" w:type="pct"/>
          </w:tcPr>
          <w:p w14:paraId="1453B19A">
            <w:pPr>
              <w:pStyle w:val="208"/>
              <w:spacing w:before="240" w:line="229" w:lineRule="auto"/>
              <w:ind w:left="115"/>
              <w:jc w:val="left"/>
              <w:rPr>
                <w:rFonts w:hint="eastAsia"/>
                <w:b/>
                <w:bCs/>
                <w:sz w:val="21"/>
                <w:szCs w:val="21"/>
              </w:rPr>
            </w:pPr>
            <w:r>
              <w:rPr>
                <w:b/>
                <w:bCs/>
                <w:spacing w:val="5"/>
                <w:sz w:val="21"/>
                <w:szCs w:val="21"/>
              </w:rPr>
              <w:t>序号</w:t>
            </w:r>
          </w:p>
        </w:tc>
        <w:tc>
          <w:tcPr>
            <w:tcW w:w="684" w:type="pct"/>
          </w:tcPr>
          <w:p w14:paraId="55E77874">
            <w:pPr>
              <w:pStyle w:val="208"/>
              <w:spacing w:before="240" w:line="228" w:lineRule="auto"/>
              <w:ind w:left="110"/>
              <w:jc w:val="left"/>
              <w:rPr>
                <w:rFonts w:hint="eastAsia"/>
                <w:b/>
                <w:bCs/>
                <w:sz w:val="21"/>
                <w:szCs w:val="21"/>
              </w:rPr>
            </w:pPr>
            <w:r>
              <w:rPr>
                <w:b/>
                <w:bCs/>
                <w:spacing w:val="7"/>
                <w:sz w:val="21"/>
                <w:szCs w:val="21"/>
              </w:rPr>
              <w:t>评分项目</w:t>
            </w:r>
          </w:p>
        </w:tc>
        <w:tc>
          <w:tcPr>
            <w:tcW w:w="2537" w:type="pct"/>
          </w:tcPr>
          <w:p w14:paraId="6E4E986E">
            <w:pPr>
              <w:pStyle w:val="208"/>
              <w:spacing w:before="240" w:line="228" w:lineRule="auto"/>
              <w:ind w:left="1903"/>
              <w:jc w:val="left"/>
              <w:rPr>
                <w:rFonts w:hint="eastAsia"/>
                <w:b/>
                <w:bCs/>
                <w:sz w:val="21"/>
                <w:szCs w:val="21"/>
              </w:rPr>
            </w:pPr>
            <w:r>
              <w:rPr>
                <w:rFonts w:hint="eastAsia"/>
                <w:b/>
                <w:bCs/>
                <w:spacing w:val="7"/>
                <w:sz w:val="21"/>
                <w:szCs w:val="21"/>
                <w:lang w:eastAsia="zh-CN"/>
              </w:rPr>
              <w:t>考评</w:t>
            </w:r>
            <w:r>
              <w:rPr>
                <w:b/>
                <w:bCs/>
                <w:spacing w:val="7"/>
                <w:sz w:val="21"/>
                <w:szCs w:val="21"/>
              </w:rPr>
              <w:t>标准</w:t>
            </w:r>
          </w:p>
        </w:tc>
        <w:tc>
          <w:tcPr>
            <w:tcW w:w="682" w:type="pct"/>
          </w:tcPr>
          <w:p w14:paraId="1CE0C8B4">
            <w:pPr>
              <w:pStyle w:val="208"/>
              <w:spacing w:before="240" w:line="228" w:lineRule="auto"/>
              <w:ind w:left="145" w:firstLine="221" w:firstLineChars="100"/>
              <w:jc w:val="left"/>
              <w:rPr>
                <w:rFonts w:hint="eastAsia"/>
                <w:b/>
                <w:bCs/>
                <w:sz w:val="21"/>
                <w:szCs w:val="21"/>
              </w:rPr>
            </w:pPr>
            <w:r>
              <w:rPr>
                <w:b/>
                <w:bCs/>
                <w:spacing w:val="5"/>
                <w:sz w:val="21"/>
                <w:szCs w:val="21"/>
              </w:rPr>
              <w:t>评分</w:t>
            </w:r>
          </w:p>
        </w:tc>
        <w:tc>
          <w:tcPr>
            <w:tcW w:w="647" w:type="pct"/>
          </w:tcPr>
          <w:p w14:paraId="130334A2">
            <w:pPr>
              <w:pStyle w:val="208"/>
              <w:spacing w:before="35" w:line="360" w:lineRule="auto"/>
              <w:ind w:left="146" w:right="137"/>
              <w:jc w:val="left"/>
              <w:rPr>
                <w:rFonts w:hint="eastAsia"/>
                <w:b/>
                <w:bCs/>
                <w:sz w:val="21"/>
                <w:szCs w:val="21"/>
              </w:rPr>
            </w:pPr>
            <w:r>
              <w:rPr>
                <w:b/>
                <w:bCs/>
                <w:spacing w:val="6"/>
                <w:sz w:val="21"/>
                <w:szCs w:val="21"/>
              </w:rPr>
              <w:t>备注（扣</w:t>
            </w:r>
            <w:r>
              <w:rPr>
                <w:b/>
                <w:bCs/>
                <w:spacing w:val="2"/>
                <w:sz w:val="21"/>
                <w:szCs w:val="21"/>
              </w:rPr>
              <w:t xml:space="preserve"> </w:t>
            </w:r>
            <w:r>
              <w:rPr>
                <w:b/>
                <w:bCs/>
                <w:spacing w:val="4"/>
                <w:sz w:val="21"/>
                <w:szCs w:val="21"/>
              </w:rPr>
              <w:t>分原因）</w:t>
            </w:r>
          </w:p>
        </w:tc>
      </w:tr>
      <w:tr w14:paraId="4B18F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448" w:type="pct"/>
            <w:vMerge w:val="restart"/>
            <w:tcBorders>
              <w:bottom w:val="nil"/>
            </w:tcBorders>
          </w:tcPr>
          <w:p w14:paraId="2C86A7AD">
            <w:pPr>
              <w:spacing w:line="266" w:lineRule="auto"/>
              <w:rPr>
                <w:rFonts w:hint="eastAsia" w:ascii="Arial"/>
                <w:szCs w:val="21"/>
              </w:rPr>
            </w:pPr>
          </w:p>
          <w:p w14:paraId="747EC7DD">
            <w:pPr>
              <w:spacing w:line="266" w:lineRule="auto"/>
              <w:rPr>
                <w:rFonts w:hint="eastAsia" w:ascii="Arial"/>
                <w:szCs w:val="21"/>
              </w:rPr>
            </w:pPr>
          </w:p>
          <w:p w14:paraId="45CDA8BF">
            <w:pPr>
              <w:spacing w:line="266" w:lineRule="auto"/>
              <w:rPr>
                <w:rFonts w:hint="eastAsia" w:ascii="Arial"/>
                <w:szCs w:val="21"/>
              </w:rPr>
            </w:pPr>
          </w:p>
          <w:p w14:paraId="246E8EB5">
            <w:pPr>
              <w:spacing w:line="266" w:lineRule="auto"/>
              <w:rPr>
                <w:rFonts w:hint="eastAsia" w:ascii="Arial"/>
                <w:szCs w:val="21"/>
              </w:rPr>
            </w:pPr>
          </w:p>
          <w:p w14:paraId="11F4E291">
            <w:pPr>
              <w:pStyle w:val="208"/>
              <w:spacing w:before="65" w:line="156" w:lineRule="exact"/>
              <w:ind w:left="356"/>
              <w:rPr>
                <w:rFonts w:hint="eastAsia"/>
                <w:sz w:val="21"/>
                <w:szCs w:val="21"/>
              </w:rPr>
            </w:pPr>
            <w:r>
              <w:rPr>
                <w:position w:val="-4"/>
                <w:sz w:val="21"/>
                <w:szCs w:val="21"/>
              </w:rPr>
              <w:t>一</w:t>
            </w:r>
          </w:p>
        </w:tc>
        <w:tc>
          <w:tcPr>
            <w:tcW w:w="684" w:type="pct"/>
            <w:vMerge w:val="restart"/>
            <w:tcBorders>
              <w:bottom w:val="nil"/>
            </w:tcBorders>
          </w:tcPr>
          <w:p w14:paraId="58F3A057">
            <w:pPr>
              <w:spacing w:line="261" w:lineRule="auto"/>
              <w:rPr>
                <w:rFonts w:hint="eastAsia" w:ascii="Arial"/>
                <w:szCs w:val="21"/>
              </w:rPr>
            </w:pPr>
          </w:p>
          <w:p w14:paraId="2C3F6E45">
            <w:pPr>
              <w:spacing w:line="261" w:lineRule="auto"/>
              <w:rPr>
                <w:rFonts w:hint="eastAsia" w:ascii="Arial"/>
                <w:szCs w:val="21"/>
              </w:rPr>
            </w:pPr>
          </w:p>
          <w:p w14:paraId="410D7F3B">
            <w:pPr>
              <w:spacing w:line="262" w:lineRule="auto"/>
              <w:rPr>
                <w:rFonts w:hint="eastAsia" w:ascii="Arial"/>
                <w:szCs w:val="21"/>
              </w:rPr>
            </w:pPr>
          </w:p>
          <w:p w14:paraId="0B0C3DDC">
            <w:pPr>
              <w:pStyle w:val="208"/>
              <w:spacing w:before="65" w:line="362" w:lineRule="auto"/>
              <w:ind w:left="121" w:right="223" w:hanging="9"/>
              <w:rPr>
                <w:rFonts w:hint="eastAsia"/>
                <w:sz w:val="21"/>
                <w:szCs w:val="21"/>
              </w:rPr>
            </w:pPr>
            <w:r>
              <w:rPr>
                <w:spacing w:val="7"/>
                <w:sz w:val="21"/>
                <w:szCs w:val="21"/>
              </w:rPr>
              <w:t>制度建设</w:t>
            </w:r>
            <w:r>
              <w:rPr>
                <w:sz w:val="21"/>
                <w:szCs w:val="21"/>
              </w:rPr>
              <w:t xml:space="preserve"> </w:t>
            </w:r>
            <w:r>
              <w:rPr>
                <w:spacing w:val="-2"/>
                <w:sz w:val="21"/>
                <w:szCs w:val="21"/>
              </w:rPr>
              <w:t>（3</w:t>
            </w:r>
            <w:r>
              <w:rPr>
                <w:spacing w:val="-36"/>
                <w:sz w:val="21"/>
                <w:szCs w:val="21"/>
              </w:rPr>
              <w:t xml:space="preserve"> </w:t>
            </w:r>
            <w:r>
              <w:rPr>
                <w:spacing w:val="-2"/>
                <w:sz w:val="21"/>
                <w:szCs w:val="21"/>
              </w:rPr>
              <w:t>分）</w:t>
            </w:r>
          </w:p>
        </w:tc>
        <w:tc>
          <w:tcPr>
            <w:tcW w:w="2537" w:type="pct"/>
          </w:tcPr>
          <w:p w14:paraId="41E6819C">
            <w:pPr>
              <w:pStyle w:val="208"/>
              <w:spacing w:before="32" w:line="228" w:lineRule="auto"/>
              <w:ind w:left="549"/>
              <w:rPr>
                <w:rFonts w:hint="eastAsia"/>
                <w:sz w:val="21"/>
                <w:szCs w:val="21"/>
                <w:lang w:eastAsia="zh-CN"/>
              </w:rPr>
            </w:pPr>
            <w:r>
              <w:rPr>
                <w:spacing w:val="5"/>
                <w:sz w:val="21"/>
                <w:szCs w:val="21"/>
                <w:lang w:eastAsia="zh-CN"/>
              </w:rPr>
              <w:t>1、证照齐全（食品经营许可证</w:t>
            </w:r>
            <w:r>
              <w:rPr>
                <w:spacing w:val="-5"/>
                <w:sz w:val="21"/>
                <w:szCs w:val="21"/>
                <w:lang w:eastAsia="zh-CN"/>
              </w:rPr>
              <w:t>）（</w:t>
            </w:r>
            <w:r>
              <w:rPr>
                <w:spacing w:val="-43"/>
                <w:sz w:val="21"/>
                <w:szCs w:val="21"/>
                <w:lang w:eastAsia="zh-CN"/>
              </w:rPr>
              <w:t xml:space="preserve"> </w:t>
            </w:r>
            <w:r>
              <w:rPr>
                <w:spacing w:val="5"/>
                <w:sz w:val="21"/>
                <w:szCs w:val="21"/>
                <w:lang w:eastAsia="zh-CN"/>
              </w:rPr>
              <w:t>1</w:t>
            </w:r>
            <w:r>
              <w:rPr>
                <w:spacing w:val="-38"/>
                <w:sz w:val="21"/>
                <w:szCs w:val="21"/>
                <w:lang w:eastAsia="zh-CN"/>
              </w:rPr>
              <w:t xml:space="preserve"> </w:t>
            </w:r>
            <w:r>
              <w:rPr>
                <w:spacing w:val="5"/>
                <w:sz w:val="21"/>
                <w:szCs w:val="21"/>
                <w:lang w:eastAsia="zh-CN"/>
              </w:rPr>
              <w:t>分）</w:t>
            </w:r>
          </w:p>
        </w:tc>
        <w:tc>
          <w:tcPr>
            <w:tcW w:w="682" w:type="pct"/>
          </w:tcPr>
          <w:p w14:paraId="29ACE457">
            <w:pPr>
              <w:rPr>
                <w:rFonts w:hint="eastAsia" w:ascii="Arial"/>
                <w:szCs w:val="21"/>
              </w:rPr>
            </w:pPr>
          </w:p>
        </w:tc>
        <w:tc>
          <w:tcPr>
            <w:tcW w:w="647" w:type="pct"/>
          </w:tcPr>
          <w:p w14:paraId="5E58C862">
            <w:pPr>
              <w:rPr>
                <w:rFonts w:hint="eastAsia" w:ascii="Arial"/>
                <w:szCs w:val="21"/>
              </w:rPr>
            </w:pPr>
          </w:p>
        </w:tc>
      </w:tr>
      <w:tr w14:paraId="4FE01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1" w:hRule="atLeast"/>
          <w:jc w:val="center"/>
        </w:trPr>
        <w:tc>
          <w:tcPr>
            <w:tcW w:w="448" w:type="pct"/>
            <w:vMerge w:val="continue"/>
            <w:tcBorders>
              <w:top w:val="nil"/>
            </w:tcBorders>
          </w:tcPr>
          <w:p w14:paraId="7CA1DF1E">
            <w:pPr>
              <w:rPr>
                <w:rFonts w:hint="eastAsia" w:ascii="Arial"/>
                <w:szCs w:val="21"/>
              </w:rPr>
            </w:pPr>
          </w:p>
        </w:tc>
        <w:tc>
          <w:tcPr>
            <w:tcW w:w="684" w:type="pct"/>
            <w:vMerge w:val="continue"/>
            <w:tcBorders>
              <w:top w:val="nil"/>
            </w:tcBorders>
          </w:tcPr>
          <w:p w14:paraId="5F0E972A">
            <w:pPr>
              <w:rPr>
                <w:rFonts w:hint="eastAsia" w:ascii="Arial"/>
                <w:szCs w:val="21"/>
              </w:rPr>
            </w:pPr>
          </w:p>
        </w:tc>
        <w:tc>
          <w:tcPr>
            <w:tcW w:w="2537" w:type="pct"/>
          </w:tcPr>
          <w:p w14:paraId="43F9BEC6">
            <w:pPr>
              <w:pStyle w:val="208"/>
              <w:spacing w:before="31" w:line="227" w:lineRule="auto"/>
              <w:ind w:left="536"/>
              <w:rPr>
                <w:rFonts w:hint="eastAsia"/>
                <w:sz w:val="21"/>
                <w:szCs w:val="21"/>
                <w:lang w:eastAsia="zh-CN"/>
              </w:rPr>
            </w:pPr>
            <w:r>
              <w:rPr>
                <w:spacing w:val="8"/>
                <w:sz w:val="21"/>
                <w:szCs w:val="21"/>
                <w:lang w:eastAsia="zh-CN"/>
              </w:rPr>
              <w:t>2、食品卫生、人事用工、业务培训、采</w:t>
            </w:r>
          </w:p>
          <w:p w14:paraId="1DBE9B90">
            <w:pPr>
              <w:pStyle w:val="208"/>
              <w:spacing w:before="163" w:line="368" w:lineRule="auto"/>
              <w:ind w:left="114" w:right="118" w:hanging="3"/>
              <w:rPr>
                <w:rFonts w:hint="eastAsia"/>
                <w:sz w:val="21"/>
                <w:szCs w:val="21"/>
                <w:lang w:eastAsia="zh-CN"/>
              </w:rPr>
            </w:pPr>
            <w:r>
              <w:rPr>
                <w:spacing w:val="9"/>
                <w:sz w:val="21"/>
                <w:szCs w:val="21"/>
                <w:lang w:eastAsia="zh-CN"/>
              </w:rPr>
              <w:t>购、民主管理、安全生产、仓库管理、消防安全管理制度、设备操作规程、水电管理制度、食物</w:t>
            </w:r>
            <w:r>
              <w:rPr>
                <w:spacing w:val="8"/>
                <w:sz w:val="21"/>
                <w:szCs w:val="21"/>
                <w:lang w:eastAsia="zh-CN"/>
              </w:rPr>
              <w:t>中毒应急预案等制度齐全。（共</w:t>
            </w:r>
            <w:r>
              <w:rPr>
                <w:spacing w:val="-35"/>
                <w:sz w:val="21"/>
                <w:szCs w:val="21"/>
                <w:lang w:eastAsia="zh-CN"/>
              </w:rPr>
              <w:t xml:space="preserve"> </w:t>
            </w:r>
            <w:r>
              <w:rPr>
                <w:spacing w:val="8"/>
                <w:sz w:val="21"/>
                <w:szCs w:val="21"/>
                <w:lang w:eastAsia="zh-CN"/>
              </w:rPr>
              <w:t>2</w:t>
            </w:r>
            <w:r>
              <w:rPr>
                <w:spacing w:val="-35"/>
                <w:sz w:val="21"/>
                <w:szCs w:val="21"/>
                <w:lang w:eastAsia="zh-CN"/>
              </w:rPr>
              <w:t xml:space="preserve"> </w:t>
            </w:r>
            <w:r>
              <w:rPr>
                <w:spacing w:val="8"/>
                <w:sz w:val="21"/>
                <w:szCs w:val="21"/>
                <w:lang w:eastAsia="zh-CN"/>
              </w:rPr>
              <w:t>分，缺一项扣</w:t>
            </w:r>
            <w:r>
              <w:rPr>
                <w:sz w:val="21"/>
                <w:szCs w:val="21"/>
                <w:lang w:eastAsia="zh-CN"/>
              </w:rPr>
              <w:t xml:space="preserve"> 0.5</w:t>
            </w:r>
            <w:r>
              <w:rPr>
                <w:spacing w:val="-35"/>
                <w:sz w:val="21"/>
                <w:szCs w:val="21"/>
                <w:lang w:eastAsia="zh-CN"/>
              </w:rPr>
              <w:t xml:space="preserve"> </w:t>
            </w:r>
            <w:r>
              <w:rPr>
                <w:sz w:val="21"/>
                <w:szCs w:val="21"/>
                <w:lang w:eastAsia="zh-CN"/>
              </w:rPr>
              <w:t>分）</w:t>
            </w:r>
          </w:p>
        </w:tc>
        <w:tc>
          <w:tcPr>
            <w:tcW w:w="682" w:type="pct"/>
          </w:tcPr>
          <w:p w14:paraId="1FD893F6">
            <w:pPr>
              <w:rPr>
                <w:rFonts w:hint="eastAsia" w:ascii="Arial"/>
                <w:szCs w:val="21"/>
              </w:rPr>
            </w:pPr>
          </w:p>
        </w:tc>
        <w:tc>
          <w:tcPr>
            <w:tcW w:w="647" w:type="pct"/>
          </w:tcPr>
          <w:p w14:paraId="37F30150">
            <w:pPr>
              <w:rPr>
                <w:rFonts w:hint="eastAsia" w:ascii="Arial"/>
                <w:szCs w:val="21"/>
              </w:rPr>
            </w:pPr>
          </w:p>
        </w:tc>
      </w:tr>
      <w:tr w14:paraId="7546D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jc w:val="center"/>
        </w:trPr>
        <w:tc>
          <w:tcPr>
            <w:tcW w:w="448" w:type="pct"/>
            <w:vMerge w:val="restart"/>
            <w:tcBorders>
              <w:bottom w:val="nil"/>
            </w:tcBorders>
          </w:tcPr>
          <w:p w14:paraId="44D23127">
            <w:pPr>
              <w:spacing w:line="250" w:lineRule="auto"/>
              <w:rPr>
                <w:rFonts w:hint="eastAsia" w:ascii="Arial"/>
                <w:szCs w:val="21"/>
              </w:rPr>
            </w:pPr>
          </w:p>
          <w:p w14:paraId="697E7271">
            <w:pPr>
              <w:spacing w:line="250" w:lineRule="auto"/>
              <w:rPr>
                <w:rFonts w:hint="eastAsia" w:ascii="Arial"/>
                <w:szCs w:val="21"/>
              </w:rPr>
            </w:pPr>
          </w:p>
          <w:p w14:paraId="1FE5E31D">
            <w:pPr>
              <w:spacing w:line="250" w:lineRule="auto"/>
              <w:rPr>
                <w:rFonts w:hint="eastAsia" w:ascii="Arial"/>
                <w:szCs w:val="21"/>
              </w:rPr>
            </w:pPr>
          </w:p>
          <w:p w14:paraId="10F7BFE3">
            <w:pPr>
              <w:spacing w:line="250" w:lineRule="auto"/>
              <w:rPr>
                <w:rFonts w:hint="eastAsia" w:ascii="Arial"/>
                <w:szCs w:val="21"/>
              </w:rPr>
            </w:pPr>
          </w:p>
          <w:p w14:paraId="65EF66E0">
            <w:pPr>
              <w:spacing w:line="250" w:lineRule="auto"/>
              <w:rPr>
                <w:rFonts w:hint="eastAsia" w:ascii="Arial"/>
                <w:szCs w:val="21"/>
              </w:rPr>
            </w:pPr>
          </w:p>
          <w:p w14:paraId="7B9C17F3">
            <w:pPr>
              <w:spacing w:line="250" w:lineRule="auto"/>
              <w:rPr>
                <w:rFonts w:hint="eastAsia" w:ascii="Arial"/>
                <w:szCs w:val="21"/>
              </w:rPr>
            </w:pPr>
          </w:p>
          <w:p w14:paraId="345226DD">
            <w:pPr>
              <w:spacing w:line="251" w:lineRule="auto"/>
              <w:rPr>
                <w:rFonts w:hint="eastAsia" w:ascii="Arial"/>
                <w:szCs w:val="21"/>
              </w:rPr>
            </w:pPr>
          </w:p>
          <w:p w14:paraId="006CA72F">
            <w:pPr>
              <w:spacing w:line="251" w:lineRule="auto"/>
              <w:rPr>
                <w:rFonts w:hint="eastAsia" w:ascii="Arial"/>
                <w:szCs w:val="21"/>
              </w:rPr>
            </w:pPr>
          </w:p>
          <w:p w14:paraId="53EC6E04">
            <w:pPr>
              <w:spacing w:line="251" w:lineRule="auto"/>
              <w:rPr>
                <w:rFonts w:hint="eastAsia" w:ascii="Arial"/>
                <w:szCs w:val="21"/>
              </w:rPr>
            </w:pPr>
          </w:p>
          <w:p w14:paraId="73A8505C">
            <w:pPr>
              <w:pStyle w:val="208"/>
              <w:spacing w:before="65" w:line="183" w:lineRule="auto"/>
              <w:ind w:left="356"/>
              <w:rPr>
                <w:rFonts w:hint="eastAsia"/>
                <w:sz w:val="21"/>
                <w:szCs w:val="21"/>
              </w:rPr>
            </w:pPr>
            <w:r>
              <w:rPr>
                <w:sz w:val="21"/>
                <w:szCs w:val="21"/>
              </w:rPr>
              <w:t>二</w:t>
            </w:r>
          </w:p>
        </w:tc>
        <w:tc>
          <w:tcPr>
            <w:tcW w:w="684" w:type="pct"/>
            <w:vMerge w:val="restart"/>
            <w:tcBorders>
              <w:bottom w:val="nil"/>
            </w:tcBorders>
          </w:tcPr>
          <w:p w14:paraId="5EC9762C">
            <w:pPr>
              <w:spacing w:line="251" w:lineRule="auto"/>
              <w:rPr>
                <w:rFonts w:hint="eastAsia" w:ascii="Arial"/>
                <w:szCs w:val="21"/>
              </w:rPr>
            </w:pPr>
          </w:p>
          <w:p w14:paraId="2165CE56">
            <w:pPr>
              <w:spacing w:line="251" w:lineRule="auto"/>
              <w:rPr>
                <w:rFonts w:hint="eastAsia" w:ascii="Arial"/>
                <w:szCs w:val="21"/>
              </w:rPr>
            </w:pPr>
          </w:p>
          <w:p w14:paraId="61A9DB50">
            <w:pPr>
              <w:spacing w:line="251" w:lineRule="auto"/>
              <w:rPr>
                <w:rFonts w:hint="eastAsia" w:ascii="Arial"/>
                <w:szCs w:val="21"/>
              </w:rPr>
            </w:pPr>
          </w:p>
          <w:p w14:paraId="009CB179">
            <w:pPr>
              <w:spacing w:line="251" w:lineRule="auto"/>
              <w:rPr>
                <w:rFonts w:hint="eastAsia" w:ascii="Arial"/>
                <w:szCs w:val="21"/>
              </w:rPr>
            </w:pPr>
          </w:p>
          <w:p w14:paraId="3A86086F">
            <w:pPr>
              <w:spacing w:line="252" w:lineRule="auto"/>
              <w:rPr>
                <w:rFonts w:hint="eastAsia" w:ascii="Arial"/>
                <w:szCs w:val="21"/>
              </w:rPr>
            </w:pPr>
          </w:p>
          <w:p w14:paraId="2C2B637A">
            <w:pPr>
              <w:spacing w:line="252" w:lineRule="auto"/>
              <w:rPr>
                <w:rFonts w:hint="eastAsia" w:ascii="Arial"/>
                <w:szCs w:val="21"/>
              </w:rPr>
            </w:pPr>
          </w:p>
          <w:p w14:paraId="3DEC1E2B">
            <w:pPr>
              <w:spacing w:line="252" w:lineRule="auto"/>
              <w:rPr>
                <w:rFonts w:hint="eastAsia" w:ascii="Arial"/>
                <w:szCs w:val="21"/>
              </w:rPr>
            </w:pPr>
          </w:p>
          <w:p w14:paraId="158D2339">
            <w:pPr>
              <w:spacing w:line="252" w:lineRule="auto"/>
              <w:rPr>
                <w:rFonts w:hint="eastAsia" w:ascii="Arial"/>
                <w:szCs w:val="21"/>
              </w:rPr>
            </w:pPr>
          </w:p>
          <w:p w14:paraId="1372C04F">
            <w:pPr>
              <w:pStyle w:val="208"/>
              <w:spacing w:before="65" w:line="362" w:lineRule="auto"/>
              <w:ind w:left="121" w:right="223" w:hanging="8"/>
              <w:rPr>
                <w:rFonts w:hint="eastAsia"/>
                <w:sz w:val="21"/>
                <w:szCs w:val="21"/>
              </w:rPr>
            </w:pPr>
            <w:r>
              <w:rPr>
                <w:spacing w:val="6"/>
                <w:sz w:val="21"/>
                <w:szCs w:val="21"/>
              </w:rPr>
              <w:t>人员配置</w:t>
            </w:r>
            <w:r>
              <w:rPr>
                <w:spacing w:val="2"/>
                <w:sz w:val="21"/>
                <w:szCs w:val="21"/>
              </w:rPr>
              <w:t xml:space="preserve"> </w:t>
            </w:r>
            <w:r>
              <w:rPr>
                <w:spacing w:val="-2"/>
                <w:sz w:val="21"/>
                <w:szCs w:val="21"/>
              </w:rPr>
              <w:t>（8</w:t>
            </w:r>
            <w:r>
              <w:rPr>
                <w:spacing w:val="-36"/>
                <w:sz w:val="21"/>
                <w:szCs w:val="21"/>
              </w:rPr>
              <w:t xml:space="preserve"> </w:t>
            </w:r>
            <w:r>
              <w:rPr>
                <w:spacing w:val="-2"/>
                <w:sz w:val="21"/>
                <w:szCs w:val="21"/>
              </w:rPr>
              <w:t>分）</w:t>
            </w:r>
          </w:p>
        </w:tc>
        <w:tc>
          <w:tcPr>
            <w:tcW w:w="2537" w:type="pct"/>
          </w:tcPr>
          <w:p w14:paraId="07D1C84B">
            <w:pPr>
              <w:pStyle w:val="208"/>
              <w:spacing w:before="32" w:line="362" w:lineRule="auto"/>
              <w:ind w:left="129" w:right="224" w:firstLine="420"/>
              <w:rPr>
                <w:rFonts w:hint="eastAsia"/>
                <w:sz w:val="21"/>
                <w:szCs w:val="21"/>
                <w:lang w:eastAsia="zh-CN"/>
              </w:rPr>
            </w:pPr>
            <w:r>
              <w:rPr>
                <w:spacing w:val="8"/>
                <w:sz w:val="21"/>
                <w:szCs w:val="21"/>
                <w:lang w:eastAsia="zh-CN"/>
              </w:rPr>
              <w:t>1、人员配置合理，从业人员按</w:t>
            </w:r>
            <w:r>
              <w:rPr>
                <w:rFonts w:hint="eastAsia"/>
                <w:spacing w:val="4"/>
                <w:sz w:val="21"/>
                <w:szCs w:val="21"/>
                <w:lang w:eastAsia="zh-CN"/>
              </w:rPr>
              <w:t>要求</w:t>
            </w:r>
            <w:r>
              <w:rPr>
                <w:spacing w:val="4"/>
                <w:sz w:val="21"/>
                <w:szCs w:val="21"/>
                <w:lang w:eastAsia="zh-CN"/>
              </w:rPr>
              <w:t>配置。（共</w:t>
            </w:r>
            <w:r>
              <w:rPr>
                <w:spacing w:val="-34"/>
                <w:sz w:val="21"/>
                <w:szCs w:val="21"/>
                <w:lang w:eastAsia="zh-CN"/>
              </w:rPr>
              <w:t xml:space="preserve"> </w:t>
            </w:r>
            <w:r>
              <w:rPr>
                <w:spacing w:val="4"/>
                <w:sz w:val="21"/>
                <w:szCs w:val="21"/>
                <w:lang w:eastAsia="zh-CN"/>
              </w:rPr>
              <w:t>2</w:t>
            </w:r>
            <w:r>
              <w:rPr>
                <w:spacing w:val="-38"/>
                <w:sz w:val="21"/>
                <w:szCs w:val="21"/>
                <w:lang w:eastAsia="zh-CN"/>
              </w:rPr>
              <w:t xml:space="preserve"> </w:t>
            </w:r>
            <w:r>
              <w:rPr>
                <w:spacing w:val="4"/>
                <w:sz w:val="21"/>
                <w:szCs w:val="21"/>
                <w:lang w:eastAsia="zh-CN"/>
              </w:rPr>
              <w:t>分，不符合扣</w:t>
            </w:r>
            <w:r>
              <w:rPr>
                <w:spacing w:val="-34"/>
                <w:sz w:val="21"/>
                <w:szCs w:val="21"/>
                <w:lang w:eastAsia="zh-CN"/>
              </w:rPr>
              <w:t xml:space="preserve"> </w:t>
            </w:r>
            <w:r>
              <w:rPr>
                <w:spacing w:val="4"/>
                <w:sz w:val="21"/>
                <w:szCs w:val="21"/>
                <w:lang w:eastAsia="zh-CN"/>
              </w:rPr>
              <w:t>2</w:t>
            </w:r>
            <w:r>
              <w:rPr>
                <w:spacing w:val="-1"/>
                <w:sz w:val="21"/>
                <w:szCs w:val="21"/>
                <w:lang w:eastAsia="zh-CN"/>
              </w:rPr>
              <w:t>分）</w:t>
            </w:r>
          </w:p>
        </w:tc>
        <w:tc>
          <w:tcPr>
            <w:tcW w:w="682" w:type="pct"/>
          </w:tcPr>
          <w:p w14:paraId="1135895C">
            <w:pPr>
              <w:rPr>
                <w:rFonts w:hint="eastAsia" w:ascii="Arial"/>
                <w:szCs w:val="21"/>
              </w:rPr>
            </w:pPr>
          </w:p>
        </w:tc>
        <w:tc>
          <w:tcPr>
            <w:tcW w:w="647" w:type="pct"/>
          </w:tcPr>
          <w:p w14:paraId="48C75278">
            <w:pPr>
              <w:rPr>
                <w:rFonts w:hint="eastAsia" w:ascii="Arial"/>
                <w:szCs w:val="21"/>
              </w:rPr>
            </w:pPr>
          </w:p>
        </w:tc>
      </w:tr>
      <w:tr w14:paraId="578D4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jc w:val="center"/>
        </w:trPr>
        <w:tc>
          <w:tcPr>
            <w:tcW w:w="448" w:type="pct"/>
            <w:vMerge w:val="continue"/>
            <w:tcBorders>
              <w:top w:val="nil"/>
              <w:bottom w:val="nil"/>
            </w:tcBorders>
          </w:tcPr>
          <w:p w14:paraId="04B56F3A">
            <w:pPr>
              <w:rPr>
                <w:rFonts w:hint="eastAsia" w:ascii="Arial"/>
                <w:szCs w:val="21"/>
              </w:rPr>
            </w:pPr>
          </w:p>
        </w:tc>
        <w:tc>
          <w:tcPr>
            <w:tcW w:w="684" w:type="pct"/>
            <w:vMerge w:val="continue"/>
            <w:tcBorders>
              <w:top w:val="nil"/>
              <w:bottom w:val="nil"/>
            </w:tcBorders>
          </w:tcPr>
          <w:p w14:paraId="1F5BD665">
            <w:pPr>
              <w:rPr>
                <w:rFonts w:hint="eastAsia" w:ascii="Arial"/>
                <w:szCs w:val="21"/>
              </w:rPr>
            </w:pPr>
          </w:p>
        </w:tc>
        <w:tc>
          <w:tcPr>
            <w:tcW w:w="2537" w:type="pct"/>
          </w:tcPr>
          <w:p w14:paraId="49F143A8">
            <w:pPr>
              <w:pStyle w:val="208"/>
              <w:spacing w:before="32" w:line="365" w:lineRule="auto"/>
              <w:ind w:left="116" w:right="224" w:firstLine="420"/>
              <w:rPr>
                <w:rFonts w:hint="eastAsia"/>
                <w:sz w:val="21"/>
                <w:szCs w:val="21"/>
                <w:lang w:eastAsia="zh-CN"/>
              </w:rPr>
            </w:pPr>
            <w:r>
              <w:rPr>
                <w:spacing w:val="8"/>
                <w:sz w:val="21"/>
                <w:szCs w:val="21"/>
                <w:lang w:eastAsia="zh-CN"/>
              </w:rPr>
              <w:t>2、配置专职的优秀管理人员，人员的技术</w:t>
            </w:r>
            <w:r>
              <w:rPr>
                <w:spacing w:val="9"/>
                <w:sz w:val="21"/>
                <w:szCs w:val="21"/>
                <w:lang w:eastAsia="zh-CN"/>
              </w:rPr>
              <w:t>水平、人员数量符合中标人投标时的承诺 （</w:t>
            </w:r>
            <w:r>
              <w:rPr>
                <w:rFonts w:hint="eastAsia"/>
                <w:spacing w:val="9"/>
                <w:sz w:val="21"/>
                <w:szCs w:val="21"/>
                <w:lang w:eastAsia="zh-CN"/>
              </w:rPr>
              <w:t>共</w:t>
            </w:r>
            <w:r>
              <w:rPr>
                <w:spacing w:val="3"/>
                <w:sz w:val="21"/>
                <w:szCs w:val="21"/>
                <w:lang w:eastAsia="zh-CN"/>
              </w:rPr>
              <w:t>2</w:t>
            </w:r>
            <w:r>
              <w:rPr>
                <w:spacing w:val="-30"/>
                <w:sz w:val="21"/>
                <w:szCs w:val="21"/>
                <w:lang w:eastAsia="zh-CN"/>
              </w:rPr>
              <w:t xml:space="preserve"> </w:t>
            </w:r>
            <w:r>
              <w:rPr>
                <w:spacing w:val="3"/>
                <w:sz w:val="21"/>
                <w:szCs w:val="21"/>
                <w:lang w:eastAsia="zh-CN"/>
              </w:rPr>
              <w:t>分，不符合扣</w:t>
            </w:r>
            <w:r>
              <w:rPr>
                <w:spacing w:val="-35"/>
                <w:sz w:val="21"/>
                <w:szCs w:val="21"/>
                <w:lang w:eastAsia="zh-CN"/>
              </w:rPr>
              <w:t xml:space="preserve"> </w:t>
            </w:r>
            <w:r>
              <w:rPr>
                <w:spacing w:val="3"/>
                <w:sz w:val="21"/>
                <w:szCs w:val="21"/>
                <w:lang w:eastAsia="zh-CN"/>
              </w:rPr>
              <w:t>0.5</w:t>
            </w:r>
            <w:r>
              <w:rPr>
                <w:spacing w:val="-38"/>
                <w:sz w:val="21"/>
                <w:szCs w:val="21"/>
                <w:lang w:eastAsia="zh-CN"/>
              </w:rPr>
              <w:t xml:space="preserve"> </w:t>
            </w:r>
            <w:r>
              <w:rPr>
                <w:spacing w:val="3"/>
                <w:sz w:val="21"/>
                <w:szCs w:val="21"/>
                <w:lang w:eastAsia="zh-CN"/>
              </w:rPr>
              <w:t>分）</w:t>
            </w:r>
          </w:p>
        </w:tc>
        <w:tc>
          <w:tcPr>
            <w:tcW w:w="682" w:type="pct"/>
          </w:tcPr>
          <w:p w14:paraId="296B0EC3">
            <w:pPr>
              <w:rPr>
                <w:rFonts w:hint="eastAsia" w:ascii="Arial"/>
                <w:szCs w:val="21"/>
              </w:rPr>
            </w:pPr>
          </w:p>
        </w:tc>
        <w:tc>
          <w:tcPr>
            <w:tcW w:w="647" w:type="pct"/>
          </w:tcPr>
          <w:p w14:paraId="1D2C1C8D">
            <w:pPr>
              <w:rPr>
                <w:rFonts w:hint="eastAsia" w:ascii="Arial"/>
                <w:szCs w:val="21"/>
              </w:rPr>
            </w:pPr>
          </w:p>
        </w:tc>
      </w:tr>
      <w:tr w14:paraId="05AA7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1" w:hRule="atLeast"/>
          <w:jc w:val="center"/>
        </w:trPr>
        <w:tc>
          <w:tcPr>
            <w:tcW w:w="448" w:type="pct"/>
            <w:vMerge w:val="continue"/>
            <w:tcBorders>
              <w:top w:val="nil"/>
              <w:bottom w:val="nil"/>
            </w:tcBorders>
          </w:tcPr>
          <w:p w14:paraId="0425386A">
            <w:pPr>
              <w:rPr>
                <w:rFonts w:hint="eastAsia" w:ascii="Arial"/>
                <w:szCs w:val="21"/>
              </w:rPr>
            </w:pPr>
          </w:p>
        </w:tc>
        <w:tc>
          <w:tcPr>
            <w:tcW w:w="684" w:type="pct"/>
            <w:vMerge w:val="continue"/>
            <w:tcBorders>
              <w:top w:val="nil"/>
              <w:bottom w:val="nil"/>
            </w:tcBorders>
          </w:tcPr>
          <w:p w14:paraId="67445CC1">
            <w:pPr>
              <w:rPr>
                <w:rFonts w:hint="eastAsia" w:ascii="Arial"/>
                <w:szCs w:val="21"/>
              </w:rPr>
            </w:pPr>
          </w:p>
        </w:tc>
        <w:tc>
          <w:tcPr>
            <w:tcW w:w="2537" w:type="pct"/>
          </w:tcPr>
          <w:p w14:paraId="28F842CF">
            <w:pPr>
              <w:pStyle w:val="208"/>
              <w:spacing w:before="37" w:line="364" w:lineRule="auto"/>
              <w:ind w:left="115" w:right="172" w:firstLine="422"/>
              <w:rPr>
                <w:rFonts w:hint="eastAsia"/>
                <w:sz w:val="21"/>
                <w:szCs w:val="21"/>
                <w:lang w:eastAsia="zh-CN"/>
              </w:rPr>
            </w:pPr>
            <w:r>
              <w:rPr>
                <w:spacing w:val="9"/>
                <w:sz w:val="21"/>
                <w:szCs w:val="21"/>
                <w:lang w:eastAsia="zh-CN"/>
              </w:rPr>
              <w:t>3、厨点师应持证上岗，人员的技术水平、</w:t>
            </w:r>
            <w:r>
              <w:rPr>
                <w:spacing w:val="10"/>
                <w:sz w:val="21"/>
                <w:szCs w:val="21"/>
                <w:lang w:eastAsia="zh-CN"/>
              </w:rPr>
              <w:t xml:space="preserve"> </w:t>
            </w:r>
            <w:r>
              <w:rPr>
                <w:spacing w:val="5"/>
                <w:sz w:val="21"/>
                <w:szCs w:val="21"/>
                <w:lang w:eastAsia="zh-CN"/>
              </w:rPr>
              <w:t>人员数量符合中标人投标时的承诺。（共</w:t>
            </w:r>
            <w:r>
              <w:rPr>
                <w:spacing w:val="-25"/>
                <w:sz w:val="21"/>
                <w:szCs w:val="21"/>
                <w:lang w:eastAsia="zh-CN"/>
              </w:rPr>
              <w:t xml:space="preserve"> </w:t>
            </w:r>
            <w:r>
              <w:rPr>
                <w:spacing w:val="5"/>
                <w:sz w:val="21"/>
                <w:szCs w:val="21"/>
                <w:lang w:eastAsia="zh-CN"/>
              </w:rPr>
              <w:t>2</w:t>
            </w:r>
            <w:r>
              <w:rPr>
                <w:spacing w:val="-36"/>
                <w:sz w:val="21"/>
                <w:szCs w:val="21"/>
                <w:lang w:eastAsia="zh-CN"/>
              </w:rPr>
              <w:t xml:space="preserve"> </w:t>
            </w:r>
            <w:r>
              <w:rPr>
                <w:spacing w:val="5"/>
                <w:sz w:val="21"/>
                <w:szCs w:val="21"/>
                <w:lang w:eastAsia="zh-CN"/>
              </w:rPr>
              <w:t>分，</w:t>
            </w:r>
            <w:r>
              <w:rPr>
                <w:sz w:val="21"/>
                <w:szCs w:val="21"/>
                <w:lang w:eastAsia="zh-CN"/>
              </w:rPr>
              <w:t xml:space="preserve"> </w:t>
            </w:r>
            <w:r>
              <w:rPr>
                <w:spacing w:val="2"/>
                <w:sz w:val="21"/>
                <w:szCs w:val="21"/>
                <w:lang w:eastAsia="zh-CN"/>
              </w:rPr>
              <w:t>不符合扣</w:t>
            </w:r>
            <w:r>
              <w:rPr>
                <w:spacing w:val="-32"/>
                <w:sz w:val="21"/>
                <w:szCs w:val="21"/>
                <w:lang w:eastAsia="zh-CN"/>
              </w:rPr>
              <w:t xml:space="preserve"> </w:t>
            </w:r>
            <w:r>
              <w:rPr>
                <w:spacing w:val="2"/>
                <w:sz w:val="21"/>
                <w:szCs w:val="21"/>
                <w:lang w:eastAsia="zh-CN"/>
              </w:rPr>
              <w:t>2</w:t>
            </w:r>
            <w:r>
              <w:rPr>
                <w:spacing w:val="-36"/>
                <w:sz w:val="21"/>
                <w:szCs w:val="21"/>
                <w:lang w:eastAsia="zh-CN"/>
              </w:rPr>
              <w:t xml:space="preserve"> </w:t>
            </w:r>
            <w:r>
              <w:rPr>
                <w:spacing w:val="2"/>
                <w:sz w:val="21"/>
                <w:szCs w:val="21"/>
                <w:lang w:eastAsia="zh-CN"/>
              </w:rPr>
              <w:t>分）</w:t>
            </w:r>
          </w:p>
        </w:tc>
        <w:tc>
          <w:tcPr>
            <w:tcW w:w="682" w:type="pct"/>
          </w:tcPr>
          <w:p w14:paraId="3B7DB55A">
            <w:pPr>
              <w:rPr>
                <w:rFonts w:hint="eastAsia" w:ascii="Arial"/>
                <w:szCs w:val="21"/>
              </w:rPr>
            </w:pPr>
          </w:p>
        </w:tc>
        <w:tc>
          <w:tcPr>
            <w:tcW w:w="647" w:type="pct"/>
          </w:tcPr>
          <w:p w14:paraId="18CDB5F9">
            <w:pPr>
              <w:rPr>
                <w:rFonts w:hint="eastAsia" w:ascii="Arial"/>
                <w:szCs w:val="21"/>
              </w:rPr>
            </w:pPr>
          </w:p>
        </w:tc>
      </w:tr>
      <w:tr w14:paraId="044C1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jc w:val="center"/>
        </w:trPr>
        <w:tc>
          <w:tcPr>
            <w:tcW w:w="448" w:type="pct"/>
            <w:vMerge w:val="continue"/>
            <w:tcBorders>
              <w:top w:val="nil"/>
            </w:tcBorders>
          </w:tcPr>
          <w:p w14:paraId="58B3B2BE">
            <w:pPr>
              <w:rPr>
                <w:rFonts w:hint="eastAsia" w:ascii="Arial"/>
                <w:szCs w:val="21"/>
              </w:rPr>
            </w:pPr>
          </w:p>
        </w:tc>
        <w:tc>
          <w:tcPr>
            <w:tcW w:w="684" w:type="pct"/>
            <w:vMerge w:val="continue"/>
            <w:tcBorders>
              <w:top w:val="nil"/>
            </w:tcBorders>
          </w:tcPr>
          <w:p w14:paraId="604C6B38">
            <w:pPr>
              <w:rPr>
                <w:rFonts w:hint="eastAsia" w:ascii="Arial"/>
                <w:szCs w:val="21"/>
              </w:rPr>
            </w:pPr>
          </w:p>
        </w:tc>
        <w:tc>
          <w:tcPr>
            <w:tcW w:w="2537" w:type="pct"/>
          </w:tcPr>
          <w:p w14:paraId="6D8EA268">
            <w:pPr>
              <w:pStyle w:val="208"/>
              <w:spacing w:before="33" w:line="365" w:lineRule="auto"/>
              <w:ind w:left="117" w:right="171" w:firstLine="414"/>
              <w:rPr>
                <w:rFonts w:hint="eastAsia"/>
                <w:sz w:val="21"/>
                <w:szCs w:val="21"/>
                <w:lang w:eastAsia="zh-CN"/>
              </w:rPr>
            </w:pPr>
            <w:r>
              <w:rPr>
                <w:spacing w:val="9"/>
                <w:sz w:val="21"/>
                <w:szCs w:val="21"/>
                <w:lang w:eastAsia="zh-CN"/>
              </w:rPr>
              <w:t>4、所有从业人员均持有有效健康证和卫生</w:t>
            </w:r>
            <w:r>
              <w:rPr>
                <w:spacing w:val="7"/>
                <w:sz w:val="21"/>
                <w:szCs w:val="21"/>
                <w:lang w:eastAsia="zh-CN"/>
              </w:rPr>
              <w:t>知识培训证上岗。（共</w:t>
            </w:r>
            <w:r>
              <w:rPr>
                <w:spacing w:val="-33"/>
                <w:sz w:val="21"/>
                <w:szCs w:val="21"/>
                <w:lang w:eastAsia="zh-CN"/>
              </w:rPr>
              <w:t xml:space="preserve"> </w:t>
            </w:r>
            <w:r>
              <w:rPr>
                <w:spacing w:val="7"/>
                <w:sz w:val="21"/>
                <w:szCs w:val="21"/>
                <w:lang w:eastAsia="zh-CN"/>
              </w:rPr>
              <w:t>2</w:t>
            </w:r>
            <w:r>
              <w:rPr>
                <w:spacing w:val="-35"/>
                <w:sz w:val="21"/>
                <w:szCs w:val="21"/>
                <w:lang w:eastAsia="zh-CN"/>
              </w:rPr>
              <w:t xml:space="preserve"> </w:t>
            </w:r>
            <w:r>
              <w:rPr>
                <w:spacing w:val="7"/>
                <w:sz w:val="21"/>
                <w:szCs w:val="21"/>
                <w:lang w:eastAsia="zh-CN"/>
              </w:rPr>
              <w:t>分，5</w:t>
            </w:r>
            <w:r>
              <w:rPr>
                <w:spacing w:val="-37"/>
                <w:sz w:val="21"/>
                <w:szCs w:val="21"/>
                <w:lang w:eastAsia="zh-CN"/>
              </w:rPr>
              <w:t xml:space="preserve"> </w:t>
            </w:r>
            <w:r>
              <w:rPr>
                <w:spacing w:val="7"/>
                <w:sz w:val="21"/>
                <w:szCs w:val="21"/>
                <w:lang w:eastAsia="zh-CN"/>
              </w:rPr>
              <w:t>人及以内缺证扣</w:t>
            </w:r>
            <w:r>
              <w:rPr>
                <w:sz w:val="21"/>
                <w:szCs w:val="21"/>
                <w:lang w:eastAsia="zh-CN"/>
              </w:rPr>
              <w:t xml:space="preserve"> </w:t>
            </w:r>
            <w:r>
              <w:rPr>
                <w:spacing w:val="3"/>
                <w:sz w:val="21"/>
                <w:szCs w:val="21"/>
                <w:lang w:eastAsia="zh-CN"/>
              </w:rPr>
              <w:t>1</w:t>
            </w:r>
            <w:r>
              <w:rPr>
                <w:spacing w:val="-32"/>
                <w:sz w:val="21"/>
                <w:szCs w:val="21"/>
                <w:lang w:eastAsia="zh-CN"/>
              </w:rPr>
              <w:t xml:space="preserve"> </w:t>
            </w:r>
            <w:r>
              <w:rPr>
                <w:spacing w:val="3"/>
                <w:sz w:val="21"/>
                <w:szCs w:val="21"/>
                <w:lang w:eastAsia="zh-CN"/>
              </w:rPr>
              <w:t>分，5</w:t>
            </w:r>
            <w:r>
              <w:rPr>
                <w:spacing w:val="-36"/>
                <w:sz w:val="21"/>
                <w:szCs w:val="21"/>
                <w:lang w:eastAsia="zh-CN"/>
              </w:rPr>
              <w:t xml:space="preserve"> </w:t>
            </w:r>
            <w:r>
              <w:rPr>
                <w:spacing w:val="3"/>
                <w:sz w:val="21"/>
                <w:szCs w:val="21"/>
                <w:lang w:eastAsia="zh-CN"/>
              </w:rPr>
              <w:t>人以上缺证扣</w:t>
            </w:r>
            <w:r>
              <w:rPr>
                <w:spacing w:val="-35"/>
                <w:sz w:val="21"/>
                <w:szCs w:val="21"/>
                <w:lang w:eastAsia="zh-CN"/>
              </w:rPr>
              <w:t xml:space="preserve"> </w:t>
            </w:r>
            <w:r>
              <w:rPr>
                <w:spacing w:val="3"/>
                <w:sz w:val="21"/>
                <w:szCs w:val="21"/>
                <w:lang w:eastAsia="zh-CN"/>
              </w:rPr>
              <w:t>2</w:t>
            </w:r>
            <w:r>
              <w:rPr>
                <w:spacing w:val="-38"/>
                <w:sz w:val="21"/>
                <w:szCs w:val="21"/>
                <w:lang w:eastAsia="zh-CN"/>
              </w:rPr>
              <w:t xml:space="preserve"> </w:t>
            </w:r>
            <w:r>
              <w:rPr>
                <w:spacing w:val="3"/>
                <w:sz w:val="21"/>
                <w:szCs w:val="21"/>
                <w:lang w:eastAsia="zh-CN"/>
              </w:rPr>
              <w:t>分）</w:t>
            </w:r>
          </w:p>
        </w:tc>
        <w:tc>
          <w:tcPr>
            <w:tcW w:w="682" w:type="pct"/>
          </w:tcPr>
          <w:p w14:paraId="7CBC3221">
            <w:pPr>
              <w:rPr>
                <w:rFonts w:hint="eastAsia" w:ascii="Arial"/>
                <w:szCs w:val="21"/>
              </w:rPr>
            </w:pPr>
          </w:p>
        </w:tc>
        <w:tc>
          <w:tcPr>
            <w:tcW w:w="647" w:type="pct"/>
          </w:tcPr>
          <w:p w14:paraId="447E0E08">
            <w:pPr>
              <w:rPr>
                <w:rFonts w:hint="eastAsia" w:ascii="Arial"/>
                <w:szCs w:val="21"/>
              </w:rPr>
            </w:pPr>
          </w:p>
        </w:tc>
      </w:tr>
      <w:tr w14:paraId="13AA9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448" w:type="pct"/>
            <w:vMerge w:val="restart"/>
            <w:tcBorders>
              <w:bottom w:val="nil"/>
            </w:tcBorders>
          </w:tcPr>
          <w:p w14:paraId="53E3F07B">
            <w:pPr>
              <w:spacing w:line="280" w:lineRule="auto"/>
              <w:rPr>
                <w:rFonts w:hint="eastAsia" w:ascii="Arial"/>
                <w:szCs w:val="21"/>
              </w:rPr>
            </w:pPr>
          </w:p>
          <w:p w14:paraId="7611BE37">
            <w:pPr>
              <w:spacing w:line="280" w:lineRule="auto"/>
              <w:rPr>
                <w:rFonts w:hint="eastAsia" w:ascii="Arial"/>
                <w:szCs w:val="21"/>
              </w:rPr>
            </w:pPr>
          </w:p>
          <w:p w14:paraId="72AD4CD6">
            <w:pPr>
              <w:spacing w:line="280" w:lineRule="auto"/>
              <w:rPr>
                <w:rFonts w:hint="eastAsia" w:ascii="Arial"/>
                <w:szCs w:val="21"/>
              </w:rPr>
            </w:pPr>
          </w:p>
          <w:p w14:paraId="23854D07">
            <w:pPr>
              <w:spacing w:line="280" w:lineRule="auto"/>
              <w:rPr>
                <w:rFonts w:hint="eastAsia" w:ascii="Arial"/>
                <w:szCs w:val="21"/>
              </w:rPr>
            </w:pPr>
          </w:p>
          <w:p w14:paraId="4E569CDB">
            <w:pPr>
              <w:spacing w:line="281" w:lineRule="auto"/>
              <w:rPr>
                <w:rFonts w:hint="eastAsia" w:ascii="Arial"/>
                <w:szCs w:val="21"/>
              </w:rPr>
            </w:pPr>
          </w:p>
          <w:p w14:paraId="23F452ED">
            <w:pPr>
              <w:pStyle w:val="208"/>
              <w:spacing w:before="65" w:line="266" w:lineRule="exact"/>
              <w:ind w:left="353"/>
              <w:rPr>
                <w:rFonts w:hint="eastAsia"/>
                <w:sz w:val="21"/>
                <w:szCs w:val="21"/>
              </w:rPr>
            </w:pPr>
            <w:r>
              <w:rPr>
                <w:position w:val="1"/>
                <w:sz w:val="21"/>
                <w:szCs w:val="21"/>
              </w:rPr>
              <w:t>三</w:t>
            </w:r>
          </w:p>
        </w:tc>
        <w:tc>
          <w:tcPr>
            <w:tcW w:w="684" w:type="pct"/>
            <w:vMerge w:val="restart"/>
            <w:tcBorders>
              <w:bottom w:val="nil"/>
            </w:tcBorders>
          </w:tcPr>
          <w:p w14:paraId="7D4010E4">
            <w:pPr>
              <w:spacing w:line="299" w:lineRule="auto"/>
              <w:rPr>
                <w:rFonts w:hint="eastAsia" w:ascii="Arial"/>
                <w:szCs w:val="21"/>
              </w:rPr>
            </w:pPr>
          </w:p>
          <w:p w14:paraId="1F0DE07E">
            <w:pPr>
              <w:spacing w:line="300" w:lineRule="auto"/>
              <w:rPr>
                <w:rFonts w:hint="eastAsia" w:ascii="Arial"/>
                <w:szCs w:val="21"/>
              </w:rPr>
            </w:pPr>
          </w:p>
          <w:p w14:paraId="664F8791">
            <w:pPr>
              <w:spacing w:line="300" w:lineRule="auto"/>
              <w:rPr>
                <w:rFonts w:hint="eastAsia" w:ascii="Arial"/>
                <w:szCs w:val="21"/>
              </w:rPr>
            </w:pPr>
          </w:p>
          <w:p w14:paraId="2E8C9BB2">
            <w:pPr>
              <w:spacing w:line="300" w:lineRule="auto"/>
              <w:rPr>
                <w:rFonts w:hint="eastAsia" w:ascii="Arial"/>
                <w:szCs w:val="21"/>
              </w:rPr>
            </w:pPr>
          </w:p>
          <w:p w14:paraId="3C5EA0E0">
            <w:pPr>
              <w:pStyle w:val="208"/>
              <w:spacing w:before="65" w:line="362" w:lineRule="auto"/>
              <w:ind w:left="120" w:right="188" w:hanging="10"/>
              <w:rPr>
                <w:rFonts w:hint="eastAsia"/>
                <w:sz w:val="21"/>
                <w:szCs w:val="21"/>
              </w:rPr>
            </w:pPr>
            <w:r>
              <w:rPr>
                <w:spacing w:val="7"/>
                <w:sz w:val="21"/>
                <w:szCs w:val="21"/>
              </w:rPr>
              <w:t>采购管理</w:t>
            </w:r>
            <w:r>
              <w:rPr>
                <w:spacing w:val="1"/>
                <w:sz w:val="21"/>
                <w:szCs w:val="21"/>
              </w:rPr>
              <w:t xml:space="preserve"> </w:t>
            </w:r>
            <w:r>
              <w:rPr>
                <w:spacing w:val="-2"/>
                <w:sz w:val="21"/>
                <w:szCs w:val="21"/>
              </w:rPr>
              <w:t>（10</w:t>
            </w:r>
            <w:r>
              <w:rPr>
                <w:spacing w:val="-38"/>
                <w:sz w:val="21"/>
                <w:szCs w:val="21"/>
              </w:rPr>
              <w:t xml:space="preserve"> </w:t>
            </w:r>
            <w:r>
              <w:rPr>
                <w:spacing w:val="-2"/>
                <w:sz w:val="21"/>
                <w:szCs w:val="21"/>
              </w:rPr>
              <w:t>分）</w:t>
            </w:r>
          </w:p>
        </w:tc>
        <w:tc>
          <w:tcPr>
            <w:tcW w:w="2537" w:type="pct"/>
          </w:tcPr>
          <w:p w14:paraId="2984B33B">
            <w:pPr>
              <w:pStyle w:val="208"/>
              <w:spacing w:before="36" w:line="358" w:lineRule="auto"/>
              <w:ind w:left="116" w:right="275" w:firstLine="432"/>
              <w:rPr>
                <w:rFonts w:hint="eastAsia"/>
                <w:sz w:val="21"/>
                <w:szCs w:val="21"/>
                <w:lang w:eastAsia="zh-CN"/>
              </w:rPr>
            </w:pPr>
            <w:r>
              <w:rPr>
                <w:spacing w:val="7"/>
                <w:sz w:val="21"/>
                <w:szCs w:val="21"/>
                <w:lang w:eastAsia="zh-CN"/>
              </w:rPr>
              <w:t>1、定点采购，建立食品进货台帐。（共</w:t>
            </w:r>
            <w:r>
              <w:rPr>
                <w:spacing w:val="-26"/>
                <w:sz w:val="21"/>
                <w:szCs w:val="21"/>
                <w:lang w:eastAsia="zh-CN"/>
              </w:rPr>
              <w:t xml:space="preserve"> </w:t>
            </w:r>
            <w:r>
              <w:rPr>
                <w:spacing w:val="7"/>
                <w:sz w:val="21"/>
                <w:szCs w:val="21"/>
                <w:lang w:eastAsia="zh-CN"/>
              </w:rPr>
              <w:t>4</w:t>
            </w:r>
            <w:r>
              <w:rPr>
                <w:sz w:val="21"/>
                <w:szCs w:val="21"/>
                <w:lang w:eastAsia="zh-CN"/>
              </w:rPr>
              <w:t xml:space="preserve"> </w:t>
            </w:r>
            <w:r>
              <w:rPr>
                <w:spacing w:val="4"/>
                <w:sz w:val="21"/>
                <w:szCs w:val="21"/>
                <w:lang w:eastAsia="zh-CN"/>
              </w:rPr>
              <w:t>分，缺一项扣</w:t>
            </w:r>
            <w:r>
              <w:rPr>
                <w:spacing w:val="-35"/>
                <w:sz w:val="21"/>
                <w:szCs w:val="21"/>
                <w:lang w:eastAsia="zh-CN"/>
              </w:rPr>
              <w:t xml:space="preserve"> </w:t>
            </w:r>
            <w:r>
              <w:rPr>
                <w:spacing w:val="4"/>
                <w:sz w:val="21"/>
                <w:szCs w:val="21"/>
                <w:lang w:eastAsia="zh-CN"/>
              </w:rPr>
              <w:t>2</w:t>
            </w:r>
            <w:r>
              <w:rPr>
                <w:spacing w:val="-35"/>
                <w:sz w:val="21"/>
                <w:szCs w:val="21"/>
                <w:lang w:eastAsia="zh-CN"/>
              </w:rPr>
              <w:t xml:space="preserve"> </w:t>
            </w:r>
            <w:r>
              <w:rPr>
                <w:spacing w:val="4"/>
                <w:sz w:val="21"/>
                <w:szCs w:val="21"/>
                <w:lang w:eastAsia="zh-CN"/>
              </w:rPr>
              <w:t>分）</w:t>
            </w:r>
          </w:p>
        </w:tc>
        <w:tc>
          <w:tcPr>
            <w:tcW w:w="682" w:type="pct"/>
          </w:tcPr>
          <w:p w14:paraId="29D2EA6A">
            <w:pPr>
              <w:rPr>
                <w:rFonts w:hint="eastAsia" w:ascii="Arial"/>
                <w:szCs w:val="21"/>
              </w:rPr>
            </w:pPr>
          </w:p>
        </w:tc>
        <w:tc>
          <w:tcPr>
            <w:tcW w:w="647" w:type="pct"/>
          </w:tcPr>
          <w:p w14:paraId="3E7AFD0A">
            <w:pPr>
              <w:rPr>
                <w:rFonts w:hint="eastAsia" w:ascii="Arial"/>
                <w:szCs w:val="21"/>
              </w:rPr>
            </w:pPr>
          </w:p>
        </w:tc>
      </w:tr>
      <w:tr w14:paraId="7D45A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jc w:val="center"/>
        </w:trPr>
        <w:tc>
          <w:tcPr>
            <w:tcW w:w="448" w:type="pct"/>
            <w:vMerge w:val="continue"/>
            <w:tcBorders>
              <w:top w:val="nil"/>
              <w:bottom w:val="nil"/>
            </w:tcBorders>
          </w:tcPr>
          <w:p w14:paraId="1FF7B8E4">
            <w:pPr>
              <w:rPr>
                <w:rFonts w:hint="eastAsia" w:ascii="Arial"/>
                <w:szCs w:val="21"/>
              </w:rPr>
            </w:pPr>
          </w:p>
        </w:tc>
        <w:tc>
          <w:tcPr>
            <w:tcW w:w="684" w:type="pct"/>
            <w:vMerge w:val="continue"/>
            <w:tcBorders>
              <w:top w:val="nil"/>
              <w:bottom w:val="nil"/>
            </w:tcBorders>
          </w:tcPr>
          <w:p w14:paraId="4E95936F">
            <w:pPr>
              <w:rPr>
                <w:rFonts w:hint="eastAsia" w:ascii="Arial"/>
                <w:szCs w:val="21"/>
              </w:rPr>
            </w:pPr>
          </w:p>
        </w:tc>
        <w:tc>
          <w:tcPr>
            <w:tcW w:w="2537" w:type="pct"/>
          </w:tcPr>
          <w:p w14:paraId="58935FD8">
            <w:pPr>
              <w:pStyle w:val="208"/>
              <w:spacing w:before="37" w:line="367" w:lineRule="auto"/>
              <w:ind w:left="112" w:right="118" w:firstLine="423"/>
              <w:rPr>
                <w:rFonts w:hint="eastAsia"/>
                <w:sz w:val="21"/>
                <w:szCs w:val="21"/>
                <w:lang w:eastAsia="zh-CN"/>
              </w:rPr>
            </w:pPr>
            <w:r>
              <w:rPr>
                <w:spacing w:val="8"/>
                <w:sz w:val="21"/>
                <w:szCs w:val="21"/>
                <w:lang w:eastAsia="zh-CN"/>
              </w:rPr>
              <w:t xml:space="preserve">2、粮油、副食品等主要食品有产品质量检  </w:t>
            </w:r>
            <w:r>
              <w:rPr>
                <w:spacing w:val="9"/>
                <w:sz w:val="21"/>
                <w:szCs w:val="21"/>
                <w:lang w:eastAsia="zh-CN"/>
              </w:rPr>
              <w:t>验合格证、卫生许可证、供货商名称和产地，并</w:t>
            </w:r>
            <w:r>
              <w:rPr>
                <w:spacing w:val="8"/>
                <w:sz w:val="21"/>
                <w:szCs w:val="21"/>
                <w:lang w:eastAsia="zh-CN"/>
              </w:rPr>
              <w:t>与供货商签订食品卫生安全合同。（共</w:t>
            </w:r>
            <w:r>
              <w:rPr>
                <w:spacing w:val="-32"/>
                <w:sz w:val="21"/>
                <w:szCs w:val="21"/>
                <w:lang w:eastAsia="zh-CN"/>
              </w:rPr>
              <w:t xml:space="preserve"> </w:t>
            </w:r>
            <w:r>
              <w:rPr>
                <w:spacing w:val="8"/>
                <w:sz w:val="21"/>
                <w:szCs w:val="21"/>
                <w:lang w:eastAsia="zh-CN"/>
              </w:rPr>
              <w:t>4</w:t>
            </w:r>
            <w:r>
              <w:rPr>
                <w:spacing w:val="-36"/>
                <w:sz w:val="21"/>
                <w:szCs w:val="21"/>
                <w:lang w:eastAsia="zh-CN"/>
              </w:rPr>
              <w:t xml:space="preserve"> </w:t>
            </w:r>
            <w:r>
              <w:rPr>
                <w:spacing w:val="8"/>
                <w:sz w:val="21"/>
                <w:szCs w:val="21"/>
                <w:lang w:eastAsia="zh-CN"/>
              </w:rPr>
              <w:t>分，缺</w:t>
            </w:r>
            <w:r>
              <w:rPr>
                <w:sz w:val="21"/>
                <w:szCs w:val="21"/>
                <w:lang w:eastAsia="zh-CN"/>
              </w:rPr>
              <w:t>一项扣</w:t>
            </w:r>
            <w:r>
              <w:rPr>
                <w:spacing w:val="-24"/>
                <w:sz w:val="21"/>
                <w:szCs w:val="21"/>
                <w:lang w:eastAsia="zh-CN"/>
              </w:rPr>
              <w:t xml:space="preserve"> </w:t>
            </w:r>
            <w:r>
              <w:rPr>
                <w:sz w:val="21"/>
                <w:szCs w:val="21"/>
                <w:lang w:eastAsia="zh-CN"/>
              </w:rPr>
              <w:t>1</w:t>
            </w:r>
            <w:r>
              <w:rPr>
                <w:spacing w:val="-36"/>
                <w:sz w:val="21"/>
                <w:szCs w:val="21"/>
                <w:lang w:eastAsia="zh-CN"/>
              </w:rPr>
              <w:t xml:space="preserve"> </w:t>
            </w:r>
            <w:r>
              <w:rPr>
                <w:sz w:val="21"/>
                <w:szCs w:val="21"/>
                <w:lang w:eastAsia="zh-CN"/>
              </w:rPr>
              <w:t>分）</w:t>
            </w:r>
          </w:p>
        </w:tc>
        <w:tc>
          <w:tcPr>
            <w:tcW w:w="682" w:type="pct"/>
          </w:tcPr>
          <w:p w14:paraId="187170E3">
            <w:pPr>
              <w:rPr>
                <w:rFonts w:hint="eastAsia" w:ascii="Arial"/>
                <w:szCs w:val="21"/>
              </w:rPr>
            </w:pPr>
          </w:p>
        </w:tc>
        <w:tc>
          <w:tcPr>
            <w:tcW w:w="647" w:type="pct"/>
          </w:tcPr>
          <w:p w14:paraId="0BDF1AAB">
            <w:pPr>
              <w:rPr>
                <w:rFonts w:hint="eastAsia" w:ascii="Arial"/>
                <w:szCs w:val="21"/>
              </w:rPr>
            </w:pPr>
          </w:p>
        </w:tc>
      </w:tr>
      <w:tr w14:paraId="53C73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jc w:val="center"/>
        </w:trPr>
        <w:tc>
          <w:tcPr>
            <w:tcW w:w="448" w:type="pct"/>
            <w:vMerge w:val="continue"/>
            <w:tcBorders>
              <w:top w:val="nil"/>
              <w:bottom w:val="single" w:color="auto" w:sz="4" w:space="0"/>
            </w:tcBorders>
          </w:tcPr>
          <w:p w14:paraId="4AEAA1EB">
            <w:pPr>
              <w:rPr>
                <w:rFonts w:hint="eastAsia" w:ascii="Arial"/>
                <w:szCs w:val="21"/>
              </w:rPr>
            </w:pPr>
          </w:p>
        </w:tc>
        <w:tc>
          <w:tcPr>
            <w:tcW w:w="684" w:type="pct"/>
            <w:vMerge w:val="continue"/>
            <w:tcBorders>
              <w:top w:val="nil"/>
              <w:bottom w:val="single" w:color="auto" w:sz="4" w:space="0"/>
            </w:tcBorders>
          </w:tcPr>
          <w:p w14:paraId="61DD0F2A">
            <w:pPr>
              <w:rPr>
                <w:rFonts w:hint="eastAsia" w:ascii="Arial"/>
                <w:szCs w:val="21"/>
              </w:rPr>
            </w:pPr>
          </w:p>
        </w:tc>
        <w:tc>
          <w:tcPr>
            <w:tcW w:w="2537" w:type="pct"/>
            <w:tcBorders>
              <w:bottom w:val="single" w:color="auto" w:sz="4" w:space="0"/>
            </w:tcBorders>
          </w:tcPr>
          <w:p w14:paraId="71020D07">
            <w:pPr>
              <w:pStyle w:val="208"/>
              <w:spacing w:before="38" w:line="357" w:lineRule="auto"/>
              <w:ind w:left="123" w:right="470" w:firstLine="414"/>
              <w:rPr>
                <w:rFonts w:hint="eastAsia"/>
                <w:sz w:val="21"/>
                <w:szCs w:val="21"/>
              </w:rPr>
            </w:pPr>
            <w:r>
              <w:rPr>
                <w:spacing w:val="6"/>
                <w:sz w:val="21"/>
                <w:szCs w:val="21"/>
                <w:lang w:eastAsia="zh-CN"/>
              </w:rPr>
              <w:t>3、严格落实验收制度，做好验收登记。</w:t>
            </w:r>
            <w:r>
              <w:rPr>
                <w:spacing w:val="15"/>
                <w:sz w:val="21"/>
                <w:szCs w:val="21"/>
                <w:lang w:eastAsia="zh-CN"/>
              </w:rPr>
              <w:t xml:space="preserve"> </w:t>
            </w:r>
            <w:r>
              <w:rPr>
                <w:spacing w:val="2"/>
                <w:sz w:val="21"/>
                <w:szCs w:val="21"/>
              </w:rPr>
              <w:t>（共</w:t>
            </w:r>
            <w:r>
              <w:rPr>
                <w:spacing w:val="-30"/>
                <w:sz w:val="21"/>
                <w:szCs w:val="21"/>
              </w:rPr>
              <w:t xml:space="preserve"> </w:t>
            </w:r>
            <w:r>
              <w:rPr>
                <w:spacing w:val="2"/>
                <w:sz w:val="21"/>
                <w:szCs w:val="21"/>
              </w:rPr>
              <w:t>2</w:t>
            </w:r>
            <w:r>
              <w:rPr>
                <w:spacing w:val="-35"/>
                <w:sz w:val="21"/>
                <w:szCs w:val="21"/>
              </w:rPr>
              <w:t xml:space="preserve"> </w:t>
            </w:r>
            <w:r>
              <w:rPr>
                <w:spacing w:val="2"/>
                <w:sz w:val="21"/>
                <w:szCs w:val="21"/>
              </w:rPr>
              <w:t>分，不符合扣</w:t>
            </w:r>
            <w:r>
              <w:rPr>
                <w:spacing w:val="-34"/>
                <w:sz w:val="21"/>
                <w:szCs w:val="21"/>
              </w:rPr>
              <w:t xml:space="preserve"> </w:t>
            </w:r>
            <w:r>
              <w:rPr>
                <w:spacing w:val="2"/>
                <w:sz w:val="21"/>
                <w:szCs w:val="21"/>
              </w:rPr>
              <w:t>2</w:t>
            </w:r>
            <w:r>
              <w:rPr>
                <w:spacing w:val="-36"/>
                <w:sz w:val="21"/>
                <w:szCs w:val="21"/>
              </w:rPr>
              <w:t xml:space="preserve"> </w:t>
            </w:r>
            <w:r>
              <w:rPr>
                <w:spacing w:val="2"/>
                <w:sz w:val="21"/>
                <w:szCs w:val="21"/>
              </w:rPr>
              <w:t>分）</w:t>
            </w:r>
          </w:p>
        </w:tc>
        <w:tc>
          <w:tcPr>
            <w:tcW w:w="682" w:type="pct"/>
            <w:tcBorders>
              <w:bottom w:val="single" w:color="auto" w:sz="4" w:space="0"/>
            </w:tcBorders>
          </w:tcPr>
          <w:p w14:paraId="56CAB379">
            <w:pPr>
              <w:rPr>
                <w:rFonts w:hint="eastAsia" w:ascii="Arial"/>
                <w:szCs w:val="21"/>
              </w:rPr>
            </w:pPr>
          </w:p>
        </w:tc>
        <w:tc>
          <w:tcPr>
            <w:tcW w:w="647" w:type="pct"/>
            <w:tcBorders>
              <w:bottom w:val="single" w:color="auto" w:sz="4" w:space="0"/>
            </w:tcBorders>
          </w:tcPr>
          <w:p w14:paraId="7714E29E">
            <w:pPr>
              <w:rPr>
                <w:rFonts w:hint="eastAsia" w:ascii="Arial"/>
                <w:szCs w:val="21"/>
              </w:rPr>
            </w:pPr>
          </w:p>
        </w:tc>
      </w:tr>
      <w:tr w14:paraId="5D387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448" w:type="pct"/>
            <w:vMerge w:val="restart"/>
            <w:tcBorders>
              <w:top w:val="single" w:color="auto" w:sz="4" w:space="0"/>
              <w:left w:val="single" w:color="auto" w:sz="4" w:space="0"/>
              <w:bottom w:val="single" w:color="auto" w:sz="4" w:space="0"/>
              <w:right w:val="single" w:color="auto" w:sz="4" w:space="0"/>
            </w:tcBorders>
          </w:tcPr>
          <w:p w14:paraId="59565B30">
            <w:pPr>
              <w:spacing w:line="383" w:lineRule="auto"/>
              <w:rPr>
                <w:rFonts w:hint="eastAsia" w:ascii="Arial"/>
                <w:szCs w:val="21"/>
              </w:rPr>
            </w:pPr>
          </w:p>
          <w:p w14:paraId="5C7BB3E2">
            <w:pPr>
              <w:pStyle w:val="208"/>
              <w:spacing w:before="65" w:line="231" w:lineRule="auto"/>
              <w:ind w:left="373"/>
              <w:rPr>
                <w:rFonts w:hint="eastAsia"/>
                <w:sz w:val="21"/>
                <w:szCs w:val="21"/>
              </w:rPr>
            </w:pPr>
          </w:p>
          <w:p w14:paraId="24D1DF61">
            <w:pPr>
              <w:pStyle w:val="208"/>
              <w:spacing w:before="65" w:line="231" w:lineRule="auto"/>
              <w:ind w:left="373"/>
              <w:rPr>
                <w:rFonts w:hint="eastAsia"/>
                <w:sz w:val="21"/>
                <w:szCs w:val="21"/>
              </w:rPr>
            </w:pPr>
          </w:p>
          <w:p w14:paraId="4A62160F">
            <w:pPr>
              <w:pStyle w:val="208"/>
              <w:spacing w:before="65" w:line="231" w:lineRule="auto"/>
              <w:ind w:left="373"/>
              <w:rPr>
                <w:rFonts w:hint="eastAsia"/>
                <w:sz w:val="21"/>
                <w:szCs w:val="21"/>
              </w:rPr>
            </w:pPr>
            <w:r>
              <w:rPr>
                <w:sz w:val="21"/>
                <w:szCs w:val="21"/>
              </w:rPr>
              <w:t>四</w:t>
            </w:r>
          </w:p>
        </w:tc>
        <w:tc>
          <w:tcPr>
            <w:tcW w:w="684" w:type="pct"/>
            <w:vMerge w:val="restart"/>
            <w:tcBorders>
              <w:top w:val="single" w:color="auto" w:sz="4" w:space="0"/>
              <w:left w:val="single" w:color="auto" w:sz="4" w:space="0"/>
              <w:bottom w:val="single" w:color="auto" w:sz="4" w:space="0"/>
              <w:right w:val="single" w:color="auto" w:sz="4" w:space="0"/>
            </w:tcBorders>
          </w:tcPr>
          <w:p w14:paraId="71DD0EE8">
            <w:pPr>
              <w:pStyle w:val="208"/>
              <w:spacing w:before="245" w:line="362" w:lineRule="auto"/>
              <w:ind w:left="120" w:right="223" w:hanging="10"/>
              <w:jc w:val="center"/>
              <w:rPr>
                <w:rFonts w:hint="eastAsia"/>
                <w:spacing w:val="7"/>
                <w:sz w:val="21"/>
                <w:szCs w:val="21"/>
              </w:rPr>
            </w:pPr>
          </w:p>
          <w:p w14:paraId="1971D241">
            <w:pPr>
              <w:pStyle w:val="208"/>
              <w:spacing w:before="245" w:line="362" w:lineRule="auto"/>
              <w:ind w:left="120" w:right="223" w:hanging="10"/>
              <w:jc w:val="center"/>
              <w:rPr>
                <w:rFonts w:hint="eastAsia"/>
                <w:sz w:val="21"/>
                <w:szCs w:val="21"/>
              </w:rPr>
            </w:pPr>
            <w:r>
              <w:rPr>
                <w:spacing w:val="7"/>
                <w:sz w:val="21"/>
                <w:szCs w:val="21"/>
              </w:rPr>
              <w:t>仓储管理</w:t>
            </w:r>
            <w:r>
              <w:rPr>
                <w:spacing w:val="1"/>
                <w:sz w:val="21"/>
                <w:szCs w:val="21"/>
              </w:rPr>
              <w:t xml:space="preserve"> </w:t>
            </w:r>
            <w:r>
              <w:rPr>
                <w:spacing w:val="-2"/>
                <w:sz w:val="21"/>
                <w:szCs w:val="21"/>
              </w:rPr>
              <w:t>（7</w:t>
            </w:r>
            <w:r>
              <w:rPr>
                <w:spacing w:val="-36"/>
                <w:sz w:val="21"/>
                <w:szCs w:val="21"/>
              </w:rPr>
              <w:t xml:space="preserve"> </w:t>
            </w:r>
            <w:r>
              <w:rPr>
                <w:spacing w:val="-2"/>
                <w:sz w:val="21"/>
                <w:szCs w:val="21"/>
              </w:rPr>
              <w:t>分）</w:t>
            </w:r>
          </w:p>
        </w:tc>
        <w:tc>
          <w:tcPr>
            <w:tcW w:w="2537" w:type="pct"/>
            <w:tcBorders>
              <w:top w:val="single" w:color="auto" w:sz="4" w:space="0"/>
              <w:left w:val="single" w:color="auto" w:sz="4" w:space="0"/>
              <w:bottom w:val="single" w:color="auto" w:sz="4" w:space="0"/>
              <w:right w:val="single" w:color="auto" w:sz="4" w:space="0"/>
            </w:tcBorders>
          </w:tcPr>
          <w:p w14:paraId="460EA676">
            <w:pPr>
              <w:pStyle w:val="208"/>
              <w:spacing w:before="39" w:line="357" w:lineRule="auto"/>
              <w:ind w:left="113" w:right="226" w:firstLine="435"/>
              <w:rPr>
                <w:rFonts w:hint="eastAsia"/>
                <w:sz w:val="21"/>
                <w:szCs w:val="21"/>
                <w:lang w:eastAsia="zh-CN"/>
              </w:rPr>
            </w:pPr>
            <w:r>
              <w:rPr>
                <w:spacing w:val="8"/>
                <w:sz w:val="21"/>
                <w:szCs w:val="21"/>
                <w:lang w:eastAsia="zh-CN"/>
              </w:rPr>
              <w:t>1、主食、副食、食用油库、杂物库分别独</w:t>
            </w:r>
            <w:r>
              <w:rPr>
                <w:spacing w:val="5"/>
                <w:sz w:val="21"/>
                <w:szCs w:val="21"/>
                <w:lang w:eastAsia="zh-CN"/>
              </w:rPr>
              <w:t>立设置。（共</w:t>
            </w:r>
            <w:r>
              <w:rPr>
                <w:spacing w:val="-28"/>
                <w:sz w:val="21"/>
                <w:szCs w:val="21"/>
                <w:lang w:eastAsia="zh-CN"/>
              </w:rPr>
              <w:t xml:space="preserve"> </w:t>
            </w:r>
            <w:r>
              <w:rPr>
                <w:spacing w:val="5"/>
                <w:sz w:val="21"/>
                <w:szCs w:val="21"/>
                <w:lang w:eastAsia="zh-CN"/>
              </w:rPr>
              <w:t>3</w:t>
            </w:r>
            <w:r>
              <w:rPr>
                <w:spacing w:val="-36"/>
                <w:sz w:val="21"/>
                <w:szCs w:val="21"/>
                <w:lang w:eastAsia="zh-CN"/>
              </w:rPr>
              <w:t xml:space="preserve"> </w:t>
            </w:r>
            <w:r>
              <w:rPr>
                <w:spacing w:val="5"/>
                <w:sz w:val="21"/>
                <w:szCs w:val="21"/>
                <w:lang w:eastAsia="zh-CN"/>
              </w:rPr>
              <w:t>分，任何一项不符合扣</w:t>
            </w:r>
            <w:r>
              <w:rPr>
                <w:spacing w:val="-21"/>
                <w:sz w:val="21"/>
                <w:szCs w:val="21"/>
                <w:lang w:eastAsia="zh-CN"/>
              </w:rPr>
              <w:t xml:space="preserve"> </w:t>
            </w:r>
            <w:r>
              <w:rPr>
                <w:spacing w:val="5"/>
                <w:sz w:val="21"/>
                <w:szCs w:val="21"/>
                <w:lang w:eastAsia="zh-CN"/>
              </w:rPr>
              <w:t>1</w:t>
            </w:r>
            <w:r>
              <w:rPr>
                <w:spacing w:val="-36"/>
                <w:sz w:val="21"/>
                <w:szCs w:val="21"/>
                <w:lang w:eastAsia="zh-CN"/>
              </w:rPr>
              <w:t xml:space="preserve"> </w:t>
            </w:r>
            <w:r>
              <w:rPr>
                <w:spacing w:val="5"/>
                <w:sz w:val="21"/>
                <w:szCs w:val="21"/>
                <w:lang w:eastAsia="zh-CN"/>
              </w:rPr>
              <w:t>分）</w:t>
            </w:r>
          </w:p>
        </w:tc>
        <w:tc>
          <w:tcPr>
            <w:tcW w:w="682" w:type="pct"/>
            <w:tcBorders>
              <w:top w:val="single" w:color="auto" w:sz="4" w:space="0"/>
              <w:left w:val="single" w:color="auto" w:sz="4" w:space="0"/>
              <w:bottom w:val="single" w:color="auto" w:sz="4" w:space="0"/>
              <w:right w:val="single" w:color="auto" w:sz="4" w:space="0"/>
            </w:tcBorders>
          </w:tcPr>
          <w:p w14:paraId="708EF378">
            <w:pPr>
              <w:rPr>
                <w:rFonts w:hint="eastAsia" w:ascii="Arial"/>
                <w:szCs w:val="21"/>
              </w:rPr>
            </w:pPr>
          </w:p>
        </w:tc>
        <w:tc>
          <w:tcPr>
            <w:tcW w:w="647" w:type="pct"/>
            <w:tcBorders>
              <w:top w:val="single" w:color="auto" w:sz="4" w:space="0"/>
              <w:left w:val="single" w:color="auto" w:sz="4" w:space="0"/>
              <w:bottom w:val="single" w:color="auto" w:sz="4" w:space="0"/>
              <w:right w:val="single" w:color="auto" w:sz="4" w:space="0"/>
            </w:tcBorders>
          </w:tcPr>
          <w:p w14:paraId="604F067C">
            <w:pPr>
              <w:rPr>
                <w:rFonts w:hint="eastAsia" w:ascii="Arial"/>
                <w:szCs w:val="21"/>
              </w:rPr>
            </w:pPr>
          </w:p>
        </w:tc>
      </w:tr>
      <w:tr w14:paraId="3C35D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448" w:type="pct"/>
            <w:vMerge w:val="continue"/>
            <w:tcBorders>
              <w:top w:val="single" w:color="auto" w:sz="4" w:space="0"/>
              <w:left w:val="single" w:color="auto" w:sz="4" w:space="0"/>
            </w:tcBorders>
          </w:tcPr>
          <w:p w14:paraId="6387DDDD">
            <w:pPr>
              <w:rPr>
                <w:rFonts w:hint="eastAsia" w:ascii="Arial"/>
                <w:szCs w:val="21"/>
              </w:rPr>
            </w:pPr>
          </w:p>
        </w:tc>
        <w:tc>
          <w:tcPr>
            <w:tcW w:w="684" w:type="pct"/>
            <w:vMerge w:val="continue"/>
            <w:tcBorders>
              <w:top w:val="single" w:color="auto" w:sz="4" w:space="0"/>
            </w:tcBorders>
          </w:tcPr>
          <w:p w14:paraId="1BD83C18">
            <w:pPr>
              <w:rPr>
                <w:rFonts w:hint="eastAsia" w:ascii="Arial"/>
                <w:szCs w:val="21"/>
              </w:rPr>
            </w:pPr>
          </w:p>
        </w:tc>
        <w:tc>
          <w:tcPr>
            <w:tcW w:w="2537" w:type="pct"/>
            <w:tcBorders>
              <w:top w:val="single" w:color="auto" w:sz="4" w:space="0"/>
            </w:tcBorders>
          </w:tcPr>
          <w:p w14:paraId="1631C092">
            <w:pPr>
              <w:pStyle w:val="208"/>
              <w:numPr>
                <w:ilvl w:val="0"/>
                <w:numId w:val="4"/>
              </w:numPr>
              <w:spacing w:before="35" w:line="228" w:lineRule="auto"/>
              <w:ind w:left="536"/>
              <w:rPr>
                <w:rFonts w:hint="eastAsia"/>
                <w:spacing w:val="8"/>
                <w:sz w:val="21"/>
                <w:szCs w:val="21"/>
                <w:lang w:eastAsia="zh-CN"/>
              </w:rPr>
            </w:pPr>
            <w:r>
              <w:rPr>
                <w:spacing w:val="8"/>
                <w:sz w:val="21"/>
                <w:szCs w:val="21"/>
                <w:lang w:eastAsia="zh-CN"/>
              </w:rPr>
              <w:t>所有物品分类摆放，离地、离墙存放，</w:t>
            </w:r>
          </w:p>
          <w:p w14:paraId="4C9F3EEE">
            <w:pPr>
              <w:pStyle w:val="208"/>
              <w:spacing w:before="36" w:line="228" w:lineRule="auto"/>
              <w:ind w:left="114"/>
              <w:rPr>
                <w:rFonts w:hint="eastAsia"/>
                <w:sz w:val="21"/>
                <w:szCs w:val="21"/>
                <w:lang w:eastAsia="zh-CN"/>
              </w:rPr>
            </w:pPr>
            <w:r>
              <w:rPr>
                <w:spacing w:val="7"/>
                <w:sz w:val="21"/>
                <w:szCs w:val="21"/>
                <w:lang w:eastAsia="zh-CN"/>
              </w:rPr>
              <w:t>有标签标识。（共2</w:t>
            </w:r>
            <w:r>
              <w:rPr>
                <w:spacing w:val="-35"/>
                <w:sz w:val="21"/>
                <w:szCs w:val="21"/>
                <w:lang w:eastAsia="zh-CN"/>
              </w:rPr>
              <w:t xml:space="preserve"> </w:t>
            </w:r>
            <w:r>
              <w:rPr>
                <w:spacing w:val="7"/>
                <w:sz w:val="21"/>
                <w:szCs w:val="21"/>
                <w:lang w:eastAsia="zh-CN"/>
              </w:rPr>
              <w:t>分，任何一项不符合扣</w:t>
            </w:r>
            <w:r>
              <w:rPr>
                <w:spacing w:val="-36"/>
                <w:sz w:val="21"/>
                <w:szCs w:val="21"/>
                <w:lang w:eastAsia="zh-CN"/>
              </w:rPr>
              <w:t xml:space="preserve"> </w:t>
            </w:r>
            <w:r>
              <w:rPr>
                <w:spacing w:val="7"/>
                <w:sz w:val="21"/>
                <w:szCs w:val="21"/>
                <w:lang w:eastAsia="zh-CN"/>
              </w:rPr>
              <w:t>0</w:t>
            </w:r>
            <w:r>
              <w:rPr>
                <w:spacing w:val="6"/>
                <w:sz w:val="21"/>
                <w:szCs w:val="21"/>
                <w:lang w:eastAsia="zh-CN"/>
              </w:rPr>
              <w:t>.5</w:t>
            </w:r>
          </w:p>
          <w:p w14:paraId="073CDC16">
            <w:pPr>
              <w:pStyle w:val="208"/>
              <w:numPr>
                <w:ilvl w:val="255"/>
                <w:numId w:val="0"/>
              </w:numPr>
              <w:spacing w:before="35" w:line="228" w:lineRule="auto"/>
              <w:rPr>
                <w:rFonts w:hint="eastAsia"/>
                <w:spacing w:val="8"/>
                <w:sz w:val="21"/>
                <w:szCs w:val="21"/>
              </w:rPr>
            </w:pPr>
            <w:r>
              <w:rPr>
                <w:spacing w:val="-1"/>
                <w:sz w:val="21"/>
                <w:szCs w:val="21"/>
              </w:rPr>
              <w:t>分）</w:t>
            </w:r>
          </w:p>
        </w:tc>
        <w:tc>
          <w:tcPr>
            <w:tcW w:w="682" w:type="pct"/>
            <w:tcBorders>
              <w:top w:val="single" w:color="auto" w:sz="4" w:space="0"/>
            </w:tcBorders>
          </w:tcPr>
          <w:p w14:paraId="7E2FFD29">
            <w:pPr>
              <w:rPr>
                <w:rFonts w:hint="eastAsia" w:ascii="Arial"/>
                <w:szCs w:val="21"/>
              </w:rPr>
            </w:pPr>
          </w:p>
        </w:tc>
        <w:tc>
          <w:tcPr>
            <w:tcW w:w="647" w:type="pct"/>
            <w:tcBorders>
              <w:top w:val="single" w:color="auto" w:sz="4" w:space="0"/>
            </w:tcBorders>
          </w:tcPr>
          <w:p w14:paraId="39B49277">
            <w:pPr>
              <w:rPr>
                <w:rFonts w:hint="eastAsia" w:ascii="Arial"/>
                <w:szCs w:val="21"/>
              </w:rPr>
            </w:pPr>
          </w:p>
        </w:tc>
      </w:tr>
      <w:tr w14:paraId="1424F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jc w:val="center"/>
        </w:trPr>
        <w:tc>
          <w:tcPr>
            <w:tcW w:w="448" w:type="pct"/>
            <w:vMerge w:val="continue"/>
            <w:tcBorders>
              <w:top w:val="nil"/>
              <w:left w:val="single" w:color="auto" w:sz="4" w:space="0"/>
            </w:tcBorders>
          </w:tcPr>
          <w:p w14:paraId="302E445C">
            <w:pPr>
              <w:rPr>
                <w:rFonts w:hint="eastAsia" w:ascii="Arial"/>
                <w:szCs w:val="21"/>
              </w:rPr>
            </w:pPr>
          </w:p>
        </w:tc>
        <w:tc>
          <w:tcPr>
            <w:tcW w:w="684" w:type="pct"/>
            <w:vMerge w:val="continue"/>
            <w:tcBorders>
              <w:top w:val="nil"/>
            </w:tcBorders>
          </w:tcPr>
          <w:p w14:paraId="7BDD4A8F">
            <w:pPr>
              <w:rPr>
                <w:rFonts w:hint="eastAsia" w:ascii="Arial"/>
                <w:szCs w:val="21"/>
              </w:rPr>
            </w:pPr>
          </w:p>
        </w:tc>
        <w:tc>
          <w:tcPr>
            <w:tcW w:w="2537" w:type="pct"/>
          </w:tcPr>
          <w:p w14:paraId="780353ED">
            <w:pPr>
              <w:pStyle w:val="208"/>
              <w:spacing w:before="30" w:line="366" w:lineRule="auto"/>
              <w:ind w:left="113" w:right="121" w:firstLine="424"/>
              <w:rPr>
                <w:rFonts w:hint="eastAsia"/>
                <w:sz w:val="21"/>
                <w:szCs w:val="21"/>
                <w:lang w:eastAsia="zh-CN"/>
              </w:rPr>
            </w:pPr>
            <w:r>
              <w:rPr>
                <w:spacing w:val="8"/>
                <w:sz w:val="21"/>
                <w:szCs w:val="21"/>
                <w:lang w:eastAsia="zh-CN"/>
              </w:rPr>
              <w:t>3、仓库物品做到先进先出，严格杜绝存放</w:t>
            </w:r>
            <w:r>
              <w:rPr>
                <w:spacing w:val="7"/>
                <w:sz w:val="21"/>
                <w:szCs w:val="21"/>
                <w:lang w:eastAsia="zh-CN"/>
              </w:rPr>
              <w:t xml:space="preserve">  </w:t>
            </w:r>
            <w:r>
              <w:rPr>
                <w:spacing w:val="8"/>
                <w:sz w:val="21"/>
                <w:szCs w:val="21"/>
                <w:lang w:eastAsia="zh-CN"/>
              </w:rPr>
              <w:t>过期变质的物品。（共</w:t>
            </w:r>
            <w:r>
              <w:rPr>
                <w:spacing w:val="-36"/>
                <w:sz w:val="21"/>
                <w:szCs w:val="21"/>
                <w:lang w:eastAsia="zh-CN"/>
              </w:rPr>
              <w:t xml:space="preserve"> </w:t>
            </w:r>
            <w:r>
              <w:rPr>
                <w:spacing w:val="8"/>
                <w:sz w:val="21"/>
                <w:szCs w:val="21"/>
                <w:lang w:eastAsia="zh-CN"/>
              </w:rPr>
              <w:t>2</w:t>
            </w:r>
            <w:r>
              <w:rPr>
                <w:spacing w:val="-35"/>
                <w:sz w:val="21"/>
                <w:szCs w:val="21"/>
                <w:lang w:eastAsia="zh-CN"/>
              </w:rPr>
              <w:t xml:space="preserve"> </w:t>
            </w:r>
            <w:r>
              <w:rPr>
                <w:spacing w:val="8"/>
                <w:sz w:val="21"/>
                <w:szCs w:val="21"/>
                <w:lang w:eastAsia="zh-CN"/>
              </w:rPr>
              <w:t>分，发现任何变质过期</w:t>
            </w:r>
            <w:r>
              <w:rPr>
                <w:spacing w:val="2"/>
                <w:sz w:val="21"/>
                <w:szCs w:val="21"/>
                <w:lang w:eastAsia="zh-CN"/>
              </w:rPr>
              <w:t>物品扣</w:t>
            </w:r>
            <w:r>
              <w:rPr>
                <w:spacing w:val="-37"/>
                <w:sz w:val="21"/>
                <w:szCs w:val="21"/>
                <w:lang w:eastAsia="zh-CN"/>
              </w:rPr>
              <w:t xml:space="preserve"> </w:t>
            </w:r>
            <w:r>
              <w:rPr>
                <w:spacing w:val="2"/>
                <w:sz w:val="21"/>
                <w:szCs w:val="21"/>
                <w:lang w:eastAsia="zh-CN"/>
              </w:rPr>
              <w:t>2</w:t>
            </w:r>
            <w:r>
              <w:rPr>
                <w:spacing w:val="-36"/>
                <w:sz w:val="21"/>
                <w:szCs w:val="21"/>
                <w:lang w:eastAsia="zh-CN"/>
              </w:rPr>
              <w:t xml:space="preserve"> </w:t>
            </w:r>
            <w:r>
              <w:rPr>
                <w:spacing w:val="2"/>
                <w:sz w:val="21"/>
                <w:szCs w:val="21"/>
                <w:lang w:eastAsia="zh-CN"/>
              </w:rPr>
              <w:t>分）</w:t>
            </w:r>
          </w:p>
        </w:tc>
        <w:tc>
          <w:tcPr>
            <w:tcW w:w="682" w:type="pct"/>
          </w:tcPr>
          <w:p w14:paraId="34152C81">
            <w:pPr>
              <w:rPr>
                <w:rFonts w:hint="eastAsia" w:ascii="Arial"/>
                <w:szCs w:val="21"/>
              </w:rPr>
            </w:pPr>
          </w:p>
        </w:tc>
        <w:tc>
          <w:tcPr>
            <w:tcW w:w="647" w:type="pct"/>
          </w:tcPr>
          <w:p w14:paraId="64DA579F">
            <w:pPr>
              <w:rPr>
                <w:rFonts w:hint="eastAsia" w:ascii="Arial"/>
                <w:szCs w:val="21"/>
              </w:rPr>
            </w:pPr>
          </w:p>
        </w:tc>
      </w:tr>
      <w:tr w14:paraId="3E879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jc w:val="center"/>
        </w:trPr>
        <w:tc>
          <w:tcPr>
            <w:tcW w:w="448" w:type="pct"/>
            <w:vMerge w:val="restart"/>
            <w:tcBorders>
              <w:bottom w:val="nil"/>
            </w:tcBorders>
          </w:tcPr>
          <w:p w14:paraId="543CF898">
            <w:pPr>
              <w:spacing w:line="248" w:lineRule="auto"/>
              <w:rPr>
                <w:rFonts w:hint="eastAsia" w:ascii="Arial"/>
                <w:szCs w:val="21"/>
              </w:rPr>
            </w:pPr>
          </w:p>
          <w:p w14:paraId="11452B42">
            <w:pPr>
              <w:spacing w:line="248" w:lineRule="auto"/>
              <w:rPr>
                <w:rFonts w:hint="eastAsia" w:ascii="Arial"/>
                <w:szCs w:val="21"/>
              </w:rPr>
            </w:pPr>
          </w:p>
          <w:p w14:paraId="64FB90F5">
            <w:pPr>
              <w:spacing w:line="248" w:lineRule="auto"/>
              <w:rPr>
                <w:rFonts w:hint="eastAsia" w:ascii="Arial"/>
                <w:szCs w:val="21"/>
              </w:rPr>
            </w:pPr>
          </w:p>
          <w:p w14:paraId="0F5004FD">
            <w:pPr>
              <w:spacing w:line="248" w:lineRule="auto"/>
              <w:rPr>
                <w:rFonts w:hint="eastAsia" w:ascii="Arial"/>
                <w:szCs w:val="21"/>
              </w:rPr>
            </w:pPr>
          </w:p>
          <w:p w14:paraId="08C60204">
            <w:pPr>
              <w:spacing w:line="248" w:lineRule="auto"/>
              <w:rPr>
                <w:rFonts w:hint="eastAsia" w:ascii="Arial"/>
                <w:szCs w:val="21"/>
              </w:rPr>
            </w:pPr>
          </w:p>
          <w:p w14:paraId="587909F3">
            <w:pPr>
              <w:spacing w:line="248" w:lineRule="auto"/>
              <w:rPr>
                <w:rFonts w:hint="eastAsia" w:ascii="Arial"/>
                <w:szCs w:val="21"/>
              </w:rPr>
            </w:pPr>
          </w:p>
          <w:p w14:paraId="65F6DEDE">
            <w:pPr>
              <w:spacing w:line="248" w:lineRule="auto"/>
              <w:rPr>
                <w:rFonts w:hint="eastAsia" w:ascii="Arial"/>
                <w:szCs w:val="21"/>
              </w:rPr>
            </w:pPr>
          </w:p>
          <w:p w14:paraId="14BE55B6">
            <w:pPr>
              <w:spacing w:line="248" w:lineRule="auto"/>
              <w:rPr>
                <w:rFonts w:hint="eastAsia" w:ascii="Arial"/>
                <w:szCs w:val="21"/>
              </w:rPr>
            </w:pPr>
          </w:p>
          <w:p w14:paraId="6E0D3ED5">
            <w:pPr>
              <w:spacing w:line="248" w:lineRule="auto"/>
              <w:rPr>
                <w:rFonts w:hint="eastAsia" w:ascii="Arial"/>
                <w:szCs w:val="21"/>
              </w:rPr>
            </w:pPr>
          </w:p>
          <w:p w14:paraId="0D69CFA9">
            <w:pPr>
              <w:spacing w:line="249" w:lineRule="auto"/>
              <w:rPr>
                <w:rFonts w:hint="eastAsia" w:ascii="Arial"/>
                <w:szCs w:val="21"/>
              </w:rPr>
            </w:pPr>
          </w:p>
          <w:p w14:paraId="1DD31892">
            <w:pPr>
              <w:spacing w:line="249" w:lineRule="auto"/>
              <w:rPr>
                <w:rFonts w:hint="eastAsia" w:ascii="Arial"/>
                <w:szCs w:val="21"/>
              </w:rPr>
            </w:pPr>
          </w:p>
          <w:p w14:paraId="2740F986">
            <w:pPr>
              <w:spacing w:line="249" w:lineRule="auto"/>
              <w:rPr>
                <w:rFonts w:hint="eastAsia" w:ascii="Arial"/>
                <w:szCs w:val="21"/>
              </w:rPr>
            </w:pPr>
          </w:p>
          <w:p w14:paraId="22C1AD83">
            <w:pPr>
              <w:spacing w:line="249" w:lineRule="auto"/>
              <w:rPr>
                <w:rFonts w:hint="eastAsia" w:ascii="Arial"/>
                <w:szCs w:val="21"/>
              </w:rPr>
            </w:pPr>
          </w:p>
          <w:p w14:paraId="72374852">
            <w:pPr>
              <w:spacing w:line="249" w:lineRule="auto"/>
              <w:rPr>
                <w:rFonts w:hint="eastAsia" w:ascii="Arial"/>
                <w:szCs w:val="21"/>
              </w:rPr>
            </w:pPr>
          </w:p>
          <w:p w14:paraId="7B117812">
            <w:pPr>
              <w:spacing w:line="249" w:lineRule="auto"/>
              <w:rPr>
                <w:rFonts w:hint="eastAsia" w:ascii="Arial"/>
                <w:szCs w:val="21"/>
              </w:rPr>
            </w:pPr>
          </w:p>
          <w:p w14:paraId="10B88845">
            <w:pPr>
              <w:spacing w:line="249" w:lineRule="auto"/>
              <w:rPr>
                <w:rFonts w:hint="eastAsia" w:ascii="Arial"/>
                <w:szCs w:val="21"/>
              </w:rPr>
            </w:pPr>
          </w:p>
          <w:p w14:paraId="3828E467">
            <w:pPr>
              <w:spacing w:line="249" w:lineRule="auto"/>
              <w:rPr>
                <w:rFonts w:hint="eastAsia" w:ascii="Arial"/>
                <w:szCs w:val="21"/>
              </w:rPr>
            </w:pPr>
          </w:p>
          <w:p w14:paraId="650A2FBC">
            <w:pPr>
              <w:spacing w:line="249" w:lineRule="auto"/>
              <w:rPr>
                <w:rFonts w:hint="eastAsia" w:ascii="Arial"/>
                <w:szCs w:val="21"/>
              </w:rPr>
            </w:pPr>
          </w:p>
          <w:p w14:paraId="1F9A3770">
            <w:pPr>
              <w:pStyle w:val="208"/>
              <w:spacing w:before="65" w:line="238" w:lineRule="auto"/>
              <w:ind w:left="356"/>
              <w:rPr>
                <w:rFonts w:hint="eastAsia"/>
                <w:sz w:val="21"/>
                <w:szCs w:val="21"/>
              </w:rPr>
            </w:pPr>
            <w:r>
              <w:rPr>
                <w:sz w:val="21"/>
                <w:szCs w:val="21"/>
              </w:rPr>
              <w:t>五</w:t>
            </w:r>
          </w:p>
        </w:tc>
        <w:tc>
          <w:tcPr>
            <w:tcW w:w="684" w:type="pct"/>
            <w:vMerge w:val="restart"/>
            <w:tcBorders>
              <w:bottom w:val="nil"/>
            </w:tcBorders>
          </w:tcPr>
          <w:p w14:paraId="6BA9A914">
            <w:pPr>
              <w:spacing w:line="251" w:lineRule="auto"/>
              <w:rPr>
                <w:rFonts w:hint="eastAsia" w:ascii="Arial"/>
                <w:szCs w:val="21"/>
              </w:rPr>
            </w:pPr>
          </w:p>
          <w:p w14:paraId="5536BA4A">
            <w:pPr>
              <w:spacing w:line="251" w:lineRule="auto"/>
              <w:rPr>
                <w:rFonts w:hint="eastAsia" w:ascii="Arial"/>
                <w:szCs w:val="21"/>
              </w:rPr>
            </w:pPr>
          </w:p>
          <w:p w14:paraId="163B66F1">
            <w:pPr>
              <w:spacing w:line="251" w:lineRule="auto"/>
              <w:rPr>
                <w:rFonts w:hint="eastAsia" w:ascii="Arial"/>
                <w:szCs w:val="21"/>
              </w:rPr>
            </w:pPr>
          </w:p>
          <w:p w14:paraId="5BA81F95">
            <w:pPr>
              <w:spacing w:line="251" w:lineRule="auto"/>
              <w:rPr>
                <w:rFonts w:hint="eastAsia" w:ascii="Arial"/>
                <w:szCs w:val="21"/>
              </w:rPr>
            </w:pPr>
          </w:p>
          <w:p w14:paraId="2F15EC25">
            <w:pPr>
              <w:spacing w:line="251" w:lineRule="auto"/>
              <w:rPr>
                <w:rFonts w:hint="eastAsia" w:ascii="Arial"/>
                <w:szCs w:val="21"/>
              </w:rPr>
            </w:pPr>
          </w:p>
          <w:p w14:paraId="18B54BAA">
            <w:pPr>
              <w:spacing w:line="251" w:lineRule="auto"/>
              <w:rPr>
                <w:rFonts w:hint="eastAsia" w:ascii="Arial"/>
                <w:szCs w:val="21"/>
              </w:rPr>
            </w:pPr>
          </w:p>
          <w:p w14:paraId="4DA797A1">
            <w:pPr>
              <w:spacing w:line="251" w:lineRule="auto"/>
              <w:rPr>
                <w:rFonts w:hint="eastAsia" w:ascii="Arial"/>
                <w:szCs w:val="21"/>
              </w:rPr>
            </w:pPr>
          </w:p>
          <w:p w14:paraId="536AED63">
            <w:pPr>
              <w:spacing w:line="251" w:lineRule="auto"/>
              <w:rPr>
                <w:rFonts w:hint="eastAsia" w:ascii="Arial"/>
                <w:szCs w:val="21"/>
              </w:rPr>
            </w:pPr>
          </w:p>
          <w:p w14:paraId="6702B5CE">
            <w:pPr>
              <w:spacing w:line="251" w:lineRule="auto"/>
              <w:rPr>
                <w:rFonts w:hint="eastAsia" w:ascii="Arial"/>
                <w:szCs w:val="21"/>
              </w:rPr>
            </w:pPr>
          </w:p>
          <w:p w14:paraId="1E6B61ED">
            <w:pPr>
              <w:spacing w:line="251" w:lineRule="auto"/>
              <w:rPr>
                <w:rFonts w:hint="eastAsia" w:ascii="Arial"/>
                <w:szCs w:val="21"/>
              </w:rPr>
            </w:pPr>
          </w:p>
          <w:p w14:paraId="5269BC9A">
            <w:pPr>
              <w:spacing w:line="251" w:lineRule="auto"/>
              <w:rPr>
                <w:rFonts w:hint="eastAsia" w:ascii="Arial"/>
                <w:szCs w:val="21"/>
              </w:rPr>
            </w:pPr>
          </w:p>
          <w:p w14:paraId="0DEE743F">
            <w:pPr>
              <w:spacing w:line="251" w:lineRule="auto"/>
              <w:rPr>
                <w:rFonts w:hint="eastAsia" w:ascii="Arial"/>
                <w:szCs w:val="21"/>
              </w:rPr>
            </w:pPr>
          </w:p>
          <w:p w14:paraId="5F7DA4EC">
            <w:pPr>
              <w:spacing w:line="251" w:lineRule="auto"/>
              <w:rPr>
                <w:rFonts w:hint="eastAsia" w:ascii="Arial"/>
                <w:szCs w:val="21"/>
              </w:rPr>
            </w:pPr>
          </w:p>
          <w:p w14:paraId="77DBA29A">
            <w:pPr>
              <w:spacing w:line="251" w:lineRule="auto"/>
              <w:rPr>
                <w:rFonts w:hint="eastAsia" w:ascii="Arial"/>
                <w:szCs w:val="21"/>
              </w:rPr>
            </w:pPr>
          </w:p>
          <w:p w14:paraId="7D75C008">
            <w:pPr>
              <w:spacing w:line="251" w:lineRule="auto"/>
              <w:rPr>
                <w:rFonts w:hint="eastAsia" w:ascii="Arial"/>
                <w:szCs w:val="21"/>
              </w:rPr>
            </w:pPr>
          </w:p>
          <w:p w14:paraId="62781003">
            <w:pPr>
              <w:spacing w:line="252" w:lineRule="auto"/>
              <w:rPr>
                <w:rFonts w:hint="eastAsia" w:ascii="Arial"/>
                <w:szCs w:val="21"/>
              </w:rPr>
            </w:pPr>
          </w:p>
          <w:p w14:paraId="7752FC62">
            <w:pPr>
              <w:spacing w:line="252" w:lineRule="auto"/>
              <w:rPr>
                <w:rFonts w:hint="eastAsia" w:ascii="Arial"/>
                <w:szCs w:val="21"/>
              </w:rPr>
            </w:pPr>
          </w:p>
          <w:p w14:paraId="310697F1">
            <w:pPr>
              <w:pStyle w:val="208"/>
              <w:spacing w:before="65" w:line="362" w:lineRule="auto"/>
              <w:ind w:left="120" w:right="188" w:hanging="5"/>
              <w:rPr>
                <w:rFonts w:hint="eastAsia"/>
                <w:sz w:val="21"/>
                <w:szCs w:val="21"/>
              </w:rPr>
            </w:pPr>
            <w:r>
              <w:rPr>
                <w:spacing w:val="6"/>
                <w:sz w:val="21"/>
                <w:szCs w:val="21"/>
              </w:rPr>
              <w:t>安全卫生</w:t>
            </w:r>
            <w:r>
              <w:rPr>
                <w:sz w:val="21"/>
                <w:szCs w:val="21"/>
              </w:rPr>
              <w:t xml:space="preserve"> </w:t>
            </w:r>
            <w:r>
              <w:rPr>
                <w:spacing w:val="-2"/>
                <w:sz w:val="21"/>
                <w:szCs w:val="21"/>
              </w:rPr>
              <w:t>（26</w:t>
            </w:r>
            <w:r>
              <w:rPr>
                <w:spacing w:val="-38"/>
                <w:sz w:val="21"/>
                <w:szCs w:val="21"/>
              </w:rPr>
              <w:t xml:space="preserve"> </w:t>
            </w:r>
            <w:r>
              <w:rPr>
                <w:spacing w:val="-2"/>
                <w:sz w:val="21"/>
                <w:szCs w:val="21"/>
              </w:rPr>
              <w:t>分）</w:t>
            </w:r>
          </w:p>
        </w:tc>
        <w:tc>
          <w:tcPr>
            <w:tcW w:w="2537" w:type="pct"/>
          </w:tcPr>
          <w:p w14:paraId="0221B1DD">
            <w:pPr>
              <w:pStyle w:val="208"/>
              <w:spacing w:before="32" w:line="365" w:lineRule="auto"/>
              <w:ind w:left="116" w:right="172" w:firstLine="432"/>
              <w:rPr>
                <w:rFonts w:hint="eastAsia"/>
                <w:sz w:val="21"/>
                <w:szCs w:val="21"/>
                <w:lang w:eastAsia="zh-CN"/>
              </w:rPr>
            </w:pPr>
            <w:r>
              <w:rPr>
                <w:spacing w:val="8"/>
                <w:sz w:val="21"/>
                <w:szCs w:val="21"/>
                <w:lang w:eastAsia="zh-CN"/>
              </w:rPr>
              <w:t>1、餐厅内外环境干净、整洁，不留卫生死</w:t>
            </w:r>
            <w:r>
              <w:rPr>
                <w:spacing w:val="4"/>
                <w:sz w:val="21"/>
                <w:szCs w:val="21"/>
                <w:lang w:eastAsia="zh-CN"/>
              </w:rPr>
              <w:t xml:space="preserve"> </w:t>
            </w:r>
            <w:r>
              <w:rPr>
                <w:spacing w:val="5"/>
                <w:sz w:val="21"/>
                <w:szCs w:val="21"/>
                <w:lang w:eastAsia="zh-CN"/>
              </w:rPr>
              <w:t>角，做好除“</w:t>
            </w:r>
            <w:r>
              <w:rPr>
                <w:spacing w:val="-57"/>
                <w:sz w:val="21"/>
                <w:szCs w:val="21"/>
                <w:lang w:eastAsia="zh-CN"/>
              </w:rPr>
              <w:t xml:space="preserve"> </w:t>
            </w:r>
            <w:r>
              <w:rPr>
                <w:spacing w:val="5"/>
                <w:sz w:val="21"/>
                <w:szCs w:val="21"/>
                <w:lang w:eastAsia="zh-CN"/>
              </w:rPr>
              <w:t>四害</w:t>
            </w:r>
            <w:r>
              <w:rPr>
                <w:spacing w:val="-70"/>
                <w:sz w:val="21"/>
                <w:szCs w:val="21"/>
                <w:lang w:eastAsia="zh-CN"/>
              </w:rPr>
              <w:t xml:space="preserve"> </w:t>
            </w:r>
            <w:r>
              <w:rPr>
                <w:spacing w:val="5"/>
                <w:sz w:val="21"/>
                <w:szCs w:val="21"/>
                <w:lang w:eastAsia="zh-CN"/>
              </w:rPr>
              <w:t>”工作，配置好纱窗。（共</w:t>
            </w:r>
            <w:r>
              <w:rPr>
                <w:spacing w:val="-35"/>
                <w:sz w:val="21"/>
                <w:szCs w:val="21"/>
                <w:lang w:eastAsia="zh-CN"/>
              </w:rPr>
              <w:t xml:space="preserve"> </w:t>
            </w:r>
            <w:r>
              <w:rPr>
                <w:spacing w:val="5"/>
                <w:sz w:val="21"/>
                <w:szCs w:val="21"/>
                <w:lang w:eastAsia="zh-CN"/>
              </w:rPr>
              <w:t>3</w:t>
            </w:r>
            <w:r>
              <w:rPr>
                <w:sz w:val="21"/>
                <w:szCs w:val="21"/>
                <w:lang w:eastAsia="zh-CN"/>
              </w:rPr>
              <w:t xml:space="preserve"> </w:t>
            </w:r>
            <w:r>
              <w:rPr>
                <w:spacing w:val="4"/>
                <w:sz w:val="21"/>
                <w:szCs w:val="21"/>
                <w:lang w:eastAsia="zh-CN"/>
              </w:rPr>
              <w:t>分，不符合扣</w:t>
            </w:r>
            <w:r>
              <w:rPr>
                <w:spacing w:val="-35"/>
                <w:sz w:val="21"/>
                <w:szCs w:val="21"/>
                <w:lang w:eastAsia="zh-CN"/>
              </w:rPr>
              <w:t xml:space="preserve"> </w:t>
            </w:r>
            <w:r>
              <w:rPr>
                <w:spacing w:val="4"/>
                <w:sz w:val="21"/>
                <w:szCs w:val="21"/>
                <w:lang w:eastAsia="zh-CN"/>
              </w:rPr>
              <w:t>3</w:t>
            </w:r>
            <w:r>
              <w:rPr>
                <w:spacing w:val="-35"/>
                <w:sz w:val="21"/>
                <w:szCs w:val="21"/>
                <w:lang w:eastAsia="zh-CN"/>
              </w:rPr>
              <w:t xml:space="preserve"> </w:t>
            </w:r>
            <w:r>
              <w:rPr>
                <w:spacing w:val="4"/>
                <w:sz w:val="21"/>
                <w:szCs w:val="21"/>
                <w:lang w:eastAsia="zh-CN"/>
              </w:rPr>
              <w:t>分）</w:t>
            </w:r>
          </w:p>
        </w:tc>
        <w:tc>
          <w:tcPr>
            <w:tcW w:w="682" w:type="pct"/>
          </w:tcPr>
          <w:p w14:paraId="07E60F3E">
            <w:pPr>
              <w:rPr>
                <w:rFonts w:hint="eastAsia" w:ascii="Arial"/>
                <w:szCs w:val="21"/>
              </w:rPr>
            </w:pPr>
          </w:p>
        </w:tc>
        <w:tc>
          <w:tcPr>
            <w:tcW w:w="647" w:type="pct"/>
          </w:tcPr>
          <w:p w14:paraId="7D88EEBF">
            <w:pPr>
              <w:rPr>
                <w:rFonts w:hint="eastAsia" w:ascii="Arial"/>
                <w:szCs w:val="21"/>
              </w:rPr>
            </w:pPr>
          </w:p>
        </w:tc>
      </w:tr>
      <w:tr w14:paraId="0D863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448" w:type="pct"/>
            <w:vMerge w:val="continue"/>
            <w:tcBorders>
              <w:top w:val="nil"/>
              <w:bottom w:val="nil"/>
            </w:tcBorders>
          </w:tcPr>
          <w:p w14:paraId="0460CA0A">
            <w:pPr>
              <w:rPr>
                <w:rFonts w:hint="eastAsia" w:ascii="Arial"/>
                <w:szCs w:val="21"/>
              </w:rPr>
            </w:pPr>
          </w:p>
        </w:tc>
        <w:tc>
          <w:tcPr>
            <w:tcW w:w="684" w:type="pct"/>
            <w:vMerge w:val="continue"/>
            <w:tcBorders>
              <w:top w:val="nil"/>
              <w:bottom w:val="nil"/>
            </w:tcBorders>
          </w:tcPr>
          <w:p w14:paraId="2CE5A4C2">
            <w:pPr>
              <w:rPr>
                <w:rFonts w:hint="eastAsia" w:ascii="Arial"/>
                <w:szCs w:val="21"/>
              </w:rPr>
            </w:pPr>
          </w:p>
        </w:tc>
        <w:tc>
          <w:tcPr>
            <w:tcW w:w="2537" w:type="pct"/>
          </w:tcPr>
          <w:p w14:paraId="798AB175">
            <w:pPr>
              <w:pStyle w:val="208"/>
              <w:spacing w:before="34" w:line="359" w:lineRule="auto"/>
              <w:ind w:left="123" w:right="261" w:firstLine="412"/>
              <w:rPr>
                <w:rFonts w:hint="eastAsia"/>
                <w:sz w:val="21"/>
                <w:szCs w:val="21"/>
              </w:rPr>
            </w:pPr>
            <w:r>
              <w:rPr>
                <w:spacing w:val="7"/>
                <w:sz w:val="21"/>
                <w:szCs w:val="21"/>
                <w:lang w:eastAsia="zh-CN"/>
              </w:rPr>
              <w:t>2、操作间地面、厨具、餐具干净、整洁。</w:t>
            </w:r>
            <w:r>
              <w:rPr>
                <w:spacing w:val="1"/>
                <w:sz w:val="21"/>
                <w:szCs w:val="21"/>
                <w:lang w:eastAsia="zh-CN"/>
              </w:rPr>
              <w:t xml:space="preserve"> </w:t>
            </w:r>
            <w:r>
              <w:rPr>
                <w:spacing w:val="2"/>
                <w:sz w:val="21"/>
                <w:szCs w:val="21"/>
              </w:rPr>
              <w:t>（共</w:t>
            </w:r>
            <w:r>
              <w:rPr>
                <w:spacing w:val="-30"/>
                <w:sz w:val="21"/>
                <w:szCs w:val="21"/>
              </w:rPr>
              <w:t xml:space="preserve"> </w:t>
            </w:r>
            <w:r>
              <w:rPr>
                <w:spacing w:val="2"/>
                <w:sz w:val="21"/>
                <w:szCs w:val="21"/>
              </w:rPr>
              <w:t>2</w:t>
            </w:r>
            <w:r>
              <w:rPr>
                <w:spacing w:val="-35"/>
                <w:sz w:val="21"/>
                <w:szCs w:val="21"/>
              </w:rPr>
              <w:t xml:space="preserve"> </w:t>
            </w:r>
            <w:r>
              <w:rPr>
                <w:spacing w:val="2"/>
                <w:sz w:val="21"/>
                <w:szCs w:val="21"/>
              </w:rPr>
              <w:t>分，不符合扣</w:t>
            </w:r>
            <w:r>
              <w:rPr>
                <w:spacing w:val="-34"/>
                <w:sz w:val="21"/>
                <w:szCs w:val="21"/>
              </w:rPr>
              <w:t xml:space="preserve"> </w:t>
            </w:r>
            <w:r>
              <w:rPr>
                <w:spacing w:val="2"/>
                <w:sz w:val="21"/>
                <w:szCs w:val="21"/>
              </w:rPr>
              <w:t>2</w:t>
            </w:r>
            <w:r>
              <w:rPr>
                <w:spacing w:val="-36"/>
                <w:sz w:val="21"/>
                <w:szCs w:val="21"/>
              </w:rPr>
              <w:t xml:space="preserve"> </w:t>
            </w:r>
            <w:r>
              <w:rPr>
                <w:spacing w:val="2"/>
                <w:sz w:val="21"/>
                <w:szCs w:val="21"/>
              </w:rPr>
              <w:t>分）</w:t>
            </w:r>
          </w:p>
        </w:tc>
        <w:tc>
          <w:tcPr>
            <w:tcW w:w="682" w:type="pct"/>
          </w:tcPr>
          <w:p w14:paraId="681CBB06">
            <w:pPr>
              <w:rPr>
                <w:rFonts w:hint="eastAsia" w:ascii="Arial"/>
                <w:szCs w:val="21"/>
              </w:rPr>
            </w:pPr>
          </w:p>
        </w:tc>
        <w:tc>
          <w:tcPr>
            <w:tcW w:w="647" w:type="pct"/>
          </w:tcPr>
          <w:p w14:paraId="5B32F75A">
            <w:pPr>
              <w:rPr>
                <w:rFonts w:hint="eastAsia" w:ascii="Arial"/>
                <w:szCs w:val="21"/>
              </w:rPr>
            </w:pPr>
          </w:p>
        </w:tc>
      </w:tr>
      <w:tr w14:paraId="5FC1A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448" w:type="pct"/>
            <w:vMerge w:val="continue"/>
            <w:tcBorders>
              <w:top w:val="nil"/>
              <w:bottom w:val="nil"/>
            </w:tcBorders>
          </w:tcPr>
          <w:p w14:paraId="7FDF9C7C">
            <w:pPr>
              <w:rPr>
                <w:rFonts w:hint="eastAsia" w:ascii="Arial"/>
                <w:szCs w:val="21"/>
              </w:rPr>
            </w:pPr>
          </w:p>
        </w:tc>
        <w:tc>
          <w:tcPr>
            <w:tcW w:w="684" w:type="pct"/>
            <w:vMerge w:val="continue"/>
            <w:tcBorders>
              <w:top w:val="nil"/>
              <w:bottom w:val="nil"/>
            </w:tcBorders>
          </w:tcPr>
          <w:p w14:paraId="542D6AED">
            <w:pPr>
              <w:rPr>
                <w:rFonts w:hint="eastAsia" w:ascii="Arial"/>
                <w:szCs w:val="21"/>
              </w:rPr>
            </w:pPr>
          </w:p>
        </w:tc>
        <w:tc>
          <w:tcPr>
            <w:tcW w:w="2537" w:type="pct"/>
          </w:tcPr>
          <w:p w14:paraId="532D3D91">
            <w:pPr>
              <w:pStyle w:val="208"/>
              <w:spacing w:before="34" w:line="359" w:lineRule="auto"/>
              <w:ind w:left="113" w:right="435" w:firstLine="424"/>
              <w:rPr>
                <w:rFonts w:hint="eastAsia"/>
                <w:sz w:val="21"/>
                <w:szCs w:val="21"/>
                <w:lang w:eastAsia="zh-CN"/>
              </w:rPr>
            </w:pPr>
            <w:r>
              <w:rPr>
                <w:spacing w:val="8"/>
                <w:sz w:val="21"/>
                <w:szCs w:val="21"/>
                <w:lang w:eastAsia="zh-CN"/>
              </w:rPr>
              <w:t>3、卫生管理制度挂上墙，卫生责任人明</w:t>
            </w:r>
            <w:r>
              <w:rPr>
                <w:spacing w:val="4"/>
                <w:sz w:val="21"/>
                <w:szCs w:val="21"/>
                <w:lang w:eastAsia="zh-CN"/>
              </w:rPr>
              <w:t>确。（共</w:t>
            </w:r>
            <w:r>
              <w:rPr>
                <w:spacing w:val="-20"/>
                <w:sz w:val="21"/>
                <w:szCs w:val="21"/>
                <w:lang w:eastAsia="zh-CN"/>
              </w:rPr>
              <w:t xml:space="preserve"> </w:t>
            </w:r>
            <w:r>
              <w:rPr>
                <w:spacing w:val="4"/>
                <w:sz w:val="21"/>
                <w:szCs w:val="21"/>
                <w:lang w:eastAsia="zh-CN"/>
              </w:rPr>
              <w:t>2</w:t>
            </w:r>
            <w:r>
              <w:rPr>
                <w:spacing w:val="-36"/>
                <w:sz w:val="21"/>
                <w:szCs w:val="21"/>
                <w:lang w:eastAsia="zh-CN"/>
              </w:rPr>
              <w:t xml:space="preserve"> </w:t>
            </w:r>
            <w:r>
              <w:rPr>
                <w:spacing w:val="4"/>
                <w:sz w:val="21"/>
                <w:szCs w:val="21"/>
                <w:lang w:eastAsia="zh-CN"/>
              </w:rPr>
              <w:t>分，任何一项不符合扣</w:t>
            </w:r>
            <w:r>
              <w:rPr>
                <w:spacing w:val="-21"/>
                <w:sz w:val="21"/>
                <w:szCs w:val="21"/>
                <w:lang w:eastAsia="zh-CN"/>
              </w:rPr>
              <w:t xml:space="preserve"> </w:t>
            </w:r>
            <w:r>
              <w:rPr>
                <w:spacing w:val="4"/>
                <w:sz w:val="21"/>
                <w:szCs w:val="21"/>
                <w:lang w:eastAsia="zh-CN"/>
              </w:rPr>
              <w:t>1</w:t>
            </w:r>
            <w:r>
              <w:rPr>
                <w:spacing w:val="-36"/>
                <w:sz w:val="21"/>
                <w:szCs w:val="21"/>
                <w:lang w:eastAsia="zh-CN"/>
              </w:rPr>
              <w:t xml:space="preserve"> </w:t>
            </w:r>
            <w:r>
              <w:rPr>
                <w:spacing w:val="4"/>
                <w:sz w:val="21"/>
                <w:szCs w:val="21"/>
                <w:lang w:eastAsia="zh-CN"/>
              </w:rPr>
              <w:t>分）</w:t>
            </w:r>
          </w:p>
        </w:tc>
        <w:tc>
          <w:tcPr>
            <w:tcW w:w="682" w:type="pct"/>
          </w:tcPr>
          <w:p w14:paraId="5BAB101B">
            <w:pPr>
              <w:rPr>
                <w:rFonts w:hint="eastAsia" w:ascii="Arial"/>
                <w:szCs w:val="21"/>
              </w:rPr>
            </w:pPr>
          </w:p>
        </w:tc>
        <w:tc>
          <w:tcPr>
            <w:tcW w:w="647" w:type="pct"/>
          </w:tcPr>
          <w:p w14:paraId="0508B992">
            <w:pPr>
              <w:rPr>
                <w:rFonts w:hint="eastAsia" w:ascii="Arial"/>
                <w:szCs w:val="21"/>
              </w:rPr>
            </w:pPr>
          </w:p>
        </w:tc>
      </w:tr>
      <w:tr w14:paraId="77421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jc w:val="center"/>
        </w:trPr>
        <w:tc>
          <w:tcPr>
            <w:tcW w:w="448" w:type="pct"/>
            <w:vMerge w:val="continue"/>
            <w:tcBorders>
              <w:top w:val="nil"/>
              <w:bottom w:val="nil"/>
            </w:tcBorders>
          </w:tcPr>
          <w:p w14:paraId="66FBF9A1">
            <w:pPr>
              <w:rPr>
                <w:rFonts w:hint="eastAsia" w:ascii="Arial"/>
                <w:szCs w:val="21"/>
              </w:rPr>
            </w:pPr>
          </w:p>
        </w:tc>
        <w:tc>
          <w:tcPr>
            <w:tcW w:w="684" w:type="pct"/>
            <w:vMerge w:val="continue"/>
            <w:tcBorders>
              <w:top w:val="nil"/>
              <w:bottom w:val="nil"/>
            </w:tcBorders>
          </w:tcPr>
          <w:p w14:paraId="4E69DA45">
            <w:pPr>
              <w:rPr>
                <w:rFonts w:hint="eastAsia" w:ascii="Arial"/>
                <w:szCs w:val="21"/>
              </w:rPr>
            </w:pPr>
          </w:p>
        </w:tc>
        <w:tc>
          <w:tcPr>
            <w:tcW w:w="2537" w:type="pct"/>
          </w:tcPr>
          <w:p w14:paraId="51C5F01C">
            <w:pPr>
              <w:pStyle w:val="208"/>
              <w:spacing w:before="34" w:line="362" w:lineRule="auto"/>
              <w:ind w:left="116" w:right="226" w:firstLine="416"/>
              <w:rPr>
                <w:rFonts w:hint="eastAsia"/>
                <w:sz w:val="21"/>
                <w:szCs w:val="21"/>
                <w:lang w:eastAsia="zh-CN"/>
              </w:rPr>
            </w:pPr>
            <w:r>
              <w:rPr>
                <w:spacing w:val="9"/>
                <w:sz w:val="21"/>
                <w:szCs w:val="21"/>
                <w:lang w:eastAsia="zh-CN"/>
              </w:rPr>
              <w:t>4、每层配置一间熟食间，生、熟用具严格</w:t>
            </w:r>
            <w:r>
              <w:rPr>
                <w:spacing w:val="1"/>
                <w:sz w:val="21"/>
                <w:szCs w:val="21"/>
                <w:lang w:eastAsia="zh-CN"/>
              </w:rPr>
              <w:t xml:space="preserve"> </w:t>
            </w:r>
            <w:r>
              <w:rPr>
                <w:spacing w:val="9"/>
                <w:sz w:val="21"/>
                <w:szCs w:val="21"/>
                <w:lang w:eastAsia="zh-CN"/>
              </w:rPr>
              <w:t>分开并有明显标识，熟食间制售做到专人、专</w:t>
            </w:r>
            <w:r>
              <w:rPr>
                <w:spacing w:val="7"/>
                <w:sz w:val="21"/>
                <w:szCs w:val="21"/>
                <w:lang w:eastAsia="zh-CN"/>
              </w:rPr>
              <w:t>室、专消毒、专冷藏、专用具。（共</w:t>
            </w:r>
            <w:r>
              <w:rPr>
                <w:spacing w:val="-18"/>
                <w:sz w:val="21"/>
                <w:szCs w:val="21"/>
                <w:lang w:eastAsia="zh-CN"/>
              </w:rPr>
              <w:t xml:space="preserve"> </w:t>
            </w:r>
            <w:r>
              <w:rPr>
                <w:spacing w:val="7"/>
                <w:sz w:val="21"/>
                <w:szCs w:val="21"/>
                <w:lang w:eastAsia="zh-CN"/>
              </w:rPr>
              <w:t>3</w:t>
            </w:r>
            <w:r>
              <w:rPr>
                <w:spacing w:val="-35"/>
                <w:sz w:val="21"/>
                <w:szCs w:val="21"/>
                <w:lang w:eastAsia="zh-CN"/>
              </w:rPr>
              <w:t xml:space="preserve"> </w:t>
            </w:r>
            <w:r>
              <w:rPr>
                <w:spacing w:val="7"/>
                <w:sz w:val="21"/>
                <w:szCs w:val="21"/>
                <w:lang w:eastAsia="zh-CN"/>
              </w:rPr>
              <w:t>分，任何</w:t>
            </w:r>
            <w:r>
              <w:rPr>
                <w:spacing w:val="2"/>
                <w:sz w:val="21"/>
                <w:szCs w:val="21"/>
                <w:lang w:eastAsia="zh-CN"/>
              </w:rPr>
              <w:t>一项不符合扣</w:t>
            </w:r>
            <w:r>
              <w:rPr>
                <w:spacing w:val="-18"/>
                <w:sz w:val="21"/>
                <w:szCs w:val="21"/>
                <w:lang w:eastAsia="zh-CN"/>
              </w:rPr>
              <w:t xml:space="preserve"> </w:t>
            </w:r>
            <w:r>
              <w:rPr>
                <w:spacing w:val="2"/>
                <w:sz w:val="21"/>
                <w:szCs w:val="21"/>
                <w:lang w:eastAsia="zh-CN"/>
              </w:rPr>
              <w:t>1</w:t>
            </w:r>
            <w:r>
              <w:rPr>
                <w:spacing w:val="-35"/>
                <w:sz w:val="21"/>
                <w:szCs w:val="21"/>
                <w:lang w:eastAsia="zh-CN"/>
              </w:rPr>
              <w:t xml:space="preserve"> </w:t>
            </w:r>
            <w:r>
              <w:rPr>
                <w:spacing w:val="2"/>
                <w:sz w:val="21"/>
                <w:szCs w:val="21"/>
                <w:lang w:eastAsia="zh-CN"/>
              </w:rPr>
              <w:t>分）</w:t>
            </w:r>
          </w:p>
        </w:tc>
        <w:tc>
          <w:tcPr>
            <w:tcW w:w="682" w:type="pct"/>
          </w:tcPr>
          <w:p w14:paraId="7E337A41">
            <w:pPr>
              <w:rPr>
                <w:rFonts w:hint="eastAsia" w:ascii="Arial"/>
                <w:szCs w:val="21"/>
              </w:rPr>
            </w:pPr>
          </w:p>
        </w:tc>
        <w:tc>
          <w:tcPr>
            <w:tcW w:w="647" w:type="pct"/>
          </w:tcPr>
          <w:p w14:paraId="51832DB9">
            <w:pPr>
              <w:rPr>
                <w:rFonts w:hint="eastAsia" w:ascii="Arial"/>
                <w:szCs w:val="21"/>
              </w:rPr>
            </w:pPr>
          </w:p>
        </w:tc>
      </w:tr>
      <w:tr w14:paraId="63695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448" w:type="pct"/>
            <w:vMerge w:val="continue"/>
            <w:tcBorders>
              <w:top w:val="nil"/>
              <w:bottom w:val="nil"/>
            </w:tcBorders>
          </w:tcPr>
          <w:p w14:paraId="427C106D">
            <w:pPr>
              <w:rPr>
                <w:rFonts w:hint="eastAsia" w:ascii="Arial"/>
                <w:szCs w:val="21"/>
              </w:rPr>
            </w:pPr>
          </w:p>
        </w:tc>
        <w:tc>
          <w:tcPr>
            <w:tcW w:w="684" w:type="pct"/>
            <w:vMerge w:val="continue"/>
            <w:tcBorders>
              <w:top w:val="nil"/>
              <w:bottom w:val="nil"/>
            </w:tcBorders>
          </w:tcPr>
          <w:p w14:paraId="1DB7C43E">
            <w:pPr>
              <w:rPr>
                <w:rFonts w:hint="eastAsia" w:ascii="Arial"/>
                <w:szCs w:val="21"/>
              </w:rPr>
            </w:pPr>
          </w:p>
        </w:tc>
        <w:tc>
          <w:tcPr>
            <w:tcW w:w="2537" w:type="pct"/>
          </w:tcPr>
          <w:p w14:paraId="430F4E03">
            <w:pPr>
              <w:pStyle w:val="208"/>
              <w:spacing w:before="36" w:line="358" w:lineRule="auto"/>
              <w:ind w:left="123" w:right="261" w:firstLine="414"/>
              <w:rPr>
                <w:rFonts w:hint="eastAsia"/>
                <w:sz w:val="21"/>
                <w:szCs w:val="21"/>
              </w:rPr>
            </w:pPr>
            <w:r>
              <w:rPr>
                <w:spacing w:val="7"/>
                <w:sz w:val="21"/>
                <w:szCs w:val="21"/>
                <w:lang w:eastAsia="zh-CN"/>
              </w:rPr>
              <w:t>5、厨房餐具、用具实行液浸和高温消毒。</w:t>
            </w:r>
            <w:r>
              <w:rPr>
                <w:sz w:val="21"/>
                <w:szCs w:val="21"/>
                <w:lang w:eastAsia="zh-CN"/>
              </w:rPr>
              <w:t xml:space="preserve"> </w:t>
            </w:r>
            <w:r>
              <w:rPr>
                <w:spacing w:val="2"/>
                <w:sz w:val="21"/>
                <w:szCs w:val="21"/>
              </w:rPr>
              <w:t>（共</w:t>
            </w:r>
            <w:r>
              <w:rPr>
                <w:spacing w:val="-30"/>
                <w:sz w:val="21"/>
                <w:szCs w:val="21"/>
              </w:rPr>
              <w:t xml:space="preserve"> </w:t>
            </w:r>
            <w:r>
              <w:rPr>
                <w:spacing w:val="2"/>
                <w:sz w:val="21"/>
                <w:szCs w:val="21"/>
              </w:rPr>
              <w:t>2</w:t>
            </w:r>
            <w:r>
              <w:rPr>
                <w:spacing w:val="-35"/>
                <w:sz w:val="21"/>
                <w:szCs w:val="21"/>
              </w:rPr>
              <w:t xml:space="preserve"> </w:t>
            </w:r>
            <w:r>
              <w:rPr>
                <w:spacing w:val="2"/>
                <w:sz w:val="21"/>
                <w:szCs w:val="21"/>
              </w:rPr>
              <w:t>分，不符合扣</w:t>
            </w:r>
            <w:r>
              <w:rPr>
                <w:spacing w:val="-34"/>
                <w:sz w:val="21"/>
                <w:szCs w:val="21"/>
              </w:rPr>
              <w:t xml:space="preserve"> </w:t>
            </w:r>
            <w:r>
              <w:rPr>
                <w:spacing w:val="2"/>
                <w:sz w:val="21"/>
                <w:szCs w:val="21"/>
              </w:rPr>
              <w:t>2</w:t>
            </w:r>
            <w:r>
              <w:rPr>
                <w:spacing w:val="-36"/>
                <w:sz w:val="21"/>
                <w:szCs w:val="21"/>
              </w:rPr>
              <w:t xml:space="preserve"> </w:t>
            </w:r>
            <w:r>
              <w:rPr>
                <w:spacing w:val="2"/>
                <w:sz w:val="21"/>
                <w:szCs w:val="21"/>
              </w:rPr>
              <w:t>分）</w:t>
            </w:r>
          </w:p>
        </w:tc>
        <w:tc>
          <w:tcPr>
            <w:tcW w:w="682" w:type="pct"/>
          </w:tcPr>
          <w:p w14:paraId="1C36B612">
            <w:pPr>
              <w:rPr>
                <w:rFonts w:hint="eastAsia" w:ascii="Arial"/>
                <w:szCs w:val="21"/>
              </w:rPr>
            </w:pPr>
          </w:p>
        </w:tc>
        <w:tc>
          <w:tcPr>
            <w:tcW w:w="647" w:type="pct"/>
          </w:tcPr>
          <w:p w14:paraId="76CEC861">
            <w:pPr>
              <w:rPr>
                <w:rFonts w:hint="eastAsia" w:ascii="Arial"/>
                <w:szCs w:val="21"/>
              </w:rPr>
            </w:pPr>
          </w:p>
        </w:tc>
      </w:tr>
      <w:tr w14:paraId="7A714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448" w:type="pct"/>
            <w:vMerge w:val="continue"/>
            <w:tcBorders>
              <w:top w:val="nil"/>
              <w:bottom w:val="nil"/>
            </w:tcBorders>
          </w:tcPr>
          <w:p w14:paraId="06A69B82">
            <w:pPr>
              <w:rPr>
                <w:rFonts w:hint="eastAsia" w:ascii="Arial"/>
                <w:szCs w:val="21"/>
              </w:rPr>
            </w:pPr>
          </w:p>
        </w:tc>
        <w:tc>
          <w:tcPr>
            <w:tcW w:w="684" w:type="pct"/>
            <w:vMerge w:val="continue"/>
            <w:tcBorders>
              <w:top w:val="nil"/>
              <w:bottom w:val="nil"/>
            </w:tcBorders>
          </w:tcPr>
          <w:p w14:paraId="3CF62ED7">
            <w:pPr>
              <w:rPr>
                <w:rFonts w:hint="eastAsia" w:ascii="Arial"/>
                <w:szCs w:val="21"/>
              </w:rPr>
            </w:pPr>
          </w:p>
        </w:tc>
        <w:tc>
          <w:tcPr>
            <w:tcW w:w="2537" w:type="pct"/>
          </w:tcPr>
          <w:p w14:paraId="6C2A3D07">
            <w:pPr>
              <w:pStyle w:val="208"/>
              <w:spacing w:before="36" w:line="358" w:lineRule="auto"/>
              <w:ind w:left="114" w:right="226" w:firstLine="420"/>
              <w:rPr>
                <w:rFonts w:hint="eastAsia"/>
                <w:sz w:val="21"/>
                <w:szCs w:val="21"/>
                <w:lang w:eastAsia="zh-CN"/>
              </w:rPr>
            </w:pPr>
            <w:r>
              <w:rPr>
                <w:spacing w:val="9"/>
                <w:sz w:val="21"/>
                <w:szCs w:val="21"/>
                <w:lang w:eastAsia="zh-CN"/>
              </w:rPr>
              <w:t>6、员工统一着装，衣帽整洁，戴口罩和手</w:t>
            </w:r>
            <w:r>
              <w:rPr>
                <w:spacing w:val="4"/>
                <w:sz w:val="21"/>
                <w:szCs w:val="21"/>
                <w:lang w:eastAsia="zh-CN"/>
              </w:rPr>
              <w:t>套。（共</w:t>
            </w:r>
            <w:r>
              <w:rPr>
                <w:spacing w:val="-21"/>
                <w:sz w:val="21"/>
                <w:szCs w:val="21"/>
                <w:lang w:eastAsia="zh-CN"/>
              </w:rPr>
              <w:t xml:space="preserve"> </w:t>
            </w:r>
            <w:r>
              <w:rPr>
                <w:spacing w:val="4"/>
                <w:sz w:val="21"/>
                <w:szCs w:val="21"/>
                <w:lang w:eastAsia="zh-CN"/>
              </w:rPr>
              <w:t>2</w:t>
            </w:r>
            <w:r>
              <w:rPr>
                <w:spacing w:val="-36"/>
                <w:sz w:val="21"/>
                <w:szCs w:val="21"/>
                <w:lang w:eastAsia="zh-CN"/>
              </w:rPr>
              <w:t xml:space="preserve"> </w:t>
            </w:r>
            <w:r>
              <w:rPr>
                <w:spacing w:val="4"/>
                <w:sz w:val="21"/>
                <w:szCs w:val="21"/>
                <w:lang w:eastAsia="zh-CN"/>
              </w:rPr>
              <w:t>分，任何一项不符合扣</w:t>
            </w:r>
            <w:r>
              <w:rPr>
                <w:spacing w:val="-21"/>
                <w:sz w:val="21"/>
                <w:szCs w:val="21"/>
                <w:lang w:eastAsia="zh-CN"/>
              </w:rPr>
              <w:t xml:space="preserve"> </w:t>
            </w:r>
            <w:r>
              <w:rPr>
                <w:spacing w:val="4"/>
                <w:sz w:val="21"/>
                <w:szCs w:val="21"/>
                <w:lang w:eastAsia="zh-CN"/>
              </w:rPr>
              <w:t>1</w:t>
            </w:r>
            <w:r>
              <w:rPr>
                <w:spacing w:val="-35"/>
                <w:sz w:val="21"/>
                <w:szCs w:val="21"/>
                <w:lang w:eastAsia="zh-CN"/>
              </w:rPr>
              <w:t xml:space="preserve"> </w:t>
            </w:r>
            <w:r>
              <w:rPr>
                <w:spacing w:val="4"/>
                <w:sz w:val="21"/>
                <w:szCs w:val="21"/>
                <w:lang w:eastAsia="zh-CN"/>
              </w:rPr>
              <w:t>分）</w:t>
            </w:r>
          </w:p>
        </w:tc>
        <w:tc>
          <w:tcPr>
            <w:tcW w:w="682" w:type="pct"/>
          </w:tcPr>
          <w:p w14:paraId="1DE52BB3">
            <w:pPr>
              <w:rPr>
                <w:rFonts w:hint="eastAsia" w:ascii="Arial"/>
                <w:szCs w:val="21"/>
              </w:rPr>
            </w:pPr>
          </w:p>
        </w:tc>
        <w:tc>
          <w:tcPr>
            <w:tcW w:w="647" w:type="pct"/>
          </w:tcPr>
          <w:p w14:paraId="73E89B98">
            <w:pPr>
              <w:rPr>
                <w:rFonts w:hint="eastAsia" w:ascii="Arial"/>
                <w:szCs w:val="21"/>
              </w:rPr>
            </w:pPr>
          </w:p>
        </w:tc>
      </w:tr>
      <w:tr w14:paraId="0065B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jc w:val="center"/>
        </w:trPr>
        <w:tc>
          <w:tcPr>
            <w:tcW w:w="448" w:type="pct"/>
            <w:vMerge w:val="continue"/>
            <w:tcBorders>
              <w:top w:val="nil"/>
              <w:bottom w:val="nil"/>
            </w:tcBorders>
          </w:tcPr>
          <w:p w14:paraId="710856E1">
            <w:pPr>
              <w:rPr>
                <w:rFonts w:hint="eastAsia" w:ascii="Arial"/>
                <w:szCs w:val="21"/>
              </w:rPr>
            </w:pPr>
          </w:p>
        </w:tc>
        <w:tc>
          <w:tcPr>
            <w:tcW w:w="684" w:type="pct"/>
            <w:vMerge w:val="continue"/>
            <w:tcBorders>
              <w:top w:val="nil"/>
              <w:bottom w:val="nil"/>
            </w:tcBorders>
          </w:tcPr>
          <w:p w14:paraId="37578EA9">
            <w:pPr>
              <w:rPr>
                <w:rFonts w:hint="eastAsia" w:ascii="Arial"/>
                <w:szCs w:val="21"/>
              </w:rPr>
            </w:pPr>
          </w:p>
        </w:tc>
        <w:tc>
          <w:tcPr>
            <w:tcW w:w="2537" w:type="pct"/>
          </w:tcPr>
          <w:p w14:paraId="06E45AEE">
            <w:pPr>
              <w:pStyle w:val="208"/>
              <w:spacing w:before="33" w:line="365" w:lineRule="auto"/>
              <w:ind w:left="114" w:right="118" w:firstLine="424"/>
              <w:rPr>
                <w:rFonts w:hint="eastAsia"/>
                <w:sz w:val="21"/>
                <w:szCs w:val="21"/>
                <w:lang w:eastAsia="zh-CN"/>
              </w:rPr>
            </w:pPr>
            <w:r>
              <w:rPr>
                <w:spacing w:val="8"/>
                <w:sz w:val="21"/>
                <w:szCs w:val="21"/>
                <w:lang w:eastAsia="zh-CN"/>
              </w:rPr>
              <w:t>7、消防设施完好齐全，随时可用，灭火器</w:t>
            </w:r>
            <w:r>
              <w:rPr>
                <w:spacing w:val="7"/>
                <w:sz w:val="21"/>
                <w:szCs w:val="21"/>
                <w:lang w:eastAsia="zh-CN"/>
              </w:rPr>
              <w:t xml:space="preserve">  </w:t>
            </w:r>
            <w:r>
              <w:rPr>
                <w:spacing w:val="9"/>
                <w:sz w:val="21"/>
                <w:szCs w:val="21"/>
                <w:lang w:eastAsia="zh-CN"/>
              </w:rPr>
              <w:t>不过期，消防通道畅通，消防检查登记表。（共</w:t>
            </w:r>
            <w:r>
              <w:rPr>
                <w:spacing w:val="10"/>
                <w:sz w:val="21"/>
                <w:szCs w:val="21"/>
                <w:lang w:eastAsia="zh-CN"/>
              </w:rPr>
              <w:t xml:space="preserve"> </w:t>
            </w:r>
            <w:r>
              <w:rPr>
                <w:spacing w:val="5"/>
                <w:sz w:val="21"/>
                <w:szCs w:val="21"/>
                <w:lang w:eastAsia="zh-CN"/>
              </w:rPr>
              <w:t>8</w:t>
            </w:r>
            <w:r>
              <w:rPr>
                <w:spacing w:val="-35"/>
                <w:sz w:val="21"/>
                <w:szCs w:val="21"/>
                <w:lang w:eastAsia="zh-CN"/>
              </w:rPr>
              <w:t xml:space="preserve"> </w:t>
            </w:r>
            <w:r>
              <w:rPr>
                <w:spacing w:val="5"/>
                <w:sz w:val="21"/>
                <w:szCs w:val="21"/>
                <w:lang w:eastAsia="zh-CN"/>
              </w:rPr>
              <w:t>分，任何一项不符合扣</w:t>
            </w:r>
            <w:r>
              <w:rPr>
                <w:spacing w:val="-34"/>
                <w:sz w:val="21"/>
                <w:szCs w:val="21"/>
                <w:lang w:eastAsia="zh-CN"/>
              </w:rPr>
              <w:t xml:space="preserve"> </w:t>
            </w:r>
            <w:r>
              <w:rPr>
                <w:spacing w:val="5"/>
                <w:sz w:val="21"/>
                <w:szCs w:val="21"/>
                <w:lang w:eastAsia="zh-CN"/>
              </w:rPr>
              <w:t>2</w:t>
            </w:r>
            <w:r>
              <w:rPr>
                <w:spacing w:val="-35"/>
                <w:sz w:val="21"/>
                <w:szCs w:val="21"/>
                <w:lang w:eastAsia="zh-CN"/>
              </w:rPr>
              <w:t xml:space="preserve"> </w:t>
            </w:r>
            <w:r>
              <w:rPr>
                <w:spacing w:val="5"/>
                <w:sz w:val="21"/>
                <w:szCs w:val="21"/>
                <w:lang w:eastAsia="zh-CN"/>
              </w:rPr>
              <w:t>分）</w:t>
            </w:r>
          </w:p>
        </w:tc>
        <w:tc>
          <w:tcPr>
            <w:tcW w:w="682" w:type="pct"/>
          </w:tcPr>
          <w:p w14:paraId="4ACEC984">
            <w:pPr>
              <w:rPr>
                <w:rFonts w:hint="eastAsia" w:ascii="Arial"/>
                <w:szCs w:val="21"/>
              </w:rPr>
            </w:pPr>
          </w:p>
        </w:tc>
        <w:tc>
          <w:tcPr>
            <w:tcW w:w="647" w:type="pct"/>
          </w:tcPr>
          <w:p w14:paraId="65DAE5D7">
            <w:pPr>
              <w:rPr>
                <w:rFonts w:hint="eastAsia" w:ascii="Arial"/>
                <w:szCs w:val="21"/>
              </w:rPr>
            </w:pPr>
          </w:p>
        </w:tc>
      </w:tr>
      <w:tr w14:paraId="012AB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jc w:val="center"/>
        </w:trPr>
        <w:tc>
          <w:tcPr>
            <w:tcW w:w="448" w:type="pct"/>
            <w:vMerge w:val="continue"/>
            <w:tcBorders>
              <w:top w:val="nil"/>
              <w:bottom w:val="nil"/>
            </w:tcBorders>
          </w:tcPr>
          <w:p w14:paraId="5A0C093C">
            <w:pPr>
              <w:rPr>
                <w:rFonts w:hint="eastAsia" w:ascii="Arial"/>
                <w:szCs w:val="21"/>
              </w:rPr>
            </w:pPr>
          </w:p>
        </w:tc>
        <w:tc>
          <w:tcPr>
            <w:tcW w:w="684" w:type="pct"/>
            <w:vMerge w:val="continue"/>
            <w:tcBorders>
              <w:top w:val="nil"/>
              <w:bottom w:val="nil"/>
            </w:tcBorders>
          </w:tcPr>
          <w:p w14:paraId="673A7F33">
            <w:pPr>
              <w:rPr>
                <w:rFonts w:hint="eastAsia" w:ascii="Arial"/>
                <w:szCs w:val="21"/>
              </w:rPr>
            </w:pPr>
          </w:p>
        </w:tc>
        <w:tc>
          <w:tcPr>
            <w:tcW w:w="2537" w:type="pct"/>
          </w:tcPr>
          <w:p w14:paraId="3F360837">
            <w:pPr>
              <w:pStyle w:val="208"/>
              <w:spacing w:before="35" w:line="364" w:lineRule="auto"/>
              <w:ind w:left="114" w:right="118" w:firstLine="420"/>
              <w:rPr>
                <w:rFonts w:hint="eastAsia"/>
                <w:sz w:val="21"/>
                <w:szCs w:val="21"/>
                <w:lang w:eastAsia="zh-CN"/>
              </w:rPr>
            </w:pPr>
            <w:r>
              <w:rPr>
                <w:spacing w:val="9"/>
                <w:sz w:val="21"/>
                <w:szCs w:val="21"/>
                <w:lang w:eastAsia="zh-CN"/>
              </w:rPr>
              <w:t>8、规范使用和维护煤气管道，严禁乱接煤</w:t>
            </w:r>
            <w:r>
              <w:rPr>
                <w:sz w:val="21"/>
                <w:szCs w:val="21"/>
                <w:lang w:eastAsia="zh-CN"/>
              </w:rPr>
              <w:t xml:space="preserve">  </w:t>
            </w:r>
            <w:r>
              <w:rPr>
                <w:spacing w:val="8"/>
                <w:sz w:val="21"/>
                <w:szCs w:val="21"/>
                <w:lang w:eastAsia="zh-CN"/>
              </w:rPr>
              <w:t>气软管，严禁使用煤气罐。（共</w:t>
            </w:r>
            <w:r>
              <w:rPr>
                <w:spacing w:val="-34"/>
                <w:sz w:val="21"/>
                <w:szCs w:val="21"/>
                <w:lang w:eastAsia="zh-CN"/>
              </w:rPr>
              <w:t xml:space="preserve"> </w:t>
            </w:r>
            <w:r>
              <w:rPr>
                <w:spacing w:val="8"/>
                <w:sz w:val="21"/>
                <w:szCs w:val="21"/>
                <w:lang w:eastAsia="zh-CN"/>
              </w:rPr>
              <w:t>2</w:t>
            </w:r>
            <w:r>
              <w:rPr>
                <w:spacing w:val="-35"/>
                <w:sz w:val="21"/>
                <w:szCs w:val="21"/>
                <w:lang w:eastAsia="zh-CN"/>
              </w:rPr>
              <w:t xml:space="preserve"> </w:t>
            </w:r>
            <w:r>
              <w:rPr>
                <w:spacing w:val="8"/>
                <w:sz w:val="21"/>
                <w:szCs w:val="21"/>
                <w:lang w:eastAsia="zh-CN"/>
              </w:rPr>
              <w:t>分，不符合扣</w:t>
            </w:r>
            <w:r>
              <w:rPr>
                <w:sz w:val="21"/>
                <w:szCs w:val="21"/>
                <w:lang w:eastAsia="zh-CN"/>
              </w:rPr>
              <w:t xml:space="preserve"> </w:t>
            </w:r>
            <w:r>
              <w:rPr>
                <w:spacing w:val="-3"/>
                <w:sz w:val="21"/>
                <w:szCs w:val="21"/>
                <w:lang w:eastAsia="zh-CN"/>
              </w:rPr>
              <w:t>2</w:t>
            </w:r>
            <w:r>
              <w:rPr>
                <w:spacing w:val="-36"/>
                <w:sz w:val="21"/>
                <w:szCs w:val="21"/>
                <w:lang w:eastAsia="zh-CN"/>
              </w:rPr>
              <w:t xml:space="preserve"> </w:t>
            </w:r>
            <w:r>
              <w:rPr>
                <w:spacing w:val="-3"/>
                <w:sz w:val="21"/>
                <w:szCs w:val="21"/>
                <w:lang w:eastAsia="zh-CN"/>
              </w:rPr>
              <w:t>分）</w:t>
            </w:r>
          </w:p>
        </w:tc>
        <w:tc>
          <w:tcPr>
            <w:tcW w:w="682" w:type="pct"/>
          </w:tcPr>
          <w:p w14:paraId="18E27508">
            <w:pPr>
              <w:rPr>
                <w:rFonts w:hint="eastAsia" w:ascii="Arial"/>
                <w:szCs w:val="21"/>
              </w:rPr>
            </w:pPr>
          </w:p>
        </w:tc>
        <w:tc>
          <w:tcPr>
            <w:tcW w:w="647" w:type="pct"/>
          </w:tcPr>
          <w:p w14:paraId="7AE1AE9A">
            <w:pPr>
              <w:rPr>
                <w:rFonts w:hint="eastAsia" w:ascii="Arial"/>
                <w:szCs w:val="21"/>
              </w:rPr>
            </w:pPr>
          </w:p>
        </w:tc>
      </w:tr>
      <w:tr w14:paraId="238BC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448" w:type="pct"/>
            <w:vMerge w:val="continue"/>
            <w:tcBorders>
              <w:top w:val="nil"/>
              <w:bottom w:val="single" w:color="auto" w:sz="4" w:space="0"/>
            </w:tcBorders>
          </w:tcPr>
          <w:p w14:paraId="0E2BEE6D">
            <w:pPr>
              <w:rPr>
                <w:rFonts w:hint="eastAsia" w:ascii="Arial"/>
                <w:szCs w:val="21"/>
              </w:rPr>
            </w:pPr>
          </w:p>
        </w:tc>
        <w:tc>
          <w:tcPr>
            <w:tcW w:w="684" w:type="pct"/>
            <w:vMerge w:val="continue"/>
            <w:tcBorders>
              <w:top w:val="nil"/>
              <w:bottom w:val="single" w:color="auto" w:sz="4" w:space="0"/>
            </w:tcBorders>
          </w:tcPr>
          <w:p w14:paraId="1A8DB9E3">
            <w:pPr>
              <w:rPr>
                <w:rFonts w:hint="eastAsia" w:ascii="Arial"/>
                <w:szCs w:val="21"/>
              </w:rPr>
            </w:pPr>
          </w:p>
        </w:tc>
        <w:tc>
          <w:tcPr>
            <w:tcW w:w="2537" w:type="pct"/>
            <w:tcBorders>
              <w:bottom w:val="single" w:color="auto" w:sz="4" w:space="0"/>
            </w:tcBorders>
          </w:tcPr>
          <w:p w14:paraId="05FAFCC8">
            <w:pPr>
              <w:pStyle w:val="208"/>
              <w:spacing w:before="38" w:line="357" w:lineRule="auto"/>
              <w:ind w:left="113" w:right="226" w:firstLine="420"/>
              <w:rPr>
                <w:rFonts w:hint="eastAsia"/>
                <w:sz w:val="21"/>
                <w:szCs w:val="21"/>
                <w:lang w:eastAsia="zh-CN"/>
              </w:rPr>
            </w:pPr>
            <w:r>
              <w:rPr>
                <w:spacing w:val="9"/>
                <w:sz w:val="21"/>
                <w:szCs w:val="21"/>
                <w:lang w:eastAsia="zh-CN"/>
              </w:rPr>
              <w:t>9、冷藏柜不能有隔夜青菜、豆类等非肉类</w:t>
            </w:r>
            <w:r>
              <w:rPr>
                <w:spacing w:val="4"/>
                <w:sz w:val="21"/>
                <w:szCs w:val="21"/>
                <w:lang w:eastAsia="zh-CN"/>
              </w:rPr>
              <w:t>食物。（共2</w:t>
            </w:r>
            <w:r>
              <w:rPr>
                <w:spacing w:val="-36"/>
                <w:sz w:val="21"/>
                <w:szCs w:val="21"/>
                <w:lang w:eastAsia="zh-CN"/>
              </w:rPr>
              <w:t xml:space="preserve"> </w:t>
            </w:r>
            <w:r>
              <w:rPr>
                <w:spacing w:val="4"/>
                <w:sz w:val="21"/>
                <w:szCs w:val="21"/>
                <w:lang w:eastAsia="zh-CN"/>
              </w:rPr>
              <w:t>分，不符合扣</w:t>
            </w:r>
            <w:r>
              <w:rPr>
                <w:spacing w:val="-36"/>
                <w:sz w:val="21"/>
                <w:szCs w:val="21"/>
                <w:lang w:eastAsia="zh-CN"/>
              </w:rPr>
              <w:t xml:space="preserve"> </w:t>
            </w:r>
            <w:r>
              <w:rPr>
                <w:spacing w:val="4"/>
                <w:sz w:val="21"/>
                <w:szCs w:val="21"/>
                <w:lang w:eastAsia="zh-CN"/>
              </w:rPr>
              <w:t>2</w:t>
            </w:r>
            <w:r>
              <w:rPr>
                <w:spacing w:val="-36"/>
                <w:sz w:val="21"/>
                <w:szCs w:val="21"/>
                <w:lang w:eastAsia="zh-CN"/>
              </w:rPr>
              <w:t xml:space="preserve"> </w:t>
            </w:r>
            <w:r>
              <w:rPr>
                <w:spacing w:val="4"/>
                <w:sz w:val="21"/>
                <w:szCs w:val="21"/>
                <w:lang w:eastAsia="zh-CN"/>
              </w:rPr>
              <w:t>分）</w:t>
            </w:r>
          </w:p>
        </w:tc>
        <w:tc>
          <w:tcPr>
            <w:tcW w:w="682" w:type="pct"/>
            <w:tcBorders>
              <w:bottom w:val="single" w:color="auto" w:sz="4" w:space="0"/>
            </w:tcBorders>
          </w:tcPr>
          <w:p w14:paraId="42DBA5DB">
            <w:pPr>
              <w:rPr>
                <w:rFonts w:hint="eastAsia" w:ascii="Arial"/>
                <w:szCs w:val="21"/>
              </w:rPr>
            </w:pPr>
          </w:p>
        </w:tc>
        <w:tc>
          <w:tcPr>
            <w:tcW w:w="647" w:type="pct"/>
            <w:tcBorders>
              <w:bottom w:val="single" w:color="auto" w:sz="4" w:space="0"/>
            </w:tcBorders>
          </w:tcPr>
          <w:p w14:paraId="21363C80">
            <w:pPr>
              <w:rPr>
                <w:rFonts w:hint="eastAsia" w:ascii="Arial"/>
                <w:szCs w:val="21"/>
              </w:rPr>
            </w:pPr>
          </w:p>
        </w:tc>
      </w:tr>
      <w:tr w14:paraId="1328D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448" w:type="pct"/>
            <w:vMerge w:val="restart"/>
            <w:tcBorders>
              <w:top w:val="single" w:color="auto" w:sz="4" w:space="0"/>
              <w:left w:val="single" w:color="auto" w:sz="4" w:space="0"/>
              <w:bottom w:val="single" w:color="auto" w:sz="4" w:space="0"/>
              <w:right w:val="single" w:color="auto" w:sz="4" w:space="0"/>
            </w:tcBorders>
          </w:tcPr>
          <w:p w14:paraId="351FD393">
            <w:pPr>
              <w:spacing w:line="264" w:lineRule="auto"/>
              <w:rPr>
                <w:rFonts w:hint="eastAsia" w:ascii="Arial"/>
                <w:szCs w:val="21"/>
              </w:rPr>
            </w:pPr>
          </w:p>
          <w:p w14:paraId="7180F9A2">
            <w:pPr>
              <w:spacing w:line="264" w:lineRule="auto"/>
              <w:rPr>
                <w:rFonts w:hint="eastAsia" w:ascii="Arial"/>
                <w:szCs w:val="21"/>
              </w:rPr>
            </w:pPr>
          </w:p>
          <w:p w14:paraId="35EBA1FE">
            <w:pPr>
              <w:spacing w:line="264" w:lineRule="auto"/>
              <w:rPr>
                <w:rFonts w:hint="eastAsia" w:ascii="Arial"/>
                <w:szCs w:val="21"/>
              </w:rPr>
            </w:pPr>
          </w:p>
          <w:p w14:paraId="7782F1D4">
            <w:pPr>
              <w:pStyle w:val="208"/>
              <w:spacing w:before="65" w:line="232" w:lineRule="auto"/>
              <w:ind w:left="355"/>
              <w:rPr>
                <w:rFonts w:hint="eastAsia"/>
                <w:sz w:val="21"/>
                <w:szCs w:val="21"/>
              </w:rPr>
            </w:pPr>
            <w:r>
              <w:rPr>
                <w:sz w:val="21"/>
                <w:szCs w:val="21"/>
              </w:rPr>
              <w:t>六</w:t>
            </w:r>
          </w:p>
        </w:tc>
        <w:tc>
          <w:tcPr>
            <w:tcW w:w="684" w:type="pct"/>
            <w:vMerge w:val="restart"/>
            <w:tcBorders>
              <w:top w:val="single" w:color="auto" w:sz="4" w:space="0"/>
              <w:left w:val="single" w:color="auto" w:sz="4" w:space="0"/>
              <w:bottom w:val="single" w:color="auto" w:sz="4" w:space="0"/>
              <w:right w:val="single" w:color="auto" w:sz="4" w:space="0"/>
            </w:tcBorders>
          </w:tcPr>
          <w:p w14:paraId="35E8E5F2">
            <w:pPr>
              <w:spacing w:line="295" w:lineRule="auto"/>
              <w:rPr>
                <w:rFonts w:hint="eastAsia" w:ascii="Arial"/>
                <w:szCs w:val="21"/>
              </w:rPr>
            </w:pPr>
          </w:p>
          <w:p w14:paraId="35CAE282">
            <w:pPr>
              <w:spacing w:line="295" w:lineRule="auto"/>
              <w:rPr>
                <w:rFonts w:hint="eastAsia" w:ascii="Arial"/>
                <w:szCs w:val="21"/>
              </w:rPr>
            </w:pPr>
          </w:p>
          <w:p w14:paraId="08652F92">
            <w:pPr>
              <w:pStyle w:val="208"/>
              <w:spacing w:before="65" w:line="362" w:lineRule="auto"/>
              <w:ind w:left="121" w:right="223" w:hanging="8"/>
              <w:rPr>
                <w:rFonts w:hint="eastAsia"/>
                <w:sz w:val="21"/>
                <w:szCs w:val="21"/>
              </w:rPr>
            </w:pPr>
            <w:r>
              <w:rPr>
                <w:spacing w:val="6"/>
                <w:sz w:val="21"/>
                <w:szCs w:val="21"/>
              </w:rPr>
              <w:t>生产流程</w:t>
            </w:r>
            <w:r>
              <w:rPr>
                <w:spacing w:val="2"/>
                <w:sz w:val="21"/>
                <w:szCs w:val="21"/>
              </w:rPr>
              <w:t xml:space="preserve"> </w:t>
            </w:r>
            <w:r>
              <w:rPr>
                <w:spacing w:val="-2"/>
                <w:sz w:val="21"/>
                <w:szCs w:val="21"/>
              </w:rPr>
              <w:t>（9</w:t>
            </w:r>
            <w:r>
              <w:rPr>
                <w:spacing w:val="-36"/>
                <w:sz w:val="21"/>
                <w:szCs w:val="21"/>
              </w:rPr>
              <w:t xml:space="preserve"> </w:t>
            </w:r>
            <w:r>
              <w:rPr>
                <w:spacing w:val="-2"/>
                <w:sz w:val="21"/>
                <w:szCs w:val="21"/>
              </w:rPr>
              <w:t>分）</w:t>
            </w:r>
          </w:p>
        </w:tc>
        <w:tc>
          <w:tcPr>
            <w:tcW w:w="2537" w:type="pct"/>
            <w:tcBorders>
              <w:top w:val="single" w:color="auto" w:sz="4" w:space="0"/>
              <w:left w:val="single" w:color="auto" w:sz="4" w:space="0"/>
              <w:bottom w:val="single" w:color="auto" w:sz="4" w:space="0"/>
              <w:right w:val="single" w:color="auto" w:sz="4" w:space="0"/>
            </w:tcBorders>
          </w:tcPr>
          <w:p w14:paraId="69118984">
            <w:pPr>
              <w:pStyle w:val="208"/>
              <w:spacing w:before="36" w:line="358" w:lineRule="auto"/>
              <w:ind w:left="115" w:right="226" w:firstLine="433"/>
              <w:rPr>
                <w:rFonts w:hint="eastAsia"/>
                <w:sz w:val="21"/>
                <w:szCs w:val="21"/>
                <w:lang w:eastAsia="zh-CN"/>
              </w:rPr>
            </w:pPr>
            <w:r>
              <w:rPr>
                <w:spacing w:val="8"/>
                <w:sz w:val="21"/>
                <w:szCs w:val="21"/>
                <w:lang w:eastAsia="zh-CN"/>
              </w:rPr>
              <w:t>1、严格按照加工、配菜、烹调的制作程序</w:t>
            </w:r>
            <w:r>
              <w:rPr>
                <w:spacing w:val="5"/>
                <w:sz w:val="21"/>
                <w:szCs w:val="21"/>
                <w:lang w:eastAsia="zh-CN"/>
              </w:rPr>
              <w:t>生产制作食物。（共</w:t>
            </w:r>
            <w:r>
              <w:rPr>
                <w:spacing w:val="-21"/>
                <w:sz w:val="21"/>
                <w:szCs w:val="21"/>
                <w:lang w:eastAsia="zh-CN"/>
              </w:rPr>
              <w:t xml:space="preserve"> </w:t>
            </w:r>
            <w:r>
              <w:rPr>
                <w:spacing w:val="5"/>
                <w:sz w:val="21"/>
                <w:szCs w:val="21"/>
                <w:lang w:eastAsia="zh-CN"/>
              </w:rPr>
              <w:t>2</w:t>
            </w:r>
            <w:r>
              <w:rPr>
                <w:spacing w:val="-35"/>
                <w:sz w:val="21"/>
                <w:szCs w:val="21"/>
                <w:lang w:eastAsia="zh-CN"/>
              </w:rPr>
              <w:t xml:space="preserve"> </w:t>
            </w:r>
            <w:r>
              <w:rPr>
                <w:spacing w:val="5"/>
                <w:sz w:val="21"/>
                <w:szCs w:val="21"/>
                <w:lang w:eastAsia="zh-CN"/>
              </w:rPr>
              <w:t>分，不符合扣</w:t>
            </w:r>
            <w:r>
              <w:rPr>
                <w:spacing w:val="-37"/>
                <w:sz w:val="21"/>
                <w:szCs w:val="21"/>
                <w:lang w:eastAsia="zh-CN"/>
              </w:rPr>
              <w:t xml:space="preserve"> </w:t>
            </w:r>
            <w:r>
              <w:rPr>
                <w:spacing w:val="5"/>
                <w:sz w:val="21"/>
                <w:szCs w:val="21"/>
                <w:lang w:eastAsia="zh-CN"/>
              </w:rPr>
              <w:t>2</w:t>
            </w:r>
            <w:r>
              <w:rPr>
                <w:spacing w:val="-36"/>
                <w:sz w:val="21"/>
                <w:szCs w:val="21"/>
                <w:lang w:eastAsia="zh-CN"/>
              </w:rPr>
              <w:t xml:space="preserve"> </w:t>
            </w:r>
            <w:r>
              <w:rPr>
                <w:spacing w:val="5"/>
                <w:sz w:val="21"/>
                <w:szCs w:val="21"/>
                <w:lang w:eastAsia="zh-CN"/>
              </w:rPr>
              <w:t>分）</w:t>
            </w:r>
          </w:p>
        </w:tc>
        <w:tc>
          <w:tcPr>
            <w:tcW w:w="682" w:type="pct"/>
            <w:tcBorders>
              <w:top w:val="single" w:color="auto" w:sz="4" w:space="0"/>
              <w:left w:val="single" w:color="auto" w:sz="4" w:space="0"/>
              <w:bottom w:val="single" w:color="auto" w:sz="4" w:space="0"/>
              <w:right w:val="single" w:color="auto" w:sz="4" w:space="0"/>
            </w:tcBorders>
          </w:tcPr>
          <w:p w14:paraId="23F3A5A6">
            <w:pPr>
              <w:rPr>
                <w:rFonts w:hint="eastAsia" w:ascii="Arial"/>
                <w:szCs w:val="21"/>
              </w:rPr>
            </w:pPr>
          </w:p>
        </w:tc>
        <w:tc>
          <w:tcPr>
            <w:tcW w:w="647" w:type="pct"/>
            <w:tcBorders>
              <w:top w:val="single" w:color="auto" w:sz="4" w:space="0"/>
              <w:left w:val="single" w:color="auto" w:sz="4" w:space="0"/>
              <w:bottom w:val="single" w:color="auto" w:sz="4" w:space="0"/>
              <w:right w:val="single" w:color="auto" w:sz="4" w:space="0"/>
            </w:tcBorders>
          </w:tcPr>
          <w:p w14:paraId="09C5E103">
            <w:pPr>
              <w:rPr>
                <w:rFonts w:hint="eastAsia" w:ascii="Arial"/>
                <w:szCs w:val="21"/>
              </w:rPr>
            </w:pPr>
          </w:p>
        </w:tc>
      </w:tr>
      <w:tr w14:paraId="7D101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448" w:type="pct"/>
            <w:vMerge w:val="continue"/>
            <w:tcBorders>
              <w:top w:val="single" w:color="auto" w:sz="4" w:space="0"/>
              <w:left w:val="single" w:color="auto" w:sz="4" w:space="0"/>
              <w:bottom w:val="nil"/>
            </w:tcBorders>
          </w:tcPr>
          <w:p w14:paraId="14F46DB9">
            <w:pPr>
              <w:rPr>
                <w:rFonts w:hint="eastAsia" w:ascii="Arial"/>
                <w:szCs w:val="21"/>
              </w:rPr>
            </w:pPr>
          </w:p>
        </w:tc>
        <w:tc>
          <w:tcPr>
            <w:tcW w:w="684" w:type="pct"/>
            <w:vMerge w:val="continue"/>
            <w:tcBorders>
              <w:top w:val="single" w:color="auto" w:sz="4" w:space="0"/>
              <w:bottom w:val="nil"/>
            </w:tcBorders>
          </w:tcPr>
          <w:p w14:paraId="7DE01881">
            <w:pPr>
              <w:rPr>
                <w:rFonts w:hint="eastAsia" w:ascii="Arial"/>
                <w:szCs w:val="21"/>
              </w:rPr>
            </w:pPr>
          </w:p>
        </w:tc>
        <w:tc>
          <w:tcPr>
            <w:tcW w:w="2537" w:type="pct"/>
            <w:tcBorders>
              <w:top w:val="single" w:color="auto" w:sz="4" w:space="0"/>
            </w:tcBorders>
          </w:tcPr>
          <w:p w14:paraId="6B2B1EF5">
            <w:pPr>
              <w:pStyle w:val="208"/>
              <w:spacing w:before="37" w:line="358" w:lineRule="auto"/>
              <w:ind w:left="114" w:right="226" w:firstLine="421"/>
              <w:rPr>
                <w:rFonts w:hint="eastAsia"/>
                <w:sz w:val="21"/>
                <w:szCs w:val="21"/>
                <w:lang w:eastAsia="zh-CN"/>
              </w:rPr>
            </w:pPr>
            <w:r>
              <w:rPr>
                <w:spacing w:val="8"/>
                <w:sz w:val="21"/>
                <w:szCs w:val="21"/>
                <w:lang w:eastAsia="zh-CN"/>
              </w:rPr>
              <w:t>2、加工过程使用的所有设备严格按照操作</w:t>
            </w:r>
            <w:r>
              <w:rPr>
                <w:spacing w:val="5"/>
                <w:sz w:val="21"/>
                <w:szCs w:val="21"/>
                <w:lang w:eastAsia="zh-CN"/>
              </w:rPr>
              <w:t>规程使用。（共</w:t>
            </w:r>
            <w:r>
              <w:rPr>
                <w:spacing w:val="-30"/>
                <w:sz w:val="21"/>
                <w:szCs w:val="21"/>
                <w:lang w:eastAsia="zh-CN"/>
              </w:rPr>
              <w:t xml:space="preserve"> </w:t>
            </w:r>
            <w:r>
              <w:rPr>
                <w:spacing w:val="5"/>
                <w:sz w:val="21"/>
                <w:szCs w:val="21"/>
                <w:lang w:eastAsia="zh-CN"/>
              </w:rPr>
              <w:t>2</w:t>
            </w:r>
            <w:r>
              <w:rPr>
                <w:spacing w:val="-36"/>
                <w:sz w:val="21"/>
                <w:szCs w:val="21"/>
                <w:lang w:eastAsia="zh-CN"/>
              </w:rPr>
              <w:t xml:space="preserve"> </w:t>
            </w:r>
            <w:r>
              <w:rPr>
                <w:spacing w:val="5"/>
                <w:sz w:val="21"/>
                <w:szCs w:val="21"/>
                <w:lang w:eastAsia="zh-CN"/>
              </w:rPr>
              <w:t>分，不符合扣</w:t>
            </w:r>
            <w:r>
              <w:rPr>
                <w:spacing w:val="-36"/>
                <w:sz w:val="21"/>
                <w:szCs w:val="21"/>
                <w:lang w:eastAsia="zh-CN"/>
              </w:rPr>
              <w:t xml:space="preserve"> </w:t>
            </w:r>
            <w:r>
              <w:rPr>
                <w:spacing w:val="5"/>
                <w:sz w:val="21"/>
                <w:szCs w:val="21"/>
                <w:lang w:eastAsia="zh-CN"/>
              </w:rPr>
              <w:t>2</w:t>
            </w:r>
            <w:r>
              <w:rPr>
                <w:spacing w:val="-36"/>
                <w:sz w:val="21"/>
                <w:szCs w:val="21"/>
                <w:lang w:eastAsia="zh-CN"/>
              </w:rPr>
              <w:t xml:space="preserve"> </w:t>
            </w:r>
            <w:r>
              <w:rPr>
                <w:spacing w:val="5"/>
                <w:sz w:val="21"/>
                <w:szCs w:val="21"/>
                <w:lang w:eastAsia="zh-CN"/>
              </w:rPr>
              <w:t>分）</w:t>
            </w:r>
          </w:p>
        </w:tc>
        <w:tc>
          <w:tcPr>
            <w:tcW w:w="682" w:type="pct"/>
            <w:tcBorders>
              <w:top w:val="single" w:color="auto" w:sz="4" w:space="0"/>
            </w:tcBorders>
          </w:tcPr>
          <w:p w14:paraId="437572EC">
            <w:pPr>
              <w:rPr>
                <w:rFonts w:hint="eastAsia" w:ascii="Arial"/>
                <w:szCs w:val="21"/>
              </w:rPr>
            </w:pPr>
          </w:p>
        </w:tc>
        <w:tc>
          <w:tcPr>
            <w:tcW w:w="647" w:type="pct"/>
            <w:tcBorders>
              <w:top w:val="single" w:color="auto" w:sz="4" w:space="0"/>
            </w:tcBorders>
          </w:tcPr>
          <w:p w14:paraId="7D5AE374">
            <w:pPr>
              <w:rPr>
                <w:rFonts w:hint="eastAsia" w:ascii="Arial"/>
                <w:szCs w:val="21"/>
              </w:rPr>
            </w:pPr>
          </w:p>
        </w:tc>
      </w:tr>
      <w:tr w14:paraId="20658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448" w:type="pct"/>
            <w:vMerge w:val="continue"/>
            <w:tcBorders>
              <w:top w:val="nil"/>
              <w:left w:val="single" w:color="auto" w:sz="4" w:space="0"/>
            </w:tcBorders>
          </w:tcPr>
          <w:p w14:paraId="27E0F2CF">
            <w:pPr>
              <w:rPr>
                <w:rFonts w:hint="eastAsia" w:ascii="Arial"/>
                <w:szCs w:val="21"/>
              </w:rPr>
            </w:pPr>
          </w:p>
        </w:tc>
        <w:tc>
          <w:tcPr>
            <w:tcW w:w="684" w:type="pct"/>
            <w:vMerge w:val="continue"/>
            <w:tcBorders>
              <w:top w:val="nil"/>
            </w:tcBorders>
          </w:tcPr>
          <w:p w14:paraId="20A2C8E2">
            <w:pPr>
              <w:rPr>
                <w:rFonts w:hint="eastAsia" w:ascii="Arial"/>
                <w:szCs w:val="21"/>
              </w:rPr>
            </w:pPr>
          </w:p>
        </w:tc>
        <w:tc>
          <w:tcPr>
            <w:tcW w:w="2537" w:type="pct"/>
          </w:tcPr>
          <w:p w14:paraId="724F4AC2">
            <w:pPr>
              <w:pStyle w:val="208"/>
              <w:numPr>
                <w:ilvl w:val="0"/>
                <w:numId w:val="4"/>
              </w:numPr>
              <w:spacing w:before="34" w:line="228" w:lineRule="auto"/>
              <w:ind w:left="536"/>
              <w:rPr>
                <w:rFonts w:hint="eastAsia"/>
                <w:spacing w:val="8"/>
                <w:sz w:val="21"/>
                <w:szCs w:val="21"/>
                <w:lang w:eastAsia="zh-CN"/>
              </w:rPr>
            </w:pPr>
            <w:r>
              <w:rPr>
                <w:spacing w:val="8"/>
                <w:sz w:val="21"/>
                <w:szCs w:val="21"/>
                <w:lang w:eastAsia="zh-CN"/>
              </w:rPr>
              <w:t>生产制作过程要卫生规范，烹调加热要</w:t>
            </w:r>
          </w:p>
          <w:p w14:paraId="6C4EEE69">
            <w:pPr>
              <w:pStyle w:val="208"/>
              <w:numPr>
                <w:ilvl w:val="255"/>
                <w:numId w:val="0"/>
              </w:numPr>
              <w:spacing w:before="34" w:line="228" w:lineRule="auto"/>
              <w:rPr>
                <w:rFonts w:hint="eastAsia"/>
                <w:spacing w:val="8"/>
                <w:sz w:val="21"/>
                <w:szCs w:val="21"/>
              </w:rPr>
            </w:pPr>
            <w:r>
              <w:rPr>
                <w:spacing w:val="2"/>
                <w:sz w:val="21"/>
                <w:szCs w:val="21"/>
              </w:rPr>
              <w:t>熟透。（共</w:t>
            </w:r>
            <w:r>
              <w:rPr>
                <w:spacing w:val="-11"/>
                <w:sz w:val="21"/>
                <w:szCs w:val="21"/>
              </w:rPr>
              <w:t xml:space="preserve"> </w:t>
            </w:r>
            <w:r>
              <w:rPr>
                <w:spacing w:val="2"/>
                <w:sz w:val="21"/>
                <w:szCs w:val="21"/>
              </w:rPr>
              <w:t>1</w:t>
            </w:r>
            <w:r>
              <w:rPr>
                <w:spacing w:val="-36"/>
                <w:sz w:val="21"/>
                <w:szCs w:val="21"/>
              </w:rPr>
              <w:t xml:space="preserve"> </w:t>
            </w:r>
            <w:r>
              <w:rPr>
                <w:spacing w:val="2"/>
                <w:sz w:val="21"/>
                <w:szCs w:val="21"/>
              </w:rPr>
              <w:t>分，不符合扣</w:t>
            </w:r>
            <w:r>
              <w:rPr>
                <w:spacing w:val="-24"/>
                <w:sz w:val="21"/>
                <w:szCs w:val="21"/>
              </w:rPr>
              <w:t xml:space="preserve"> </w:t>
            </w:r>
            <w:r>
              <w:rPr>
                <w:spacing w:val="2"/>
                <w:sz w:val="21"/>
                <w:szCs w:val="21"/>
              </w:rPr>
              <w:t>1</w:t>
            </w:r>
            <w:r>
              <w:rPr>
                <w:spacing w:val="-35"/>
                <w:sz w:val="21"/>
                <w:szCs w:val="21"/>
              </w:rPr>
              <w:t xml:space="preserve"> </w:t>
            </w:r>
            <w:r>
              <w:rPr>
                <w:spacing w:val="2"/>
                <w:sz w:val="21"/>
                <w:szCs w:val="21"/>
              </w:rPr>
              <w:t>分）</w:t>
            </w:r>
          </w:p>
        </w:tc>
        <w:tc>
          <w:tcPr>
            <w:tcW w:w="682" w:type="pct"/>
          </w:tcPr>
          <w:p w14:paraId="387CF719">
            <w:pPr>
              <w:rPr>
                <w:rFonts w:hint="eastAsia" w:ascii="Arial"/>
                <w:szCs w:val="21"/>
              </w:rPr>
            </w:pPr>
          </w:p>
        </w:tc>
        <w:tc>
          <w:tcPr>
            <w:tcW w:w="647" w:type="pct"/>
          </w:tcPr>
          <w:p w14:paraId="2F2BFD39">
            <w:pPr>
              <w:rPr>
                <w:rFonts w:hint="eastAsia" w:ascii="Arial"/>
                <w:szCs w:val="21"/>
              </w:rPr>
            </w:pPr>
          </w:p>
        </w:tc>
      </w:tr>
      <w:tr w14:paraId="43798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3" w:hRule="atLeast"/>
          <w:jc w:val="center"/>
        </w:trPr>
        <w:tc>
          <w:tcPr>
            <w:tcW w:w="448" w:type="pct"/>
            <w:vMerge w:val="continue"/>
            <w:tcBorders>
              <w:top w:val="nil"/>
              <w:left w:val="single" w:color="auto" w:sz="4" w:space="0"/>
            </w:tcBorders>
          </w:tcPr>
          <w:p w14:paraId="72D0F687">
            <w:pPr>
              <w:rPr>
                <w:rFonts w:hint="eastAsia" w:ascii="Arial"/>
                <w:szCs w:val="21"/>
              </w:rPr>
            </w:pPr>
          </w:p>
        </w:tc>
        <w:tc>
          <w:tcPr>
            <w:tcW w:w="684" w:type="pct"/>
            <w:vMerge w:val="continue"/>
            <w:tcBorders>
              <w:top w:val="nil"/>
            </w:tcBorders>
          </w:tcPr>
          <w:p w14:paraId="5FCD63E3">
            <w:pPr>
              <w:rPr>
                <w:rFonts w:hint="eastAsia" w:ascii="Arial"/>
                <w:szCs w:val="21"/>
              </w:rPr>
            </w:pPr>
          </w:p>
        </w:tc>
        <w:tc>
          <w:tcPr>
            <w:tcW w:w="2537" w:type="pct"/>
          </w:tcPr>
          <w:p w14:paraId="4EDB5AB6">
            <w:pPr>
              <w:pStyle w:val="208"/>
              <w:spacing w:before="160" w:line="362" w:lineRule="auto"/>
              <w:ind w:right="118" w:firstLine="444" w:firstLineChars="200"/>
              <w:rPr>
                <w:rFonts w:hint="eastAsia"/>
                <w:spacing w:val="3"/>
                <w:sz w:val="21"/>
                <w:szCs w:val="21"/>
              </w:rPr>
            </w:pPr>
            <w:r>
              <w:rPr>
                <w:spacing w:val="6"/>
                <w:sz w:val="21"/>
                <w:szCs w:val="21"/>
                <w:lang w:eastAsia="zh-CN"/>
              </w:rPr>
              <w:t>4、落实食品留样制度（每个品种</w:t>
            </w:r>
            <w:r>
              <w:rPr>
                <w:spacing w:val="-21"/>
                <w:sz w:val="21"/>
                <w:szCs w:val="21"/>
                <w:lang w:eastAsia="zh-CN"/>
              </w:rPr>
              <w:t xml:space="preserve"> </w:t>
            </w:r>
            <w:r>
              <w:rPr>
                <w:spacing w:val="6"/>
                <w:sz w:val="21"/>
                <w:szCs w:val="21"/>
                <w:lang w:eastAsia="zh-CN"/>
              </w:rPr>
              <w:t>150</w:t>
            </w:r>
            <w:r>
              <w:rPr>
                <w:spacing w:val="-36"/>
                <w:sz w:val="21"/>
                <w:szCs w:val="21"/>
                <w:lang w:eastAsia="zh-CN"/>
              </w:rPr>
              <w:t xml:space="preserve"> </w:t>
            </w:r>
            <w:r>
              <w:rPr>
                <w:spacing w:val="6"/>
                <w:sz w:val="21"/>
                <w:szCs w:val="21"/>
                <w:lang w:eastAsia="zh-CN"/>
              </w:rPr>
              <w:t>克，</w:t>
            </w:r>
            <w:r>
              <w:rPr>
                <w:spacing w:val="9"/>
                <w:sz w:val="21"/>
                <w:szCs w:val="21"/>
                <w:lang w:eastAsia="zh-CN"/>
              </w:rPr>
              <w:t>分别用专用有盖容器盛装、附上日期和品种及设</w:t>
            </w:r>
            <w:r>
              <w:rPr>
                <w:spacing w:val="8"/>
                <w:sz w:val="21"/>
                <w:szCs w:val="21"/>
                <w:lang w:eastAsia="zh-CN"/>
              </w:rPr>
              <w:t xml:space="preserve"> </w:t>
            </w:r>
            <w:r>
              <w:rPr>
                <w:spacing w:val="6"/>
                <w:sz w:val="21"/>
                <w:szCs w:val="21"/>
                <w:lang w:eastAsia="zh-CN"/>
              </w:rPr>
              <w:t>笔记本登记，存放于专用冰箱保存</w:t>
            </w:r>
            <w:r>
              <w:rPr>
                <w:spacing w:val="-23"/>
                <w:sz w:val="21"/>
                <w:szCs w:val="21"/>
                <w:lang w:eastAsia="zh-CN"/>
              </w:rPr>
              <w:t xml:space="preserve"> </w:t>
            </w:r>
            <w:r>
              <w:rPr>
                <w:spacing w:val="6"/>
                <w:sz w:val="21"/>
                <w:szCs w:val="21"/>
                <w:lang w:eastAsia="zh-CN"/>
              </w:rPr>
              <w:t>48</w:t>
            </w:r>
            <w:r>
              <w:rPr>
                <w:spacing w:val="-35"/>
                <w:sz w:val="21"/>
                <w:szCs w:val="21"/>
                <w:lang w:eastAsia="zh-CN"/>
              </w:rPr>
              <w:t xml:space="preserve"> </w:t>
            </w:r>
            <w:r>
              <w:rPr>
                <w:spacing w:val="6"/>
                <w:sz w:val="21"/>
                <w:szCs w:val="21"/>
                <w:lang w:eastAsia="zh-CN"/>
              </w:rPr>
              <w:t>小时）。</w:t>
            </w:r>
            <w:r>
              <w:rPr>
                <w:spacing w:val="3"/>
                <w:sz w:val="21"/>
                <w:szCs w:val="21"/>
              </w:rPr>
              <w:t>（共</w:t>
            </w:r>
            <w:r>
              <w:rPr>
                <w:spacing w:val="-38"/>
                <w:sz w:val="21"/>
                <w:szCs w:val="21"/>
              </w:rPr>
              <w:t xml:space="preserve"> </w:t>
            </w:r>
            <w:r>
              <w:rPr>
                <w:spacing w:val="3"/>
                <w:sz w:val="21"/>
                <w:szCs w:val="21"/>
              </w:rPr>
              <w:t>4</w:t>
            </w:r>
            <w:r>
              <w:rPr>
                <w:spacing w:val="-36"/>
                <w:sz w:val="21"/>
                <w:szCs w:val="21"/>
              </w:rPr>
              <w:t xml:space="preserve"> </w:t>
            </w:r>
            <w:r>
              <w:rPr>
                <w:spacing w:val="3"/>
                <w:sz w:val="21"/>
                <w:szCs w:val="21"/>
              </w:rPr>
              <w:t>分，不符合扣</w:t>
            </w:r>
            <w:r>
              <w:rPr>
                <w:spacing w:val="-37"/>
                <w:sz w:val="21"/>
                <w:szCs w:val="21"/>
              </w:rPr>
              <w:t xml:space="preserve"> </w:t>
            </w:r>
            <w:r>
              <w:rPr>
                <w:spacing w:val="3"/>
                <w:sz w:val="21"/>
                <w:szCs w:val="21"/>
              </w:rPr>
              <w:t>4</w:t>
            </w:r>
            <w:r>
              <w:rPr>
                <w:spacing w:val="-36"/>
                <w:sz w:val="21"/>
                <w:szCs w:val="21"/>
              </w:rPr>
              <w:t xml:space="preserve"> </w:t>
            </w:r>
            <w:r>
              <w:rPr>
                <w:spacing w:val="3"/>
                <w:sz w:val="21"/>
                <w:szCs w:val="21"/>
              </w:rPr>
              <w:t>分）</w:t>
            </w:r>
          </w:p>
        </w:tc>
        <w:tc>
          <w:tcPr>
            <w:tcW w:w="682" w:type="pct"/>
          </w:tcPr>
          <w:p w14:paraId="4A6450D9">
            <w:pPr>
              <w:rPr>
                <w:rFonts w:hint="eastAsia" w:ascii="Arial"/>
                <w:szCs w:val="21"/>
              </w:rPr>
            </w:pPr>
          </w:p>
        </w:tc>
        <w:tc>
          <w:tcPr>
            <w:tcW w:w="647" w:type="pct"/>
          </w:tcPr>
          <w:p w14:paraId="7A8A8803">
            <w:pPr>
              <w:rPr>
                <w:rFonts w:hint="eastAsia" w:ascii="Arial"/>
                <w:szCs w:val="21"/>
              </w:rPr>
            </w:pPr>
          </w:p>
        </w:tc>
      </w:tr>
      <w:tr w14:paraId="24E56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448" w:type="pct"/>
            <w:vMerge w:val="restart"/>
            <w:tcBorders>
              <w:bottom w:val="nil"/>
            </w:tcBorders>
          </w:tcPr>
          <w:p w14:paraId="36569330">
            <w:pPr>
              <w:spacing w:line="298" w:lineRule="auto"/>
              <w:rPr>
                <w:rFonts w:hint="eastAsia" w:ascii="Arial"/>
                <w:szCs w:val="21"/>
              </w:rPr>
            </w:pPr>
          </w:p>
          <w:p w14:paraId="48BECA9A">
            <w:pPr>
              <w:spacing w:line="298" w:lineRule="auto"/>
              <w:rPr>
                <w:rFonts w:hint="eastAsia" w:ascii="Arial"/>
                <w:szCs w:val="21"/>
              </w:rPr>
            </w:pPr>
          </w:p>
          <w:p w14:paraId="6B71921C">
            <w:pPr>
              <w:spacing w:line="299" w:lineRule="auto"/>
              <w:rPr>
                <w:rFonts w:hint="eastAsia" w:ascii="Arial"/>
                <w:szCs w:val="21"/>
              </w:rPr>
            </w:pPr>
          </w:p>
          <w:p w14:paraId="47EB51DB">
            <w:pPr>
              <w:spacing w:line="299" w:lineRule="auto"/>
              <w:rPr>
                <w:rFonts w:hint="eastAsia" w:ascii="Arial"/>
                <w:szCs w:val="21"/>
              </w:rPr>
            </w:pPr>
          </w:p>
          <w:p w14:paraId="691C8637">
            <w:pPr>
              <w:pStyle w:val="208"/>
              <w:spacing w:before="65" w:line="239" w:lineRule="auto"/>
              <w:ind w:left="352"/>
              <w:rPr>
                <w:rFonts w:hint="eastAsia"/>
                <w:sz w:val="21"/>
                <w:szCs w:val="21"/>
              </w:rPr>
            </w:pPr>
            <w:r>
              <w:rPr>
                <w:spacing w:val="1"/>
                <w:sz w:val="21"/>
                <w:szCs w:val="21"/>
              </w:rPr>
              <w:t>七</w:t>
            </w:r>
          </w:p>
        </w:tc>
        <w:tc>
          <w:tcPr>
            <w:tcW w:w="684" w:type="pct"/>
            <w:vMerge w:val="restart"/>
            <w:tcBorders>
              <w:bottom w:val="nil"/>
            </w:tcBorders>
          </w:tcPr>
          <w:p w14:paraId="4923358A">
            <w:pPr>
              <w:spacing w:line="248" w:lineRule="auto"/>
              <w:rPr>
                <w:rFonts w:hint="eastAsia" w:ascii="Arial"/>
                <w:szCs w:val="21"/>
              </w:rPr>
            </w:pPr>
          </w:p>
          <w:p w14:paraId="24D7B82E">
            <w:pPr>
              <w:spacing w:line="248" w:lineRule="auto"/>
              <w:rPr>
                <w:rFonts w:hint="eastAsia" w:ascii="Arial"/>
                <w:szCs w:val="21"/>
              </w:rPr>
            </w:pPr>
          </w:p>
          <w:p w14:paraId="337858CF">
            <w:pPr>
              <w:spacing w:line="248" w:lineRule="auto"/>
              <w:rPr>
                <w:rFonts w:hint="eastAsia" w:ascii="Arial"/>
                <w:szCs w:val="21"/>
              </w:rPr>
            </w:pPr>
          </w:p>
          <w:p w14:paraId="6251419F">
            <w:pPr>
              <w:spacing w:line="248" w:lineRule="auto"/>
              <w:rPr>
                <w:rFonts w:hint="eastAsia" w:ascii="Arial"/>
                <w:szCs w:val="21"/>
              </w:rPr>
            </w:pPr>
          </w:p>
          <w:p w14:paraId="153050E6">
            <w:pPr>
              <w:pStyle w:val="208"/>
              <w:spacing w:before="65" w:line="362" w:lineRule="auto"/>
              <w:ind w:left="121" w:right="188" w:hanging="10"/>
              <w:rPr>
                <w:rFonts w:hint="eastAsia"/>
                <w:sz w:val="21"/>
                <w:szCs w:val="21"/>
              </w:rPr>
            </w:pPr>
            <w:r>
              <w:rPr>
                <w:spacing w:val="7"/>
                <w:sz w:val="21"/>
                <w:szCs w:val="21"/>
              </w:rPr>
              <w:t>饭菜质量</w:t>
            </w:r>
            <w:r>
              <w:rPr>
                <w:sz w:val="21"/>
                <w:szCs w:val="21"/>
              </w:rPr>
              <w:t xml:space="preserve"> </w:t>
            </w:r>
            <w:r>
              <w:rPr>
                <w:spacing w:val="-2"/>
                <w:sz w:val="21"/>
                <w:szCs w:val="21"/>
              </w:rPr>
              <w:t>（10</w:t>
            </w:r>
            <w:r>
              <w:rPr>
                <w:spacing w:val="-38"/>
                <w:sz w:val="21"/>
                <w:szCs w:val="21"/>
              </w:rPr>
              <w:t xml:space="preserve"> </w:t>
            </w:r>
            <w:r>
              <w:rPr>
                <w:spacing w:val="-2"/>
                <w:sz w:val="21"/>
                <w:szCs w:val="21"/>
              </w:rPr>
              <w:t>分）</w:t>
            </w:r>
          </w:p>
        </w:tc>
        <w:tc>
          <w:tcPr>
            <w:tcW w:w="2537" w:type="pct"/>
          </w:tcPr>
          <w:p w14:paraId="65AEFF82">
            <w:pPr>
              <w:pStyle w:val="208"/>
              <w:spacing w:before="33" w:line="359" w:lineRule="auto"/>
              <w:ind w:left="120" w:right="261" w:firstLine="428"/>
              <w:rPr>
                <w:rFonts w:hint="eastAsia"/>
                <w:sz w:val="21"/>
                <w:szCs w:val="21"/>
                <w:lang w:eastAsia="zh-CN"/>
              </w:rPr>
            </w:pPr>
            <w:r>
              <w:rPr>
                <w:spacing w:val="6"/>
                <w:sz w:val="21"/>
                <w:szCs w:val="21"/>
                <w:lang w:eastAsia="zh-CN"/>
              </w:rPr>
              <w:t>1、主、副食烹饪制作规范，色、香、味、</w:t>
            </w:r>
            <w:r>
              <w:rPr>
                <w:spacing w:val="7"/>
                <w:sz w:val="21"/>
                <w:szCs w:val="21"/>
                <w:lang w:eastAsia="zh-CN"/>
              </w:rPr>
              <w:t xml:space="preserve"> </w:t>
            </w:r>
            <w:r>
              <w:rPr>
                <w:spacing w:val="4"/>
                <w:sz w:val="21"/>
                <w:szCs w:val="21"/>
                <w:lang w:eastAsia="zh-CN"/>
              </w:rPr>
              <w:t>型俱佳。（共</w:t>
            </w:r>
            <w:r>
              <w:rPr>
                <w:spacing w:val="-28"/>
                <w:sz w:val="21"/>
                <w:szCs w:val="21"/>
                <w:lang w:eastAsia="zh-CN"/>
              </w:rPr>
              <w:t xml:space="preserve"> </w:t>
            </w:r>
            <w:r>
              <w:rPr>
                <w:spacing w:val="4"/>
                <w:sz w:val="21"/>
                <w:szCs w:val="21"/>
                <w:lang w:eastAsia="zh-CN"/>
              </w:rPr>
              <w:t>3</w:t>
            </w:r>
            <w:r>
              <w:rPr>
                <w:spacing w:val="-35"/>
                <w:sz w:val="21"/>
                <w:szCs w:val="21"/>
                <w:lang w:eastAsia="zh-CN"/>
              </w:rPr>
              <w:t xml:space="preserve"> </w:t>
            </w:r>
            <w:r>
              <w:rPr>
                <w:spacing w:val="4"/>
                <w:sz w:val="21"/>
                <w:szCs w:val="21"/>
                <w:lang w:eastAsia="zh-CN"/>
              </w:rPr>
              <w:t>分，不符合扣</w:t>
            </w:r>
            <w:r>
              <w:rPr>
                <w:spacing w:val="-33"/>
                <w:sz w:val="21"/>
                <w:szCs w:val="21"/>
                <w:lang w:eastAsia="zh-CN"/>
              </w:rPr>
              <w:t xml:space="preserve"> </w:t>
            </w:r>
            <w:r>
              <w:rPr>
                <w:spacing w:val="4"/>
                <w:sz w:val="21"/>
                <w:szCs w:val="21"/>
                <w:lang w:eastAsia="zh-CN"/>
              </w:rPr>
              <w:t>3</w:t>
            </w:r>
            <w:r>
              <w:rPr>
                <w:spacing w:val="-35"/>
                <w:sz w:val="21"/>
                <w:szCs w:val="21"/>
                <w:lang w:eastAsia="zh-CN"/>
              </w:rPr>
              <w:t xml:space="preserve"> </w:t>
            </w:r>
            <w:r>
              <w:rPr>
                <w:spacing w:val="4"/>
                <w:sz w:val="21"/>
                <w:szCs w:val="21"/>
                <w:lang w:eastAsia="zh-CN"/>
              </w:rPr>
              <w:t>分）</w:t>
            </w:r>
          </w:p>
        </w:tc>
        <w:tc>
          <w:tcPr>
            <w:tcW w:w="682" w:type="pct"/>
          </w:tcPr>
          <w:p w14:paraId="2467C89C">
            <w:pPr>
              <w:rPr>
                <w:rFonts w:hint="eastAsia" w:ascii="Arial"/>
                <w:szCs w:val="21"/>
              </w:rPr>
            </w:pPr>
          </w:p>
        </w:tc>
        <w:tc>
          <w:tcPr>
            <w:tcW w:w="647" w:type="pct"/>
          </w:tcPr>
          <w:p w14:paraId="4299E771">
            <w:pPr>
              <w:rPr>
                <w:rFonts w:hint="eastAsia" w:ascii="Arial"/>
                <w:szCs w:val="21"/>
              </w:rPr>
            </w:pPr>
          </w:p>
        </w:tc>
      </w:tr>
      <w:tr w14:paraId="3D47F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448" w:type="pct"/>
            <w:vMerge w:val="continue"/>
            <w:tcBorders>
              <w:top w:val="nil"/>
              <w:bottom w:val="nil"/>
            </w:tcBorders>
          </w:tcPr>
          <w:p w14:paraId="6F9F82B4">
            <w:pPr>
              <w:rPr>
                <w:rFonts w:hint="eastAsia" w:ascii="Arial"/>
                <w:szCs w:val="21"/>
              </w:rPr>
            </w:pPr>
          </w:p>
        </w:tc>
        <w:tc>
          <w:tcPr>
            <w:tcW w:w="684" w:type="pct"/>
            <w:vMerge w:val="continue"/>
            <w:tcBorders>
              <w:top w:val="nil"/>
              <w:bottom w:val="nil"/>
            </w:tcBorders>
          </w:tcPr>
          <w:p w14:paraId="2C73930A">
            <w:pPr>
              <w:rPr>
                <w:rFonts w:hint="eastAsia" w:ascii="Arial"/>
                <w:szCs w:val="21"/>
              </w:rPr>
            </w:pPr>
          </w:p>
        </w:tc>
        <w:tc>
          <w:tcPr>
            <w:tcW w:w="2537" w:type="pct"/>
          </w:tcPr>
          <w:p w14:paraId="25CEEA7C">
            <w:pPr>
              <w:pStyle w:val="208"/>
              <w:spacing w:before="32" w:line="228" w:lineRule="auto"/>
              <w:ind w:left="536"/>
              <w:rPr>
                <w:rFonts w:hint="eastAsia"/>
                <w:sz w:val="21"/>
                <w:szCs w:val="21"/>
                <w:lang w:eastAsia="zh-CN"/>
              </w:rPr>
            </w:pPr>
            <w:r>
              <w:rPr>
                <w:spacing w:val="7"/>
                <w:sz w:val="21"/>
                <w:szCs w:val="21"/>
                <w:lang w:eastAsia="zh-CN"/>
              </w:rPr>
              <w:t>2、品种多，早餐</w:t>
            </w:r>
            <w:r>
              <w:rPr>
                <w:spacing w:val="-22"/>
                <w:sz w:val="21"/>
                <w:szCs w:val="21"/>
                <w:lang w:eastAsia="zh-CN"/>
              </w:rPr>
              <w:t xml:space="preserve"> </w:t>
            </w:r>
            <w:r>
              <w:rPr>
                <w:spacing w:val="7"/>
                <w:sz w:val="21"/>
                <w:szCs w:val="21"/>
                <w:lang w:eastAsia="zh-CN"/>
              </w:rPr>
              <w:t>10</w:t>
            </w:r>
            <w:r>
              <w:rPr>
                <w:spacing w:val="-41"/>
                <w:sz w:val="21"/>
                <w:szCs w:val="21"/>
                <w:lang w:eastAsia="zh-CN"/>
              </w:rPr>
              <w:t xml:space="preserve"> </w:t>
            </w:r>
            <w:r>
              <w:rPr>
                <w:spacing w:val="7"/>
                <w:sz w:val="21"/>
                <w:szCs w:val="21"/>
                <w:lang w:eastAsia="zh-CN"/>
              </w:rPr>
              <w:t>个品种以上，午、晚餐</w:t>
            </w:r>
          </w:p>
          <w:p w14:paraId="654F3DB2">
            <w:pPr>
              <w:pStyle w:val="208"/>
              <w:spacing w:before="160" w:line="228" w:lineRule="auto"/>
              <w:ind w:left="116"/>
              <w:rPr>
                <w:rFonts w:hint="eastAsia"/>
                <w:sz w:val="21"/>
                <w:szCs w:val="21"/>
                <w:lang w:eastAsia="zh-CN"/>
              </w:rPr>
            </w:pPr>
            <w:r>
              <w:rPr>
                <w:rFonts w:hint="eastAsia"/>
                <w:spacing w:val="-23"/>
                <w:sz w:val="21"/>
                <w:szCs w:val="21"/>
                <w:lang w:eastAsia="zh-CN"/>
              </w:rPr>
              <w:t>16</w:t>
            </w:r>
            <w:r>
              <w:rPr>
                <w:spacing w:val="-23"/>
                <w:sz w:val="21"/>
                <w:szCs w:val="21"/>
                <w:lang w:eastAsia="zh-CN"/>
              </w:rPr>
              <w:t xml:space="preserve"> </w:t>
            </w:r>
            <w:r>
              <w:rPr>
                <w:spacing w:val="4"/>
                <w:sz w:val="21"/>
                <w:szCs w:val="21"/>
                <w:lang w:eastAsia="zh-CN"/>
              </w:rPr>
              <w:t>个品种以上。（共</w:t>
            </w:r>
            <w:r>
              <w:rPr>
                <w:spacing w:val="-33"/>
                <w:sz w:val="21"/>
                <w:szCs w:val="21"/>
                <w:lang w:eastAsia="zh-CN"/>
              </w:rPr>
              <w:t xml:space="preserve"> </w:t>
            </w:r>
            <w:r>
              <w:rPr>
                <w:spacing w:val="4"/>
                <w:sz w:val="21"/>
                <w:szCs w:val="21"/>
                <w:lang w:eastAsia="zh-CN"/>
              </w:rPr>
              <w:t>3</w:t>
            </w:r>
            <w:r>
              <w:rPr>
                <w:spacing w:val="-37"/>
                <w:sz w:val="21"/>
                <w:szCs w:val="21"/>
                <w:lang w:eastAsia="zh-CN"/>
              </w:rPr>
              <w:t xml:space="preserve"> </w:t>
            </w:r>
            <w:r>
              <w:rPr>
                <w:spacing w:val="4"/>
                <w:sz w:val="21"/>
                <w:szCs w:val="21"/>
                <w:lang w:eastAsia="zh-CN"/>
              </w:rPr>
              <w:t>分，不符合扣</w:t>
            </w:r>
            <w:r>
              <w:rPr>
                <w:spacing w:val="-33"/>
                <w:sz w:val="21"/>
                <w:szCs w:val="21"/>
                <w:lang w:eastAsia="zh-CN"/>
              </w:rPr>
              <w:t xml:space="preserve"> </w:t>
            </w:r>
            <w:r>
              <w:rPr>
                <w:spacing w:val="4"/>
                <w:sz w:val="21"/>
                <w:szCs w:val="21"/>
                <w:lang w:eastAsia="zh-CN"/>
              </w:rPr>
              <w:t>3</w:t>
            </w:r>
            <w:r>
              <w:rPr>
                <w:spacing w:val="-36"/>
                <w:sz w:val="21"/>
                <w:szCs w:val="21"/>
                <w:lang w:eastAsia="zh-CN"/>
              </w:rPr>
              <w:t xml:space="preserve"> </w:t>
            </w:r>
            <w:r>
              <w:rPr>
                <w:spacing w:val="4"/>
                <w:sz w:val="21"/>
                <w:szCs w:val="21"/>
                <w:lang w:eastAsia="zh-CN"/>
              </w:rPr>
              <w:t>分）</w:t>
            </w:r>
          </w:p>
        </w:tc>
        <w:tc>
          <w:tcPr>
            <w:tcW w:w="682" w:type="pct"/>
          </w:tcPr>
          <w:p w14:paraId="1525B95C">
            <w:pPr>
              <w:rPr>
                <w:rFonts w:hint="eastAsia" w:ascii="Arial"/>
                <w:szCs w:val="21"/>
              </w:rPr>
            </w:pPr>
          </w:p>
        </w:tc>
        <w:tc>
          <w:tcPr>
            <w:tcW w:w="647" w:type="pct"/>
          </w:tcPr>
          <w:p w14:paraId="074C3C69">
            <w:pPr>
              <w:rPr>
                <w:rFonts w:hint="eastAsia" w:ascii="Arial"/>
                <w:szCs w:val="21"/>
              </w:rPr>
            </w:pPr>
          </w:p>
        </w:tc>
      </w:tr>
      <w:tr w14:paraId="289CC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jc w:val="center"/>
        </w:trPr>
        <w:tc>
          <w:tcPr>
            <w:tcW w:w="448" w:type="pct"/>
            <w:vMerge w:val="continue"/>
            <w:tcBorders>
              <w:top w:val="nil"/>
            </w:tcBorders>
          </w:tcPr>
          <w:p w14:paraId="59DE7803">
            <w:pPr>
              <w:rPr>
                <w:rFonts w:hint="eastAsia" w:ascii="Arial"/>
                <w:szCs w:val="21"/>
              </w:rPr>
            </w:pPr>
          </w:p>
        </w:tc>
        <w:tc>
          <w:tcPr>
            <w:tcW w:w="684" w:type="pct"/>
            <w:vMerge w:val="continue"/>
            <w:tcBorders>
              <w:top w:val="nil"/>
            </w:tcBorders>
          </w:tcPr>
          <w:p w14:paraId="0CF738C8">
            <w:pPr>
              <w:rPr>
                <w:rFonts w:hint="eastAsia" w:ascii="Arial"/>
                <w:szCs w:val="21"/>
              </w:rPr>
            </w:pPr>
          </w:p>
        </w:tc>
        <w:tc>
          <w:tcPr>
            <w:tcW w:w="2537" w:type="pct"/>
          </w:tcPr>
          <w:p w14:paraId="08DE252E">
            <w:pPr>
              <w:pStyle w:val="208"/>
              <w:spacing w:before="32" w:line="365" w:lineRule="auto"/>
              <w:ind w:left="114" w:right="153" w:firstLine="423"/>
              <w:rPr>
                <w:rFonts w:hint="eastAsia"/>
                <w:sz w:val="21"/>
                <w:szCs w:val="21"/>
                <w:lang w:eastAsia="zh-CN"/>
              </w:rPr>
            </w:pPr>
            <w:r>
              <w:rPr>
                <w:spacing w:val="8"/>
                <w:sz w:val="21"/>
                <w:szCs w:val="21"/>
                <w:lang w:eastAsia="zh-CN"/>
              </w:rPr>
              <w:t>3、风味小吃及中炒、小炒配套供应，所有</w:t>
            </w:r>
            <w:r>
              <w:rPr>
                <w:spacing w:val="15"/>
                <w:sz w:val="21"/>
                <w:szCs w:val="21"/>
                <w:lang w:eastAsia="zh-CN"/>
              </w:rPr>
              <w:t xml:space="preserve"> </w:t>
            </w:r>
            <w:r>
              <w:rPr>
                <w:spacing w:val="7"/>
                <w:sz w:val="21"/>
                <w:szCs w:val="21"/>
                <w:lang w:eastAsia="zh-CN"/>
              </w:rPr>
              <w:t>风味档原材料符合招标文件所规定的配送要求。</w:t>
            </w:r>
            <w:r>
              <w:rPr>
                <w:spacing w:val="4"/>
                <w:sz w:val="21"/>
                <w:szCs w:val="21"/>
                <w:lang w:eastAsia="zh-CN"/>
              </w:rPr>
              <w:t>（共</w:t>
            </w:r>
            <w:r>
              <w:rPr>
                <w:spacing w:val="-41"/>
                <w:sz w:val="21"/>
                <w:szCs w:val="21"/>
                <w:lang w:eastAsia="zh-CN"/>
              </w:rPr>
              <w:t xml:space="preserve"> </w:t>
            </w:r>
            <w:r>
              <w:rPr>
                <w:spacing w:val="4"/>
                <w:sz w:val="21"/>
                <w:szCs w:val="21"/>
                <w:lang w:eastAsia="zh-CN"/>
              </w:rPr>
              <w:t>4</w:t>
            </w:r>
            <w:r>
              <w:rPr>
                <w:spacing w:val="-35"/>
                <w:sz w:val="21"/>
                <w:szCs w:val="21"/>
                <w:lang w:eastAsia="zh-CN"/>
              </w:rPr>
              <w:t xml:space="preserve"> </w:t>
            </w:r>
            <w:r>
              <w:rPr>
                <w:spacing w:val="4"/>
                <w:sz w:val="21"/>
                <w:szCs w:val="21"/>
                <w:lang w:eastAsia="zh-CN"/>
              </w:rPr>
              <w:t>分，不符合扣</w:t>
            </w:r>
            <w:r>
              <w:rPr>
                <w:spacing w:val="-38"/>
                <w:sz w:val="21"/>
                <w:szCs w:val="21"/>
                <w:lang w:eastAsia="zh-CN"/>
              </w:rPr>
              <w:t xml:space="preserve"> </w:t>
            </w:r>
            <w:r>
              <w:rPr>
                <w:spacing w:val="4"/>
                <w:sz w:val="21"/>
                <w:szCs w:val="21"/>
                <w:lang w:eastAsia="zh-CN"/>
              </w:rPr>
              <w:t>4</w:t>
            </w:r>
            <w:r>
              <w:rPr>
                <w:spacing w:val="-35"/>
                <w:sz w:val="21"/>
                <w:szCs w:val="21"/>
                <w:lang w:eastAsia="zh-CN"/>
              </w:rPr>
              <w:t xml:space="preserve"> </w:t>
            </w:r>
            <w:r>
              <w:rPr>
                <w:spacing w:val="4"/>
                <w:sz w:val="21"/>
                <w:szCs w:val="21"/>
                <w:lang w:eastAsia="zh-CN"/>
              </w:rPr>
              <w:t>分）</w:t>
            </w:r>
          </w:p>
        </w:tc>
        <w:tc>
          <w:tcPr>
            <w:tcW w:w="682" w:type="pct"/>
          </w:tcPr>
          <w:p w14:paraId="64F9A613">
            <w:pPr>
              <w:rPr>
                <w:rFonts w:hint="eastAsia" w:ascii="Arial"/>
                <w:szCs w:val="21"/>
              </w:rPr>
            </w:pPr>
          </w:p>
        </w:tc>
        <w:tc>
          <w:tcPr>
            <w:tcW w:w="647" w:type="pct"/>
          </w:tcPr>
          <w:p w14:paraId="15B54C4B">
            <w:pPr>
              <w:rPr>
                <w:rFonts w:hint="eastAsia" w:ascii="Arial"/>
                <w:szCs w:val="21"/>
              </w:rPr>
            </w:pPr>
          </w:p>
        </w:tc>
      </w:tr>
      <w:tr w14:paraId="1B86E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448" w:type="pct"/>
            <w:vMerge w:val="restart"/>
            <w:tcBorders>
              <w:bottom w:val="nil"/>
            </w:tcBorders>
          </w:tcPr>
          <w:p w14:paraId="191DFD11">
            <w:pPr>
              <w:spacing w:line="249" w:lineRule="auto"/>
              <w:rPr>
                <w:rFonts w:hint="eastAsia" w:ascii="Arial"/>
                <w:szCs w:val="21"/>
              </w:rPr>
            </w:pPr>
          </w:p>
          <w:p w14:paraId="29E9FBF5">
            <w:pPr>
              <w:spacing w:line="249" w:lineRule="auto"/>
              <w:rPr>
                <w:rFonts w:hint="eastAsia" w:ascii="Arial"/>
                <w:szCs w:val="21"/>
              </w:rPr>
            </w:pPr>
          </w:p>
          <w:p w14:paraId="3DFEAEF9">
            <w:pPr>
              <w:spacing w:line="249" w:lineRule="auto"/>
              <w:rPr>
                <w:rFonts w:hint="eastAsia" w:ascii="Arial"/>
                <w:szCs w:val="21"/>
              </w:rPr>
            </w:pPr>
          </w:p>
          <w:p w14:paraId="6EB6F487">
            <w:pPr>
              <w:spacing w:line="249" w:lineRule="auto"/>
              <w:rPr>
                <w:rFonts w:hint="eastAsia" w:ascii="Arial"/>
                <w:szCs w:val="21"/>
              </w:rPr>
            </w:pPr>
          </w:p>
          <w:p w14:paraId="7C6BD6C9">
            <w:pPr>
              <w:pStyle w:val="208"/>
              <w:spacing w:before="65" w:line="228" w:lineRule="auto"/>
              <w:ind w:left="356"/>
              <w:rPr>
                <w:rFonts w:hint="eastAsia"/>
                <w:sz w:val="21"/>
                <w:szCs w:val="21"/>
              </w:rPr>
            </w:pPr>
            <w:r>
              <w:rPr>
                <w:sz w:val="21"/>
                <w:szCs w:val="21"/>
              </w:rPr>
              <w:t>八</w:t>
            </w:r>
          </w:p>
        </w:tc>
        <w:tc>
          <w:tcPr>
            <w:tcW w:w="684" w:type="pct"/>
            <w:vMerge w:val="restart"/>
            <w:tcBorders>
              <w:bottom w:val="nil"/>
            </w:tcBorders>
          </w:tcPr>
          <w:p w14:paraId="40035A35">
            <w:pPr>
              <w:spacing w:line="263" w:lineRule="auto"/>
              <w:rPr>
                <w:rFonts w:hint="eastAsia" w:ascii="Arial"/>
                <w:szCs w:val="21"/>
              </w:rPr>
            </w:pPr>
          </w:p>
          <w:p w14:paraId="3917B513">
            <w:pPr>
              <w:spacing w:line="264" w:lineRule="auto"/>
              <w:rPr>
                <w:rFonts w:hint="eastAsia" w:ascii="Arial"/>
                <w:szCs w:val="21"/>
              </w:rPr>
            </w:pPr>
          </w:p>
          <w:p w14:paraId="38DA87D9">
            <w:pPr>
              <w:spacing w:line="264" w:lineRule="auto"/>
              <w:rPr>
                <w:rFonts w:hint="eastAsia" w:ascii="Arial"/>
                <w:szCs w:val="21"/>
              </w:rPr>
            </w:pPr>
          </w:p>
          <w:p w14:paraId="3E3B1739">
            <w:pPr>
              <w:pStyle w:val="208"/>
              <w:spacing w:before="65" w:line="362" w:lineRule="auto"/>
              <w:ind w:left="121" w:right="188" w:hanging="10"/>
              <w:rPr>
                <w:rFonts w:hint="eastAsia"/>
                <w:sz w:val="21"/>
                <w:szCs w:val="21"/>
              </w:rPr>
            </w:pPr>
            <w:r>
              <w:rPr>
                <w:spacing w:val="7"/>
                <w:sz w:val="21"/>
                <w:szCs w:val="21"/>
              </w:rPr>
              <w:t>饭菜价格</w:t>
            </w:r>
            <w:r>
              <w:rPr>
                <w:sz w:val="21"/>
                <w:szCs w:val="21"/>
              </w:rPr>
              <w:t xml:space="preserve"> </w:t>
            </w:r>
            <w:r>
              <w:rPr>
                <w:spacing w:val="-2"/>
                <w:sz w:val="21"/>
                <w:szCs w:val="21"/>
              </w:rPr>
              <w:t>（10</w:t>
            </w:r>
            <w:r>
              <w:rPr>
                <w:spacing w:val="-38"/>
                <w:sz w:val="21"/>
                <w:szCs w:val="21"/>
              </w:rPr>
              <w:t xml:space="preserve"> </w:t>
            </w:r>
            <w:r>
              <w:rPr>
                <w:spacing w:val="-2"/>
                <w:sz w:val="21"/>
                <w:szCs w:val="21"/>
              </w:rPr>
              <w:t>分）</w:t>
            </w:r>
          </w:p>
        </w:tc>
        <w:tc>
          <w:tcPr>
            <w:tcW w:w="2537" w:type="pct"/>
          </w:tcPr>
          <w:p w14:paraId="23AF656A">
            <w:pPr>
              <w:pStyle w:val="208"/>
              <w:spacing w:before="36" w:line="358" w:lineRule="auto"/>
              <w:ind w:left="130" w:right="226" w:firstLine="418"/>
              <w:rPr>
                <w:rFonts w:hint="eastAsia"/>
                <w:sz w:val="21"/>
                <w:szCs w:val="21"/>
                <w:lang w:eastAsia="zh-CN"/>
              </w:rPr>
            </w:pPr>
            <w:r>
              <w:rPr>
                <w:spacing w:val="8"/>
                <w:sz w:val="21"/>
                <w:szCs w:val="21"/>
                <w:lang w:eastAsia="zh-CN"/>
              </w:rPr>
              <w:t>1、价格合理，质价相符，高、中、低档食</w:t>
            </w:r>
            <w:r>
              <w:rPr>
                <w:spacing w:val="5"/>
                <w:sz w:val="21"/>
                <w:szCs w:val="21"/>
                <w:lang w:eastAsia="zh-CN"/>
              </w:rPr>
              <w:t>品价格合理。（共</w:t>
            </w:r>
            <w:r>
              <w:rPr>
                <w:spacing w:val="-39"/>
                <w:sz w:val="21"/>
                <w:szCs w:val="21"/>
                <w:lang w:eastAsia="zh-CN"/>
              </w:rPr>
              <w:t xml:space="preserve"> </w:t>
            </w:r>
            <w:r>
              <w:rPr>
                <w:spacing w:val="5"/>
                <w:sz w:val="21"/>
                <w:szCs w:val="21"/>
                <w:lang w:eastAsia="zh-CN"/>
              </w:rPr>
              <w:t>4</w:t>
            </w:r>
            <w:r>
              <w:rPr>
                <w:spacing w:val="-36"/>
                <w:sz w:val="21"/>
                <w:szCs w:val="21"/>
                <w:lang w:eastAsia="zh-CN"/>
              </w:rPr>
              <w:t xml:space="preserve"> </w:t>
            </w:r>
            <w:r>
              <w:rPr>
                <w:spacing w:val="5"/>
                <w:sz w:val="21"/>
                <w:szCs w:val="21"/>
                <w:lang w:eastAsia="zh-CN"/>
              </w:rPr>
              <w:t>分，不符合扣</w:t>
            </w:r>
            <w:r>
              <w:rPr>
                <w:spacing w:val="-37"/>
                <w:sz w:val="21"/>
                <w:szCs w:val="21"/>
                <w:lang w:eastAsia="zh-CN"/>
              </w:rPr>
              <w:t xml:space="preserve"> </w:t>
            </w:r>
            <w:r>
              <w:rPr>
                <w:spacing w:val="5"/>
                <w:sz w:val="21"/>
                <w:szCs w:val="21"/>
                <w:lang w:eastAsia="zh-CN"/>
              </w:rPr>
              <w:t>4</w:t>
            </w:r>
            <w:r>
              <w:rPr>
                <w:spacing w:val="-36"/>
                <w:sz w:val="21"/>
                <w:szCs w:val="21"/>
                <w:lang w:eastAsia="zh-CN"/>
              </w:rPr>
              <w:t xml:space="preserve"> </w:t>
            </w:r>
            <w:r>
              <w:rPr>
                <w:spacing w:val="5"/>
                <w:sz w:val="21"/>
                <w:szCs w:val="21"/>
                <w:lang w:eastAsia="zh-CN"/>
              </w:rPr>
              <w:t>分）</w:t>
            </w:r>
          </w:p>
        </w:tc>
        <w:tc>
          <w:tcPr>
            <w:tcW w:w="682" w:type="pct"/>
          </w:tcPr>
          <w:p w14:paraId="520B98B7">
            <w:pPr>
              <w:rPr>
                <w:rFonts w:hint="eastAsia" w:ascii="Arial"/>
                <w:szCs w:val="21"/>
              </w:rPr>
            </w:pPr>
          </w:p>
        </w:tc>
        <w:tc>
          <w:tcPr>
            <w:tcW w:w="647" w:type="pct"/>
          </w:tcPr>
          <w:p w14:paraId="2C064B92">
            <w:pPr>
              <w:rPr>
                <w:rFonts w:hint="eastAsia" w:ascii="Arial"/>
                <w:szCs w:val="21"/>
              </w:rPr>
            </w:pPr>
          </w:p>
        </w:tc>
      </w:tr>
      <w:tr w14:paraId="47347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448" w:type="pct"/>
            <w:vMerge w:val="continue"/>
            <w:tcBorders>
              <w:top w:val="nil"/>
              <w:bottom w:val="nil"/>
            </w:tcBorders>
          </w:tcPr>
          <w:p w14:paraId="2E406181">
            <w:pPr>
              <w:rPr>
                <w:rFonts w:hint="eastAsia" w:ascii="Arial"/>
                <w:szCs w:val="21"/>
              </w:rPr>
            </w:pPr>
          </w:p>
        </w:tc>
        <w:tc>
          <w:tcPr>
            <w:tcW w:w="684" w:type="pct"/>
            <w:vMerge w:val="continue"/>
            <w:tcBorders>
              <w:top w:val="nil"/>
              <w:bottom w:val="nil"/>
            </w:tcBorders>
          </w:tcPr>
          <w:p w14:paraId="25451C1A">
            <w:pPr>
              <w:rPr>
                <w:rFonts w:hint="eastAsia" w:ascii="Arial"/>
                <w:szCs w:val="21"/>
              </w:rPr>
            </w:pPr>
          </w:p>
        </w:tc>
        <w:tc>
          <w:tcPr>
            <w:tcW w:w="2537" w:type="pct"/>
          </w:tcPr>
          <w:p w14:paraId="21C46274">
            <w:pPr>
              <w:pStyle w:val="208"/>
              <w:spacing w:before="36" w:line="358" w:lineRule="auto"/>
              <w:ind w:left="137" w:right="192" w:firstLine="398"/>
              <w:rPr>
                <w:rFonts w:hint="eastAsia"/>
                <w:sz w:val="21"/>
                <w:szCs w:val="21"/>
                <w:lang w:eastAsia="zh-CN"/>
              </w:rPr>
            </w:pPr>
            <w:r>
              <w:rPr>
                <w:spacing w:val="6"/>
                <w:sz w:val="21"/>
                <w:szCs w:val="21"/>
                <w:lang w:eastAsia="zh-CN"/>
              </w:rPr>
              <w:t>2、出售食品明码标价。（共</w:t>
            </w:r>
            <w:r>
              <w:rPr>
                <w:spacing w:val="-22"/>
                <w:sz w:val="21"/>
                <w:szCs w:val="21"/>
                <w:lang w:eastAsia="zh-CN"/>
              </w:rPr>
              <w:t xml:space="preserve"> </w:t>
            </w:r>
            <w:r>
              <w:rPr>
                <w:spacing w:val="6"/>
                <w:sz w:val="21"/>
                <w:szCs w:val="21"/>
                <w:lang w:eastAsia="zh-CN"/>
              </w:rPr>
              <w:t>3</w:t>
            </w:r>
            <w:r>
              <w:rPr>
                <w:spacing w:val="-36"/>
                <w:sz w:val="21"/>
                <w:szCs w:val="21"/>
                <w:lang w:eastAsia="zh-CN"/>
              </w:rPr>
              <w:t xml:space="preserve"> </w:t>
            </w:r>
            <w:r>
              <w:rPr>
                <w:spacing w:val="6"/>
                <w:sz w:val="21"/>
                <w:szCs w:val="21"/>
                <w:lang w:eastAsia="zh-CN"/>
              </w:rPr>
              <w:t>分，5</w:t>
            </w:r>
            <w:r>
              <w:rPr>
                <w:spacing w:val="-40"/>
                <w:sz w:val="21"/>
                <w:szCs w:val="21"/>
                <w:lang w:eastAsia="zh-CN"/>
              </w:rPr>
              <w:t xml:space="preserve"> </w:t>
            </w:r>
            <w:r>
              <w:rPr>
                <w:spacing w:val="6"/>
                <w:sz w:val="21"/>
                <w:szCs w:val="21"/>
                <w:lang w:eastAsia="zh-CN"/>
              </w:rPr>
              <w:t>个及</w:t>
            </w:r>
            <w:r>
              <w:rPr>
                <w:sz w:val="21"/>
                <w:szCs w:val="21"/>
                <w:lang w:eastAsia="zh-CN"/>
              </w:rPr>
              <w:t xml:space="preserve">  </w:t>
            </w:r>
            <w:r>
              <w:rPr>
                <w:spacing w:val="3"/>
                <w:sz w:val="21"/>
                <w:szCs w:val="21"/>
                <w:lang w:eastAsia="zh-CN"/>
              </w:rPr>
              <w:t>以内不标价的扣</w:t>
            </w:r>
            <w:r>
              <w:rPr>
                <w:spacing w:val="-15"/>
                <w:sz w:val="21"/>
                <w:szCs w:val="21"/>
                <w:lang w:eastAsia="zh-CN"/>
              </w:rPr>
              <w:t xml:space="preserve"> </w:t>
            </w:r>
            <w:r>
              <w:rPr>
                <w:spacing w:val="3"/>
                <w:sz w:val="21"/>
                <w:szCs w:val="21"/>
                <w:lang w:eastAsia="zh-CN"/>
              </w:rPr>
              <w:t>1</w:t>
            </w:r>
            <w:r>
              <w:rPr>
                <w:spacing w:val="-35"/>
                <w:sz w:val="21"/>
                <w:szCs w:val="21"/>
                <w:lang w:eastAsia="zh-CN"/>
              </w:rPr>
              <w:t xml:space="preserve"> </w:t>
            </w:r>
            <w:r>
              <w:rPr>
                <w:spacing w:val="3"/>
                <w:sz w:val="21"/>
                <w:szCs w:val="21"/>
                <w:lang w:eastAsia="zh-CN"/>
              </w:rPr>
              <w:t>分，5</w:t>
            </w:r>
            <w:r>
              <w:rPr>
                <w:spacing w:val="-40"/>
                <w:sz w:val="21"/>
                <w:szCs w:val="21"/>
                <w:lang w:eastAsia="zh-CN"/>
              </w:rPr>
              <w:t xml:space="preserve"> </w:t>
            </w:r>
            <w:r>
              <w:rPr>
                <w:spacing w:val="3"/>
                <w:sz w:val="21"/>
                <w:szCs w:val="21"/>
                <w:lang w:eastAsia="zh-CN"/>
              </w:rPr>
              <w:t>个以上不标价扣</w:t>
            </w:r>
            <w:r>
              <w:rPr>
                <w:spacing w:val="-33"/>
                <w:sz w:val="21"/>
                <w:szCs w:val="21"/>
                <w:lang w:eastAsia="zh-CN"/>
              </w:rPr>
              <w:t xml:space="preserve"> </w:t>
            </w:r>
            <w:r>
              <w:rPr>
                <w:spacing w:val="3"/>
                <w:sz w:val="21"/>
                <w:szCs w:val="21"/>
                <w:lang w:eastAsia="zh-CN"/>
              </w:rPr>
              <w:t>3</w:t>
            </w:r>
            <w:r>
              <w:rPr>
                <w:spacing w:val="-38"/>
                <w:sz w:val="21"/>
                <w:szCs w:val="21"/>
                <w:lang w:eastAsia="zh-CN"/>
              </w:rPr>
              <w:t xml:space="preserve"> </w:t>
            </w:r>
            <w:r>
              <w:rPr>
                <w:spacing w:val="3"/>
                <w:sz w:val="21"/>
                <w:szCs w:val="21"/>
                <w:lang w:eastAsia="zh-CN"/>
              </w:rPr>
              <w:t>分）</w:t>
            </w:r>
          </w:p>
        </w:tc>
        <w:tc>
          <w:tcPr>
            <w:tcW w:w="682" w:type="pct"/>
          </w:tcPr>
          <w:p w14:paraId="047E2293">
            <w:pPr>
              <w:rPr>
                <w:rFonts w:hint="eastAsia" w:ascii="Arial"/>
                <w:szCs w:val="21"/>
              </w:rPr>
            </w:pPr>
          </w:p>
        </w:tc>
        <w:tc>
          <w:tcPr>
            <w:tcW w:w="647" w:type="pct"/>
          </w:tcPr>
          <w:p w14:paraId="00B60934">
            <w:pPr>
              <w:rPr>
                <w:rFonts w:hint="eastAsia" w:ascii="Arial"/>
                <w:szCs w:val="21"/>
              </w:rPr>
            </w:pPr>
          </w:p>
        </w:tc>
      </w:tr>
      <w:tr w14:paraId="3FDFC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448" w:type="pct"/>
            <w:vMerge w:val="continue"/>
            <w:tcBorders>
              <w:top w:val="nil"/>
            </w:tcBorders>
          </w:tcPr>
          <w:p w14:paraId="08916CCC">
            <w:pPr>
              <w:rPr>
                <w:rFonts w:hint="eastAsia" w:ascii="Arial"/>
                <w:szCs w:val="21"/>
              </w:rPr>
            </w:pPr>
          </w:p>
        </w:tc>
        <w:tc>
          <w:tcPr>
            <w:tcW w:w="684" w:type="pct"/>
            <w:vMerge w:val="continue"/>
            <w:tcBorders>
              <w:top w:val="nil"/>
            </w:tcBorders>
          </w:tcPr>
          <w:p w14:paraId="04D3FCC0">
            <w:pPr>
              <w:rPr>
                <w:rFonts w:hint="eastAsia" w:ascii="Arial"/>
                <w:szCs w:val="21"/>
              </w:rPr>
            </w:pPr>
          </w:p>
        </w:tc>
        <w:tc>
          <w:tcPr>
            <w:tcW w:w="2537" w:type="pct"/>
          </w:tcPr>
          <w:p w14:paraId="2A60DD54">
            <w:pPr>
              <w:pStyle w:val="208"/>
              <w:spacing w:before="35" w:line="226" w:lineRule="auto"/>
              <w:ind w:left="536"/>
              <w:rPr>
                <w:rFonts w:hint="eastAsia"/>
                <w:sz w:val="21"/>
                <w:szCs w:val="21"/>
                <w:lang w:eastAsia="zh-CN"/>
              </w:rPr>
            </w:pPr>
            <w:r>
              <w:rPr>
                <w:spacing w:val="9"/>
                <w:sz w:val="21"/>
                <w:szCs w:val="21"/>
                <w:lang w:eastAsia="zh-CN"/>
              </w:rPr>
              <w:t>2、饭菜价格稳定，餐厅不随意提价。（共</w:t>
            </w:r>
          </w:p>
          <w:p w14:paraId="3CC2F47A">
            <w:pPr>
              <w:pStyle w:val="208"/>
              <w:spacing w:before="162" w:line="228" w:lineRule="auto"/>
              <w:ind w:left="117"/>
              <w:rPr>
                <w:rFonts w:hint="eastAsia"/>
                <w:sz w:val="21"/>
                <w:szCs w:val="21"/>
                <w:lang w:eastAsia="zh-CN"/>
              </w:rPr>
            </w:pPr>
            <w:r>
              <w:rPr>
                <w:spacing w:val="2"/>
                <w:sz w:val="21"/>
                <w:szCs w:val="21"/>
                <w:lang w:eastAsia="zh-CN"/>
              </w:rPr>
              <w:t>3</w:t>
            </w:r>
            <w:r>
              <w:rPr>
                <w:spacing w:val="-30"/>
                <w:sz w:val="21"/>
                <w:szCs w:val="21"/>
                <w:lang w:eastAsia="zh-CN"/>
              </w:rPr>
              <w:t xml:space="preserve"> </w:t>
            </w:r>
            <w:r>
              <w:rPr>
                <w:spacing w:val="2"/>
                <w:sz w:val="21"/>
                <w:szCs w:val="21"/>
                <w:lang w:eastAsia="zh-CN"/>
              </w:rPr>
              <w:t>分，不符合扣</w:t>
            </w:r>
            <w:r>
              <w:rPr>
                <w:spacing w:val="-32"/>
                <w:sz w:val="21"/>
                <w:szCs w:val="21"/>
                <w:lang w:eastAsia="zh-CN"/>
              </w:rPr>
              <w:t xml:space="preserve"> </w:t>
            </w:r>
            <w:r>
              <w:rPr>
                <w:spacing w:val="2"/>
                <w:sz w:val="21"/>
                <w:szCs w:val="21"/>
                <w:lang w:eastAsia="zh-CN"/>
              </w:rPr>
              <w:t>3</w:t>
            </w:r>
            <w:r>
              <w:rPr>
                <w:spacing w:val="-36"/>
                <w:sz w:val="21"/>
                <w:szCs w:val="21"/>
                <w:lang w:eastAsia="zh-CN"/>
              </w:rPr>
              <w:t xml:space="preserve"> </w:t>
            </w:r>
            <w:r>
              <w:rPr>
                <w:spacing w:val="2"/>
                <w:sz w:val="21"/>
                <w:szCs w:val="21"/>
                <w:lang w:eastAsia="zh-CN"/>
              </w:rPr>
              <w:t>分）</w:t>
            </w:r>
          </w:p>
        </w:tc>
        <w:tc>
          <w:tcPr>
            <w:tcW w:w="682" w:type="pct"/>
          </w:tcPr>
          <w:p w14:paraId="12540457">
            <w:pPr>
              <w:rPr>
                <w:rFonts w:hint="eastAsia" w:ascii="Arial"/>
                <w:szCs w:val="21"/>
              </w:rPr>
            </w:pPr>
          </w:p>
        </w:tc>
        <w:tc>
          <w:tcPr>
            <w:tcW w:w="647" w:type="pct"/>
          </w:tcPr>
          <w:p w14:paraId="0588EBC4">
            <w:pPr>
              <w:rPr>
                <w:rFonts w:hint="eastAsia" w:ascii="Arial"/>
                <w:szCs w:val="21"/>
              </w:rPr>
            </w:pPr>
          </w:p>
        </w:tc>
      </w:tr>
      <w:tr w14:paraId="59D57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448" w:type="pct"/>
            <w:vMerge w:val="restart"/>
            <w:tcBorders>
              <w:bottom w:val="nil"/>
            </w:tcBorders>
          </w:tcPr>
          <w:p w14:paraId="7390ED36">
            <w:pPr>
              <w:spacing w:line="291" w:lineRule="auto"/>
              <w:rPr>
                <w:rFonts w:hint="eastAsia" w:ascii="Arial"/>
                <w:szCs w:val="21"/>
              </w:rPr>
            </w:pPr>
          </w:p>
          <w:p w14:paraId="7C212C21">
            <w:pPr>
              <w:spacing w:line="292" w:lineRule="auto"/>
              <w:rPr>
                <w:rFonts w:hint="eastAsia" w:ascii="Arial"/>
                <w:szCs w:val="21"/>
              </w:rPr>
            </w:pPr>
          </w:p>
          <w:p w14:paraId="068156BB">
            <w:pPr>
              <w:pStyle w:val="208"/>
              <w:spacing w:before="65" w:line="231" w:lineRule="auto"/>
              <w:ind w:left="358"/>
              <w:rPr>
                <w:rFonts w:hint="eastAsia"/>
                <w:sz w:val="21"/>
                <w:szCs w:val="21"/>
              </w:rPr>
            </w:pPr>
            <w:r>
              <w:rPr>
                <w:sz w:val="21"/>
                <w:szCs w:val="21"/>
              </w:rPr>
              <w:t>九</w:t>
            </w:r>
          </w:p>
        </w:tc>
        <w:tc>
          <w:tcPr>
            <w:tcW w:w="684" w:type="pct"/>
            <w:vMerge w:val="restart"/>
            <w:tcBorders>
              <w:bottom w:val="nil"/>
            </w:tcBorders>
          </w:tcPr>
          <w:p w14:paraId="4B4D30D0">
            <w:pPr>
              <w:spacing w:line="382" w:lineRule="auto"/>
              <w:rPr>
                <w:rFonts w:hint="eastAsia" w:ascii="Arial"/>
                <w:szCs w:val="21"/>
              </w:rPr>
            </w:pPr>
          </w:p>
          <w:p w14:paraId="5DAD0C40">
            <w:pPr>
              <w:pStyle w:val="208"/>
              <w:spacing w:before="65" w:line="362" w:lineRule="auto"/>
              <w:ind w:left="121" w:right="223" w:hanging="10"/>
              <w:rPr>
                <w:rFonts w:hint="eastAsia"/>
                <w:sz w:val="21"/>
                <w:szCs w:val="21"/>
              </w:rPr>
            </w:pPr>
            <w:r>
              <w:rPr>
                <w:spacing w:val="7"/>
                <w:sz w:val="21"/>
                <w:szCs w:val="21"/>
              </w:rPr>
              <w:t>服务质量</w:t>
            </w:r>
            <w:r>
              <w:rPr>
                <w:sz w:val="21"/>
                <w:szCs w:val="21"/>
              </w:rPr>
              <w:t xml:space="preserve"> </w:t>
            </w:r>
            <w:r>
              <w:rPr>
                <w:spacing w:val="-2"/>
                <w:sz w:val="21"/>
                <w:szCs w:val="21"/>
              </w:rPr>
              <w:t>（7</w:t>
            </w:r>
            <w:r>
              <w:rPr>
                <w:spacing w:val="-36"/>
                <w:sz w:val="21"/>
                <w:szCs w:val="21"/>
              </w:rPr>
              <w:t xml:space="preserve"> </w:t>
            </w:r>
            <w:r>
              <w:rPr>
                <w:spacing w:val="-2"/>
                <w:sz w:val="21"/>
                <w:szCs w:val="21"/>
              </w:rPr>
              <w:t>分）</w:t>
            </w:r>
          </w:p>
        </w:tc>
        <w:tc>
          <w:tcPr>
            <w:tcW w:w="2537" w:type="pct"/>
          </w:tcPr>
          <w:p w14:paraId="20B4F293">
            <w:pPr>
              <w:pStyle w:val="208"/>
              <w:spacing w:before="36" w:line="358" w:lineRule="auto"/>
              <w:ind w:left="123" w:right="261" w:firstLine="425"/>
              <w:rPr>
                <w:rFonts w:hint="eastAsia"/>
                <w:sz w:val="21"/>
                <w:szCs w:val="21"/>
                <w:lang w:eastAsia="zh-CN"/>
              </w:rPr>
            </w:pPr>
            <w:r>
              <w:rPr>
                <w:spacing w:val="6"/>
                <w:sz w:val="21"/>
                <w:szCs w:val="21"/>
                <w:lang w:eastAsia="zh-CN"/>
              </w:rPr>
              <w:t>1、员工服务热情、文明用语、和蔼待人。</w:t>
            </w:r>
            <w:r>
              <w:rPr>
                <w:spacing w:val="7"/>
                <w:sz w:val="21"/>
                <w:szCs w:val="21"/>
                <w:lang w:eastAsia="zh-CN"/>
              </w:rPr>
              <w:t xml:space="preserve"> </w:t>
            </w:r>
            <w:r>
              <w:rPr>
                <w:spacing w:val="3"/>
                <w:sz w:val="21"/>
                <w:szCs w:val="21"/>
                <w:lang w:eastAsia="zh-CN"/>
              </w:rPr>
              <w:t>（共</w:t>
            </w:r>
            <w:r>
              <w:rPr>
                <w:spacing w:val="-27"/>
                <w:sz w:val="21"/>
                <w:szCs w:val="21"/>
                <w:lang w:eastAsia="zh-CN"/>
              </w:rPr>
              <w:t xml:space="preserve"> </w:t>
            </w:r>
            <w:r>
              <w:rPr>
                <w:spacing w:val="3"/>
                <w:sz w:val="21"/>
                <w:szCs w:val="21"/>
                <w:lang w:eastAsia="zh-CN"/>
              </w:rPr>
              <w:t>4</w:t>
            </w:r>
            <w:r>
              <w:rPr>
                <w:spacing w:val="-35"/>
                <w:sz w:val="21"/>
                <w:szCs w:val="21"/>
                <w:lang w:eastAsia="zh-CN"/>
              </w:rPr>
              <w:t xml:space="preserve"> </w:t>
            </w:r>
            <w:r>
              <w:rPr>
                <w:spacing w:val="3"/>
                <w:sz w:val="21"/>
                <w:szCs w:val="21"/>
                <w:lang w:eastAsia="zh-CN"/>
              </w:rPr>
              <w:t>分，任何一项不符合扣</w:t>
            </w:r>
            <w:r>
              <w:rPr>
                <w:spacing w:val="-21"/>
                <w:sz w:val="21"/>
                <w:szCs w:val="21"/>
                <w:lang w:eastAsia="zh-CN"/>
              </w:rPr>
              <w:t xml:space="preserve"> </w:t>
            </w:r>
            <w:r>
              <w:rPr>
                <w:spacing w:val="3"/>
                <w:sz w:val="21"/>
                <w:szCs w:val="21"/>
                <w:lang w:eastAsia="zh-CN"/>
              </w:rPr>
              <w:t>1</w:t>
            </w:r>
            <w:r>
              <w:rPr>
                <w:spacing w:val="-36"/>
                <w:sz w:val="21"/>
                <w:szCs w:val="21"/>
                <w:lang w:eastAsia="zh-CN"/>
              </w:rPr>
              <w:t xml:space="preserve"> </w:t>
            </w:r>
            <w:r>
              <w:rPr>
                <w:spacing w:val="3"/>
                <w:sz w:val="21"/>
                <w:szCs w:val="21"/>
                <w:lang w:eastAsia="zh-CN"/>
              </w:rPr>
              <w:t>分）</w:t>
            </w:r>
          </w:p>
        </w:tc>
        <w:tc>
          <w:tcPr>
            <w:tcW w:w="682" w:type="pct"/>
          </w:tcPr>
          <w:p w14:paraId="21B9A5F7">
            <w:pPr>
              <w:rPr>
                <w:rFonts w:hint="eastAsia" w:ascii="Arial"/>
                <w:szCs w:val="21"/>
              </w:rPr>
            </w:pPr>
          </w:p>
        </w:tc>
        <w:tc>
          <w:tcPr>
            <w:tcW w:w="647" w:type="pct"/>
          </w:tcPr>
          <w:p w14:paraId="101B0C4E">
            <w:pPr>
              <w:rPr>
                <w:rFonts w:hint="eastAsia" w:ascii="Arial"/>
                <w:szCs w:val="21"/>
              </w:rPr>
            </w:pPr>
          </w:p>
        </w:tc>
      </w:tr>
      <w:tr w14:paraId="57225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448" w:type="pct"/>
            <w:vMerge w:val="continue"/>
            <w:tcBorders>
              <w:top w:val="nil"/>
            </w:tcBorders>
          </w:tcPr>
          <w:p w14:paraId="5164E0B8">
            <w:pPr>
              <w:rPr>
                <w:rFonts w:hint="eastAsia" w:ascii="Arial"/>
                <w:szCs w:val="21"/>
              </w:rPr>
            </w:pPr>
          </w:p>
        </w:tc>
        <w:tc>
          <w:tcPr>
            <w:tcW w:w="684" w:type="pct"/>
            <w:vMerge w:val="continue"/>
            <w:tcBorders>
              <w:top w:val="nil"/>
            </w:tcBorders>
          </w:tcPr>
          <w:p w14:paraId="336B2FC0">
            <w:pPr>
              <w:rPr>
                <w:rFonts w:hint="eastAsia" w:ascii="Arial"/>
                <w:szCs w:val="21"/>
              </w:rPr>
            </w:pPr>
          </w:p>
        </w:tc>
        <w:tc>
          <w:tcPr>
            <w:tcW w:w="2537" w:type="pct"/>
          </w:tcPr>
          <w:p w14:paraId="659654CB">
            <w:pPr>
              <w:pStyle w:val="208"/>
              <w:spacing w:before="34" w:line="359" w:lineRule="auto"/>
              <w:ind w:left="116" w:right="224" w:firstLine="448" w:firstLineChars="200"/>
              <w:rPr>
                <w:rFonts w:hint="eastAsia"/>
                <w:sz w:val="21"/>
                <w:szCs w:val="21"/>
                <w:lang w:eastAsia="zh-CN"/>
              </w:rPr>
            </w:pPr>
            <w:r>
              <w:rPr>
                <w:spacing w:val="7"/>
                <w:sz w:val="21"/>
                <w:szCs w:val="21"/>
                <w:lang w:eastAsia="zh-CN"/>
              </w:rPr>
              <w:t>2、程序规范，快捷、高效。（共</w:t>
            </w:r>
            <w:r>
              <w:rPr>
                <w:spacing w:val="-20"/>
                <w:sz w:val="21"/>
                <w:szCs w:val="21"/>
                <w:lang w:eastAsia="zh-CN"/>
              </w:rPr>
              <w:t xml:space="preserve"> </w:t>
            </w:r>
            <w:r>
              <w:rPr>
                <w:spacing w:val="7"/>
                <w:sz w:val="21"/>
                <w:szCs w:val="21"/>
                <w:lang w:eastAsia="zh-CN"/>
              </w:rPr>
              <w:t>3</w:t>
            </w:r>
            <w:r>
              <w:rPr>
                <w:spacing w:val="-36"/>
                <w:sz w:val="21"/>
                <w:szCs w:val="21"/>
                <w:lang w:eastAsia="zh-CN"/>
              </w:rPr>
              <w:t xml:space="preserve"> </w:t>
            </w:r>
            <w:r>
              <w:rPr>
                <w:spacing w:val="7"/>
                <w:sz w:val="21"/>
                <w:szCs w:val="21"/>
                <w:lang w:eastAsia="zh-CN"/>
              </w:rPr>
              <w:t>分，任何一</w:t>
            </w:r>
            <w:r>
              <w:rPr>
                <w:sz w:val="21"/>
                <w:szCs w:val="21"/>
                <w:lang w:eastAsia="zh-CN"/>
              </w:rPr>
              <w:t xml:space="preserve"> </w:t>
            </w:r>
            <w:r>
              <w:rPr>
                <w:spacing w:val="2"/>
                <w:sz w:val="21"/>
                <w:szCs w:val="21"/>
                <w:lang w:eastAsia="zh-CN"/>
              </w:rPr>
              <w:t>项不符合扣</w:t>
            </w:r>
            <w:r>
              <w:rPr>
                <w:spacing w:val="-24"/>
                <w:sz w:val="21"/>
                <w:szCs w:val="21"/>
                <w:lang w:eastAsia="zh-CN"/>
              </w:rPr>
              <w:t xml:space="preserve"> </w:t>
            </w:r>
            <w:r>
              <w:rPr>
                <w:spacing w:val="2"/>
                <w:sz w:val="21"/>
                <w:szCs w:val="21"/>
                <w:lang w:eastAsia="zh-CN"/>
              </w:rPr>
              <w:t>1</w:t>
            </w:r>
            <w:r>
              <w:rPr>
                <w:spacing w:val="-36"/>
                <w:sz w:val="21"/>
                <w:szCs w:val="21"/>
                <w:lang w:eastAsia="zh-CN"/>
              </w:rPr>
              <w:t xml:space="preserve"> </w:t>
            </w:r>
            <w:r>
              <w:rPr>
                <w:spacing w:val="2"/>
                <w:sz w:val="21"/>
                <w:szCs w:val="21"/>
                <w:lang w:eastAsia="zh-CN"/>
              </w:rPr>
              <w:t>分）</w:t>
            </w:r>
          </w:p>
        </w:tc>
        <w:tc>
          <w:tcPr>
            <w:tcW w:w="682" w:type="pct"/>
          </w:tcPr>
          <w:p w14:paraId="4CE8E4C2">
            <w:pPr>
              <w:rPr>
                <w:rFonts w:hint="eastAsia" w:ascii="Arial"/>
                <w:szCs w:val="21"/>
              </w:rPr>
            </w:pPr>
          </w:p>
        </w:tc>
        <w:tc>
          <w:tcPr>
            <w:tcW w:w="647" w:type="pct"/>
          </w:tcPr>
          <w:p w14:paraId="13BB716A">
            <w:pPr>
              <w:rPr>
                <w:rFonts w:hint="eastAsia" w:ascii="Arial"/>
                <w:szCs w:val="21"/>
              </w:rPr>
            </w:pPr>
          </w:p>
        </w:tc>
      </w:tr>
      <w:tr w14:paraId="1B2AD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jc w:val="center"/>
        </w:trPr>
        <w:tc>
          <w:tcPr>
            <w:tcW w:w="448" w:type="pct"/>
          </w:tcPr>
          <w:p w14:paraId="141B5711">
            <w:pPr>
              <w:spacing w:line="376" w:lineRule="auto"/>
              <w:rPr>
                <w:rFonts w:hint="eastAsia" w:ascii="Arial"/>
                <w:szCs w:val="21"/>
              </w:rPr>
            </w:pPr>
          </w:p>
          <w:p w14:paraId="45A05D04">
            <w:pPr>
              <w:pStyle w:val="208"/>
              <w:spacing w:before="65" w:line="229" w:lineRule="auto"/>
              <w:ind w:left="354"/>
              <w:rPr>
                <w:rFonts w:hint="eastAsia"/>
                <w:sz w:val="21"/>
                <w:szCs w:val="21"/>
              </w:rPr>
            </w:pPr>
            <w:r>
              <w:rPr>
                <w:sz w:val="21"/>
                <w:szCs w:val="21"/>
              </w:rPr>
              <w:t>十</w:t>
            </w:r>
          </w:p>
        </w:tc>
        <w:tc>
          <w:tcPr>
            <w:tcW w:w="684" w:type="pct"/>
          </w:tcPr>
          <w:p w14:paraId="0D3FE6C4">
            <w:pPr>
              <w:pStyle w:val="208"/>
              <w:spacing w:before="35" w:line="367" w:lineRule="auto"/>
              <w:ind w:right="220"/>
              <w:rPr>
                <w:rFonts w:hint="eastAsia"/>
                <w:sz w:val="21"/>
                <w:szCs w:val="21"/>
              </w:rPr>
            </w:pPr>
            <w:r>
              <w:rPr>
                <w:spacing w:val="8"/>
                <w:sz w:val="21"/>
                <w:szCs w:val="21"/>
              </w:rPr>
              <w:t>满意度管</w:t>
            </w:r>
            <w:r>
              <w:rPr>
                <w:sz w:val="21"/>
                <w:szCs w:val="21"/>
              </w:rPr>
              <w:t xml:space="preserve"> 理（10</w:t>
            </w:r>
            <w:r>
              <w:rPr>
                <w:spacing w:val="-38"/>
                <w:sz w:val="21"/>
                <w:szCs w:val="21"/>
              </w:rPr>
              <w:t xml:space="preserve"> </w:t>
            </w:r>
            <w:r>
              <w:rPr>
                <w:sz w:val="21"/>
                <w:szCs w:val="21"/>
              </w:rPr>
              <w:t>分）</w:t>
            </w:r>
          </w:p>
        </w:tc>
        <w:tc>
          <w:tcPr>
            <w:tcW w:w="2537" w:type="pct"/>
          </w:tcPr>
          <w:p w14:paraId="51068EFF">
            <w:pPr>
              <w:pStyle w:val="208"/>
              <w:spacing w:before="237" w:line="362" w:lineRule="auto"/>
              <w:ind w:left="137" w:right="277" w:hanging="8"/>
              <w:rPr>
                <w:rFonts w:hint="eastAsia"/>
                <w:sz w:val="21"/>
                <w:szCs w:val="21"/>
                <w:lang w:eastAsia="zh-CN"/>
              </w:rPr>
            </w:pPr>
            <w:r>
              <w:rPr>
                <w:spacing w:val="7"/>
                <w:sz w:val="21"/>
                <w:szCs w:val="21"/>
                <w:lang w:eastAsia="zh-CN"/>
              </w:rPr>
              <w:t>现场进行用户满意度测评，满意率达</w:t>
            </w:r>
            <w:r>
              <w:rPr>
                <w:spacing w:val="-29"/>
                <w:sz w:val="21"/>
                <w:szCs w:val="21"/>
                <w:lang w:eastAsia="zh-CN"/>
              </w:rPr>
              <w:t xml:space="preserve"> </w:t>
            </w:r>
            <w:r>
              <w:rPr>
                <w:spacing w:val="7"/>
                <w:sz w:val="21"/>
                <w:szCs w:val="21"/>
                <w:lang w:eastAsia="zh-CN"/>
              </w:rPr>
              <w:t>70%及</w:t>
            </w:r>
            <w:r>
              <w:rPr>
                <w:sz w:val="21"/>
                <w:szCs w:val="21"/>
                <w:lang w:eastAsia="zh-CN"/>
              </w:rPr>
              <w:t xml:space="preserve"> </w:t>
            </w:r>
            <w:r>
              <w:rPr>
                <w:spacing w:val="2"/>
                <w:sz w:val="21"/>
                <w:szCs w:val="21"/>
                <w:lang w:eastAsia="zh-CN"/>
              </w:rPr>
              <w:t>以上。（共10</w:t>
            </w:r>
            <w:r>
              <w:rPr>
                <w:spacing w:val="-38"/>
                <w:sz w:val="21"/>
                <w:szCs w:val="21"/>
                <w:lang w:eastAsia="zh-CN"/>
              </w:rPr>
              <w:t xml:space="preserve"> </w:t>
            </w:r>
            <w:r>
              <w:rPr>
                <w:spacing w:val="2"/>
                <w:sz w:val="21"/>
                <w:szCs w:val="21"/>
                <w:lang w:eastAsia="zh-CN"/>
              </w:rPr>
              <w:t>分，满意率不达</w:t>
            </w:r>
            <w:r>
              <w:rPr>
                <w:spacing w:val="-32"/>
                <w:sz w:val="21"/>
                <w:szCs w:val="21"/>
                <w:lang w:eastAsia="zh-CN"/>
              </w:rPr>
              <w:t xml:space="preserve"> </w:t>
            </w:r>
            <w:r>
              <w:rPr>
                <w:spacing w:val="2"/>
                <w:sz w:val="21"/>
                <w:szCs w:val="21"/>
                <w:lang w:eastAsia="zh-CN"/>
              </w:rPr>
              <w:t>70%扣</w:t>
            </w:r>
            <w:r>
              <w:rPr>
                <w:spacing w:val="-24"/>
                <w:sz w:val="21"/>
                <w:szCs w:val="21"/>
                <w:lang w:eastAsia="zh-CN"/>
              </w:rPr>
              <w:t xml:space="preserve"> </w:t>
            </w:r>
            <w:r>
              <w:rPr>
                <w:spacing w:val="2"/>
                <w:sz w:val="21"/>
                <w:szCs w:val="21"/>
                <w:lang w:eastAsia="zh-CN"/>
              </w:rPr>
              <w:t>10</w:t>
            </w:r>
            <w:r>
              <w:rPr>
                <w:spacing w:val="-35"/>
                <w:sz w:val="21"/>
                <w:szCs w:val="21"/>
                <w:lang w:eastAsia="zh-CN"/>
              </w:rPr>
              <w:t xml:space="preserve"> </w:t>
            </w:r>
            <w:r>
              <w:rPr>
                <w:spacing w:val="2"/>
                <w:sz w:val="21"/>
                <w:szCs w:val="21"/>
                <w:lang w:eastAsia="zh-CN"/>
              </w:rPr>
              <w:t>分）</w:t>
            </w:r>
          </w:p>
        </w:tc>
        <w:tc>
          <w:tcPr>
            <w:tcW w:w="682" w:type="pct"/>
          </w:tcPr>
          <w:p w14:paraId="6CF88C75">
            <w:pPr>
              <w:rPr>
                <w:rFonts w:hint="eastAsia" w:ascii="Arial"/>
                <w:szCs w:val="21"/>
              </w:rPr>
            </w:pPr>
          </w:p>
        </w:tc>
        <w:tc>
          <w:tcPr>
            <w:tcW w:w="647" w:type="pct"/>
          </w:tcPr>
          <w:p w14:paraId="712F514C">
            <w:pPr>
              <w:rPr>
                <w:rFonts w:hint="eastAsia" w:ascii="Arial"/>
                <w:szCs w:val="21"/>
              </w:rPr>
            </w:pPr>
          </w:p>
        </w:tc>
      </w:tr>
      <w:tr w14:paraId="347CB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1132" w:type="pct"/>
            <w:gridSpan w:val="2"/>
          </w:tcPr>
          <w:p w14:paraId="65AC57BF">
            <w:pPr>
              <w:pStyle w:val="208"/>
              <w:spacing w:before="35" w:line="367" w:lineRule="auto"/>
              <w:ind w:right="220" w:firstLine="680" w:firstLineChars="300"/>
              <w:jc w:val="center"/>
              <w:rPr>
                <w:rFonts w:hint="eastAsia"/>
                <w:spacing w:val="8"/>
                <w:sz w:val="21"/>
                <w:szCs w:val="21"/>
                <w:lang w:eastAsia="zh-CN"/>
              </w:rPr>
            </w:pPr>
            <w:r>
              <w:rPr>
                <w:rFonts w:hint="eastAsia"/>
                <w:b/>
                <w:bCs/>
                <w:spacing w:val="8"/>
                <w:sz w:val="21"/>
                <w:szCs w:val="21"/>
                <w:lang w:eastAsia="zh-CN"/>
              </w:rPr>
              <w:t>总得分</w:t>
            </w:r>
          </w:p>
        </w:tc>
        <w:tc>
          <w:tcPr>
            <w:tcW w:w="3867" w:type="pct"/>
            <w:gridSpan w:val="3"/>
          </w:tcPr>
          <w:p w14:paraId="6240F6FE">
            <w:pPr>
              <w:rPr>
                <w:rFonts w:hint="eastAsia" w:ascii="Arial"/>
                <w:szCs w:val="21"/>
              </w:rPr>
            </w:pPr>
          </w:p>
        </w:tc>
      </w:tr>
    </w:tbl>
    <w:p w14:paraId="1BE7C61A">
      <w:pPr>
        <w:jc w:val="center"/>
        <w:rPr>
          <w:rFonts w:hint="eastAsia" w:ascii="宋体" w:hAnsi="宋体" w:eastAsia="宋体" w:cs="宋体"/>
          <w:color w:val="auto"/>
          <w:sz w:val="32"/>
          <w:szCs w:val="32"/>
          <w:highlight w:val="none"/>
        </w:rPr>
      </w:pPr>
    </w:p>
    <w:p w14:paraId="73851E1C">
      <w:pPr>
        <w:pageBreakBefore/>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附件</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rPr>
        <w:t>：年度综合考评表</w:t>
      </w:r>
    </w:p>
    <w:p w14:paraId="0E80FAB5">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年度综合考评表</w:t>
      </w:r>
    </w:p>
    <w:tbl>
      <w:tblPr>
        <w:tblStyle w:val="38"/>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4791"/>
        <w:gridCol w:w="2034"/>
        <w:gridCol w:w="797"/>
        <w:gridCol w:w="723"/>
      </w:tblGrid>
      <w:tr w14:paraId="6ACFB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21" w:type="dxa"/>
            <w:vAlign w:val="center"/>
          </w:tcPr>
          <w:p w14:paraId="7341CD55">
            <w:pPr>
              <w:jc w:val="center"/>
              <w:rPr>
                <w:rFonts w:hint="eastAsia" w:ascii="宋体" w:hAnsi="宋体" w:eastAsia="宋体" w:cs="宋体"/>
                <w:szCs w:val="21"/>
              </w:rPr>
            </w:pPr>
            <w:r>
              <w:rPr>
                <w:rFonts w:hint="eastAsia" w:ascii="宋体" w:hAnsi="宋体" w:eastAsia="宋体" w:cs="宋体"/>
                <w:szCs w:val="21"/>
              </w:rPr>
              <w:t>项目</w:t>
            </w:r>
          </w:p>
        </w:tc>
        <w:tc>
          <w:tcPr>
            <w:tcW w:w="4791" w:type="dxa"/>
            <w:vAlign w:val="center"/>
          </w:tcPr>
          <w:p w14:paraId="642E68C1">
            <w:pPr>
              <w:jc w:val="center"/>
              <w:rPr>
                <w:rFonts w:hint="eastAsia" w:ascii="宋体" w:hAnsi="宋体" w:eastAsia="宋体" w:cs="宋体"/>
                <w:szCs w:val="21"/>
              </w:rPr>
            </w:pPr>
            <w:r>
              <w:rPr>
                <w:rFonts w:hint="eastAsia" w:ascii="宋体" w:hAnsi="宋体" w:eastAsia="宋体" w:cs="宋体"/>
                <w:szCs w:val="21"/>
              </w:rPr>
              <w:t>内容与标准</w:t>
            </w:r>
          </w:p>
        </w:tc>
        <w:tc>
          <w:tcPr>
            <w:tcW w:w="2034" w:type="dxa"/>
            <w:vAlign w:val="center"/>
          </w:tcPr>
          <w:p w14:paraId="436E0E3A">
            <w:pPr>
              <w:jc w:val="center"/>
              <w:rPr>
                <w:rFonts w:hint="eastAsia" w:ascii="宋体" w:hAnsi="宋体" w:eastAsia="宋体" w:cs="宋体"/>
                <w:szCs w:val="21"/>
              </w:rPr>
            </w:pPr>
            <w:r>
              <w:rPr>
                <w:rFonts w:hint="eastAsia" w:ascii="宋体" w:hAnsi="宋体" w:eastAsia="宋体" w:cs="宋体"/>
                <w:szCs w:val="21"/>
              </w:rPr>
              <w:t>扣分方法</w:t>
            </w:r>
          </w:p>
        </w:tc>
        <w:tc>
          <w:tcPr>
            <w:tcW w:w="797" w:type="dxa"/>
            <w:vAlign w:val="center"/>
          </w:tcPr>
          <w:p w14:paraId="4E3C3ED1">
            <w:pPr>
              <w:jc w:val="center"/>
              <w:rPr>
                <w:rFonts w:hint="eastAsia" w:ascii="宋体" w:hAnsi="宋体" w:eastAsia="宋体" w:cs="宋体"/>
                <w:szCs w:val="21"/>
              </w:rPr>
            </w:pPr>
            <w:r>
              <w:rPr>
                <w:rFonts w:hint="eastAsia" w:ascii="宋体" w:hAnsi="宋体" w:eastAsia="宋体" w:cs="宋体"/>
                <w:szCs w:val="21"/>
              </w:rPr>
              <w:t>得分</w:t>
            </w:r>
          </w:p>
        </w:tc>
        <w:tc>
          <w:tcPr>
            <w:tcW w:w="723" w:type="dxa"/>
            <w:vAlign w:val="center"/>
          </w:tcPr>
          <w:p w14:paraId="49FBBBA2">
            <w:pPr>
              <w:jc w:val="center"/>
              <w:rPr>
                <w:rFonts w:hint="eastAsia" w:ascii="宋体" w:hAnsi="宋体" w:eastAsia="宋体" w:cs="宋体"/>
                <w:szCs w:val="21"/>
              </w:rPr>
            </w:pPr>
            <w:r>
              <w:rPr>
                <w:rFonts w:hint="eastAsia" w:ascii="宋体" w:hAnsi="宋体" w:eastAsia="宋体" w:cs="宋体"/>
                <w:szCs w:val="21"/>
              </w:rPr>
              <w:t>备注</w:t>
            </w:r>
          </w:p>
        </w:tc>
      </w:tr>
      <w:tr w14:paraId="5002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921" w:type="dxa"/>
            <w:vAlign w:val="center"/>
          </w:tcPr>
          <w:p w14:paraId="5D8B47F9">
            <w:pPr>
              <w:pStyle w:val="208"/>
              <w:spacing w:before="35" w:line="367" w:lineRule="auto"/>
              <w:ind w:right="220"/>
              <w:jc w:val="center"/>
              <w:rPr>
                <w:rFonts w:hint="eastAsia"/>
                <w:sz w:val="21"/>
                <w:szCs w:val="21"/>
              </w:rPr>
            </w:pPr>
            <w:r>
              <w:rPr>
                <w:sz w:val="21"/>
                <w:szCs w:val="21"/>
                <w:lang w:eastAsia="zh-CN"/>
              </w:rPr>
              <w:t>经营理念及</w:t>
            </w:r>
            <w:r>
              <w:rPr>
                <w:sz w:val="21"/>
                <w:szCs w:val="21"/>
              </w:rPr>
              <w:t>制度健全</w:t>
            </w:r>
          </w:p>
        </w:tc>
        <w:tc>
          <w:tcPr>
            <w:tcW w:w="4791" w:type="dxa"/>
          </w:tcPr>
          <w:p w14:paraId="551EC50C">
            <w:pPr>
              <w:pStyle w:val="208"/>
              <w:spacing w:before="34" w:line="359" w:lineRule="auto"/>
              <w:ind w:left="116" w:right="224"/>
              <w:rPr>
                <w:rFonts w:hint="eastAsia"/>
                <w:spacing w:val="7"/>
                <w:sz w:val="21"/>
                <w:szCs w:val="21"/>
                <w:lang w:eastAsia="zh-CN"/>
              </w:rPr>
            </w:pPr>
            <w:r>
              <w:rPr>
                <w:spacing w:val="7"/>
                <w:sz w:val="21"/>
                <w:szCs w:val="21"/>
                <w:lang w:eastAsia="zh-CN"/>
              </w:rPr>
              <w:t>1、食堂卫生管理制度。2、各岗位职责。3、仓储保管制度。4、卫生责任划分制度。5、粗加工管理制度。6、清洁消毒制度。7、烹调加工管理制度。8、面点操作管理制度。9、安全防范制度与措施。10、食堂人员个人卫生制度等。以上制度要求每年更新一次</w:t>
            </w:r>
            <w:r>
              <w:rPr>
                <w:rFonts w:hint="eastAsia"/>
                <w:spacing w:val="7"/>
                <w:sz w:val="21"/>
                <w:szCs w:val="21"/>
                <w:lang w:eastAsia="zh-CN"/>
              </w:rPr>
              <w:t>。（共5分）</w:t>
            </w:r>
          </w:p>
        </w:tc>
        <w:tc>
          <w:tcPr>
            <w:tcW w:w="2034" w:type="dxa"/>
            <w:vAlign w:val="center"/>
          </w:tcPr>
          <w:p w14:paraId="5121B1BC">
            <w:pPr>
              <w:pStyle w:val="208"/>
              <w:spacing w:before="34" w:line="359" w:lineRule="auto"/>
              <w:ind w:left="116" w:right="224"/>
              <w:jc w:val="center"/>
              <w:rPr>
                <w:rFonts w:hint="eastAsia"/>
                <w:spacing w:val="7"/>
                <w:sz w:val="21"/>
                <w:szCs w:val="21"/>
                <w:lang w:eastAsia="zh-CN"/>
              </w:rPr>
            </w:pPr>
            <w:r>
              <w:rPr>
                <w:spacing w:val="7"/>
                <w:sz w:val="21"/>
                <w:szCs w:val="21"/>
                <w:lang w:eastAsia="zh-CN"/>
              </w:rPr>
              <w:t>管理制度上墙公布，每缺少一项扣1分，未按制度执行扣1分∕项次。</w:t>
            </w:r>
          </w:p>
        </w:tc>
        <w:tc>
          <w:tcPr>
            <w:tcW w:w="797" w:type="dxa"/>
            <w:vAlign w:val="center"/>
          </w:tcPr>
          <w:p w14:paraId="21765B46">
            <w:pPr>
              <w:jc w:val="center"/>
              <w:rPr>
                <w:rFonts w:hint="eastAsia" w:ascii="宋体" w:hAnsi="宋体" w:eastAsia="宋体" w:cs="宋体"/>
                <w:szCs w:val="21"/>
              </w:rPr>
            </w:pPr>
          </w:p>
        </w:tc>
        <w:tc>
          <w:tcPr>
            <w:tcW w:w="723" w:type="dxa"/>
            <w:vAlign w:val="center"/>
          </w:tcPr>
          <w:p w14:paraId="50D99770">
            <w:pPr>
              <w:jc w:val="center"/>
              <w:rPr>
                <w:rFonts w:hint="eastAsia" w:ascii="宋体" w:hAnsi="宋体" w:eastAsia="宋体" w:cs="宋体"/>
                <w:szCs w:val="21"/>
              </w:rPr>
            </w:pPr>
          </w:p>
        </w:tc>
      </w:tr>
      <w:tr w14:paraId="5A7EE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921" w:type="dxa"/>
            <w:vAlign w:val="center"/>
          </w:tcPr>
          <w:p w14:paraId="14203F32">
            <w:pPr>
              <w:pStyle w:val="208"/>
              <w:spacing w:before="35" w:line="367" w:lineRule="auto"/>
              <w:ind w:right="220"/>
              <w:jc w:val="center"/>
              <w:rPr>
                <w:rFonts w:hint="eastAsia"/>
                <w:sz w:val="21"/>
                <w:szCs w:val="21"/>
              </w:rPr>
            </w:pPr>
            <w:r>
              <w:rPr>
                <w:sz w:val="21"/>
                <w:szCs w:val="21"/>
              </w:rPr>
              <w:t>品质保障</w:t>
            </w:r>
          </w:p>
        </w:tc>
        <w:tc>
          <w:tcPr>
            <w:tcW w:w="4791" w:type="dxa"/>
          </w:tcPr>
          <w:p w14:paraId="30CDBFFC">
            <w:pPr>
              <w:pStyle w:val="208"/>
              <w:spacing w:before="34" w:line="359" w:lineRule="auto"/>
              <w:ind w:left="116" w:right="224"/>
              <w:rPr>
                <w:rFonts w:hint="eastAsia"/>
                <w:spacing w:val="7"/>
                <w:sz w:val="21"/>
                <w:szCs w:val="21"/>
                <w:lang w:eastAsia="zh-CN"/>
              </w:rPr>
            </w:pPr>
            <w:r>
              <w:rPr>
                <w:spacing w:val="7"/>
                <w:sz w:val="21"/>
                <w:szCs w:val="21"/>
                <w:lang w:eastAsia="zh-CN"/>
              </w:rPr>
              <w:t>1、不得有霉烂、变质、老化的蔬菜食品入库。2、拣菜人员必须将不合格的菜品分出来。3、成品、半成品、调料必须有厂商、生产日期、合格证。4、烹饪加工品质控制有指定的专业责任人。</w:t>
            </w:r>
            <w:r>
              <w:rPr>
                <w:rFonts w:hint="eastAsia"/>
                <w:spacing w:val="7"/>
                <w:sz w:val="21"/>
                <w:szCs w:val="21"/>
                <w:lang w:eastAsia="zh-CN"/>
              </w:rPr>
              <w:t>（共15分）</w:t>
            </w:r>
          </w:p>
        </w:tc>
        <w:tc>
          <w:tcPr>
            <w:tcW w:w="2034" w:type="dxa"/>
            <w:vAlign w:val="center"/>
          </w:tcPr>
          <w:p w14:paraId="28E43168">
            <w:pPr>
              <w:pStyle w:val="208"/>
              <w:spacing w:before="34" w:line="359" w:lineRule="auto"/>
              <w:ind w:left="116" w:right="224"/>
              <w:jc w:val="center"/>
              <w:rPr>
                <w:rFonts w:hint="eastAsia"/>
                <w:spacing w:val="7"/>
                <w:sz w:val="21"/>
                <w:szCs w:val="21"/>
                <w:lang w:eastAsia="zh-CN"/>
              </w:rPr>
            </w:pPr>
            <w:r>
              <w:rPr>
                <w:spacing w:val="7"/>
                <w:sz w:val="21"/>
                <w:szCs w:val="21"/>
                <w:lang w:eastAsia="zh-CN"/>
              </w:rPr>
              <w:t>现场随机抽查，违反一项扣5分。</w:t>
            </w:r>
          </w:p>
        </w:tc>
        <w:tc>
          <w:tcPr>
            <w:tcW w:w="797" w:type="dxa"/>
            <w:vAlign w:val="center"/>
          </w:tcPr>
          <w:p w14:paraId="22D9645B">
            <w:pPr>
              <w:jc w:val="center"/>
              <w:rPr>
                <w:rFonts w:hint="eastAsia" w:ascii="宋体" w:hAnsi="宋体" w:eastAsia="宋体" w:cs="宋体"/>
                <w:szCs w:val="21"/>
              </w:rPr>
            </w:pPr>
          </w:p>
        </w:tc>
        <w:tc>
          <w:tcPr>
            <w:tcW w:w="723" w:type="dxa"/>
            <w:vAlign w:val="center"/>
          </w:tcPr>
          <w:p w14:paraId="0C3A9F6E">
            <w:pPr>
              <w:jc w:val="center"/>
              <w:rPr>
                <w:rFonts w:hint="eastAsia" w:ascii="宋体" w:hAnsi="宋体" w:eastAsia="宋体" w:cs="宋体"/>
                <w:szCs w:val="21"/>
              </w:rPr>
            </w:pPr>
          </w:p>
        </w:tc>
      </w:tr>
      <w:tr w14:paraId="2D530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921" w:type="dxa"/>
            <w:vAlign w:val="center"/>
          </w:tcPr>
          <w:p w14:paraId="660FB4E4">
            <w:pPr>
              <w:pStyle w:val="208"/>
              <w:spacing w:before="35" w:line="367" w:lineRule="auto"/>
              <w:ind w:right="220"/>
              <w:jc w:val="center"/>
              <w:rPr>
                <w:rFonts w:hint="eastAsia"/>
                <w:sz w:val="21"/>
                <w:szCs w:val="21"/>
              </w:rPr>
            </w:pPr>
            <w:r>
              <w:rPr>
                <w:sz w:val="21"/>
                <w:szCs w:val="21"/>
              </w:rPr>
              <w:t>品质口味</w:t>
            </w:r>
          </w:p>
        </w:tc>
        <w:tc>
          <w:tcPr>
            <w:tcW w:w="4791" w:type="dxa"/>
          </w:tcPr>
          <w:p w14:paraId="1DF9E73C">
            <w:pPr>
              <w:pStyle w:val="208"/>
              <w:spacing w:before="34" w:line="359" w:lineRule="auto"/>
              <w:ind w:left="116" w:right="224"/>
              <w:rPr>
                <w:rFonts w:hint="eastAsia"/>
                <w:spacing w:val="7"/>
                <w:sz w:val="21"/>
                <w:szCs w:val="21"/>
                <w:lang w:eastAsia="zh-CN"/>
              </w:rPr>
            </w:pPr>
            <w:r>
              <w:rPr>
                <w:spacing w:val="7"/>
                <w:sz w:val="21"/>
                <w:szCs w:val="21"/>
                <w:lang w:eastAsia="zh-CN"/>
              </w:rPr>
              <w:t>1、是否每天对荤菜品种变化调整。2、是否每天对蔬菜品种搭配变化调整。3、是否每周对点菜、汤品进行变化翻新。4、有无约定品种供应。5、每周是否有克重和配比的菜单公布。</w:t>
            </w:r>
            <w:r>
              <w:rPr>
                <w:rFonts w:hint="eastAsia"/>
                <w:spacing w:val="7"/>
                <w:sz w:val="21"/>
                <w:szCs w:val="21"/>
                <w:lang w:eastAsia="zh-CN"/>
              </w:rPr>
              <w:t>（共15分）</w:t>
            </w:r>
          </w:p>
        </w:tc>
        <w:tc>
          <w:tcPr>
            <w:tcW w:w="2034" w:type="dxa"/>
            <w:vAlign w:val="center"/>
          </w:tcPr>
          <w:p w14:paraId="36D51C60">
            <w:pPr>
              <w:pStyle w:val="208"/>
              <w:spacing w:before="34" w:line="359" w:lineRule="auto"/>
              <w:ind w:left="116" w:right="224"/>
              <w:jc w:val="center"/>
              <w:rPr>
                <w:rFonts w:hint="eastAsia"/>
                <w:spacing w:val="7"/>
                <w:sz w:val="21"/>
                <w:szCs w:val="21"/>
                <w:lang w:eastAsia="zh-CN"/>
              </w:rPr>
            </w:pPr>
            <w:r>
              <w:rPr>
                <w:spacing w:val="7"/>
                <w:sz w:val="21"/>
                <w:szCs w:val="21"/>
                <w:lang w:eastAsia="zh-CN"/>
              </w:rPr>
              <w:t>现场抽查，违反一项扣5分。</w:t>
            </w:r>
          </w:p>
        </w:tc>
        <w:tc>
          <w:tcPr>
            <w:tcW w:w="797" w:type="dxa"/>
            <w:vAlign w:val="center"/>
          </w:tcPr>
          <w:p w14:paraId="3ECC8ED7">
            <w:pPr>
              <w:jc w:val="center"/>
              <w:rPr>
                <w:rFonts w:hint="eastAsia" w:ascii="宋体" w:hAnsi="宋体" w:eastAsia="宋体" w:cs="宋体"/>
                <w:szCs w:val="21"/>
              </w:rPr>
            </w:pPr>
          </w:p>
        </w:tc>
        <w:tc>
          <w:tcPr>
            <w:tcW w:w="723" w:type="dxa"/>
            <w:vAlign w:val="center"/>
          </w:tcPr>
          <w:p w14:paraId="6A6CD39B">
            <w:pPr>
              <w:jc w:val="center"/>
              <w:rPr>
                <w:rFonts w:hint="eastAsia" w:ascii="宋体" w:hAnsi="宋体" w:eastAsia="宋体" w:cs="宋体"/>
                <w:szCs w:val="21"/>
              </w:rPr>
            </w:pPr>
          </w:p>
        </w:tc>
      </w:tr>
      <w:tr w14:paraId="2240C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1" w:type="dxa"/>
            <w:vAlign w:val="center"/>
          </w:tcPr>
          <w:p w14:paraId="79C769D5">
            <w:pPr>
              <w:pStyle w:val="208"/>
              <w:spacing w:before="35" w:line="367" w:lineRule="auto"/>
              <w:ind w:right="220"/>
              <w:jc w:val="center"/>
              <w:rPr>
                <w:rFonts w:hint="eastAsia"/>
                <w:sz w:val="21"/>
                <w:szCs w:val="21"/>
              </w:rPr>
            </w:pPr>
            <w:r>
              <w:rPr>
                <w:sz w:val="21"/>
                <w:szCs w:val="21"/>
              </w:rPr>
              <w:t>饭菜量价</w:t>
            </w:r>
          </w:p>
        </w:tc>
        <w:tc>
          <w:tcPr>
            <w:tcW w:w="4791" w:type="dxa"/>
          </w:tcPr>
          <w:p w14:paraId="5A15D4C2">
            <w:pPr>
              <w:pStyle w:val="208"/>
              <w:spacing w:before="34" w:line="359" w:lineRule="auto"/>
              <w:ind w:left="116" w:right="224"/>
              <w:rPr>
                <w:rFonts w:hint="eastAsia"/>
                <w:spacing w:val="7"/>
                <w:sz w:val="21"/>
                <w:szCs w:val="21"/>
                <w:lang w:eastAsia="zh-CN"/>
              </w:rPr>
            </w:pPr>
            <w:r>
              <w:rPr>
                <w:spacing w:val="7"/>
                <w:sz w:val="21"/>
                <w:szCs w:val="21"/>
                <w:lang w:eastAsia="zh-CN"/>
              </w:rPr>
              <w:t>1、各类食品是否按公布的菜式供应。2、是否定期提供原料进价单。3、是否按用户需求的克重进行定价。</w:t>
            </w:r>
            <w:r>
              <w:rPr>
                <w:rFonts w:hint="eastAsia"/>
                <w:spacing w:val="7"/>
                <w:sz w:val="21"/>
                <w:szCs w:val="21"/>
                <w:lang w:eastAsia="zh-CN"/>
              </w:rPr>
              <w:t>（共10分）</w:t>
            </w:r>
          </w:p>
        </w:tc>
        <w:tc>
          <w:tcPr>
            <w:tcW w:w="2034" w:type="dxa"/>
            <w:vAlign w:val="center"/>
          </w:tcPr>
          <w:p w14:paraId="6618845F">
            <w:pPr>
              <w:pStyle w:val="208"/>
              <w:spacing w:before="34" w:line="359" w:lineRule="auto"/>
              <w:ind w:left="116" w:right="224"/>
              <w:jc w:val="center"/>
              <w:rPr>
                <w:rFonts w:hint="eastAsia"/>
                <w:spacing w:val="7"/>
                <w:sz w:val="21"/>
                <w:szCs w:val="21"/>
                <w:lang w:eastAsia="zh-CN"/>
              </w:rPr>
            </w:pPr>
            <w:r>
              <w:rPr>
                <w:spacing w:val="7"/>
                <w:sz w:val="21"/>
                <w:szCs w:val="21"/>
                <w:lang w:eastAsia="zh-CN"/>
              </w:rPr>
              <w:t>现场抽查，违反一项扣5分。</w:t>
            </w:r>
          </w:p>
        </w:tc>
        <w:tc>
          <w:tcPr>
            <w:tcW w:w="797" w:type="dxa"/>
            <w:vAlign w:val="center"/>
          </w:tcPr>
          <w:p w14:paraId="715DFCEC">
            <w:pPr>
              <w:jc w:val="center"/>
              <w:rPr>
                <w:rFonts w:hint="eastAsia" w:ascii="宋体" w:hAnsi="宋体" w:eastAsia="宋体" w:cs="宋体"/>
                <w:szCs w:val="21"/>
              </w:rPr>
            </w:pPr>
          </w:p>
        </w:tc>
        <w:tc>
          <w:tcPr>
            <w:tcW w:w="723" w:type="dxa"/>
            <w:vAlign w:val="center"/>
          </w:tcPr>
          <w:p w14:paraId="796F576B">
            <w:pPr>
              <w:jc w:val="center"/>
              <w:rPr>
                <w:rFonts w:hint="eastAsia" w:ascii="宋体" w:hAnsi="宋体" w:eastAsia="宋体" w:cs="宋体"/>
                <w:szCs w:val="21"/>
              </w:rPr>
            </w:pPr>
          </w:p>
        </w:tc>
      </w:tr>
      <w:tr w14:paraId="26D0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921" w:type="dxa"/>
            <w:vAlign w:val="center"/>
          </w:tcPr>
          <w:p w14:paraId="4C702CA9">
            <w:pPr>
              <w:pStyle w:val="208"/>
              <w:spacing w:before="35" w:line="367" w:lineRule="auto"/>
              <w:ind w:right="220"/>
              <w:jc w:val="center"/>
              <w:rPr>
                <w:rFonts w:hint="eastAsia"/>
                <w:sz w:val="21"/>
                <w:szCs w:val="21"/>
              </w:rPr>
            </w:pPr>
            <w:r>
              <w:rPr>
                <w:sz w:val="21"/>
                <w:szCs w:val="21"/>
              </w:rPr>
              <w:t>清洁卫生</w:t>
            </w:r>
          </w:p>
        </w:tc>
        <w:tc>
          <w:tcPr>
            <w:tcW w:w="4791" w:type="dxa"/>
          </w:tcPr>
          <w:p w14:paraId="423C8579">
            <w:pPr>
              <w:pStyle w:val="208"/>
              <w:spacing w:before="34" w:line="359" w:lineRule="auto"/>
              <w:ind w:left="116" w:right="224"/>
              <w:rPr>
                <w:rFonts w:hint="eastAsia"/>
                <w:spacing w:val="7"/>
                <w:sz w:val="21"/>
                <w:szCs w:val="21"/>
                <w:lang w:eastAsia="zh-CN"/>
              </w:rPr>
            </w:pPr>
            <w:r>
              <w:rPr>
                <w:spacing w:val="7"/>
                <w:sz w:val="21"/>
                <w:szCs w:val="21"/>
                <w:lang w:eastAsia="zh-CN"/>
              </w:rPr>
              <w:t>1、熟食品、面点、酱菜等有防蚊蝇措施。2、操作间地板、墙壁无油污、水渍，厨具、设备清洁，定位整齐。3、就餐大厅地面、门窗清洁，无积尘、蛛网，地毯清洁，铺设整齐。4、厨具、餐具按规定消毒，无污物，无水渍。5、食堂人员个人服装整洁，无不良卫生习惯，且每半年提供健康证。6、定期疏通排水沟和管网，确保畅通。</w:t>
            </w:r>
            <w:r>
              <w:rPr>
                <w:rFonts w:hint="eastAsia"/>
                <w:spacing w:val="7"/>
                <w:sz w:val="21"/>
                <w:szCs w:val="21"/>
                <w:lang w:eastAsia="zh-CN"/>
              </w:rPr>
              <w:t>（共10分）</w:t>
            </w:r>
          </w:p>
        </w:tc>
        <w:tc>
          <w:tcPr>
            <w:tcW w:w="2034" w:type="dxa"/>
            <w:vAlign w:val="center"/>
          </w:tcPr>
          <w:p w14:paraId="66F640A5">
            <w:pPr>
              <w:pStyle w:val="208"/>
              <w:spacing w:before="34" w:line="359" w:lineRule="auto"/>
              <w:ind w:left="116" w:right="224"/>
              <w:jc w:val="center"/>
              <w:rPr>
                <w:rFonts w:hint="eastAsia"/>
                <w:spacing w:val="7"/>
                <w:sz w:val="21"/>
                <w:szCs w:val="21"/>
                <w:lang w:eastAsia="zh-CN"/>
              </w:rPr>
            </w:pPr>
            <w:r>
              <w:rPr>
                <w:spacing w:val="7"/>
                <w:sz w:val="21"/>
                <w:szCs w:val="21"/>
                <w:lang w:eastAsia="zh-CN"/>
              </w:rPr>
              <w:t>现场抽查，违反一项扣1分。</w:t>
            </w:r>
          </w:p>
        </w:tc>
        <w:tc>
          <w:tcPr>
            <w:tcW w:w="797" w:type="dxa"/>
            <w:vAlign w:val="center"/>
          </w:tcPr>
          <w:p w14:paraId="6FEE9C05">
            <w:pPr>
              <w:jc w:val="center"/>
              <w:rPr>
                <w:rFonts w:hint="eastAsia" w:ascii="宋体" w:hAnsi="宋体" w:eastAsia="宋体" w:cs="宋体"/>
                <w:szCs w:val="21"/>
              </w:rPr>
            </w:pPr>
          </w:p>
        </w:tc>
        <w:tc>
          <w:tcPr>
            <w:tcW w:w="723" w:type="dxa"/>
            <w:vAlign w:val="center"/>
          </w:tcPr>
          <w:p w14:paraId="570FCB98">
            <w:pPr>
              <w:jc w:val="center"/>
              <w:rPr>
                <w:rFonts w:hint="eastAsia" w:ascii="宋体" w:hAnsi="宋体" w:eastAsia="宋体" w:cs="宋体"/>
                <w:szCs w:val="21"/>
              </w:rPr>
            </w:pPr>
          </w:p>
        </w:tc>
      </w:tr>
      <w:tr w14:paraId="3C34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921" w:type="dxa"/>
            <w:vAlign w:val="center"/>
          </w:tcPr>
          <w:p w14:paraId="3ABD0B61">
            <w:pPr>
              <w:pStyle w:val="208"/>
              <w:spacing w:before="35" w:line="367" w:lineRule="auto"/>
              <w:ind w:right="220"/>
              <w:jc w:val="center"/>
              <w:rPr>
                <w:rFonts w:hint="eastAsia"/>
                <w:sz w:val="21"/>
                <w:szCs w:val="21"/>
              </w:rPr>
            </w:pPr>
            <w:r>
              <w:rPr>
                <w:sz w:val="21"/>
                <w:szCs w:val="21"/>
              </w:rPr>
              <w:t>窗口服务</w:t>
            </w:r>
            <w:r>
              <w:rPr>
                <w:sz w:val="21"/>
                <w:szCs w:val="21"/>
                <w:lang w:eastAsia="zh-CN"/>
              </w:rPr>
              <w:t>员工管理</w:t>
            </w:r>
          </w:p>
        </w:tc>
        <w:tc>
          <w:tcPr>
            <w:tcW w:w="4791" w:type="dxa"/>
          </w:tcPr>
          <w:p w14:paraId="19A92A8D">
            <w:pPr>
              <w:pStyle w:val="208"/>
              <w:spacing w:before="34" w:line="359" w:lineRule="auto"/>
              <w:ind w:left="116" w:right="224"/>
              <w:rPr>
                <w:rFonts w:hint="eastAsia"/>
                <w:spacing w:val="7"/>
                <w:sz w:val="21"/>
                <w:szCs w:val="21"/>
                <w:lang w:eastAsia="zh-CN"/>
              </w:rPr>
            </w:pPr>
            <w:r>
              <w:rPr>
                <w:spacing w:val="7"/>
                <w:sz w:val="21"/>
                <w:szCs w:val="21"/>
                <w:lang w:eastAsia="zh-CN"/>
              </w:rPr>
              <w:t>1、窗口服务态度是否热情，发生与员工争吵每次扣2分。2、发生员工投诉每次扣2分。3、计价准确。4、食堂工作人员衣服整洁，按规定戴帽子、口罩、手套、工号牌等。5、供货商能主动到食堂随访，倾听食堂意见，每月至少一次。</w:t>
            </w:r>
            <w:r>
              <w:rPr>
                <w:rFonts w:hint="eastAsia"/>
                <w:spacing w:val="7"/>
                <w:sz w:val="21"/>
                <w:szCs w:val="21"/>
                <w:lang w:eastAsia="zh-CN"/>
              </w:rPr>
              <w:t>（共10分）</w:t>
            </w:r>
          </w:p>
        </w:tc>
        <w:tc>
          <w:tcPr>
            <w:tcW w:w="2034" w:type="dxa"/>
            <w:vAlign w:val="center"/>
          </w:tcPr>
          <w:p w14:paraId="26A79056">
            <w:pPr>
              <w:pStyle w:val="208"/>
              <w:spacing w:before="34" w:line="359" w:lineRule="auto"/>
              <w:ind w:left="116" w:right="224"/>
              <w:jc w:val="center"/>
              <w:rPr>
                <w:rFonts w:hint="eastAsia"/>
                <w:spacing w:val="7"/>
                <w:sz w:val="21"/>
                <w:szCs w:val="21"/>
              </w:rPr>
            </w:pPr>
            <w:r>
              <w:rPr>
                <w:spacing w:val="7"/>
                <w:sz w:val="21"/>
                <w:szCs w:val="21"/>
              </w:rPr>
              <w:t>现场抽查和员工投诉</w:t>
            </w:r>
          </w:p>
        </w:tc>
        <w:tc>
          <w:tcPr>
            <w:tcW w:w="797" w:type="dxa"/>
            <w:vAlign w:val="center"/>
          </w:tcPr>
          <w:p w14:paraId="507C66C9">
            <w:pPr>
              <w:jc w:val="center"/>
              <w:rPr>
                <w:rFonts w:hint="eastAsia" w:ascii="宋体" w:hAnsi="宋体" w:eastAsia="宋体" w:cs="宋体"/>
                <w:szCs w:val="21"/>
              </w:rPr>
            </w:pPr>
          </w:p>
        </w:tc>
        <w:tc>
          <w:tcPr>
            <w:tcW w:w="723" w:type="dxa"/>
            <w:vAlign w:val="center"/>
          </w:tcPr>
          <w:p w14:paraId="7DED1C28">
            <w:pPr>
              <w:jc w:val="center"/>
              <w:rPr>
                <w:rFonts w:hint="eastAsia" w:ascii="宋体" w:hAnsi="宋体" w:eastAsia="宋体" w:cs="宋体"/>
                <w:szCs w:val="21"/>
              </w:rPr>
            </w:pPr>
          </w:p>
        </w:tc>
      </w:tr>
      <w:tr w14:paraId="1929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921" w:type="dxa"/>
            <w:vAlign w:val="center"/>
          </w:tcPr>
          <w:p w14:paraId="11ED74CD">
            <w:pPr>
              <w:pStyle w:val="208"/>
              <w:spacing w:before="35" w:line="367" w:lineRule="auto"/>
              <w:ind w:right="220"/>
              <w:jc w:val="center"/>
              <w:rPr>
                <w:rFonts w:hint="eastAsia"/>
                <w:sz w:val="21"/>
                <w:szCs w:val="21"/>
                <w:lang w:eastAsia="zh-CN"/>
              </w:rPr>
            </w:pPr>
            <w:r>
              <w:rPr>
                <w:sz w:val="21"/>
                <w:szCs w:val="21"/>
                <w:lang w:eastAsia="zh-CN"/>
              </w:rPr>
              <w:t>重点及特色服务</w:t>
            </w:r>
          </w:p>
        </w:tc>
        <w:tc>
          <w:tcPr>
            <w:tcW w:w="4791" w:type="dxa"/>
          </w:tcPr>
          <w:p w14:paraId="0C9C5C5F">
            <w:pPr>
              <w:pStyle w:val="208"/>
              <w:spacing w:before="34" w:line="359" w:lineRule="auto"/>
              <w:ind w:left="116" w:right="224"/>
              <w:rPr>
                <w:rFonts w:hint="eastAsia"/>
                <w:spacing w:val="7"/>
                <w:sz w:val="21"/>
                <w:szCs w:val="21"/>
                <w:lang w:eastAsia="zh-CN"/>
              </w:rPr>
            </w:pPr>
            <w:r>
              <w:rPr>
                <w:spacing w:val="7"/>
                <w:sz w:val="21"/>
                <w:szCs w:val="21"/>
                <w:lang w:eastAsia="zh-CN"/>
              </w:rPr>
              <w:t>1、提供业主灵活的就餐服务；2、能够根据业主方的需求提供完善、品质、优秀的需求，赢得员工的满意度；3.能够根据业主的需求变化，做出及时服务调整，并为大厦提供优质的膳食服务。</w:t>
            </w:r>
            <w:r>
              <w:rPr>
                <w:rFonts w:hint="eastAsia"/>
                <w:spacing w:val="7"/>
                <w:sz w:val="21"/>
                <w:szCs w:val="21"/>
                <w:lang w:eastAsia="zh-CN"/>
              </w:rPr>
              <w:t>（共5分）</w:t>
            </w:r>
          </w:p>
        </w:tc>
        <w:tc>
          <w:tcPr>
            <w:tcW w:w="2034" w:type="dxa"/>
            <w:vAlign w:val="center"/>
          </w:tcPr>
          <w:p w14:paraId="63C1A311">
            <w:pPr>
              <w:pStyle w:val="208"/>
              <w:spacing w:before="34" w:line="359" w:lineRule="auto"/>
              <w:ind w:left="116" w:right="224"/>
              <w:jc w:val="center"/>
              <w:rPr>
                <w:rFonts w:hint="eastAsia"/>
                <w:spacing w:val="7"/>
                <w:sz w:val="21"/>
                <w:szCs w:val="21"/>
                <w:lang w:eastAsia="zh-CN"/>
              </w:rPr>
            </w:pPr>
            <w:r>
              <w:rPr>
                <w:spacing w:val="7"/>
                <w:sz w:val="21"/>
                <w:szCs w:val="21"/>
              </w:rPr>
              <w:t>现场抽查和员工投诉</w:t>
            </w:r>
          </w:p>
        </w:tc>
        <w:tc>
          <w:tcPr>
            <w:tcW w:w="797" w:type="dxa"/>
            <w:vAlign w:val="center"/>
          </w:tcPr>
          <w:p w14:paraId="6FB32A22">
            <w:pPr>
              <w:jc w:val="center"/>
              <w:rPr>
                <w:rFonts w:hint="eastAsia" w:ascii="宋体" w:hAnsi="宋体" w:eastAsia="宋体" w:cs="宋体"/>
                <w:szCs w:val="21"/>
              </w:rPr>
            </w:pPr>
          </w:p>
        </w:tc>
        <w:tc>
          <w:tcPr>
            <w:tcW w:w="723" w:type="dxa"/>
            <w:vAlign w:val="center"/>
          </w:tcPr>
          <w:p w14:paraId="2D1177CD">
            <w:pPr>
              <w:jc w:val="center"/>
              <w:rPr>
                <w:rFonts w:hint="eastAsia" w:ascii="宋体" w:hAnsi="宋体" w:eastAsia="宋体" w:cs="宋体"/>
                <w:szCs w:val="21"/>
              </w:rPr>
            </w:pPr>
          </w:p>
        </w:tc>
      </w:tr>
      <w:tr w14:paraId="2E2AA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921" w:type="dxa"/>
            <w:vAlign w:val="center"/>
          </w:tcPr>
          <w:p w14:paraId="6CE6CB8E">
            <w:pPr>
              <w:pStyle w:val="208"/>
              <w:spacing w:before="35" w:line="367" w:lineRule="auto"/>
              <w:ind w:right="220"/>
              <w:jc w:val="center"/>
              <w:rPr>
                <w:rFonts w:hint="eastAsia"/>
                <w:sz w:val="21"/>
                <w:szCs w:val="21"/>
              </w:rPr>
            </w:pPr>
            <w:r>
              <w:rPr>
                <w:sz w:val="21"/>
                <w:szCs w:val="21"/>
              </w:rPr>
              <w:t>安全防范</w:t>
            </w:r>
          </w:p>
        </w:tc>
        <w:tc>
          <w:tcPr>
            <w:tcW w:w="4791" w:type="dxa"/>
          </w:tcPr>
          <w:p w14:paraId="1280E1D9">
            <w:pPr>
              <w:pStyle w:val="208"/>
              <w:spacing w:before="34" w:line="359" w:lineRule="auto"/>
              <w:ind w:left="116" w:right="224"/>
              <w:rPr>
                <w:rFonts w:hint="eastAsia"/>
                <w:spacing w:val="7"/>
                <w:sz w:val="21"/>
                <w:szCs w:val="21"/>
                <w:lang w:eastAsia="zh-CN"/>
              </w:rPr>
            </w:pPr>
            <w:r>
              <w:rPr>
                <w:spacing w:val="7"/>
                <w:sz w:val="21"/>
                <w:szCs w:val="21"/>
                <w:lang w:eastAsia="zh-CN"/>
              </w:rPr>
              <w:t>1、食品、储藏室专人管理、钥匙专管。2、有预防农药残留制度，操作流程和检测责任人。3、餐具消毒清洗有流程、方法和责任人。4、食堂人员会使用灭火器，有预防措施和安全责任人。5、餐样留存48小时，有食物中毒预案。</w:t>
            </w:r>
            <w:r>
              <w:rPr>
                <w:rFonts w:hint="eastAsia"/>
                <w:spacing w:val="7"/>
                <w:sz w:val="21"/>
                <w:szCs w:val="21"/>
                <w:lang w:eastAsia="zh-CN"/>
              </w:rPr>
              <w:t>（共10分）</w:t>
            </w:r>
          </w:p>
        </w:tc>
        <w:tc>
          <w:tcPr>
            <w:tcW w:w="2034" w:type="dxa"/>
            <w:vAlign w:val="center"/>
          </w:tcPr>
          <w:p w14:paraId="163E55B8">
            <w:pPr>
              <w:pStyle w:val="208"/>
              <w:spacing w:before="34" w:line="359" w:lineRule="auto"/>
              <w:ind w:left="116" w:right="224"/>
              <w:jc w:val="center"/>
              <w:rPr>
                <w:rFonts w:hint="eastAsia"/>
                <w:spacing w:val="7"/>
                <w:sz w:val="21"/>
                <w:szCs w:val="21"/>
                <w:lang w:eastAsia="zh-CN"/>
              </w:rPr>
            </w:pPr>
            <w:r>
              <w:rPr>
                <w:spacing w:val="7"/>
                <w:sz w:val="21"/>
                <w:szCs w:val="21"/>
                <w:lang w:eastAsia="zh-CN"/>
              </w:rPr>
              <w:t>现场抽查，违反一项扣2分。</w:t>
            </w:r>
          </w:p>
        </w:tc>
        <w:tc>
          <w:tcPr>
            <w:tcW w:w="797" w:type="dxa"/>
            <w:vAlign w:val="center"/>
          </w:tcPr>
          <w:p w14:paraId="1365985F">
            <w:pPr>
              <w:jc w:val="center"/>
              <w:rPr>
                <w:rFonts w:hint="eastAsia" w:ascii="宋体" w:hAnsi="宋体" w:eastAsia="宋体" w:cs="宋体"/>
                <w:szCs w:val="21"/>
              </w:rPr>
            </w:pPr>
          </w:p>
        </w:tc>
        <w:tc>
          <w:tcPr>
            <w:tcW w:w="723" w:type="dxa"/>
            <w:vAlign w:val="center"/>
          </w:tcPr>
          <w:p w14:paraId="78B37DFD">
            <w:pPr>
              <w:jc w:val="center"/>
              <w:rPr>
                <w:rFonts w:hint="eastAsia" w:ascii="宋体" w:hAnsi="宋体" w:eastAsia="宋体" w:cs="宋体"/>
                <w:szCs w:val="21"/>
              </w:rPr>
            </w:pPr>
          </w:p>
        </w:tc>
      </w:tr>
      <w:tr w14:paraId="7C09B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921" w:type="dxa"/>
            <w:vAlign w:val="center"/>
          </w:tcPr>
          <w:p w14:paraId="2F788A2E">
            <w:pPr>
              <w:pStyle w:val="208"/>
              <w:spacing w:before="35" w:line="367" w:lineRule="auto"/>
              <w:ind w:right="220"/>
              <w:jc w:val="center"/>
              <w:rPr>
                <w:rFonts w:hint="eastAsia"/>
                <w:sz w:val="21"/>
                <w:szCs w:val="21"/>
              </w:rPr>
            </w:pPr>
            <w:r>
              <w:rPr>
                <w:sz w:val="21"/>
                <w:szCs w:val="21"/>
              </w:rPr>
              <w:t>月考核评定</w:t>
            </w:r>
          </w:p>
        </w:tc>
        <w:tc>
          <w:tcPr>
            <w:tcW w:w="4791" w:type="dxa"/>
          </w:tcPr>
          <w:p w14:paraId="6DC491B2">
            <w:pPr>
              <w:pStyle w:val="208"/>
              <w:spacing w:before="34" w:line="359" w:lineRule="auto"/>
              <w:ind w:left="116" w:right="224"/>
              <w:rPr>
                <w:rFonts w:hint="eastAsia"/>
                <w:spacing w:val="7"/>
                <w:sz w:val="21"/>
                <w:szCs w:val="21"/>
              </w:rPr>
            </w:pPr>
            <w:r>
              <w:rPr>
                <w:spacing w:val="7"/>
                <w:sz w:val="21"/>
                <w:szCs w:val="21"/>
                <w:lang w:eastAsia="zh-CN"/>
              </w:rPr>
              <w:t>每月实施一次月度考核，平均分数达到80分以上视为满分，若低于80分，则每减少5分扣减1分。</w:t>
            </w:r>
            <w:r>
              <w:rPr>
                <w:rFonts w:hint="eastAsia"/>
                <w:spacing w:val="7"/>
                <w:sz w:val="21"/>
                <w:szCs w:val="21"/>
                <w:lang w:eastAsia="zh-CN"/>
              </w:rPr>
              <w:t>（共20分）</w:t>
            </w:r>
          </w:p>
        </w:tc>
        <w:tc>
          <w:tcPr>
            <w:tcW w:w="2034" w:type="dxa"/>
            <w:vAlign w:val="center"/>
          </w:tcPr>
          <w:p w14:paraId="30B6D1D7">
            <w:pPr>
              <w:pStyle w:val="208"/>
              <w:spacing w:before="34" w:line="359" w:lineRule="auto"/>
              <w:ind w:left="116" w:right="224"/>
              <w:jc w:val="center"/>
              <w:rPr>
                <w:rFonts w:hint="eastAsia"/>
                <w:spacing w:val="7"/>
                <w:sz w:val="21"/>
                <w:szCs w:val="21"/>
              </w:rPr>
            </w:pPr>
            <w:r>
              <w:rPr>
                <w:spacing w:val="7"/>
                <w:sz w:val="21"/>
                <w:szCs w:val="21"/>
              </w:rPr>
              <w:t>每月考核一次</w:t>
            </w:r>
          </w:p>
        </w:tc>
        <w:tc>
          <w:tcPr>
            <w:tcW w:w="797" w:type="dxa"/>
            <w:vAlign w:val="center"/>
          </w:tcPr>
          <w:p w14:paraId="2ABEEAD9">
            <w:pPr>
              <w:jc w:val="center"/>
              <w:rPr>
                <w:rFonts w:hint="eastAsia" w:ascii="宋体" w:hAnsi="宋体" w:eastAsia="宋体" w:cs="宋体"/>
                <w:szCs w:val="21"/>
              </w:rPr>
            </w:pPr>
          </w:p>
        </w:tc>
        <w:tc>
          <w:tcPr>
            <w:tcW w:w="723" w:type="dxa"/>
            <w:vAlign w:val="center"/>
          </w:tcPr>
          <w:p w14:paraId="34A4A8C1">
            <w:pPr>
              <w:jc w:val="center"/>
              <w:rPr>
                <w:rFonts w:hint="eastAsia" w:ascii="宋体" w:hAnsi="宋体" w:eastAsia="宋体" w:cs="宋体"/>
                <w:szCs w:val="21"/>
              </w:rPr>
            </w:pPr>
          </w:p>
        </w:tc>
      </w:tr>
      <w:tr w14:paraId="3CF30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46" w:type="dxa"/>
            <w:gridSpan w:val="3"/>
          </w:tcPr>
          <w:p w14:paraId="7B326D44">
            <w:pPr>
              <w:ind w:firstLine="3675" w:firstLineChars="1750"/>
              <w:rPr>
                <w:rFonts w:hint="eastAsia" w:ascii="宋体" w:hAnsi="宋体" w:eastAsia="宋体" w:cs="宋体"/>
                <w:szCs w:val="21"/>
              </w:rPr>
            </w:pPr>
            <w:r>
              <w:rPr>
                <w:rFonts w:hint="eastAsia" w:ascii="宋体" w:hAnsi="宋体" w:eastAsia="宋体" w:cs="宋体"/>
                <w:szCs w:val="21"/>
              </w:rPr>
              <w:t>合计得分：</w:t>
            </w:r>
          </w:p>
        </w:tc>
        <w:tc>
          <w:tcPr>
            <w:tcW w:w="797" w:type="dxa"/>
          </w:tcPr>
          <w:p w14:paraId="77738D5D">
            <w:pPr>
              <w:rPr>
                <w:rFonts w:hint="eastAsia" w:ascii="宋体" w:hAnsi="宋体" w:eastAsia="宋体" w:cs="宋体"/>
                <w:szCs w:val="21"/>
              </w:rPr>
            </w:pPr>
          </w:p>
        </w:tc>
        <w:tc>
          <w:tcPr>
            <w:tcW w:w="723" w:type="dxa"/>
          </w:tcPr>
          <w:p w14:paraId="51676FD9">
            <w:pPr>
              <w:rPr>
                <w:rFonts w:hint="eastAsia" w:ascii="宋体" w:hAnsi="宋体" w:eastAsia="宋体" w:cs="宋体"/>
                <w:szCs w:val="21"/>
              </w:rPr>
            </w:pPr>
          </w:p>
        </w:tc>
      </w:tr>
    </w:tbl>
    <w:p w14:paraId="7D6057E3">
      <w:pPr>
        <w:jc w:val="both"/>
        <w:rPr>
          <w:rFonts w:hint="eastAsia" w:ascii="宋体" w:hAnsi="宋体" w:eastAsia="宋体" w:cs="宋体"/>
          <w:color w:val="auto"/>
          <w:sz w:val="32"/>
          <w:szCs w:val="32"/>
          <w:highlight w:val="none"/>
        </w:rPr>
      </w:pPr>
    </w:p>
    <w:p w14:paraId="6757E462">
      <w:pPr>
        <w:pageBreakBefore/>
        <w:spacing w:before="120" w:beforeLines="50" w:after="120" w:afterLines="50" w:line="360" w:lineRule="auto"/>
        <w:ind w:firstLine="640"/>
        <w:jc w:val="center"/>
        <w:outlineLvl w:val="0"/>
        <w:rPr>
          <w:rFonts w:hint="eastAsia" w:ascii="宋体" w:hAnsi="宋体" w:eastAsia="宋体" w:cs="宋体"/>
          <w:b/>
          <w:bCs/>
          <w:color w:val="auto"/>
          <w:sz w:val="32"/>
          <w:szCs w:val="32"/>
          <w:highlight w:val="none"/>
          <w:lang w:val="zh-CN"/>
        </w:rPr>
      </w:pPr>
      <w:bookmarkStart w:id="612" w:name="_Toc13867"/>
      <w:bookmarkStart w:id="613" w:name="_Toc28816"/>
      <w:bookmarkStart w:id="614" w:name="_Toc142508360"/>
      <w:bookmarkStart w:id="615" w:name="_Toc447044479"/>
      <w:bookmarkStart w:id="616" w:name="_Toc24427_WPSOffice_Level1"/>
      <w:bookmarkStart w:id="617" w:name="_Toc1966"/>
      <w:bookmarkStart w:id="618" w:name="_Toc24865"/>
      <w:bookmarkStart w:id="619" w:name="_Toc25564"/>
      <w:bookmarkStart w:id="620" w:name="_Toc30025"/>
      <w:bookmarkStart w:id="621" w:name="_Toc447045090"/>
      <w:bookmarkStart w:id="622" w:name="_Toc21472"/>
      <w:bookmarkStart w:id="623" w:name="_Toc512353083"/>
      <w:bookmarkStart w:id="624" w:name="_Toc18054"/>
      <w:bookmarkStart w:id="625" w:name="_Toc447044603"/>
      <w:r>
        <w:rPr>
          <w:rFonts w:hint="eastAsia" w:ascii="宋体" w:hAnsi="宋体" w:eastAsia="宋体" w:cs="宋体"/>
          <w:b/>
          <w:bCs/>
          <w:color w:val="auto"/>
          <w:sz w:val="32"/>
          <w:szCs w:val="32"/>
          <w:highlight w:val="none"/>
          <w:lang w:val="zh-CN"/>
        </w:rPr>
        <w:t>第五篇 相关保函格式</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Start w:id="626" w:name="_Toc447044604"/>
      <w:bookmarkStart w:id="627" w:name="_Toc447045091"/>
      <w:bookmarkStart w:id="628" w:name="_Toc447044480"/>
    </w:p>
    <w:p w14:paraId="36BC157B">
      <w:pPr>
        <w:autoSpaceDE w:val="0"/>
        <w:autoSpaceDN w:val="0"/>
        <w:adjustRightInd w:val="0"/>
        <w:spacing w:after="120" w:afterLines="50" w:line="360" w:lineRule="auto"/>
        <w:jc w:val="left"/>
        <w:outlineLvl w:val="9"/>
        <w:rPr>
          <w:rFonts w:hint="eastAsia" w:ascii="宋体" w:hAnsi="宋体" w:eastAsia="宋体" w:cs="宋体"/>
          <w:b/>
          <w:color w:val="auto"/>
          <w:kern w:val="0"/>
          <w:sz w:val="28"/>
          <w:szCs w:val="28"/>
          <w:highlight w:val="none"/>
        </w:rPr>
      </w:pPr>
      <w:bookmarkStart w:id="629" w:name="_Toc26521_WPSOffice_Level2"/>
      <w:r>
        <w:rPr>
          <w:rFonts w:hint="eastAsia" w:ascii="宋体" w:hAnsi="宋体" w:eastAsia="宋体" w:cs="宋体"/>
          <w:b/>
          <w:color w:val="auto"/>
          <w:kern w:val="0"/>
          <w:sz w:val="28"/>
          <w:szCs w:val="28"/>
          <w:highlight w:val="none"/>
        </w:rPr>
        <w:t>一、不可撤销银行履约保函格式</w:t>
      </w:r>
      <w:bookmarkEnd w:id="626"/>
      <w:bookmarkEnd w:id="627"/>
      <w:bookmarkEnd w:id="628"/>
      <w:bookmarkEnd w:id="629"/>
    </w:p>
    <w:p w14:paraId="46A01980">
      <w:pPr>
        <w:autoSpaceDE w:val="0"/>
        <w:autoSpaceDN w:val="0"/>
        <w:adjustRightInd w:val="0"/>
        <w:jc w:val="cente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不可撤销银行履约保函</w:t>
      </w:r>
    </w:p>
    <w:p w14:paraId="2EDEB815">
      <w:pPr>
        <w:widowControl/>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6969C986">
      <w:pPr>
        <w:autoSpaceDE w:val="0"/>
        <w:autoSpaceDN w:val="0"/>
        <w:adjustRightInd w:val="0"/>
        <w:spacing w:line="360" w:lineRule="auto"/>
        <w:ind w:firstLine="6300"/>
        <w:jc w:val="left"/>
        <w:outlineLvl w:val="9"/>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银行编号：</w:t>
      </w:r>
    </w:p>
    <w:p w14:paraId="0656493F">
      <w:pPr>
        <w:widowControl/>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64B13DC5">
      <w:pPr>
        <w:widowControl/>
        <w:autoSpaceDE w:val="0"/>
        <w:autoSpaceDN w:val="0"/>
        <w:adjustRightInd w:val="0"/>
        <w:spacing w:line="360" w:lineRule="auto"/>
        <w:ind w:firstLine="567" w:firstLine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（申请人的名称与地址）  </w:t>
      </w:r>
      <w:r>
        <w:rPr>
          <w:rFonts w:hint="eastAsia" w:ascii="宋体" w:hAnsi="宋体" w:eastAsia="宋体" w:cs="宋体"/>
          <w:color w:val="auto"/>
          <w:kern w:val="0"/>
          <w:szCs w:val="21"/>
          <w:highlight w:val="none"/>
        </w:rPr>
        <w:t>（下称“申请人”），已保证按拟签订的</w:t>
      </w:r>
      <w:r>
        <w:rPr>
          <w:rFonts w:hint="eastAsia"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14:paraId="5A96C03B">
      <w:pPr>
        <w:widowControl/>
        <w:autoSpaceDE w:val="0"/>
        <w:autoSpaceDN w:val="0"/>
        <w:adjustRightInd w:val="0"/>
        <w:spacing w:line="360" w:lineRule="auto"/>
        <w:ind w:firstLine="567" w:firstLine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hint="eastAsia" w:ascii="宋体" w:hAnsi="宋体" w:eastAsia="宋体" w:cs="宋体"/>
          <w:color w:val="auto"/>
          <w:kern w:val="0"/>
          <w:szCs w:val="21"/>
          <w:highlight w:val="none"/>
          <w:u w:val="single"/>
        </w:rPr>
        <w:t xml:space="preserve">      （RMB元）</w:t>
      </w:r>
      <w:r>
        <w:rPr>
          <w:rFonts w:hint="eastAsia" w:ascii="宋体" w:hAnsi="宋体" w:eastAsia="宋体" w:cs="宋体"/>
          <w:color w:val="auto"/>
          <w:kern w:val="0"/>
          <w:szCs w:val="21"/>
          <w:highlight w:val="none"/>
        </w:rPr>
        <w:t>的无条件、不可撤销银行履约保函，作为申请人履行上述合同的担保。</w:t>
      </w:r>
    </w:p>
    <w:p w14:paraId="0EA92DB7">
      <w:pPr>
        <w:widowControl/>
        <w:autoSpaceDE w:val="0"/>
        <w:autoSpaceDN w:val="0"/>
        <w:adjustRightInd w:val="0"/>
        <w:spacing w:line="360" w:lineRule="auto"/>
        <w:ind w:firstLine="567" w:firstLine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14:paraId="1A297D7C">
      <w:pPr>
        <w:widowControl/>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3073E59D">
      <w:pPr>
        <w:widowControl/>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1DE93E34">
      <w:pPr>
        <w:widowControl/>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本保函</w:t>
      </w:r>
      <w:r>
        <w:rPr>
          <w:rFonts w:hint="eastAsia" w:ascii="宋体" w:hAnsi="宋体" w:eastAsia="宋体" w:cs="宋体"/>
          <w:color w:val="auto"/>
          <w:kern w:val="0"/>
          <w:sz w:val="21"/>
          <w:szCs w:val="21"/>
          <w:highlight w:val="none"/>
        </w:rPr>
        <w:t>应</w:t>
      </w:r>
      <w:r>
        <w:rPr>
          <w:rFonts w:hint="eastAsia" w:ascii="宋体" w:hAnsi="宋体" w:eastAsia="宋体" w:cs="宋体"/>
          <w:color w:val="auto"/>
          <w:kern w:val="0"/>
          <w:szCs w:val="21"/>
          <w:highlight w:val="none"/>
        </w:rPr>
        <w:t>自</w:t>
      </w:r>
      <w:r>
        <w:rPr>
          <w:rFonts w:hint="eastAsia" w:ascii="宋体" w:hAnsi="宋体" w:eastAsia="宋体" w:cs="宋体"/>
          <w:color w:val="auto"/>
          <w:kern w:val="0"/>
          <w:sz w:val="21"/>
          <w:szCs w:val="21"/>
          <w:highlight w:val="none"/>
        </w:rPr>
        <w:t>合同签订之日起至</w:t>
      </w:r>
      <w:r>
        <w:rPr>
          <w:rFonts w:hint="eastAsia" w:ascii="宋体" w:hAnsi="宋体" w:eastAsia="宋体" w:cs="宋体"/>
          <w:color w:val="auto"/>
          <w:kern w:val="0"/>
          <w:sz w:val="21"/>
          <w:szCs w:val="21"/>
          <w:highlight w:val="none"/>
          <w:lang w:eastAsia="zh-CN"/>
        </w:rPr>
        <w:t>合同期限届满并完成合同全部服务义务</w:t>
      </w:r>
      <w:r>
        <w:rPr>
          <w:rFonts w:hint="eastAsia" w:ascii="宋体" w:hAnsi="宋体" w:eastAsia="宋体" w:cs="宋体"/>
          <w:color w:val="auto"/>
          <w:kern w:val="0"/>
          <w:sz w:val="21"/>
          <w:szCs w:val="21"/>
          <w:highlight w:val="none"/>
        </w:rPr>
        <w:t>后二十八（28）日内保持有效</w:t>
      </w:r>
      <w:r>
        <w:rPr>
          <w:rFonts w:hint="eastAsia" w:ascii="宋体" w:hAnsi="宋体" w:eastAsia="宋体" w:cs="宋体"/>
          <w:color w:val="auto"/>
          <w:kern w:val="0"/>
          <w:sz w:val="21"/>
          <w:szCs w:val="21"/>
          <w:highlight w:val="none"/>
          <w:lang w:eastAsia="zh-CN"/>
        </w:rPr>
        <w:t>。</w:t>
      </w:r>
    </w:p>
    <w:p w14:paraId="58F7BBC4">
      <w:pPr>
        <w:widowControl/>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p>
    <w:p w14:paraId="54E7AD48">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(盖章)   </w:t>
      </w:r>
    </w:p>
    <w:p w14:paraId="015297F1">
      <w:pPr>
        <w:widowControl/>
        <w:autoSpaceDE w:val="0"/>
        <w:autoSpaceDN w:val="0"/>
        <w:adjustRightInd w:val="0"/>
        <w:spacing w:line="360" w:lineRule="auto"/>
        <w:ind w:firstLine="2520" w:firstLineChars="1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none"/>
        </w:rPr>
        <w:t>联系电话：</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 xml:space="preserve">                     </w:t>
      </w:r>
    </w:p>
    <w:p w14:paraId="7F94D103">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none"/>
        </w:rPr>
        <w:t>联系人：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 xml:space="preserve">          </w:t>
      </w:r>
    </w:p>
    <w:p w14:paraId="71FA8802">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(职务)         </w:t>
      </w:r>
    </w:p>
    <w:p w14:paraId="27D31828">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(姓名)         </w:t>
      </w:r>
    </w:p>
    <w:p w14:paraId="27AE8509">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(签章)         </w:t>
      </w:r>
    </w:p>
    <w:p w14:paraId="63939177">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4C5075F2">
      <w:pPr>
        <w:widowControl/>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5BA9E8AE">
      <w:pPr>
        <w:widowControl/>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517F33B9">
      <w:pPr>
        <w:autoSpaceDE w:val="0"/>
        <w:autoSpaceDN w:val="0"/>
        <w:adjustRightInd w:val="0"/>
        <w:spacing w:line="360" w:lineRule="auto"/>
        <w:ind w:right="368" w:rightChars="175"/>
        <w:jc w:val="left"/>
        <w:outlineLvl w:val="9"/>
        <w:rPr>
          <w:rFonts w:hint="eastAsia" w:ascii="宋体" w:hAnsi="宋体" w:eastAsia="宋体" w:cs="宋体"/>
          <w:color w:val="auto"/>
          <w:kern w:val="0"/>
          <w:szCs w:val="21"/>
          <w:highlight w:val="none"/>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2F296105">
      <w:pPr>
        <w:numPr>
          <w:ilvl w:val="0"/>
          <w:numId w:val="0"/>
        </w:numPr>
        <w:outlineLvl w:val="9"/>
        <w:rPr>
          <w:rFonts w:hint="eastAsia"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lang w:val="en-US" w:eastAsia="zh-CN" w:bidi="ar-SA"/>
        </w:rPr>
        <w:t>二、</w:t>
      </w:r>
      <w:r>
        <w:rPr>
          <w:rFonts w:hint="eastAsia" w:ascii="宋体" w:hAnsi="宋体" w:eastAsia="宋体" w:cs="宋体"/>
          <w:b/>
          <w:color w:val="auto"/>
          <w:kern w:val="0"/>
          <w:sz w:val="28"/>
          <w:szCs w:val="28"/>
          <w:highlight w:val="none"/>
          <w:lang w:val="en-US" w:eastAsia="zh-CN"/>
        </w:rPr>
        <w:t>履约保证保险凭证格式</w:t>
      </w:r>
    </w:p>
    <w:p w14:paraId="317365BB">
      <w:pPr>
        <w:autoSpaceDE w:val="0"/>
        <w:autoSpaceDN w:val="0"/>
        <w:adjustRightInd w:val="0"/>
        <w:jc w:val="center"/>
        <w:outlineLvl w:val="9"/>
        <w:rPr>
          <w:rFonts w:hint="eastAsia" w:ascii="宋体" w:hAnsi="宋体" w:eastAsia="宋体" w:cs="宋体"/>
          <w:b/>
          <w:color w:val="auto"/>
          <w:kern w:val="0"/>
          <w:sz w:val="30"/>
          <w:szCs w:val="30"/>
          <w:highlight w:val="none"/>
          <w:lang w:val="en-US" w:eastAsia="zh-CN"/>
        </w:rPr>
      </w:pPr>
    </w:p>
    <w:p w14:paraId="3C100995">
      <w:pPr>
        <w:autoSpaceDE w:val="0"/>
        <w:autoSpaceDN w:val="0"/>
        <w:adjustRightInd w:val="0"/>
        <w:jc w:val="center"/>
        <w:outlineLvl w:val="9"/>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履约保证保险凭证</w:t>
      </w:r>
    </w:p>
    <w:p w14:paraId="62A7E03A">
      <w:pPr>
        <w:autoSpaceDE w:val="0"/>
        <w:autoSpaceDN w:val="0"/>
        <w:adjustRightInd w:val="0"/>
        <w:spacing w:line="360" w:lineRule="auto"/>
        <w:ind w:firstLine="437"/>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5E772FEC">
      <w:pPr>
        <w:autoSpaceDE w:val="0"/>
        <w:autoSpaceDN w:val="0"/>
        <w:adjustRightInd w:val="0"/>
        <w:spacing w:line="360" w:lineRule="auto"/>
        <w:ind w:firstLine="437"/>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14:paraId="05F0063E">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14:paraId="42374156">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lang w:val="en-US" w:eastAsia="zh-CN"/>
        </w:rPr>
      </w:pPr>
    </w:p>
    <w:p w14:paraId="4CCD9DDD">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合同</w:t>
      </w:r>
      <w:r>
        <w:rPr>
          <w:rFonts w:hint="eastAsia" w:ascii="宋体" w:hAnsi="宋体" w:eastAsia="宋体" w:cs="宋体"/>
          <w:color w:val="auto"/>
          <w:kern w:val="0"/>
          <w:szCs w:val="21"/>
          <w:highlight w:val="none"/>
          <w:lang w:val="en-US" w:eastAsia="zh-CN"/>
        </w:rPr>
        <w:t xml:space="preserve">。我方已接受申请人的请求，并出具《履约保证保险》保险单。 </w:t>
      </w:r>
    </w:p>
    <w:p w14:paraId="00635E11">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一、保证保险金额 </w:t>
      </w:r>
    </w:p>
    <w:p w14:paraId="13382B75">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 ）。 </w:t>
      </w:r>
    </w:p>
    <w:p w14:paraId="31A1CBA9">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二、保证保险的责任范围 </w:t>
      </w:r>
    </w:p>
    <w:p w14:paraId="4BEE1ED9">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14:paraId="32CACF8E">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三、代偿的安排 </w:t>
      </w:r>
    </w:p>
    <w:p w14:paraId="23264339">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121B4986">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四、生效时间 </w:t>
      </w:r>
    </w:p>
    <w:p w14:paraId="57D32156">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14:paraId="691694EF">
      <w:pPr>
        <w:numPr>
          <w:ilvl w:val="0"/>
          <w:numId w:val="0"/>
        </w:numPr>
        <w:autoSpaceDE w:val="0"/>
        <w:autoSpaceDN w:val="0"/>
        <w:adjustRightInd w:val="0"/>
        <w:spacing w:line="360" w:lineRule="auto"/>
        <w:ind w:firstLine="437" w:firstLineChars="0"/>
        <w:jc w:val="left"/>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Cs w:val="21"/>
          <w:highlight w:val="none"/>
          <w:lang w:val="en-US" w:eastAsia="zh-CN"/>
        </w:rPr>
        <w:t>其他</w:t>
      </w:r>
    </w:p>
    <w:p w14:paraId="0D0EDC06">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履约保证保险</w:t>
      </w:r>
      <w:r>
        <w:rPr>
          <w:rFonts w:hint="eastAsia" w:ascii="宋体" w:hAnsi="宋体" w:eastAsia="宋体" w:cs="宋体"/>
          <w:color w:val="auto"/>
          <w:kern w:val="0"/>
          <w:sz w:val="21"/>
          <w:szCs w:val="21"/>
          <w:highlight w:val="none"/>
        </w:rPr>
        <w:t>应</w:t>
      </w:r>
      <w:r>
        <w:rPr>
          <w:rFonts w:hint="eastAsia" w:ascii="宋体" w:hAnsi="宋体" w:eastAsia="宋体" w:cs="宋体"/>
          <w:color w:val="auto"/>
          <w:kern w:val="0"/>
          <w:szCs w:val="21"/>
          <w:highlight w:val="none"/>
        </w:rPr>
        <w:t>自</w:t>
      </w:r>
      <w:r>
        <w:rPr>
          <w:rFonts w:hint="eastAsia" w:ascii="宋体" w:hAnsi="宋体" w:eastAsia="宋体" w:cs="宋体"/>
          <w:color w:val="auto"/>
          <w:kern w:val="0"/>
          <w:sz w:val="21"/>
          <w:szCs w:val="21"/>
          <w:highlight w:val="none"/>
        </w:rPr>
        <w:t>合同签订之日起至</w:t>
      </w:r>
      <w:r>
        <w:rPr>
          <w:rFonts w:hint="eastAsia" w:ascii="宋体" w:hAnsi="宋体" w:eastAsia="宋体" w:cs="宋体"/>
          <w:color w:val="auto"/>
          <w:kern w:val="0"/>
          <w:sz w:val="21"/>
          <w:szCs w:val="21"/>
          <w:highlight w:val="none"/>
          <w:lang w:eastAsia="zh-CN"/>
        </w:rPr>
        <w:t>合同期限届满并完成合同全部服务义务</w:t>
      </w:r>
      <w:r>
        <w:rPr>
          <w:rFonts w:hint="eastAsia" w:ascii="宋体" w:hAnsi="宋体" w:eastAsia="宋体" w:cs="宋体"/>
          <w:color w:val="auto"/>
          <w:kern w:val="0"/>
          <w:sz w:val="21"/>
          <w:szCs w:val="21"/>
          <w:highlight w:val="none"/>
        </w:rPr>
        <w:t>后二十八（28）日内保持有效</w:t>
      </w:r>
      <w:r>
        <w:rPr>
          <w:rFonts w:hint="eastAsia" w:ascii="宋体" w:hAnsi="宋体" w:eastAsia="宋体" w:cs="宋体"/>
          <w:color w:val="auto"/>
          <w:kern w:val="0"/>
          <w:sz w:val="21"/>
          <w:szCs w:val="21"/>
          <w:highlight w:val="none"/>
          <w:lang w:eastAsia="zh-CN"/>
        </w:rPr>
        <w:t>。</w:t>
      </w:r>
    </w:p>
    <w:p w14:paraId="550CB606">
      <w:pPr>
        <w:numPr>
          <w:ilvl w:val="0"/>
          <w:numId w:val="0"/>
        </w:numPr>
        <w:outlineLvl w:val="9"/>
        <w:rPr>
          <w:rFonts w:hint="eastAsia" w:ascii="宋体" w:hAnsi="宋体" w:eastAsia="宋体" w:cs="宋体"/>
          <w:color w:val="auto"/>
          <w:highlight w:val="none"/>
          <w:lang w:val="en-US" w:eastAsia="zh-CN"/>
        </w:rPr>
      </w:pPr>
    </w:p>
    <w:p w14:paraId="7F69E780">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附：《XXX 保险有限公司履约保证保险（X 款）条款》及保单 </w:t>
      </w:r>
    </w:p>
    <w:p w14:paraId="21F2A9D0">
      <w:pPr>
        <w:autoSpaceDE w:val="0"/>
        <w:autoSpaceDN w:val="0"/>
        <w:adjustRightInd w:val="0"/>
        <w:spacing w:line="360" w:lineRule="auto"/>
        <w:ind w:firstLine="437"/>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75538F1B">
      <w:pPr>
        <w:autoSpaceDE w:val="0"/>
        <w:autoSpaceDN w:val="0"/>
        <w:adjustRightInd w:val="0"/>
        <w:spacing w:line="360" w:lineRule="auto"/>
        <w:ind w:firstLine="437"/>
        <w:jc w:val="center"/>
        <w:rPr>
          <w:rFonts w:hint="eastAsia"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lang w:val="en-US" w:eastAsia="zh-CN"/>
        </w:rPr>
        <w:t xml:space="preserve">                                              保险人：</w:t>
      </w:r>
      <w:r>
        <w:rPr>
          <w:rFonts w:hint="eastAsia" w:ascii="宋体" w:hAnsi="宋体" w:eastAsia="宋体" w:cs="宋体"/>
          <w:color w:val="auto"/>
          <w:kern w:val="0"/>
          <w:szCs w:val="21"/>
          <w:highlight w:val="none"/>
          <w:u w:val="single"/>
          <w:lang w:val="en-US" w:eastAsia="zh-CN"/>
        </w:rPr>
        <w:t xml:space="preserve">         （盖章）        </w:t>
      </w:r>
    </w:p>
    <w:p w14:paraId="58A36447">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联系电话</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lang w:val="en-US" w:eastAsia="zh-CN"/>
        </w:rPr>
        <w:t xml:space="preserve">    </w:t>
      </w:r>
    </w:p>
    <w:p w14:paraId="09B2F013">
      <w:pPr>
        <w:autoSpaceDE w:val="0"/>
        <w:autoSpaceDN w:val="0"/>
        <w:adjustRightInd w:val="0"/>
        <w:spacing w:line="360" w:lineRule="auto"/>
        <w:ind w:firstLine="437"/>
        <w:jc w:val="center"/>
        <w:rPr>
          <w:rFonts w:hint="eastAsia"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lang w:val="en-US" w:eastAsia="zh-CN"/>
        </w:rPr>
        <w:t xml:space="preserve">                            联系人：</w:t>
      </w:r>
      <w:r>
        <w:rPr>
          <w:rFonts w:hint="eastAsia" w:ascii="宋体" w:hAnsi="宋体" w:eastAsia="宋体" w:cs="宋体"/>
          <w:color w:val="auto"/>
          <w:kern w:val="0"/>
          <w:szCs w:val="21"/>
          <w:highlight w:val="none"/>
          <w:u w:val="single"/>
          <w:lang w:val="en-US" w:eastAsia="zh-CN"/>
        </w:rPr>
        <w:t xml:space="preserve">                         </w:t>
      </w:r>
    </w:p>
    <w:p w14:paraId="604CE109">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none"/>
          <w:lang w:val="en-US" w:eastAsia="zh-CN"/>
        </w:rPr>
        <w:t xml:space="preserve">                                            </w:t>
      </w:r>
      <w:r>
        <w:rPr>
          <w:rFonts w:hint="eastAsia" w:ascii="宋体" w:hAnsi="宋体" w:eastAsia="宋体" w:cs="宋体"/>
          <w:color w:val="auto"/>
          <w:kern w:val="0"/>
          <w:szCs w:val="21"/>
          <w:highlight w:val="none"/>
          <w:lang w:val="en-US" w:eastAsia="zh-CN"/>
        </w:rPr>
        <w:t xml:space="preserve">法定代表人或授权代理人：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lang w:val="en-US" w:eastAsia="zh-CN"/>
        </w:rPr>
        <w:t xml:space="preserve"> </w:t>
      </w:r>
      <w:r>
        <w:rPr>
          <w:rFonts w:hint="default" w:ascii="宋体" w:hAnsi="宋体" w:eastAsia="宋体" w:cs="宋体"/>
          <w:color w:val="auto"/>
          <w:kern w:val="0"/>
          <w:szCs w:val="21"/>
          <w:highlight w:val="none"/>
          <w:lang w:val="en-US" w:eastAsia="zh-CN"/>
        </w:rPr>
        <w:t xml:space="preserve"> </w:t>
      </w:r>
    </w:p>
    <w:p w14:paraId="4F8251AB">
      <w:pPr>
        <w:autoSpaceDE w:val="0"/>
        <w:autoSpaceDN w:val="0"/>
        <w:adjustRightInd w:val="0"/>
        <w:spacing w:line="360" w:lineRule="auto"/>
        <w:ind w:firstLine="437"/>
        <w:jc w:val="righ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年</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月</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日</w:t>
      </w:r>
    </w:p>
    <w:p w14:paraId="30DCB364">
      <w:pPr>
        <w:widowControl/>
        <w:autoSpaceDE w:val="0"/>
        <w:autoSpaceDN w:val="0"/>
        <w:adjustRightInd w:val="0"/>
        <w:spacing w:before="100" w:beforeAutospacing="1" w:after="100" w:afterAutospacing="1"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14:paraId="5099BAFF">
      <w:pPr>
        <w:autoSpaceDE w:val="0"/>
        <w:autoSpaceDN w:val="0"/>
        <w:adjustRightInd w:val="0"/>
        <w:spacing w:after="120" w:afterLines="50" w:line="360" w:lineRule="auto"/>
        <w:jc w:val="left"/>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rPr>
        <w:t>三</w:t>
      </w:r>
      <w:r>
        <w:rPr>
          <w:rFonts w:hint="eastAsia" w:ascii="宋体" w:hAnsi="宋体" w:eastAsia="宋体" w:cs="宋体"/>
          <w:b/>
          <w:color w:val="auto"/>
          <w:kern w:val="0"/>
          <w:sz w:val="28"/>
          <w:szCs w:val="28"/>
          <w:highlight w:val="none"/>
        </w:rPr>
        <w:t>、担保公司履约担保书格式</w:t>
      </w:r>
    </w:p>
    <w:p w14:paraId="1ED38486">
      <w:pPr>
        <w:autoSpaceDE w:val="0"/>
        <w:autoSpaceDN w:val="0"/>
        <w:adjustRightInd w:val="0"/>
        <w:jc w:val="cente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担保公司履约担保书</w:t>
      </w:r>
    </w:p>
    <w:p w14:paraId="4CFC9063">
      <w:pPr>
        <w:widowControl/>
        <w:autoSpaceDE w:val="0"/>
        <w:autoSpaceDN w:val="0"/>
        <w:adjustRightInd w:val="0"/>
        <w:spacing w:before="100" w:beforeAutospacing="1" w:after="100" w:afterAutospacing="1"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2FDEE41D">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（申请人的名称与地址）  </w:t>
      </w:r>
      <w:r>
        <w:rPr>
          <w:rFonts w:hint="eastAsia" w:ascii="宋体" w:hAnsi="宋体" w:eastAsia="宋体" w:cs="宋体"/>
          <w:color w:val="auto"/>
          <w:kern w:val="0"/>
          <w:szCs w:val="21"/>
          <w:highlight w:val="none"/>
        </w:rPr>
        <w:t>（下称“申请人”），已保证按拟签订的</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合同（招标文件）中规定的义务履行合同。</w:t>
      </w:r>
    </w:p>
    <w:p w14:paraId="083F0441">
      <w:pPr>
        <w:widowControl/>
        <w:autoSpaceDE w:val="0"/>
        <w:autoSpaceDN w:val="0"/>
        <w:adjustRightInd w:val="0"/>
        <w:spacing w:line="360" w:lineRule="auto"/>
        <w:ind w:firstLine="567" w:firstLine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hint="eastAsia" w:ascii="宋体" w:hAnsi="宋体" w:eastAsia="宋体" w:cs="宋体"/>
          <w:color w:val="auto"/>
          <w:kern w:val="0"/>
          <w:szCs w:val="21"/>
          <w:highlight w:val="none"/>
          <w:u w:val="single"/>
        </w:rPr>
        <w:t xml:space="preserve">     （RMB元）</w:t>
      </w:r>
      <w:r>
        <w:rPr>
          <w:rFonts w:hint="eastAsia" w:ascii="宋体" w:hAnsi="宋体" w:eastAsia="宋体" w:cs="宋体"/>
          <w:color w:val="auto"/>
          <w:kern w:val="0"/>
          <w:szCs w:val="21"/>
          <w:highlight w:val="none"/>
        </w:rPr>
        <w:t>的无条件、</w:t>
      </w:r>
      <w:r>
        <w:rPr>
          <w:rFonts w:hint="eastAsia" w:ascii="宋体" w:hAnsi="宋体" w:eastAsia="宋体" w:cs="宋体"/>
          <w:bCs/>
          <w:color w:val="auto"/>
          <w:kern w:val="0"/>
          <w:szCs w:val="21"/>
          <w:highlight w:val="none"/>
        </w:rPr>
        <w:t>不可撤销</w:t>
      </w:r>
      <w:r>
        <w:rPr>
          <w:rFonts w:hint="eastAsia" w:ascii="宋体" w:hAnsi="宋体" w:eastAsia="宋体" w:cs="宋体"/>
          <w:color w:val="auto"/>
          <w:kern w:val="0"/>
          <w:szCs w:val="21"/>
          <w:highlight w:val="none"/>
        </w:rPr>
        <w:t>履约担保，作为申请人履行上述合同的担保，</w:t>
      </w:r>
      <w:r>
        <w:rPr>
          <w:rFonts w:hint="eastAsia" w:ascii="宋体" w:hAnsi="宋体" w:eastAsia="宋体" w:cs="宋体"/>
          <w:color w:val="auto"/>
          <w:kern w:val="0"/>
          <w:szCs w:val="21"/>
          <w:highlight w:val="none"/>
          <w:lang w:eastAsia="zh-Hans"/>
        </w:rPr>
        <w:t>我方</w:t>
      </w:r>
      <w:r>
        <w:rPr>
          <w:rFonts w:hint="eastAsia" w:ascii="宋体" w:hAnsi="宋体" w:eastAsia="宋体" w:cs="宋体"/>
          <w:color w:val="auto"/>
          <w:kern w:val="0"/>
          <w:szCs w:val="21"/>
          <w:highlight w:val="none"/>
          <w:u w:val="single"/>
        </w:rPr>
        <w:t xml:space="preserve">  （担保公司名称）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14:paraId="2BE72CEF">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（担保公司名称）  </w:t>
      </w:r>
      <w:r>
        <w:rPr>
          <w:rFonts w:hint="eastAsia" w:ascii="宋体" w:hAnsi="宋体" w:eastAsia="宋体" w:cs="宋体"/>
          <w:color w:val="auto"/>
          <w:kern w:val="0"/>
          <w:szCs w:val="21"/>
          <w:highlight w:val="none"/>
        </w:rPr>
        <w:t>，受申请人的委托，无条件和不可撤销地在受益人出具本担保书原件且提出因申请人没有履行上述合同规定，在担保书限额内向受益人支付不超过人民币（大写）_________（¥_______元）的款项。</w:t>
      </w:r>
    </w:p>
    <w:p w14:paraId="0837791D">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我方还同意，任何受益人与申请人之间可能对合同条款的修改、规范或其他合同文件的变动补充，都不能免除我方按本担保函所承担的责任。因此，有关上述变动、补充和修改无须通知或征得我方同意。</w:t>
      </w:r>
    </w:p>
    <w:p w14:paraId="6A36ACB4">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本保函</w:t>
      </w:r>
      <w:r>
        <w:rPr>
          <w:rFonts w:hint="eastAsia" w:ascii="宋体" w:hAnsi="宋体" w:eastAsia="宋体" w:cs="宋体"/>
          <w:color w:val="auto"/>
          <w:kern w:val="0"/>
          <w:sz w:val="21"/>
          <w:szCs w:val="21"/>
          <w:highlight w:val="none"/>
        </w:rPr>
        <w:t>应</w:t>
      </w:r>
      <w:r>
        <w:rPr>
          <w:rFonts w:hint="eastAsia" w:ascii="宋体" w:hAnsi="宋体" w:eastAsia="宋体" w:cs="宋体"/>
          <w:color w:val="auto"/>
          <w:kern w:val="0"/>
          <w:szCs w:val="21"/>
          <w:highlight w:val="none"/>
        </w:rPr>
        <w:t>自</w:t>
      </w:r>
      <w:r>
        <w:rPr>
          <w:rFonts w:hint="eastAsia" w:ascii="宋体" w:hAnsi="宋体" w:eastAsia="宋体" w:cs="宋体"/>
          <w:color w:val="auto"/>
          <w:kern w:val="0"/>
          <w:sz w:val="21"/>
          <w:szCs w:val="21"/>
          <w:highlight w:val="none"/>
        </w:rPr>
        <w:t>合同签订之日起至</w:t>
      </w:r>
      <w:r>
        <w:rPr>
          <w:rFonts w:hint="eastAsia" w:ascii="宋体" w:hAnsi="宋体" w:eastAsia="宋体" w:cs="宋体"/>
          <w:color w:val="auto"/>
          <w:kern w:val="0"/>
          <w:sz w:val="21"/>
          <w:szCs w:val="21"/>
          <w:highlight w:val="none"/>
          <w:lang w:eastAsia="zh-CN"/>
        </w:rPr>
        <w:t>合同期限届满并完成合同全部服务义务</w:t>
      </w:r>
      <w:r>
        <w:rPr>
          <w:rFonts w:hint="eastAsia" w:ascii="宋体" w:hAnsi="宋体" w:eastAsia="宋体" w:cs="宋体"/>
          <w:color w:val="auto"/>
          <w:kern w:val="0"/>
          <w:sz w:val="21"/>
          <w:szCs w:val="21"/>
          <w:highlight w:val="none"/>
        </w:rPr>
        <w:t>后二十八（28）日内保持有效</w:t>
      </w:r>
      <w:r>
        <w:rPr>
          <w:rFonts w:hint="eastAsia" w:ascii="宋体" w:hAnsi="宋体" w:eastAsia="宋体" w:cs="宋体"/>
          <w:color w:val="auto"/>
          <w:kern w:val="0"/>
          <w:sz w:val="21"/>
          <w:szCs w:val="21"/>
          <w:highlight w:val="none"/>
          <w:lang w:eastAsia="zh-CN"/>
        </w:rPr>
        <w:t>。</w:t>
      </w:r>
    </w:p>
    <w:p w14:paraId="3D2BF03F">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0FAB53C0">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14:paraId="13928500">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14:paraId="0A03A0BF">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14:paraId="01B7811C">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14:paraId="0384216A">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14:paraId="2E4A0E4A">
      <w:pPr>
        <w:autoSpaceDE w:val="0"/>
        <w:autoSpaceDN w:val="0"/>
        <w:adjustRightInd w:val="0"/>
        <w:spacing w:line="360" w:lineRule="auto"/>
        <w:ind w:right="368" w:rightChars="175"/>
        <w:jc w:val="left"/>
        <w:outlineLvl w:val="9"/>
        <w:rPr>
          <w:rFonts w:hint="eastAsia" w:ascii="宋体" w:hAnsi="宋体" w:eastAsia="宋体" w:cs="宋体"/>
          <w:color w:val="auto"/>
          <w:kern w:val="0"/>
          <w:szCs w:val="21"/>
          <w:highlight w:val="none"/>
        </w:rPr>
      </w:pPr>
    </w:p>
    <w:p w14:paraId="183393B9">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06A6F562">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29AB10DD">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40A52194">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39FFD347">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3471C13B">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07F6F89B">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610444F5">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14:paraId="587BD016">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14:paraId="5DA2ABAC">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auto"/>
          <w:kern w:val="44"/>
          <w:sz w:val="32"/>
          <w:szCs w:val="32"/>
          <w:highlight w:val="none"/>
        </w:rPr>
      </w:pPr>
      <w:bookmarkStart w:id="630" w:name="_Toc15817"/>
      <w:bookmarkStart w:id="631" w:name="_Toc32761_WPSOffice_Level1"/>
      <w:bookmarkStart w:id="632" w:name="_Toc486167708"/>
      <w:bookmarkStart w:id="633" w:name="_Toc30700"/>
      <w:bookmarkStart w:id="634" w:name="_Toc142508361"/>
      <w:bookmarkStart w:id="635" w:name="_Toc23402"/>
      <w:bookmarkStart w:id="636" w:name="_Toc9840"/>
      <w:bookmarkStart w:id="637" w:name="_Toc450662895"/>
      <w:bookmarkStart w:id="638" w:name="_Toc14958"/>
      <w:bookmarkStart w:id="639" w:name="_Toc11920"/>
      <w:bookmarkStart w:id="640" w:name="_Toc22538"/>
      <w:bookmarkStart w:id="641" w:name="_Toc32395"/>
      <w:r>
        <w:rPr>
          <w:rFonts w:hint="eastAsia" w:ascii="宋体" w:hAnsi="宋体" w:eastAsia="宋体" w:cs="宋体"/>
          <w:b/>
          <w:bCs/>
          <w:color w:val="auto"/>
          <w:kern w:val="44"/>
          <w:sz w:val="32"/>
          <w:szCs w:val="32"/>
          <w:highlight w:val="none"/>
          <w:lang w:val="zh-CN"/>
        </w:rPr>
        <w:t>第六篇 投标文件格式</w:t>
      </w:r>
      <w:bookmarkEnd w:id="630"/>
      <w:bookmarkEnd w:id="631"/>
      <w:bookmarkEnd w:id="632"/>
      <w:bookmarkEnd w:id="633"/>
      <w:bookmarkEnd w:id="634"/>
      <w:bookmarkEnd w:id="635"/>
      <w:bookmarkEnd w:id="636"/>
      <w:bookmarkEnd w:id="637"/>
      <w:bookmarkEnd w:id="638"/>
      <w:bookmarkEnd w:id="639"/>
      <w:bookmarkEnd w:id="640"/>
      <w:bookmarkEnd w:id="641"/>
    </w:p>
    <w:p w14:paraId="77AE3D1E">
      <w:pPr>
        <w:rPr>
          <w:rFonts w:hint="eastAsia" w:ascii="宋体" w:hAnsi="宋体" w:eastAsia="宋体" w:cs="宋体"/>
          <w:color w:val="auto"/>
          <w:sz w:val="84"/>
          <w:highlight w:val="none"/>
        </w:rPr>
      </w:pPr>
      <w:bookmarkStart w:id="642" w:name="_Toc94107202"/>
      <w:bookmarkStart w:id="643" w:name="_Toc486167709"/>
      <w:bookmarkStart w:id="644" w:name="_Toc104991868"/>
      <w:bookmarkStart w:id="645" w:name="_Toc1977721"/>
      <w:bookmarkStart w:id="646" w:name="_Toc102860411"/>
      <w:bookmarkStart w:id="647" w:name="_Toc533708121"/>
      <w:bookmarkStart w:id="648" w:name="_Toc140596921"/>
      <w:bookmarkStart w:id="649" w:name="_Toc21133_WPSOffice_Level2"/>
      <w:bookmarkStart w:id="650" w:name="_Toc142508362"/>
      <w:bookmarkStart w:id="651" w:name="_Toc102860067"/>
      <w:r>
        <w:rPr>
          <w:rFonts w:hint="eastAsia" w:ascii="宋体" w:hAnsi="宋体" w:eastAsia="宋体" w:cs="宋体"/>
          <w:color w:val="auto"/>
          <w:sz w:val="84"/>
          <w:highlight w:val="none"/>
        </w:rPr>
        <w:br w:type="page"/>
      </w:r>
    </w:p>
    <w:p w14:paraId="01F811FE">
      <w:pPr>
        <w:outlineLvl w:val="9"/>
        <w:rPr>
          <w:rFonts w:hint="eastAsia" w:ascii="宋体" w:hAnsi="宋体" w:eastAsia="宋体" w:cs="宋体"/>
          <w:color w:val="auto"/>
          <w:sz w:val="84"/>
          <w:highlight w:val="none"/>
        </w:rPr>
      </w:pPr>
    </w:p>
    <w:p w14:paraId="5A1110C0">
      <w:pPr>
        <w:pStyle w:val="19"/>
        <w:spacing w:line="360" w:lineRule="auto"/>
        <w:jc w:val="center"/>
        <w:outlineLvl w:val="9"/>
        <w:rPr>
          <w:rFonts w:hint="eastAsia" w:ascii="宋体" w:hAnsi="宋体" w:eastAsia="宋体" w:cs="宋体"/>
          <w:color w:val="auto"/>
          <w:sz w:val="84"/>
          <w:highlight w:val="none"/>
        </w:rPr>
      </w:pPr>
    </w:p>
    <w:p w14:paraId="1827DA31">
      <w:pPr>
        <w:pStyle w:val="19"/>
        <w:spacing w:line="360" w:lineRule="auto"/>
        <w:jc w:val="center"/>
        <w:outlineLvl w:val="9"/>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3590786D">
      <w:pPr>
        <w:pStyle w:val="19"/>
        <w:spacing w:line="360" w:lineRule="auto"/>
        <w:outlineLvl w:val="9"/>
        <w:rPr>
          <w:rFonts w:hint="eastAsia" w:ascii="宋体" w:hAnsi="宋体" w:eastAsia="宋体" w:cs="宋体"/>
          <w:color w:val="auto"/>
          <w:highlight w:val="none"/>
        </w:rPr>
      </w:pPr>
    </w:p>
    <w:p w14:paraId="44822968">
      <w:pPr>
        <w:pStyle w:val="19"/>
        <w:spacing w:line="360" w:lineRule="auto"/>
        <w:outlineLvl w:val="9"/>
        <w:rPr>
          <w:rFonts w:hint="eastAsia" w:ascii="宋体" w:hAnsi="宋体" w:eastAsia="宋体" w:cs="宋体"/>
          <w:color w:val="auto"/>
          <w:highlight w:val="none"/>
        </w:rPr>
      </w:pPr>
    </w:p>
    <w:p w14:paraId="45A45123">
      <w:pPr>
        <w:pStyle w:val="19"/>
        <w:spacing w:line="360" w:lineRule="auto"/>
        <w:outlineLvl w:val="9"/>
        <w:rPr>
          <w:rFonts w:hint="eastAsia" w:ascii="宋体" w:hAnsi="宋体" w:eastAsia="宋体" w:cs="宋体"/>
          <w:color w:val="auto"/>
          <w:highlight w:val="none"/>
        </w:rPr>
      </w:pPr>
    </w:p>
    <w:p w14:paraId="590431FB">
      <w:pPr>
        <w:pStyle w:val="19"/>
        <w:spacing w:line="360" w:lineRule="auto"/>
        <w:outlineLvl w:val="9"/>
        <w:rPr>
          <w:rFonts w:hint="eastAsia" w:ascii="宋体" w:hAnsi="宋体" w:eastAsia="宋体" w:cs="宋体"/>
          <w:color w:val="auto"/>
          <w:highlight w:val="none"/>
        </w:rPr>
      </w:pPr>
    </w:p>
    <w:p w14:paraId="48363689">
      <w:pPr>
        <w:pStyle w:val="19"/>
        <w:spacing w:line="360" w:lineRule="auto"/>
        <w:outlineLvl w:val="9"/>
        <w:rPr>
          <w:rFonts w:hint="eastAsia" w:ascii="宋体" w:hAnsi="宋体" w:eastAsia="宋体" w:cs="宋体"/>
          <w:color w:val="auto"/>
          <w:highlight w:val="none"/>
        </w:rPr>
      </w:pPr>
    </w:p>
    <w:p w14:paraId="233B621B">
      <w:pPr>
        <w:pStyle w:val="19"/>
        <w:spacing w:line="360" w:lineRule="auto"/>
        <w:outlineLvl w:val="9"/>
        <w:rPr>
          <w:rFonts w:hint="eastAsia" w:ascii="宋体" w:hAnsi="宋体" w:eastAsia="宋体" w:cs="宋体"/>
          <w:color w:val="auto"/>
          <w:highlight w:val="none"/>
        </w:rPr>
      </w:pPr>
    </w:p>
    <w:p w14:paraId="27428A2E">
      <w:pPr>
        <w:pStyle w:val="19"/>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5A324D35">
      <w:pPr>
        <w:pStyle w:val="19"/>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04EA6E07">
      <w:pPr>
        <w:pStyle w:val="19"/>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14:paraId="19B023FB">
      <w:pPr>
        <w:pStyle w:val="19"/>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308B0780">
      <w:pPr>
        <w:pStyle w:val="19"/>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115ECE45">
      <w:pPr>
        <w:pStyle w:val="19"/>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6CF2279F">
      <w:pPr>
        <w:pStyle w:val="19"/>
        <w:spacing w:line="360" w:lineRule="auto"/>
        <w:outlineLvl w:val="9"/>
        <w:rPr>
          <w:rFonts w:hint="eastAsia" w:ascii="宋体" w:hAnsi="宋体" w:eastAsia="宋体" w:cs="宋体"/>
          <w:color w:val="auto"/>
          <w:highlight w:val="none"/>
        </w:rPr>
      </w:pPr>
    </w:p>
    <w:p w14:paraId="17569777">
      <w:pPr>
        <w:pStyle w:val="19"/>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775BDEA">
      <w:pPr>
        <w:pStyle w:val="19"/>
        <w:spacing w:line="360" w:lineRule="auto"/>
        <w:outlineLvl w:val="9"/>
        <w:rPr>
          <w:rFonts w:hint="eastAsia" w:ascii="宋体" w:hAnsi="宋体" w:eastAsia="宋体" w:cs="宋体"/>
          <w:color w:val="auto"/>
          <w:highlight w:val="none"/>
        </w:rPr>
      </w:pPr>
    </w:p>
    <w:p w14:paraId="2C56832D">
      <w:pPr>
        <w:pBdr>
          <w:bottom w:val="single" w:color="auto" w:sz="6" w:space="0"/>
        </w:pBdr>
        <w:spacing w:line="480" w:lineRule="auto"/>
        <w:ind w:firstLine="472" w:firstLineChars="224"/>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38"/>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57"/>
        <w:gridCol w:w="4059"/>
      </w:tblGrid>
      <w:tr w14:paraId="70F4E3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6DB0E06D">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24BEBA09">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040" w:type="pct"/>
            <w:vAlign w:val="center"/>
          </w:tcPr>
          <w:p w14:paraId="6F83D336">
            <w:pPr>
              <w:adjustRightInd w:val="0"/>
              <w:snapToGrid w:val="0"/>
              <w:spacing w:line="360" w:lineRule="auto"/>
              <w:jc w:val="center"/>
              <w:outlineLvl w:val="9"/>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1957" w:type="pct"/>
            <w:tcBorders>
              <w:left w:val="single" w:color="auto" w:sz="4" w:space="0"/>
            </w:tcBorders>
            <w:vAlign w:val="center"/>
          </w:tcPr>
          <w:p w14:paraId="2DFF237F">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2E33B7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0200C641">
            <w:pPr>
              <w:adjustRightInd w:val="0"/>
              <w:snapToGrid w:val="0"/>
              <w:spacing w:line="360" w:lineRule="auto"/>
              <w:jc w:val="center"/>
              <w:outlineLvl w:val="9"/>
              <w:rPr>
                <w:rFonts w:hint="eastAsia" w:ascii="宋体" w:hAnsi="宋体" w:eastAsia="宋体" w:cs="宋体"/>
                <w:bCs/>
                <w:color w:val="auto"/>
                <w:szCs w:val="21"/>
                <w:highlight w:val="none"/>
              </w:rPr>
            </w:pPr>
          </w:p>
        </w:tc>
        <w:tc>
          <w:tcPr>
            <w:tcW w:w="1337" w:type="pct"/>
            <w:vAlign w:val="center"/>
          </w:tcPr>
          <w:p w14:paraId="3BF8FA09">
            <w:pPr>
              <w:adjustRightInd w:val="0"/>
              <w:snapToGrid w:val="0"/>
              <w:spacing w:line="360" w:lineRule="auto"/>
              <w:jc w:val="center"/>
              <w:outlineLvl w:val="9"/>
              <w:rPr>
                <w:rFonts w:hint="eastAsia" w:ascii="宋体" w:hAnsi="宋体" w:eastAsia="宋体" w:cs="宋体"/>
                <w:bCs/>
                <w:color w:val="auto"/>
                <w:szCs w:val="21"/>
                <w:highlight w:val="none"/>
              </w:rPr>
            </w:pPr>
          </w:p>
        </w:tc>
        <w:tc>
          <w:tcPr>
            <w:tcW w:w="1040" w:type="pct"/>
            <w:vAlign w:val="center"/>
          </w:tcPr>
          <w:p w14:paraId="636A45B5">
            <w:pPr>
              <w:adjustRightInd w:val="0"/>
              <w:snapToGrid w:val="0"/>
              <w:spacing w:line="360" w:lineRule="auto"/>
              <w:jc w:val="center"/>
              <w:outlineLvl w:val="9"/>
              <w:rPr>
                <w:rFonts w:hint="eastAsia" w:ascii="宋体" w:hAnsi="宋体" w:eastAsia="宋体" w:cs="宋体"/>
                <w:bCs/>
                <w:color w:val="auto"/>
                <w:szCs w:val="21"/>
                <w:highlight w:val="none"/>
              </w:rPr>
            </w:pPr>
          </w:p>
        </w:tc>
        <w:tc>
          <w:tcPr>
            <w:tcW w:w="1957" w:type="pct"/>
            <w:tcBorders>
              <w:left w:val="single" w:color="auto" w:sz="4" w:space="0"/>
            </w:tcBorders>
            <w:vAlign w:val="center"/>
          </w:tcPr>
          <w:p w14:paraId="69F4797F">
            <w:pPr>
              <w:adjustRightInd w:val="0"/>
              <w:snapToGrid w:val="0"/>
              <w:spacing w:line="360" w:lineRule="auto"/>
              <w:outlineLvl w:val="9"/>
              <w:rPr>
                <w:rFonts w:hint="eastAsia" w:ascii="宋体" w:hAnsi="宋体" w:eastAsia="宋体" w:cs="宋体"/>
                <w:bCs/>
                <w:color w:val="auto"/>
                <w:szCs w:val="21"/>
                <w:highlight w:val="none"/>
              </w:rPr>
            </w:pPr>
          </w:p>
        </w:tc>
      </w:tr>
      <w:tr w14:paraId="407F7B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7E439876">
            <w:pPr>
              <w:outlineLvl w:val="9"/>
              <w:rPr>
                <w:rFonts w:hint="eastAsia" w:ascii="宋体" w:hAnsi="宋体" w:eastAsia="宋体" w:cs="宋体"/>
                <w:bCs/>
                <w:color w:val="auto"/>
                <w:szCs w:val="21"/>
                <w:highlight w:val="none"/>
              </w:rPr>
            </w:pPr>
          </w:p>
        </w:tc>
        <w:tc>
          <w:tcPr>
            <w:tcW w:w="1337" w:type="pct"/>
            <w:vAlign w:val="center"/>
          </w:tcPr>
          <w:p w14:paraId="304CB8C3">
            <w:pPr>
              <w:outlineLvl w:val="9"/>
              <w:rPr>
                <w:rFonts w:hint="eastAsia" w:ascii="宋体" w:hAnsi="宋体" w:eastAsia="宋体" w:cs="宋体"/>
                <w:bCs/>
                <w:color w:val="auto"/>
                <w:szCs w:val="21"/>
                <w:highlight w:val="none"/>
              </w:rPr>
            </w:pPr>
          </w:p>
        </w:tc>
        <w:tc>
          <w:tcPr>
            <w:tcW w:w="1040" w:type="pct"/>
            <w:vAlign w:val="center"/>
          </w:tcPr>
          <w:p w14:paraId="7D45255F">
            <w:pPr>
              <w:outlineLvl w:val="9"/>
              <w:rPr>
                <w:rFonts w:hint="eastAsia" w:ascii="宋体" w:hAnsi="宋体" w:eastAsia="宋体" w:cs="宋体"/>
                <w:bCs/>
                <w:color w:val="auto"/>
                <w:szCs w:val="21"/>
                <w:highlight w:val="none"/>
              </w:rPr>
            </w:pPr>
          </w:p>
        </w:tc>
        <w:tc>
          <w:tcPr>
            <w:tcW w:w="1957" w:type="pct"/>
            <w:tcBorders>
              <w:left w:val="single" w:color="auto" w:sz="4" w:space="0"/>
            </w:tcBorders>
            <w:vAlign w:val="center"/>
          </w:tcPr>
          <w:p w14:paraId="40F840DE">
            <w:pPr>
              <w:adjustRightInd w:val="0"/>
              <w:snapToGrid w:val="0"/>
              <w:spacing w:line="360" w:lineRule="auto"/>
              <w:ind w:firstLine="105" w:firstLineChars="50"/>
              <w:outlineLvl w:val="9"/>
              <w:rPr>
                <w:rFonts w:hint="eastAsia" w:ascii="宋体" w:hAnsi="宋体" w:eastAsia="宋体" w:cs="宋体"/>
                <w:bCs/>
                <w:color w:val="auto"/>
                <w:szCs w:val="21"/>
                <w:highlight w:val="none"/>
              </w:rPr>
            </w:pPr>
          </w:p>
        </w:tc>
      </w:tr>
      <w:tr w14:paraId="117552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4989B027">
            <w:pPr>
              <w:adjustRightInd w:val="0"/>
              <w:snapToGrid w:val="0"/>
              <w:spacing w:line="360" w:lineRule="auto"/>
              <w:jc w:val="center"/>
              <w:outlineLvl w:val="9"/>
              <w:rPr>
                <w:rFonts w:hint="eastAsia" w:ascii="宋体" w:hAnsi="宋体" w:eastAsia="宋体" w:cs="宋体"/>
                <w:bCs/>
                <w:color w:val="auto"/>
                <w:szCs w:val="21"/>
                <w:highlight w:val="none"/>
              </w:rPr>
            </w:pPr>
          </w:p>
        </w:tc>
        <w:tc>
          <w:tcPr>
            <w:tcW w:w="1337" w:type="pct"/>
            <w:vAlign w:val="center"/>
          </w:tcPr>
          <w:p w14:paraId="76630EDF">
            <w:pPr>
              <w:adjustRightInd w:val="0"/>
              <w:snapToGrid w:val="0"/>
              <w:spacing w:line="360" w:lineRule="auto"/>
              <w:outlineLvl w:val="9"/>
              <w:rPr>
                <w:rFonts w:hint="eastAsia" w:ascii="宋体" w:hAnsi="宋体" w:eastAsia="宋体" w:cs="宋体"/>
                <w:bCs/>
                <w:color w:val="auto"/>
                <w:szCs w:val="21"/>
                <w:highlight w:val="none"/>
              </w:rPr>
            </w:pPr>
          </w:p>
        </w:tc>
        <w:tc>
          <w:tcPr>
            <w:tcW w:w="1040" w:type="pct"/>
            <w:vAlign w:val="center"/>
          </w:tcPr>
          <w:p w14:paraId="7703C99F">
            <w:pPr>
              <w:adjustRightInd w:val="0"/>
              <w:snapToGrid w:val="0"/>
              <w:spacing w:line="360" w:lineRule="auto"/>
              <w:jc w:val="center"/>
              <w:outlineLvl w:val="9"/>
              <w:rPr>
                <w:rFonts w:hint="eastAsia" w:ascii="宋体" w:hAnsi="宋体" w:eastAsia="宋体" w:cs="宋体"/>
                <w:bCs/>
                <w:color w:val="auto"/>
                <w:szCs w:val="21"/>
                <w:highlight w:val="none"/>
              </w:rPr>
            </w:pPr>
          </w:p>
        </w:tc>
        <w:tc>
          <w:tcPr>
            <w:tcW w:w="1957" w:type="pct"/>
            <w:tcBorders>
              <w:left w:val="single" w:color="auto" w:sz="4" w:space="0"/>
            </w:tcBorders>
            <w:vAlign w:val="center"/>
          </w:tcPr>
          <w:p w14:paraId="25C63B84">
            <w:pPr>
              <w:spacing w:line="360" w:lineRule="auto"/>
              <w:ind w:firstLine="8" w:firstLineChars="4"/>
              <w:outlineLvl w:val="9"/>
              <w:rPr>
                <w:rFonts w:hint="eastAsia" w:ascii="宋体" w:hAnsi="宋体" w:eastAsia="宋体" w:cs="宋体"/>
                <w:bCs/>
                <w:color w:val="auto"/>
                <w:szCs w:val="21"/>
                <w:highlight w:val="none"/>
              </w:rPr>
            </w:pPr>
          </w:p>
        </w:tc>
      </w:tr>
      <w:tr w14:paraId="34D7CA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1C45F112">
            <w:pPr>
              <w:adjustRightInd w:val="0"/>
              <w:snapToGrid w:val="0"/>
              <w:spacing w:line="360" w:lineRule="auto"/>
              <w:jc w:val="center"/>
              <w:outlineLvl w:val="9"/>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69A97E1E">
            <w:pPr>
              <w:adjustRightInd w:val="0"/>
              <w:snapToGrid w:val="0"/>
              <w:spacing w:line="360" w:lineRule="auto"/>
              <w:outlineLvl w:val="9"/>
              <w:rPr>
                <w:rFonts w:hint="eastAsia" w:ascii="宋体" w:hAnsi="宋体" w:eastAsia="宋体" w:cs="宋体"/>
                <w:bCs/>
                <w:color w:val="auto"/>
                <w:szCs w:val="21"/>
                <w:highlight w:val="none"/>
              </w:rPr>
            </w:pPr>
          </w:p>
        </w:tc>
        <w:tc>
          <w:tcPr>
            <w:tcW w:w="1040" w:type="pct"/>
            <w:tcBorders>
              <w:top w:val="single" w:color="auto" w:sz="6" w:space="0"/>
              <w:left w:val="single" w:color="auto" w:sz="6" w:space="0"/>
              <w:bottom w:val="outset" w:color="808080" w:sz="6" w:space="0"/>
              <w:right w:val="single" w:color="auto" w:sz="6" w:space="0"/>
            </w:tcBorders>
            <w:vAlign w:val="center"/>
          </w:tcPr>
          <w:p w14:paraId="48FBED0C">
            <w:pPr>
              <w:adjustRightInd w:val="0"/>
              <w:snapToGrid w:val="0"/>
              <w:spacing w:line="360" w:lineRule="auto"/>
              <w:jc w:val="center"/>
              <w:outlineLvl w:val="9"/>
              <w:rPr>
                <w:rFonts w:hint="eastAsia" w:ascii="宋体" w:hAnsi="宋体" w:eastAsia="宋体" w:cs="宋体"/>
                <w:bCs/>
                <w:color w:val="auto"/>
                <w:szCs w:val="21"/>
                <w:highlight w:val="none"/>
              </w:rPr>
            </w:pPr>
          </w:p>
        </w:tc>
        <w:tc>
          <w:tcPr>
            <w:tcW w:w="1957" w:type="pct"/>
            <w:tcBorders>
              <w:top w:val="single" w:color="auto" w:sz="6" w:space="0"/>
              <w:left w:val="single" w:color="auto" w:sz="4" w:space="0"/>
              <w:bottom w:val="outset" w:color="808080" w:sz="6" w:space="0"/>
              <w:right w:val="single" w:color="auto" w:sz="6" w:space="0"/>
            </w:tcBorders>
            <w:vAlign w:val="center"/>
          </w:tcPr>
          <w:p w14:paraId="482FBA62">
            <w:pPr>
              <w:adjustRightInd w:val="0"/>
              <w:snapToGrid w:val="0"/>
              <w:spacing w:line="360" w:lineRule="auto"/>
              <w:outlineLvl w:val="9"/>
              <w:rPr>
                <w:rFonts w:hint="eastAsia" w:ascii="宋体" w:hAnsi="宋体" w:eastAsia="宋体" w:cs="宋体"/>
                <w:bCs/>
                <w:color w:val="auto"/>
                <w:szCs w:val="21"/>
                <w:highlight w:val="none"/>
              </w:rPr>
            </w:pPr>
          </w:p>
        </w:tc>
      </w:tr>
      <w:tr w14:paraId="2ABB19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60A9D328">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040" w:type="pct"/>
            <w:tcBorders>
              <w:bottom w:val="single" w:color="auto" w:sz="4" w:space="0"/>
            </w:tcBorders>
            <w:vAlign w:val="center"/>
          </w:tcPr>
          <w:p w14:paraId="3D6B6C68">
            <w:pPr>
              <w:adjustRightInd w:val="0"/>
              <w:snapToGrid w:val="0"/>
              <w:spacing w:line="360" w:lineRule="auto"/>
              <w:jc w:val="center"/>
              <w:outlineLvl w:val="9"/>
              <w:rPr>
                <w:rFonts w:hint="eastAsia" w:ascii="宋体" w:hAnsi="宋体" w:eastAsia="宋体" w:cs="宋体"/>
                <w:bCs/>
                <w:color w:val="auto"/>
                <w:szCs w:val="21"/>
                <w:highlight w:val="none"/>
              </w:rPr>
            </w:pPr>
          </w:p>
        </w:tc>
        <w:tc>
          <w:tcPr>
            <w:tcW w:w="1957" w:type="pct"/>
            <w:tcBorders>
              <w:left w:val="single" w:color="auto" w:sz="4" w:space="0"/>
              <w:bottom w:val="single" w:color="auto" w:sz="4" w:space="0"/>
            </w:tcBorders>
            <w:vAlign w:val="center"/>
          </w:tcPr>
          <w:p w14:paraId="4FA161B8">
            <w:pPr>
              <w:spacing w:line="360" w:lineRule="auto"/>
              <w:jc w:val="center"/>
              <w:outlineLvl w:val="9"/>
              <w:rPr>
                <w:rFonts w:hint="eastAsia" w:ascii="宋体" w:hAnsi="宋体" w:eastAsia="宋体" w:cs="宋体"/>
                <w:bCs/>
                <w:color w:val="auto"/>
                <w:szCs w:val="21"/>
                <w:highlight w:val="none"/>
              </w:rPr>
            </w:pPr>
          </w:p>
        </w:tc>
      </w:tr>
    </w:tbl>
    <w:p w14:paraId="030A53D1">
      <w:pPr>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2732642">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color w:val="auto"/>
          <w:kern w:val="0"/>
          <w:sz w:val="32"/>
          <w:szCs w:val="32"/>
          <w:highlight w:val="none"/>
        </w:rPr>
      </w:pPr>
      <w:bookmarkStart w:id="652" w:name="_Toc25224"/>
      <w:bookmarkStart w:id="653" w:name="_Toc2729"/>
      <w:bookmarkStart w:id="654" w:name="_Toc26936"/>
      <w:bookmarkStart w:id="655" w:name="_Toc23782"/>
      <w:bookmarkStart w:id="656" w:name="_Toc27679"/>
      <w:bookmarkStart w:id="657" w:name="_Toc13281"/>
      <w:r>
        <w:rPr>
          <w:rFonts w:hint="eastAsia" w:ascii="宋体" w:hAnsi="宋体" w:eastAsia="宋体" w:cs="宋体"/>
          <w:b/>
          <w:color w:val="auto"/>
          <w:kern w:val="0"/>
          <w:sz w:val="32"/>
          <w:szCs w:val="32"/>
          <w:highlight w:val="none"/>
        </w:rPr>
        <w:t>一、投标函格式</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14:paraId="2B563F07">
      <w:pPr>
        <w:autoSpaceDE w:val="0"/>
        <w:autoSpaceDN w:val="0"/>
        <w:adjustRightInd w:val="0"/>
        <w:spacing w:line="360" w:lineRule="auto"/>
        <w:jc w:val="center"/>
        <w:outlineLvl w:val="9"/>
        <w:rPr>
          <w:rFonts w:hint="eastAsia" w:ascii="宋体" w:hAnsi="宋体" w:eastAsia="宋体" w:cs="宋体"/>
          <w:b/>
          <w:bCs/>
          <w:color w:val="auto"/>
          <w:sz w:val="30"/>
          <w:szCs w:val="30"/>
          <w:highlight w:val="none"/>
        </w:rPr>
      </w:pPr>
      <w:bookmarkStart w:id="658" w:name="_Toc16695_WPSOffice_Level3"/>
      <w:r>
        <w:rPr>
          <w:rFonts w:hint="eastAsia" w:ascii="宋体" w:hAnsi="宋体" w:eastAsia="宋体" w:cs="宋体"/>
          <w:b/>
          <w:bCs/>
          <w:color w:val="auto"/>
          <w:sz w:val="30"/>
          <w:szCs w:val="30"/>
          <w:highlight w:val="none"/>
          <w:lang w:val="zh-CN"/>
        </w:rPr>
        <w:t>投 标 函</w:t>
      </w:r>
      <w:bookmarkEnd w:id="658"/>
    </w:p>
    <w:p w14:paraId="57E191A7">
      <w:pPr>
        <w:autoSpaceDE w:val="0"/>
        <w:autoSpaceDN w:val="0"/>
        <w:adjustRightInd w:val="0"/>
        <w:spacing w:line="360" w:lineRule="auto"/>
        <w:outlineLvl w:val="9"/>
        <w:rPr>
          <w:rFonts w:hint="eastAsia" w:ascii="宋体" w:hAnsi="宋体" w:eastAsia="宋体" w:cs="宋体"/>
          <w:color w:val="auto"/>
          <w:szCs w:val="21"/>
          <w:highlight w:val="none"/>
          <w:lang w:val="zh-CN"/>
        </w:rPr>
      </w:pPr>
    </w:p>
    <w:p w14:paraId="4824C2EF">
      <w:pPr>
        <w:autoSpaceDE w:val="0"/>
        <w:autoSpaceDN w:val="0"/>
        <w:adjustRightInd w:val="0"/>
        <w:spacing w:line="360" w:lineRule="auto"/>
        <w:outlineLvl w:val="9"/>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lang w:eastAsia="zh-CN"/>
        </w:rPr>
        <w:t>东莞市利源有机资源再生利用有限公司</w:t>
      </w:r>
    </w:p>
    <w:p w14:paraId="6AEAEDAC">
      <w:pPr>
        <w:autoSpaceDE w:val="0"/>
        <w:autoSpaceDN w:val="0"/>
        <w:adjustRightInd w:val="0"/>
        <w:spacing w:line="360" w:lineRule="auto"/>
        <w:outlineLvl w:val="9"/>
        <w:rPr>
          <w:rFonts w:hint="eastAsia" w:ascii="宋体" w:hAnsi="宋体" w:eastAsia="宋体" w:cs="宋体"/>
          <w:color w:val="auto"/>
          <w:szCs w:val="21"/>
          <w:highlight w:val="none"/>
        </w:rPr>
      </w:pPr>
    </w:p>
    <w:p w14:paraId="1196A0DC">
      <w:pPr>
        <w:wordWrap w:val="0"/>
        <w:autoSpaceDE w:val="0"/>
        <w:autoSpaceDN w:val="0"/>
        <w:adjustRightInd w:val="0"/>
        <w:spacing w:line="360" w:lineRule="auto"/>
        <w:ind w:firstLine="42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w:t>
      </w:r>
      <w:r>
        <w:rPr>
          <w:rFonts w:hint="eastAsia" w:ascii="宋体" w:hAnsi="宋体" w:eastAsia="宋体" w:cs="宋体"/>
          <w:color w:val="auto"/>
          <w:kern w:val="0"/>
          <w:szCs w:val="21"/>
          <w:highlight w:val="none"/>
          <w:u w:val="single"/>
          <w:lang w:val="en-US" w:eastAsia="zh-CN"/>
        </w:rPr>
        <w:t>置拓</w:t>
      </w:r>
      <w:r>
        <w:rPr>
          <w:rFonts w:hint="eastAsia" w:ascii="宋体" w:hAnsi="宋体" w:eastAsia="宋体" w:cs="宋体"/>
          <w:color w:val="auto"/>
          <w:kern w:val="0"/>
          <w:szCs w:val="21"/>
          <w:highlight w:val="none"/>
          <w:u w:val="single"/>
          <w:lang w:eastAsia="zh-CN"/>
        </w:rPr>
        <w:t>投资有限公司</w:t>
      </w:r>
      <w:r>
        <w:rPr>
          <w:rFonts w:hint="eastAsia" w:ascii="宋体" w:hAnsi="宋体" w:eastAsia="宋体" w:cs="宋体"/>
          <w:color w:val="auto"/>
          <w:kern w:val="0"/>
          <w:szCs w:val="21"/>
          <w:highlight w:val="none"/>
          <w:u w:val="single"/>
          <w:lang w:val="en-US" w:eastAsia="zh-CN"/>
        </w:rPr>
        <w:t>水业大厦食堂经营服务</w:t>
      </w:r>
      <w:r>
        <w:rPr>
          <w:rFonts w:hint="eastAsia" w:ascii="宋体" w:hAnsi="宋体" w:eastAsia="宋体" w:cs="宋体"/>
          <w:color w:val="auto"/>
          <w:kern w:val="0"/>
          <w:szCs w:val="21"/>
          <w:highlight w:val="none"/>
          <w:u w:val="single"/>
          <w:lang w:eastAsia="zh-CN"/>
        </w:rPr>
        <w:t>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rPr>
        <w:t>广建咨询（东招）2025-0020号</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2DC4C1F2">
      <w:pPr>
        <w:autoSpaceDE w:val="0"/>
        <w:autoSpaceDN w:val="0"/>
        <w:adjustRightInd w:val="0"/>
        <w:spacing w:line="360" w:lineRule="auto"/>
        <w:ind w:firstLine="42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14:paraId="6D9773BC">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（—）唱标信封【</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份】（含投标文件电子文件）；</w:t>
      </w:r>
    </w:p>
    <w:p w14:paraId="2AFF86D4">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（二）投标文件【正本</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份，副本</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w:t>
      </w:r>
    </w:p>
    <w:p w14:paraId="2A8820F9">
      <w:pPr>
        <w:autoSpaceDE w:val="0"/>
        <w:autoSpaceDN w:val="0"/>
        <w:adjustRightInd w:val="0"/>
        <w:spacing w:line="360" w:lineRule="auto"/>
        <w:ind w:firstLine="42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75007C5B">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（—）我方决定参加招标编号为</w:t>
      </w:r>
      <w:r>
        <w:rPr>
          <w:rFonts w:hint="eastAsia" w:ascii="宋体" w:hAnsi="宋体" w:eastAsia="宋体" w:cs="宋体"/>
          <w:color w:val="auto"/>
          <w:szCs w:val="21"/>
          <w:highlight w:val="none"/>
        </w:rPr>
        <w:t>广建咨询（东招）2025-0020号</w:t>
      </w:r>
      <w:r>
        <w:rPr>
          <w:rFonts w:hint="eastAsia" w:ascii="宋体" w:hAnsi="宋体" w:eastAsia="宋体" w:cs="宋体"/>
          <w:color w:val="auto"/>
          <w:szCs w:val="21"/>
          <w:highlight w:val="none"/>
          <w:lang w:val="zh-CN"/>
        </w:rPr>
        <w:t>的投标；</w:t>
      </w:r>
    </w:p>
    <w:p w14:paraId="40FAE7FC">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29FE8A77">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74EBED04">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14:paraId="2320CB4D">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32453D67">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059077AB">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49D3AC15">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30CBD094">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524F6DDE">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5673CA80">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14:paraId="4B417B93">
      <w:pPr>
        <w:autoSpaceDE w:val="0"/>
        <w:autoSpaceDN w:val="0"/>
        <w:adjustRightInd w:val="0"/>
        <w:spacing w:line="360" w:lineRule="auto"/>
        <w:ind w:left="395" w:leftChars="-12" w:hanging="420" w:hangingChars="200"/>
        <w:outlineLvl w:val="9"/>
        <w:rPr>
          <w:rFonts w:hint="eastAsia" w:ascii="宋体" w:hAnsi="宋体" w:eastAsia="宋体" w:cs="宋体"/>
          <w:color w:val="auto"/>
          <w:szCs w:val="21"/>
          <w:highlight w:val="none"/>
          <w:u w:val="single"/>
          <w:lang w:val="zh-CN"/>
        </w:rPr>
      </w:pPr>
    </w:p>
    <w:p w14:paraId="0225E839">
      <w:pPr>
        <w:autoSpaceDE w:val="0"/>
        <w:autoSpaceDN w:val="0"/>
        <w:adjustRightInd w:val="0"/>
        <w:spacing w:line="360" w:lineRule="auto"/>
        <w:ind w:firstLine="420" w:firstLineChars="200"/>
        <w:outlineLvl w:val="9"/>
        <w:rPr>
          <w:rFonts w:hint="eastAsia"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496709EF">
      <w:pPr>
        <w:autoSpaceDE w:val="0"/>
        <w:autoSpaceDN w:val="0"/>
        <w:adjustRightInd w:val="0"/>
        <w:spacing w:line="360" w:lineRule="auto"/>
        <w:ind w:firstLine="420" w:firstLineChars="2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775D8D61">
      <w:pPr>
        <w:autoSpaceDE w:val="0"/>
        <w:autoSpaceDN w:val="0"/>
        <w:adjustRightInd w:val="0"/>
        <w:spacing w:line="360" w:lineRule="auto"/>
        <w:ind w:firstLine="420" w:firstLineChars="2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3FC6B46C">
      <w:pPr>
        <w:autoSpaceDE w:val="0"/>
        <w:autoSpaceDN w:val="0"/>
        <w:adjustRightInd w:val="0"/>
        <w:spacing w:line="360" w:lineRule="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7C3D190C">
      <w:pPr>
        <w:autoSpaceDE w:val="0"/>
        <w:autoSpaceDN w:val="0"/>
        <w:adjustRightInd w:val="0"/>
        <w:spacing w:line="360" w:lineRule="auto"/>
        <w:ind w:firstLine="4960" w:firstLineChars="2362"/>
        <w:outlineLvl w:val="9"/>
        <w:rPr>
          <w:rFonts w:hint="eastAsia" w:ascii="宋体" w:hAnsi="宋体" w:eastAsia="宋体" w:cs="宋体"/>
          <w:color w:val="auto"/>
          <w:szCs w:val="21"/>
          <w:highlight w:val="none"/>
          <w:lang w:val="zh-CN"/>
        </w:rPr>
      </w:pPr>
    </w:p>
    <w:p w14:paraId="0A0CBEC2">
      <w:pPr>
        <w:autoSpaceDE w:val="0"/>
        <w:autoSpaceDN w:val="0"/>
        <w:adjustRightInd w:val="0"/>
        <w:spacing w:line="360" w:lineRule="auto"/>
        <w:ind w:firstLine="4960" w:firstLineChars="236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3AF43A7B">
      <w:pPr>
        <w:autoSpaceDE w:val="0"/>
        <w:autoSpaceDN w:val="0"/>
        <w:adjustRightInd w:val="0"/>
        <w:spacing w:line="360" w:lineRule="auto"/>
        <w:ind w:firstLine="4960" w:firstLineChars="236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3C7E2A61">
      <w:pPr>
        <w:autoSpaceDE w:val="0"/>
        <w:autoSpaceDN w:val="0"/>
        <w:adjustRightInd w:val="0"/>
        <w:spacing w:line="360" w:lineRule="auto"/>
        <w:ind w:firstLine="4960" w:firstLineChars="2362"/>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宋体"/>
          <w:color w:val="auto"/>
          <w:szCs w:val="24"/>
          <w:highlight w:val="none"/>
          <w:lang w:val="zh-CN"/>
        </w:rPr>
        <w:t>期：   年   月   日</w:t>
      </w:r>
    </w:p>
    <w:p w14:paraId="0A68584A">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659" w:name="_Toc104991869"/>
      <w:bookmarkStart w:id="660" w:name="_Toc102860412"/>
      <w:bookmarkStart w:id="661" w:name="_Toc94107203"/>
      <w:bookmarkStart w:id="662" w:name="_Toc142508363"/>
      <w:bookmarkStart w:id="663" w:name="_Toc22281"/>
      <w:bookmarkStart w:id="664" w:name="_Toc533708122"/>
      <w:bookmarkStart w:id="665" w:name="_Toc1977722"/>
      <w:bookmarkStart w:id="666" w:name="_Toc23889"/>
      <w:bookmarkStart w:id="667" w:name="_Toc102860068"/>
      <w:bookmarkStart w:id="668" w:name="_Toc12417"/>
      <w:bookmarkStart w:id="669" w:name="_Toc486167710"/>
      <w:bookmarkStart w:id="670" w:name="_Toc140596922"/>
      <w:bookmarkStart w:id="671" w:name="_Toc28613_WPSOffice_Level2"/>
      <w:bookmarkStart w:id="672" w:name="_Toc30995"/>
      <w:bookmarkStart w:id="673" w:name="_Toc3104"/>
      <w:bookmarkStart w:id="674" w:name="_Toc27341"/>
      <w:r>
        <w:rPr>
          <w:rFonts w:hint="eastAsia" w:ascii="宋体" w:hAnsi="宋体" w:eastAsia="宋体" w:cs="宋体"/>
          <w:b/>
          <w:color w:val="auto"/>
          <w:kern w:val="0"/>
          <w:sz w:val="32"/>
          <w:szCs w:val="32"/>
          <w:highlight w:val="none"/>
        </w:rPr>
        <w:t>二、投标承诺书格式</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14:paraId="06DA8039">
      <w:pPr>
        <w:autoSpaceDE w:val="0"/>
        <w:autoSpaceDN w:val="0"/>
        <w:adjustRightInd w:val="0"/>
        <w:spacing w:line="360" w:lineRule="auto"/>
        <w:jc w:val="center"/>
        <w:outlineLvl w:val="9"/>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投标承诺书</w:t>
      </w:r>
    </w:p>
    <w:p w14:paraId="35FD4A0D">
      <w:pPr>
        <w:widowControl/>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p>
    <w:p w14:paraId="4A05ED7C">
      <w:pPr>
        <w:widowControl/>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（投标人名称）已完整阅读了</w:t>
      </w:r>
      <w:r>
        <w:rPr>
          <w:rFonts w:hint="eastAsia" w:ascii="宋体" w:hAnsi="宋体" w:eastAsia="宋体" w:cs="宋体"/>
          <w:color w:val="auto"/>
          <w:kern w:val="0"/>
          <w:szCs w:val="21"/>
          <w:highlight w:val="none"/>
          <w:u w:val="single"/>
          <w:lang w:eastAsia="zh-CN"/>
        </w:rPr>
        <w:t>东莞市</w:t>
      </w:r>
      <w:r>
        <w:rPr>
          <w:rFonts w:hint="eastAsia" w:ascii="宋体" w:hAnsi="宋体" w:eastAsia="宋体" w:cs="宋体"/>
          <w:color w:val="auto"/>
          <w:kern w:val="0"/>
          <w:szCs w:val="21"/>
          <w:highlight w:val="none"/>
          <w:u w:val="single"/>
          <w:lang w:val="en-US" w:eastAsia="zh-CN"/>
        </w:rPr>
        <w:t>置拓</w:t>
      </w:r>
      <w:r>
        <w:rPr>
          <w:rFonts w:hint="eastAsia" w:ascii="宋体" w:hAnsi="宋体" w:eastAsia="宋体" w:cs="宋体"/>
          <w:color w:val="auto"/>
          <w:kern w:val="0"/>
          <w:szCs w:val="21"/>
          <w:highlight w:val="none"/>
          <w:u w:val="single"/>
          <w:lang w:eastAsia="zh-CN"/>
        </w:rPr>
        <w:t>投资有限公司</w:t>
      </w:r>
      <w:r>
        <w:rPr>
          <w:rFonts w:hint="eastAsia" w:ascii="宋体" w:hAnsi="宋体" w:eastAsia="宋体" w:cs="宋体"/>
          <w:color w:val="auto"/>
          <w:kern w:val="0"/>
          <w:szCs w:val="21"/>
          <w:highlight w:val="none"/>
          <w:u w:val="single"/>
          <w:lang w:val="en-US" w:eastAsia="zh-CN"/>
        </w:rPr>
        <w:t>水业大厦食堂经营服务</w:t>
      </w:r>
      <w:r>
        <w:rPr>
          <w:rFonts w:hint="eastAsia" w:ascii="宋体" w:hAnsi="宋体" w:eastAsia="宋体" w:cs="宋体"/>
          <w:color w:val="auto"/>
          <w:kern w:val="0"/>
          <w:szCs w:val="21"/>
          <w:highlight w:val="none"/>
          <w:u w:val="single"/>
          <w:lang w:eastAsia="zh-CN"/>
        </w:rPr>
        <w:t>采购项目</w:t>
      </w:r>
      <w:r>
        <w:rPr>
          <w:rFonts w:hint="eastAsia" w:ascii="宋体" w:hAnsi="宋体" w:eastAsia="宋体" w:cs="宋体"/>
          <w:color w:val="auto"/>
          <w:kern w:val="0"/>
          <w:szCs w:val="21"/>
          <w:highlight w:val="none"/>
        </w:rPr>
        <w:t>（招标编号：</w:t>
      </w:r>
      <w:r>
        <w:rPr>
          <w:rFonts w:hint="eastAsia" w:ascii="宋体" w:hAnsi="宋体" w:eastAsia="宋体" w:cs="宋体"/>
          <w:color w:val="auto"/>
          <w:szCs w:val="21"/>
          <w:highlight w:val="none"/>
        </w:rPr>
        <w:t>广建咨询（东招）2025-0020号</w:t>
      </w:r>
      <w:r>
        <w:rPr>
          <w:rFonts w:hint="eastAsia" w:ascii="宋体" w:hAnsi="宋体" w:eastAsia="宋体" w:cs="宋体"/>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宋体"/>
          <w:color w:val="auto"/>
          <w:kern w:val="0"/>
          <w:szCs w:val="21"/>
          <w:highlight w:val="none"/>
          <w:lang w:eastAsia="zh-CN"/>
        </w:rPr>
        <w:t>异议</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rPr>
        <w:cr/>
      </w:r>
      <w:r>
        <w:rPr>
          <w:rFonts w:hint="eastAsia" w:ascii="宋体" w:hAnsi="宋体" w:eastAsia="宋体" w:cs="宋体"/>
          <w:color w:val="auto"/>
          <w:kern w:val="0"/>
          <w:szCs w:val="21"/>
          <w:highlight w:val="none"/>
        </w:rPr>
        <w:t xml:space="preserve">    我方承诺，若我方存在通过弄虚作假、虚假响应招标文件要求等手段骗取中标的，招标人有权或协助主管部门认定我方严重失信的不良行为，纳入相关企业信用“黑名单”，限制我方参与依法必须招标项目的投标，并向行政主管部门报送结果。同时，招标人有权根据《关于对环境保护领域失信生产经营单位及其有关人员开展联合惩戒的合作备忘录》等规定，通过“信用中国”网站向社会公示我方的失信行为，实现“一处失信、处处受限”。</w:t>
      </w:r>
    </w:p>
    <w:p w14:paraId="65A3B467">
      <w:pPr>
        <w:widowControl/>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29.2款约定按时提供原件核查的，因此导致我方无法参与东莞市水务集团有限公司相关招标采购活动的，由我方自行承担全部后果。</w:t>
      </w:r>
    </w:p>
    <w:p w14:paraId="47728C67">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p>
    <w:p w14:paraId="1E08E73D">
      <w:pPr>
        <w:autoSpaceDE w:val="0"/>
        <w:autoSpaceDN w:val="0"/>
        <w:adjustRightInd w:val="0"/>
        <w:spacing w:line="360" w:lineRule="auto"/>
        <w:jc w:val="left"/>
        <w:outlineLvl w:val="9"/>
        <w:rPr>
          <w:rFonts w:hint="eastAsia" w:ascii="宋体" w:hAnsi="宋体" w:eastAsia="宋体" w:cs="宋体"/>
          <w:color w:val="auto"/>
          <w:kern w:val="0"/>
          <w:sz w:val="24"/>
          <w:szCs w:val="24"/>
          <w:highlight w:val="none"/>
        </w:rPr>
      </w:pPr>
    </w:p>
    <w:p w14:paraId="70225407">
      <w:pPr>
        <w:autoSpaceDE w:val="0"/>
        <w:autoSpaceDN w:val="0"/>
        <w:adjustRightInd w:val="0"/>
        <w:spacing w:line="360" w:lineRule="auto"/>
        <w:jc w:val="left"/>
        <w:outlineLvl w:val="9"/>
        <w:rPr>
          <w:rFonts w:hint="eastAsia" w:ascii="宋体" w:hAnsi="宋体" w:eastAsia="宋体" w:cs="宋体"/>
          <w:color w:val="auto"/>
          <w:kern w:val="0"/>
          <w:sz w:val="24"/>
          <w:szCs w:val="24"/>
          <w:highlight w:val="none"/>
        </w:rPr>
      </w:pPr>
    </w:p>
    <w:p w14:paraId="6723F87C">
      <w:pPr>
        <w:autoSpaceDE w:val="0"/>
        <w:autoSpaceDN w:val="0"/>
        <w:adjustRightInd w:val="0"/>
        <w:spacing w:line="360" w:lineRule="auto"/>
        <w:ind w:firstLine="504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4C7BF243">
      <w:pPr>
        <w:autoSpaceDE w:val="0"/>
        <w:autoSpaceDN w:val="0"/>
        <w:adjustRightInd w:val="0"/>
        <w:spacing w:line="360" w:lineRule="auto"/>
        <w:ind w:firstLine="504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53B07CF1">
      <w:pPr>
        <w:autoSpaceDE w:val="0"/>
        <w:autoSpaceDN w:val="0"/>
        <w:adjustRightInd w:val="0"/>
        <w:spacing w:line="360" w:lineRule="auto"/>
        <w:ind w:firstLine="504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Cs w:val="24"/>
          <w:highlight w:val="none"/>
          <w:lang w:val="zh-CN"/>
        </w:rPr>
        <w:t>日期：   年   月   日</w:t>
      </w:r>
    </w:p>
    <w:p w14:paraId="0443191E">
      <w:pPr>
        <w:autoSpaceDE w:val="0"/>
        <w:autoSpaceDN w:val="0"/>
        <w:adjustRightInd w:val="0"/>
        <w:spacing w:line="360" w:lineRule="auto"/>
        <w:ind w:firstLine="480" w:firstLineChars="200"/>
        <w:jc w:val="left"/>
        <w:outlineLvl w:val="9"/>
        <w:rPr>
          <w:rFonts w:hint="eastAsia" w:ascii="宋体" w:hAnsi="宋体" w:eastAsia="宋体" w:cs="宋体"/>
          <w:color w:val="auto"/>
          <w:kern w:val="0"/>
          <w:sz w:val="24"/>
          <w:szCs w:val="24"/>
          <w:highlight w:val="none"/>
        </w:rPr>
      </w:pPr>
    </w:p>
    <w:p w14:paraId="36722D18">
      <w:pPr>
        <w:autoSpaceDE w:val="0"/>
        <w:autoSpaceDN w:val="0"/>
        <w:adjustRightInd w:val="0"/>
        <w:spacing w:line="360" w:lineRule="auto"/>
        <w:jc w:val="left"/>
        <w:outlineLvl w:val="9"/>
        <w:rPr>
          <w:rFonts w:hint="eastAsia" w:ascii="宋体" w:hAnsi="宋体" w:eastAsia="宋体" w:cs="宋体"/>
          <w:color w:val="auto"/>
          <w:kern w:val="0"/>
          <w:sz w:val="24"/>
          <w:szCs w:val="24"/>
          <w:highlight w:val="none"/>
        </w:rPr>
      </w:pPr>
    </w:p>
    <w:p w14:paraId="313BB02A">
      <w:pPr>
        <w:autoSpaceDE w:val="0"/>
        <w:autoSpaceDN w:val="0"/>
        <w:adjustRightInd w:val="0"/>
        <w:spacing w:line="360" w:lineRule="auto"/>
        <w:jc w:val="left"/>
        <w:outlineLvl w:val="9"/>
        <w:rPr>
          <w:rFonts w:hint="eastAsia" w:ascii="宋体" w:hAnsi="宋体" w:eastAsia="宋体" w:cs="宋体"/>
          <w:color w:val="auto"/>
          <w:kern w:val="0"/>
          <w:sz w:val="24"/>
          <w:szCs w:val="24"/>
          <w:highlight w:val="none"/>
        </w:rPr>
      </w:pPr>
      <w:bookmarkStart w:id="675" w:name="_Toc311032584"/>
      <w:bookmarkStart w:id="676" w:name="_Toc316896755"/>
      <w:bookmarkStart w:id="677" w:name="_Toc326768876"/>
    </w:p>
    <w:p w14:paraId="3B9FD988">
      <w:pPr>
        <w:pageBreakBefore/>
        <w:autoSpaceDE w:val="0"/>
        <w:autoSpaceDN w:val="0"/>
        <w:adjustRightInd w:val="0"/>
        <w:spacing w:line="360" w:lineRule="auto"/>
        <w:jc w:val="left"/>
        <w:outlineLvl w:val="9"/>
        <w:rPr>
          <w:rFonts w:hint="eastAsia" w:ascii="宋体" w:hAnsi="宋体" w:eastAsia="宋体" w:cs="宋体"/>
          <w:b/>
          <w:color w:val="auto"/>
          <w:kern w:val="44"/>
          <w:sz w:val="32"/>
          <w:szCs w:val="32"/>
          <w:highlight w:val="none"/>
        </w:rPr>
      </w:pPr>
      <w:bookmarkStart w:id="678" w:name="_Toc104991870"/>
      <w:bookmarkStart w:id="679" w:name="_Toc102860413"/>
      <w:bookmarkStart w:id="680" w:name="_Toc15413"/>
      <w:bookmarkStart w:id="681" w:name="_Toc94107204"/>
      <w:bookmarkStart w:id="682" w:name="_Toc102860069"/>
      <w:bookmarkStart w:id="683" w:name="_Toc27016"/>
      <w:bookmarkStart w:id="684" w:name="_Toc24507"/>
      <w:bookmarkStart w:id="685" w:name="_Toc5075"/>
      <w:bookmarkStart w:id="686" w:name="_Toc86764083"/>
      <w:bookmarkStart w:id="687" w:name="_Toc140596923"/>
      <w:bookmarkStart w:id="688" w:name="_Toc24336"/>
      <w:bookmarkStart w:id="689" w:name="_Toc82182546"/>
      <w:bookmarkStart w:id="690" w:name="_Toc29910"/>
      <w:bookmarkStart w:id="691" w:name="_Toc142508364"/>
      <w:bookmarkStart w:id="692" w:name="_Toc7024_WPSOffice_Level2"/>
      <w:bookmarkStart w:id="693" w:name="_Toc533708123"/>
      <w:bookmarkStart w:id="694" w:name="_Toc486167711"/>
      <w:bookmarkStart w:id="695" w:name="_Toc1977723"/>
      <w:r>
        <w:rPr>
          <w:rFonts w:hint="eastAsia" w:ascii="宋体" w:hAnsi="宋体" w:eastAsia="宋体" w:cs="宋体"/>
          <w:b/>
          <w:color w:val="auto"/>
          <w:kern w:val="44"/>
          <w:sz w:val="32"/>
          <w:szCs w:val="32"/>
          <w:highlight w:val="none"/>
        </w:rPr>
        <w:t>三、供货及/或提供服务过程承诺函格式</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14:paraId="7199E9E1">
      <w:pPr>
        <w:autoSpaceDE w:val="0"/>
        <w:autoSpaceDN w:val="0"/>
        <w:adjustRightInd w:val="0"/>
        <w:spacing w:line="360" w:lineRule="auto"/>
        <w:jc w:val="center"/>
        <w:outlineLvl w:val="9"/>
        <w:rPr>
          <w:rFonts w:hint="eastAsia"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09622F29">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lang w:eastAsia="zh-CN"/>
        </w:rPr>
        <w:t>东莞市利源有机资源再生利用有限公司</w:t>
      </w:r>
      <w:r>
        <w:rPr>
          <w:rFonts w:hint="eastAsia" w:ascii="宋体" w:hAnsi="宋体" w:eastAsia="宋体" w:cs="宋体"/>
          <w:color w:val="auto"/>
          <w:kern w:val="0"/>
          <w:szCs w:val="21"/>
          <w:highlight w:val="none"/>
        </w:rPr>
        <w:t>：</w:t>
      </w:r>
    </w:p>
    <w:p w14:paraId="4094A0CA">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宋体"/>
          <w:color w:val="auto"/>
          <w:kern w:val="0"/>
          <w:szCs w:val="21"/>
          <w:highlight w:val="none"/>
          <w:lang w:eastAsia="zh-CN"/>
        </w:rPr>
        <w:t>东莞市</w:t>
      </w:r>
      <w:r>
        <w:rPr>
          <w:rFonts w:hint="eastAsia" w:ascii="宋体" w:hAnsi="宋体" w:eastAsia="宋体" w:cs="宋体"/>
          <w:color w:val="auto"/>
          <w:kern w:val="0"/>
          <w:szCs w:val="21"/>
          <w:highlight w:val="none"/>
          <w:lang w:val="en-US" w:eastAsia="zh-CN"/>
        </w:rPr>
        <w:t>置拓</w:t>
      </w:r>
      <w:r>
        <w:rPr>
          <w:rFonts w:hint="eastAsia" w:ascii="宋体" w:hAnsi="宋体" w:eastAsia="宋体" w:cs="宋体"/>
          <w:color w:val="auto"/>
          <w:kern w:val="0"/>
          <w:szCs w:val="21"/>
          <w:highlight w:val="none"/>
          <w:lang w:eastAsia="zh-CN"/>
        </w:rPr>
        <w:t>投资有限公司</w:t>
      </w:r>
      <w:r>
        <w:rPr>
          <w:rFonts w:hint="eastAsia" w:ascii="宋体" w:hAnsi="宋体" w:eastAsia="宋体" w:cs="宋体"/>
          <w:color w:val="auto"/>
          <w:kern w:val="0"/>
          <w:szCs w:val="21"/>
          <w:highlight w:val="none"/>
          <w:lang w:val="en-US" w:eastAsia="zh-CN"/>
        </w:rPr>
        <w:t>水业大厦食堂经营服务</w:t>
      </w:r>
      <w:r>
        <w:rPr>
          <w:rFonts w:hint="eastAsia" w:ascii="宋体" w:hAnsi="宋体" w:eastAsia="宋体" w:cs="宋体"/>
          <w:color w:val="auto"/>
          <w:kern w:val="0"/>
          <w:szCs w:val="21"/>
          <w:highlight w:val="none"/>
          <w:lang w:eastAsia="zh-CN"/>
        </w:rPr>
        <w:t>采购项目</w:t>
      </w:r>
      <w:r>
        <w:rPr>
          <w:rFonts w:hint="eastAsia" w:ascii="宋体" w:hAnsi="宋体" w:eastAsia="宋体" w:cs="宋体"/>
          <w:color w:val="auto"/>
          <w:kern w:val="0"/>
          <w:szCs w:val="21"/>
          <w:highlight w:val="none"/>
        </w:rPr>
        <w:t>(招标编号：</w:t>
      </w:r>
      <w:r>
        <w:rPr>
          <w:rFonts w:hint="eastAsia" w:ascii="宋体" w:hAnsi="宋体" w:eastAsia="宋体" w:cs="宋体"/>
          <w:color w:val="auto"/>
          <w:szCs w:val="21"/>
          <w:highlight w:val="none"/>
        </w:rPr>
        <w:t>广建咨询（东招）2025-0020号</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29DC7D9D">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3EE11C66">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731F7BE0">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39EF235B">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5E5DFB40">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3F8465E2">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04FC3210">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3A988FB9">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1D9B8F9A">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4EA6E3D0">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7F0CA8CC">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62CA0D15">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6B8BCC4E">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4141C306">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4A4F9BDD">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14:paraId="34C0389E">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6233D9A3">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766A76B5">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14:paraId="78CE2AC5">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28E485AF">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w:t>
      </w:r>
      <w:r>
        <w:rPr>
          <w:rFonts w:hint="eastAsia" w:ascii="宋体" w:hAnsi="宋体" w:eastAsia="宋体" w:cs="宋体"/>
          <w:color w:val="auto"/>
          <w:kern w:val="0"/>
          <w:szCs w:val="21"/>
          <w:highlight w:val="none"/>
          <w:lang w:val="en-US" w:eastAsia="zh-CN"/>
        </w:rPr>
        <w:t>2000</w:t>
      </w:r>
      <w:r>
        <w:rPr>
          <w:rFonts w:hint="eastAsia" w:ascii="宋体" w:hAnsi="宋体" w:eastAsia="宋体" w:cs="宋体"/>
          <w:color w:val="auto"/>
          <w:kern w:val="0"/>
          <w:szCs w:val="21"/>
          <w:highlight w:val="none"/>
        </w:rPr>
        <w:t>元/次作为违约金。</w:t>
      </w:r>
    </w:p>
    <w:p w14:paraId="32C37294">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7AE5E185">
      <w:pPr>
        <w:autoSpaceDE w:val="0"/>
        <w:autoSpaceDN w:val="0"/>
        <w:adjustRightInd w:val="0"/>
        <w:spacing w:line="360" w:lineRule="auto"/>
        <w:ind w:firstLine="504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2F7DBB96">
      <w:pPr>
        <w:autoSpaceDE w:val="0"/>
        <w:autoSpaceDN w:val="0"/>
        <w:adjustRightInd w:val="0"/>
        <w:spacing w:line="360" w:lineRule="auto"/>
        <w:ind w:firstLine="504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64862B0B">
      <w:pPr>
        <w:autoSpaceDE w:val="0"/>
        <w:autoSpaceDN w:val="0"/>
        <w:adjustRightInd w:val="0"/>
        <w:spacing w:line="360" w:lineRule="auto"/>
        <w:ind w:firstLine="504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4B7E0DF8">
      <w:pPr>
        <w:autoSpaceDE w:val="0"/>
        <w:autoSpaceDN w:val="0"/>
        <w:adjustRightInd w:val="0"/>
        <w:spacing w:line="360" w:lineRule="auto"/>
        <w:ind w:right="420" w:firstLine="5040" w:firstLineChars="24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14:paraId="212B2DC3">
      <w:pPr>
        <w:pageBreakBefore/>
        <w:autoSpaceDE w:val="0"/>
        <w:autoSpaceDN w:val="0"/>
        <w:adjustRightInd w:val="0"/>
        <w:spacing w:line="360" w:lineRule="auto"/>
        <w:jc w:val="left"/>
        <w:outlineLvl w:val="9"/>
        <w:rPr>
          <w:rFonts w:hint="eastAsia" w:ascii="宋体" w:hAnsi="宋体" w:eastAsia="宋体" w:cs="宋体"/>
          <w:b/>
          <w:color w:val="auto"/>
          <w:kern w:val="0"/>
          <w:sz w:val="32"/>
          <w:szCs w:val="32"/>
          <w:highlight w:val="none"/>
        </w:rPr>
      </w:pPr>
      <w:bookmarkStart w:id="696" w:name="_Toc104991872"/>
      <w:bookmarkStart w:id="697" w:name="_Toc13416"/>
      <w:bookmarkStart w:id="698" w:name="_Toc18346"/>
      <w:bookmarkStart w:id="699" w:name="_Toc94107206"/>
      <w:bookmarkStart w:id="700" w:name="_Toc31683"/>
      <w:bookmarkStart w:id="701" w:name="_Toc140596925"/>
      <w:bookmarkStart w:id="702" w:name="_Toc102860071"/>
      <w:bookmarkStart w:id="703" w:name="_Toc7734"/>
      <w:bookmarkStart w:id="704" w:name="_Toc1140"/>
      <w:bookmarkStart w:id="705" w:name="_Toc102860415"/>
      <w:bookmarkStart w:id="706" w:name="_Toc22602"/>
      <w:bookmarkStart w:id="707" w:name="_Toc142508366"/>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、投标报价</w:t>
      </w:r>
      <w:r>
        <w:rPr>
          <w:rFonts w:hint="eastAsia" w:ascii="宋体" w:hAnsi="宋体" w:eastAsia="宋体" w:cs="宋体"/>
          <w:b/>
          <w:color w:val="auto"/>
          <w:kern w:val="0"/>
          <w:sz w:val="32"/>
          <w:szCs w:val="32"/>
          <w:highlight w:val="none"/>
          <w:lang w:val="en-US" w:eastAsia="zh-CN"/>
        </w:rPr>
        <w:t>响应</w:t>
      </w:r>
      <w:r>
        <w:rPr>
          <w:rFonts w:hint="eastAsia" w:ascii="宋体" w:hAnsi="宋体" w:eastAsia="宋体" w:cs="宋体"/>
          <w:b/>
          <w:color w:val="auto"/>
          <w:kern w:val="0"/>
          <w:sz w:val="32"/>
          <w:szCs w:val="32"/>
          <w:highlight w:val="none"/>
        </w:rPr>
        <w:t>表格式</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14:paraId="3AB0483F">
      <w:pPr>
        <w:spacing w:line="360" w:lineRule="auto"/>
        <w:jc w:val="center"/>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w:t>
      </w:r>
      <w:r>
        <w:rPr>
          <w:rFonts w:hint="eastAsia" w:ascii="宋体" w:hAnsi="宋体" w:eastAsia="宋体" w:cs="宋体"/>
          <w:b/>
          <w:bCs/>
          <w:color w:val="auto"/>
          <w:sz w:val="30"/>
          <w:szCs w:val="30"/>
          <w:highlight w:val="none"/>
          <w:lang w:val="en-US" w:eastAsia="zh-CN"/>
        </w:rPr>
        <w:t>响应</w:t>
      </w:r>
      <w:r>
        <w:rPr>
          <w:rFonts w:hint="eastAsia" w:ascii="宋体" w:hAnsi="宋体" w:eastAsia="宋体" w:cs="宋体"/>
          <w:b/>
          <w:bCs/>
          <w:color w:val="auto"/>
          <w:sz w:val="30"/>
          <w:szCs w:val="30"/>
          <w:highlight w:val="none"/>
          <w:lang w:val="zh-CN"/>
        </w:rPr>
        <w:t>表</w:t>
      </w:r>
    </w:p>
    <w:p w14:paraId="641AE241">
      <w:pPr>
        <w:spacing w:line="360" w:lineRule="auto"/>
        <w:outlineLvl w:val="9"/>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w:t>
      </w:r>
      <w:r>
        <w:rPr>
          <w:rFonts w:hint="eastAsia" w:ascii="宋体" w:hAnsi="宋体" w:eastAsia="宋体" w:cs="宋体"/>
          <w:color w:val="auto"/>
          <w:kern w:val="0"/>
          <w:szCs w:val="21"/>
          <w:highlight w:val="none"/>
          <w:u w:val="single"/>
          <w:lang w:val="en-US" w:eastAsia="zh-CN"/>
        </w:rPr>
        <w:t>置拓</w:t>
      </w:r>
      <w:r>
        <w:rPr>
          <w:rFonts w:hint="eastAsia" w:ascii="宋体" w:hAnsi="宋体" w:eastAsia="宋体" w:cs="宋体"/>
          <w:color w:val="auto"/>
          <w:kern w:val="0"/>
          <w:szCs w:val="21"/>
          <w:highlight w:val="none"/>
          <w:u w:val="single"/>
          <w:lang w:eastAsia="zh-CN"/>
        </w:rPr>
        <w:t>投资有限公司</w:t>
      </w:r>
      <w:r>
        <w:rPr>
          <w:rFonts w:hint="eastAsia" w:ascii="宋体" w:hAnsi="宋体" w:eastAsia="宋体" w:cs="宋体"/>
          <w:color w:val="auto"/>
          <w:kern w:val="0"/>
          <w:szCs w:val="21"/>
          <w:highlight w:val="none"/>
          <w:u w:val="single"/>
          <w:lang w:val="en-US" w:eastAsia="zh-CN"/>
        </w:rPr>
        <w:t>水业大厦食堂经营服务</w:t>
      </w:r>
      <w:r>
        <w:rPr>
          <w:rFonts w:hint="eastAsia" w:ascii="宋体" w:hAnsi="宋体" w:eastAsia="宋体" w:cs="宋体"/>
          <w:color w:val="auto"/>
          <w:kern w:val="0"/>
          <w:szCs w:val="21"/>
          <w:highlight w:val="none"/>
          <w:u w:val="single"/>
          <w:lang w:eastAsia="zh-CN"/>
        </w:rPr>
        <w:t>采购项目</w:t>
      </w:r>
    </w:p>
    <w:p w14:paraId="5DEC29E0">
      <w:pPr>
        <w:spacing w:line="360" w:lineRule="auto"/>
        <w:outlineLvl w:val="9"/>
        <w:rPr>
          <w:rFonts w:hint="default" w:ascii="宋体" w:hAnsi="宋体" w:eastAsia="宋体" w:cs="宋体"/>
          <w:color w:val="auto"/>
          <w:kern w:val="0"/>
          <w:szCs w:val="21"/>
          <w:highlight w:val="none"/>
          <w:u w:val="single"/>
          <w:lang w:val="en-US"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szCs w:val="21"/>
          <w:highlight w:val="none"/>
          <w:u w:val="single"/>
        </w:rPr>
        <w:t>广建咨询（东招）2025-0020号</w:t>
      </w:r>
      <w:r>
        <w:rPr>
          <w:rFonts w:hint="eastAsia" w:ascii="宋体" w:hAnsi="宋体" w:eastAsia="宋体" w:cs="宋体"/>
          <w:color w:val="auto"/>
          <w:kern w:val="0"/>
          <w:szCs w:val="21"/>
          <w:highlight w:val="none"/>
          <w:u w:val="single"/>
          <w:lang w:val="en-US" w:eastAsia="zh-CN"/>
        </w:rPr>
        <w:t xml:space="preserve"> </w:t>
      </w:r>
    </w:p>
    <w:tbl>
      <w:tblPr>
        <w:tblStyle w:val="38"/>
        <w:tblW w:w="473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68"/>
        <w:gridCol w:w="4228"/>
        <w:gridCol w:w="3802"/>
        <w:gridCol w:w="924"/>
      </w:tblGrid>
      <w:tr w14:paraId="7E7879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442" w:type="pct"/>
            <w:tcBorders>
              <w:top w:val="single" w:color="auto" w:sz="4" w:space="0"/>
              <w:left w:val="single" w:color="auto" w:sz="4" w:space="0"/>
              <w:bottom w:val="single" w:color="auto" w:sz="4" w:space="0"/>
              <w:right w:val="single" w:color="auto" w:sz="4" w:space="0"/>
            </w:tcBorders>
            <w:vAlign w:val="center"/>
          </w:tcPr>
          <w:p w14:paraId="4264121E">
            <w:pPr>
              <w:autoSpaceDE w:val="0"/>
              <w:autoSpaceDN w:val="0"/>
              <w:spacing w:line="360" w:lineRule="auto"/>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2152" w:type="pct"/>
            <w:tcBorders>
              <w:top w:val="single" w:color="auto" w:sz="4" w:space="0"/>
              <w:left w:val="single" w:color="auto" w:sz="4" w:space="0"/>
              <w:bottom w:val="single" w:color="auto" w:sz="4" w:space="0"/>
              <w:right w:val="single" w:color="auto" w:sz="4" w:space="0"/>
            </w:tcBorders>
            <w:vAlign w:val="center"/>
          </w:tcPr>
          <w:p w14:paraId="03D5717A">
            <w:pPr>
              <w:autoSpaceDE w:val="0"/>
              <w:autoSpaceDN w:val="0"/>
              <w:spacing w:line="360" w:lineRule="auto"/>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项目</w:t>
            </w:r>
            <w:r>
              <w:rPr>
                <w:rFonts w:hint="eastAsia" w:ascii="宋体" w:hAnsi="宋体" w:eastAsia="宋体" w:cs="宋体"/>
                <w:b/>
                <w:color w:val="auto"/>
                <w:kern w:val="0"/>
                <w:szCs w:val="21"/>
                <w:highlight w:val="none"/>
              </w:rPr>
              <w:t>名称</w:t>
            </w:r>
          </w:p>
        </w:tc>
        <w:tc>
          <w:tcPr>
            <w:tcW w:w="1935" w:type="pct"/>
            <w:tcBorders>
              <w:top w:val="single" w:color="auto" w:sz="4" w:space="0"/>
              <w:left w:val="single" w:color="auto" w:sz="4" w:space="0"/>
              <w:bottom w:val="single" w:color="auto" w:sz="4" w:space="0"/>
              <w:right w:val="single" w:color="auto" w:sz="4" w:space="0"/>
            </w:tcBorders>
            <w:vAlign w:val="center"/>
          </w:tcPr>
          <w:p w14:paraId="6A8A06F8">
            <w:pPr>
              <w:autoSpaceDE w:val="0"/>
              <w:autoSpaceDN w:val="0"/>
              <w:spacing w:line="360" w:lineRule="auto"/>
              <w:jc w:val="center"/>
              <w:outlineLvl w:val="9"/>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服务期限</w:t>
            </w:r>
          </w:p>
        </w:tc>
        <w:tc>
          <w:tcPr>
            <w:tcW w:w="470" w:type="pct"/>
            <w:tcBorders>
              <w:top w:val="single" w:color="auto" w:sz="4" w:space="0"/>
              <w:left w:val="single" w:color="auto" w:sz="4" w:space="0"/>
              <w:bottom w:val="single" w:color="auto" w:sz="4" w:space="0"/>
              <w:right w:val="single" w:color="auto" w:sz="4" w:space="0"/>
            </w:tcBorders>
            <w:vAlign w:val="center"/>
          </w:tcPr>
          <w:p w14:paraId="35799977">
            <w:pPr>
              <w:autoSpaceDE w:val="0"/>
              <w:autoSpaceDN w:val="0"/>
              <w:spacing w:line="360" w:lineRule="auto"/>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14:paraId="3EB0E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2" w:type="pct"/>
            <w:tcBorders>
              <w:top w:val="single" w:color="auto" w:sz="4" w:space="0"/>
              <w:left w:val="single" w:color="auto" w:sz="4" w:space="0"/>
              <w:right w:val="single" w:color="auto" w:sz="4" w:space="0"/>
            </w:tcBorders>
            <w:vAlign w:val="center"/>
          </w:tcPr>
          <w:p w14:paraId="32C7E231">
            <w:pPr>
              <w:autoSpaceDE w:val="0"/>
              <w:autoSpaceDN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152" w:type="pct"/>
            <w:tcBorders>
              <w:top w:val="single" w:color="auto" w:sz="4" w:space="0"/>
              <w:left w:val="single" w:color="auto" w:sz="4" w:space="0"/>
              <w:right w:val="single" w:color="auto" w:sz="4" w:space="0"/>
            </w:tcBorders>
            <w:vAlign w:val="center"/>
          </w:tcPr>
          <w:p w14:paraId="1786CBB3">
            <w:pPr>
              <w:autoSpaceDE w:val="0"/>
              <w:autoSpaceDN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东莞市</w:t>
            </w:r>
            <w:r>
              <w:rPr>
                <w:rFonts w:hint="eastAsia" w:ascii="宋体" w:hAnsi="宋体" w:eastAsia="宋体" w:cs="宋体"/>
                <w:color w:val="auto"/>
                <w:kern w:val="0"/>
                <w:szCs w:val="21"/>
                <w:highlight w:val="none"/>
                <w:lang w:val="en-US" w:eastAsia="zh-CN"/>
              </w:rPr>
              <w:t>置拓</w:t>
            </w:r>
            <w:r>
              <w:rPr>
                <w:rFonts w:hint="eastAsia" w:ascii="宋体" w:hAnsi="宋体" w:eastAsia="宋体" w:cs="宋体"/>
                <w:color w:val="auto"/>
                <w:kern w:val="0"/>
                <w:szCs w:val="21"/>
                <w:highlight w:val="none"/>
                <w:lang w:eastAsia="zh-CN"/>
              </w:rPr>
              <w:t>投资有限公司</w:t>
            </w:r>
            <w:r>
              <w:rPr>
                <w:rFonts w:hint="eastAsia" w:ascii="宋体" w:hAnsi="宋体" w:eastAsia="宋体" w:cs="宋体"/>
                <w:color w:val="auto"/>
                <w:kern w:val="0"/>
                <w:szCs w:val="21"/>
                <w:highlight w:val="none"/>
                <w:lang w:val="en-US" w:eastAsia="zh-CN"/>
              </w:rPr>
              <w:t>水业大厦食堂经营服务</w:t>
            </w:r>
            <w:r>
              <w:rPr>
                <w:rFonts w:hint="eastAsia" w:ascii="宋体" w:hAnsi="宋体" w:eastAsia="宋体" w:cs="宋体"/>
                <w:color w:val="auto"/>
                <w:kern w:val="0"/>
                <w:szCs w:val="21"/>
                <w:highlight w:val="none"/>
                <w:lang w:eastAsia="zh-CN"/>
              </w:rPr>
              <w:t>采购项目</w:t>
            </w:r>
          </w:p>
        </w:tc>
        <w:tc>
          <w:tcPr>
            <w:tcW w:w="1935" w:type="pct"/>
            <w:tcBorders>
              <w:top w:val="single" w:color="auto" w:sz="4" w:space="0"/>
              <w:left w:val="single" w:color="auto" w:sz="4" w:space="0"/>
              <w:right w:val="single" w:color="auto" w:sz="4" w:space="0"/>
            </w:tcBorders>
            <w:vAlign w:val="center"/>
          </w:tcPr>
          <w:p w14:paraId="5CC2D06D">
            <w:pPr>
              <w:tabs>
                <w:tab w:val="left" w:pos="8610"/>
              </w:tabs>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自甲方发出《进场通知书》之日起2年</w:t>
            </w:r>
          </w:p>
        </w:tc>
        <w:tc>
          <w:tcPr>
            <w:tcW w:w="470" w:type="pct"/>
            <w:tcBorders>
              <w:top w:val="single" w:color="auto" w:sz="4" w:space="0"/>
              <w:left w:val="single" w:color="auto" w:sz="4" w:space="0"/>
              <w:right w:val="single" w:color="auto" w:sz="4" w:space="0"/>
            </w:tcBorders>
            <w:vAlign w:val="center"/>
          </w:tcPr>
          <w:p w14:paraId="0EDE5CF3">
            <w:pPr>
              <w:tabs>
                <w:tab w:val="left" w:pos="8610"/>
              </w:tabs>
              <w:spacing w:line="360" w:lineRule="auto"/>
              <w:jc w:val="center"/>
              <w:outlineLvl w:val="9"/>
              <w:rPr>
                <w:rFonts w:hint="eastAsia" w:ascii="宋体" w:hAnsi="宋体" w:eastAsia="宋体" w:cs="宋体"/>
                <w:color w:val="auto"/>
                <w:kern w:val="0"/>
                <w:szCs w:val="21"/>
                <w:highlight w:val="none"/>
              </w:rPr>
            </w:pPr>
          </w:p>
        </w:tc>
      </w:tr>
    </w:tbl>
    <w:p w14:paraId="7E38BD6E">
      <w:pPr>
        <w:autoSpaceDE w:val="0"/>
        <w:autoSpaceDN w:val="0"/>
        <w:adjustRightInd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5E2CC64C">
      <w:pPr>
        <w:spacing w:line="360" w:lineRule="auto"/>
        <w:outlineLvl w:val="9"/>
        <w:rPr>
          <w:rFonts w:hint="eastAsia" w:ascii="宋体" w:hAnsi="宋体" w:eastAsia="宋体" w:cs="宋体"/>
          <w:b/>
          <w:bCs/>
          <w:color w:val="auto"/>
          <w:kern w:val="0"/>
          <w:szCs w:val="21"/>
          <w:highlight w:val="none"/>
          <w:u w:val="single"/>
          <w:lang w:val="en-US" w:eastAsia="zh-CN"/>
        </w:rPr>
      </w:pP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u w:val="single"/>
          <w:lang w:val="en-US" w:eastAsia="zh-CN"/>
        </w:rPr>
        <w:t>本项目采用以下方式结算食堂经营服务费用：</w:t>
      </w:r>
    </w:p>
    <w:p w14:paraId="066BB7F1">
      <w:pPr>
        <w:spacing w:line="360" w:lineRule="auto"/>
        <w:ind w:firstLine="420" w:firstLineChars="20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（1）招标人员工</w:t>
      </w:r>
      <w:r>
        <w:rPr>
          <w:rFonts w:hint="eastAsia" w:ascii="宋体" w:hAnsi="宋体" w:eastAsia="宋体" w:cs="宋体"/>
          <w:szCs w:val="21"/>
          <w:lang w:val="en-US" w:eastAsia="zh-CN"/>
        </w:rPr>
        <w:t>就餐区</w:t>
      </w:r>
      <w:r>
        <w:rPr>
          <w:rFonts w:hint="eastAsia" w:ascii="宋体" w:hAnsi="宋体" w:eastAsia="宋体" w:cs="宋体"/>
          <w:szCs w:val="21"/>
        </w:rPr>
        <w:t>消费按售价70%计价，</w:t>
      </w:r>
      <w:r>
        <w:rPr>
          <w:rFonts w:hint="eastAsia" w:ascii="宋体" w:hAnsi="宋体" w:eastAsia="宋体" w:cs="宋体"/>
          <w:szCs w:val="21"/>
          <w:lang w:val="en-US" w:eastAsia="zh-CN"/>
        </w:rPr>
        <w:t>就餐区消费</w:t>
      </w:r>
      <w:r>
        <w:rPr>
          <w:rFonts w:hint="eastAsia" w:ascii="宋体" w:hAnsi="宋体" w:eastAsia="宋体" w:cs="宋体"/>
          <w:szCs w:val="21"/>
        </w:rPr>
        <w:t>在</w:t>
      </w:r>
      <w:r>
        <w:rPr>
          <w:rFonts w:hint="eastAsia" w:ascii="宋体" w:hAnsi="宋体" w:eastAsia="宋体" w:cs="宋体"/>
          <w:szCs w:val="21"/>
          <w:lang w:val="en-US" w:eastAsia="zh-CN"/>
        </w:rPr>
        <w:t>用餐标准（即1100元/人/月）</w:t>
      </w:r>
      <w:r>
        <w:rPr>
          <w:rFonts w:hint="eastAsia" w:ascii="宋体" w:hAnsi="宋体" w:eastAsia="宋体" w:cs="宋体"/>
          <w:szCs w:val="21"/>
        </w:rPr>
        <w:t>范围内的，消费部分从虚拟账户中扣减；超出</w:t>
      </w:r>
      <w:r>
        <w:rPr>
          <w:rFonts w:hint="eastAsia" w:ascii="宋体" w:hAnsi="宋体" w:eastAsia="宋体" w:cs="宋体"/>
          <w:szCs w:val="21"/>
          <w:lang w:val="en-US" w:eastAsia="zh-CN"/>
        </w:rPr>
        <w:t>用餐标准（即1100元/人/月）</w:t>
      </w:r>
      <w:r>
        <w:rPr>
          <w:rFonts w:hint="eastAsia" w:ascii="宋体" w:hAnsi="宋体" w:eastAsia="宋体" w:cs="宋体"/>
          <w:szCs w:val="21"/>
        </w:rPr>
        <w:t>范围的，消费部分从员工充值账户中扣减</w:t>
      </w:r>
      <w:r>
        <w:rPr>
          <w:rFonts w:hint="eastAsia" w:ascii="宋体" w:hAnsi="宋体" w:eastAsia="宋体" w:cs="宋体"/>
          <w:sz w:val="21"/>
          <w:szCs w:val="21"/>
          <w:highlight w:val="none"/>
          <w:lang w:val="en-US" w:eastAsia="zh-CN"/>
        </w:rPr>
        <w:t>。招标人员工</w:t>
      </w:r>
      <w:r>
        <w:rPr>
          <w:rFonts w:hint="eastAsia" w:ascii="宋体" w:hAnsi="宋体" w:eastAsia="宋体" w:cs="宋体"/>
          <w:szCs w:val="21"/>
        </w:rPr>
        <w:t>非就餐区</w:t>
      </w:r>
      <w:r>
        <w:rPr>
          <w:rFonts w:hint="eastAsia" w:ascii="宋体" w:hAnsi="宋体" w:eastAsia="宋体" w:cs="宋体"/>
          <w:szCs w:val="21"/>
          <w:lang w:val="en-US" w:eastAsia="zh-CN"/>
        </w:rPr>
        <w:t>消费</w:t>
      </w:r>
      <w:r>
        <w:rPr>
          <w:rFonts w:hint="eastAsia" w:ascii="宋体" w:hAnsi="宋体" w:eastAsia="宋体" w:cs="宋体"/>
          <w:szCs w:val="21"/>
        </w:rPr>
        <w:t>的按全价收费</w:t>
      </w:r>
      <w:r>
        <w:rPr>
          <w:rFonts w:hint="eastAsia" w:ascii="宋体" w:hAnsi="宋体" w:eastAsia="宋体" w:cs="宋体"/>
          <w:szCs w:val="21"/>
          <w:lang w:eastAsia="zh-CN"/>
        </w:rPr>
        <w:t>，</w:t>
      </w:r>
      <w:r>
        <w:rPr>
          <w:rFonts w:hint="eastAsia" w:ascii="宋体" w:hAnsi="宋体" w:eastAsia="宋体" w:cs="宋体"/>
          <w:szCs w:val="21"/>
          <w:lang w:val="en-US" w:eastAsia="zh-CN"/>
        </w:rPr>
        <w:t>非就餐区消费</w:t>
      </w:r>
      <w:r>
        <w:rPr>
          <w:rFonts w:hint="eastAsia" w:ascii="宋体" w:hAnsi="宋体" w:eastAsia="宋体" w:cs="宋体"/>
          <w:szCs w:val="21"/>
        </w:rPr>
        <w:t>在</w:t>
      </w:r>
      <w:r>
        <w:rPr>
          <w:rFonts w:hint="eastAsia" w:ascii="宋体" w:hAnsi="宋体" w:eastAsia="宋体" w:cs="宋体"/>
          <w:szCs w:val="21"/>
          <w:lang w:val="en-US" w:eastAsia="zh-CN"/>
        </w:rPr>
        <w:t>用餐标准（即1100元/人/月）</w:t>
      </w:r>
      <w:r>
        <w:rPr>
          <w:rFonts w:hint="eastAsia" w:ascii="宋体" w:hAnsi="宋体" w:eastAsia="宋体" w:cs="宋体"/>
          <w:szCs w:val="21"/>
        </w:rPr>
        <w:t>范围内的，消费部分从虚拟账户中扣减；超出</w:t>
      </w:r>
      <w:r>
        <w:rPr>
          <w:rFonts w:hint="eastAsia" w:ascii="宋体" w:hAnsi="宋体" w:eastAsia="宋体" w:cs="宋体"/>
          <w:szCs w:val="21"/>
          <w:lang w:val="en-US" w:eastAsia="zh-CN"/>
        </w:rPr>
        <w:t>用餐标准（即1100元/人/月）</w:t>
      </w:r>
      <w:r>
        <w:rPr>
          <w:rFonts w:hint="eastAsia" w:ascii="宋体" w:hAnsi="宋体" w:eastAsia="宋体" w:cs="宋体"/>
          <w:szCs w:val="21"/>
        </w:rPr>
        <w:t>范围的，消费部分从员工充值账户中扣减</w:t>
      </w:r>
      <w:r>
        <w:rPr>
          <w:rFonts w:hint="eastAsia" w:ascii="宋体" w:hAnsi="宋体" w:eastAsia="宋体" w:cs="宋体"/>
          <w:sz w:val="21"/>
          <w:szCs w:val="21"/>
          <w:highlight w:val="none"/>
          <w:lang w:val="en-US" w:eastAsia="zh-CN"/>
        </w:rPr>
        <w:t>。</w:t>
      </w:r>
    </w:p>
    <w:p w14:paraId="5B2DE1BD">
      <w:pPr>
        <w:spacing w:line="360" w:lineRule="auto"/>
        <w:ind w:firstLine="420" w:firstLineChars="20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（2）外来人员消费按全价计价（就餐区消费和非就餐区消费），外来人员消费费用全部由现金充值金额中结算。</w:t>
      </w:r>
    </w:p>
    <w:p w14:paraId="1D2F8455">
      <w:pPr>
        <w:spacing w:line="360" w:lineRule="auto"/>
        <w:ind w:firstLine="420" w:firstLineChars="20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消费收入由招标人设置账户统一收支，收入来源于招标人员工消费和外来人员消费。中标人提供食堂管理系统工餐卡两个账户，一个虚拟账户和一个员工充值账户，餐补部分每月充值到虚拟账户，此账户只产生消费记录，餐补额度内消费，按实扣费，超过餐补部分从员工充值账户支出。</w:t>
      </w:r>
    </w:p>
    <w:p w14:paraId="78457B2A">
      <w:pPr>
        <w:spacing w:line="360" w:lineRule="auto"/>
        <w:ind w:firstLine="420" w:firstLineChars="20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（4）招标人员工</w:t>
      </w:r>
      <w:r>
        <w:rPr>
          <w:rFonts w:hint="eastAsia" w:ascii="宋体" w:hAnsi="宋体" w:eastAsia="宋体" w:cs="宋体"/>
          <w:szCs w:val="21"/>
        </w:rPr>
        <w:t>消费在</w:t>
      </w:r>
      <w:r>
        <w:rPr>
          <w:rFonts w:hint="eastAsia" w:ascii="宋体" w:hAnsi="宋体" w:eastAsia="宋体" w:cs="宋体"/>
          <w:szCs w:val="21"/>
          <w:lang w:val="en-US" w:eastAsia="zh-CN"/>
        </w:rPr>
        <w:t>用餐标准（即1100元/人/月）</w:t>
      </w:r>
      <w:r>
        <w:rPr>
          <w:rFonts w:hint="eastAsia" w:ascii="宋体" w:hAnsi="宋体" w:eastAsia="宋体" w:cs="宋体"/>
          <w:szCs w:val="21"/>
        </w:rPr>
        <w:t>范围内的，招标人与中标人按照员工消费（</w:t>
      </w:r>
      <w:r>
        <w:rPr>
          <w:rFonts w:hint="eastAsia" w:ascii="宋体" w:hAnsi="宋体" w:eastAsia="宋体" w:cs="宋体"/>
          <w:szCs w:val="21"/>
          <w:lang w:val="en-US" w:eastAsia="zh-CN"/>
        </w:rPr>
        <w:t>就餐区</w:t>
      </w:r>
      <w:r>
        <w:rPr>
          <w:rFonts w:hint="eastAsia" w:ascii="宋体" w:hAnsi="宋体" w:eastAsia="宋体" w:cs="宋体"/>
          <w:szCs w:val="21"/>
        </w:rPr>
        <w:t>消费和</w:t>
      </w:r>
      <w:r>
        <w:rPr>
          <w:rFonts w:hint="eastAsia" w:ascii="宋体" w:hAnsi="宋体" w:eastAsia="宋体" w:cs="宋体"/>
          <w:szCs w:val="21"/>
          <w:lang w:val="en-US" w:eastAsia="zh-CN"/>
        </w:rPr>
        <w:t>非就餐区</w:t>
      </w:r>
      <w:r>
        <w:rPr>
          <w:rFonts w:hint="eastAsia" w:ascii="宋体" w:hAnsi="宋体" w:eastAsia="宋体" w:cs="宋体"/>
          <w:szCs w:val="21"/>
        </w:rPr>
        <w:t>消费）</w:t>
      </w:r>
      <w:r>
        <w:rPr>
          <w:rFonts w:hint="eastAsia" w:ascii="宋体" w:hAnsi="宋体" w:eastAsia="宋体" w:cs="宋体"/>
          <w:szCs w:val="21"/>
          <w:lang w:val="en-US" w:eastAsia="zh-CN"/>
        </w:rPr>
        <w:t>原价的售价</w:t>
      </w:r>
      <w:r>
        <w:rPr>
          <w:rFonts w:hint="eastAsia" w:ascii="宋体" w:hAnsi="宋体" w:eastAsia="宋体" w:cs="宋体"/>
          <w:szCs w:val="21"/>
        </w:rPr>
        <w:t>总额95%结算</w:t>
      </w:r>
      <w:r>
        <w:rPr>
          <w:rFonts w:hint="eastAsia" w:ascii="宋体" w:hAnsi="宋体" w:eastAsia="宋体" w:cs="宋体"/>
          <w:szCs w:val="21"/>
          <w:lang w:eastAsia="zh-CN"/>
        </w:rPr>
        <w:t>。</w:t>
      </w:r>
      <w:r>
        <w:rPr>
          <w:rFonts w:hint="eastAsia" w:ascii="宋体" w:hAnsi="宋体" w:eastAsia="宋体" w:cs="宋体"/>
          <w:szCs w:val="21"/>
          <w:lang w:val="en-US" w:eastAsia="zh-CN"/>
        </w:rPr>
        <w:t>招标人</w:t>
      </w:r>
      <w:r>
        <w:rPr>
          <w:rFonts w:hint="eastAsia" w:ascii="宋体" w:hAnsi="宋体" w:eastAsia="宋体" w:cs="宋体"/>
          <w:szCs w:val="21"/>
        </w:rPr>
        <w:t>员工消费超出</w:t>
      </w:r>
      <w:r>
        <w:rPr>
          <w:rFonts w:hint="eastAsia" w:ascii="宋体" w:hAnsi="宋体" w:eastAsia="宋体" w:cs="宋体"/>
          <w:szCs w:val="21"/>
          <w:lang w:val="en-US" w:eastAsia="zh-CN"/>
        </w:rPr>
        <w:t>用餐标准（即1100元/人/月）</w:t>
      </w:r>
      <w:r>
        <w:rPr>
          <w:rFonts w:hint="eastAsia" w:ascii="宋体" w:hAnsi="宋体" w:eastAsia="宋体" w:cs="宋体"/>
          <w:szCs w:val="21"/>
        </w:rPr>
        <w:t>范围的，招标人</w:t>
      </w:r>
      <w:r>
        <w:rPr>
          <w:rFonts w:hint="eastAsia" w:ascii="宋体" w:hAnsi="宋体" w:eastAsia="宋体" w:cs="宋体"/>
          <w:szCs w:val="21"/>
          <w:lang w:val="en-US" w:eastAsia="zh-CN"/>
        </w:rPr>
        <w:t>按照员工超额部分实际支付金额与中标人结算，</w:t>
      </w:r>
      <w:r>
        <w:rPr>
          <w:rFonts w:hint="eastAsia" w:ascii="宋体" w:hAnsi="宋体" w:eastAsia="宋体" w:cs="宋体"/>
          <w:szCs w:val="21"/>
        </w:rPr>
        <w:t>不再向中标人收取5%的固定成本</w:t>
      </w:r>
      <w:r>
        <w:rPr>
          <w:rFonts w:hint="eastAsia" w:ascii="宋体" w:hAnsi="宋体" w:eastAsia="宋体" w:cs="宋体"/>
          <w:sz w:val="21"/>
          <w:szCs w:val="21"/>
          <w:highlight w:val="none"/>
          <w:lang w:val="en-US" w:eastAsia="zh-CN"/>
        </w:rPr>
        <w:t>。</w:t>
      </w:r>
      <w:r>
        <w:rPr>
          <w:rFonts w:hint="eastAsia" w:ascii="宋体" w:hAnsi="宋体" w:eastAsia="宋体" w:cs="宋体"/>
          <w:szCs w:val="21"/>
          <w:lang w:val="en-US" w:eastAsia="zh-CN"/>
        </w:rPr>
        <w:t>招标人按照外来人员消费全额的95%与中标人结算。</w:t>
      </w:r>
    </w:p>
    <w:p w14:paraId="48EB426C">
      <w:pPr>
        <w:numPr>
          <w:ilvl w:val="0"/>
          <w:numId w:val="0"/>
        </w:numPr>
        <w:spacing w:line="360" w:lineRule="auto"/>
        <w:ind w:firstLine="420" w:firstLineChars="20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（5）月度绩效考评费用。将中标人月度食堂经营服务费用</w:t>
      </w:r>
      <w:r>
        <w:rPr>
          <w:rFonts w:hint="eastAsia" w:ascii="宋体" w:hAnsi="宋体" w:eastAsia="宋体" w:cs="宋体"/>
          <w:sz w:val="21"/>
          <w:szCs w:val="21"/>
          <w:highlight w:val="none"/>
        </w:rPr>
        <w:t>的10%费用作为考评费用，月绩效考评</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9</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-100</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分的，按月绩效考评费用的100%支付；月绩效考评</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80-90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分的，按月</w:t>
      </w:r>
      <w:r>
        <w:rPr>
          <w:rFonts w:hint="eastAsia" w:ascii="宋体" w:hAnsi="宋体" w:eastAsia="宋体" w:cs="宋体"/>
          <w:sz w:val="21"/>
          <w:szCs w:val="21"/>
          <w:highlight w:val="none"/>
          <w:lang w:val="en-US" w:eastAsia="zh-CN"/>
        </w:rPr>
        <w:t>度</w:t>
      </w:r>
      <w:r>
        <w:rPr>
          <w:rFonts w:hint="eastAsia" w:ascii="宋体" w:hAnsi="宋体" w:eastAsia="宋体" w:cs="宋体"/>
          <w:sz w:val="21"/>
          <w:szCs w:val="21"/>
          <w:highlight w:val="none"/>
        </w:rPr>
        <w:t>绩效考评费用的90%支付；月绩效考评</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分的，按月绩效考评费用的80%支付；月绩效考评60分以下的，按月绩效考评费用的60%支付</w:t>
      </w:r>
      <w:r>
        <w:rPr>
          <w:rFonts w:hint="eastAsia" w:ascii="宋体" w:hAnsi="宋体" w:eastAsia="宋体" w:cs="宋体"/>
          <w:sz w:val="21"/>
          <w:szCs w:val="21"/>
          <w:highlight w:val="none"/>
          <w:lang w:eastAsia="zh-CN"/>
        </w:rPr>
        <w:t>。</w:t>
      </w:r>
    </w:p>
    <w:p w14:paraId="304B1442">
      <w:pPr>
        <w:autoSpaceDE w:val="0"/>
        <w:autoSpaceDN w:val="0"/>
        <w:adjustRightInd w:val="0"/>
        <w:snapToGrid w:val="0"/>
        <w:spacing w:line="360" w:lineRule="auto"/>
        <w:ind w:left="605" w:leftChars="18"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对不同文字文本投标文件的解释发生异议的，以中文文本为准。</w:t>
      </w:r>
    </w:p>
    <w:p w14:paraId="1390D964">
      <w:pPr>
        <w:autoSpaceDE w:val="0"/>
        <w:autoSpaceDN w:val="0"/>
        <w:adjustRightInd w:val="0"/>
        <w:snapToGrid w:val="0"/>
        <w:spacing w:line="360" w:lineRule="auto"/>
        <w:ind w:left="605" w:leftChars="18" w:hanging="567" w:hangingChars="270"/>
        <w:jc w:val="left"/>
        <w:outlineLvl w:val="9"/>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3、本投标报价响应表上货币为人民币。</w:t>
      </w:r>
    </w:p>
    <w:p w14:paraId="5AF56513">
      <w:pPr>
        <w:autoSpaceDE w:val="0"/>
        <w:autoSpaceDN w:val="0"/>
        <w:adjustRightInd w:val="0"/>
        <w:snapToGrid w:val="0"/>
        <w:spacing w:line="360" w:lineRule="auto"/>
        <w:ind w:left="607" w:leftChars="18" w:hanging="569" w:hangingChars="270"/>
        <w:jc w:val="left"/>
        <w:outlineLvl w:val="9"/>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u w:val="single"/>
          <w:lang w:val="en-US" w:eastAsia="zh-CN"/>
        </w:rPr>
        <w:t>4、</w:t>
      </w:r>
      <w:r>
        <w:rPr>
          <w:rFonts w:hint="eastAsia" w:ascii="宋体" w:hAnsi="宋体" w:eastAsia="宋体" w:cs="宋体"/>
          <w:b/>
          <w:bCs/>
          <w:color w:val="auto"/>
          <w:kern w:val="0"/>
          <w:szCs w:val="21"/>
          <w:highlight w:val="none"/>
          <w:u w:val="single"/>
          <w:lang w:val="zh-CN"/>
        </w:rPr>
        <w:t>本表一式二份，一份随唱标信封一起提交，一份编入投标文件商务文件</w:t>
      </w:r>
      <w:r>
        <w:rPr>
          <w:rFonts w:hint="eastAsia" w:ascii="宋体" w:hAnsi="宋体" w:eastAsia="宋体" w:cs="宋体"/>
          <w:b/>
          <w:bCs/>
          <w:color w:val="auto"/>
          <w:kern w:val="0"/>
          <w:szCs w:val="21"/>
          <w:highlight w:val="none"/>
          <w:lang w:val="zh-CN"/>
        </w:rPr>
        <w:t>。</w:t>
      </w:r>
    </w:p>
    <w:p w14:paraId="5754D632">
      <w:pPr>
        <w:autoSpaceDE w:val="0"/>
        <w:autoSpaceDN w:val="0"/>
        <w:adjustRightInd w:val="0"/>
        <w:spacing w:line="360" w:lineRule="auto"/>
        <w:outlineLvl w:val="9"/>
        <w:rPr>
          <w:rFonts w:hint="eastAsia" w:ascii="宋体" w:hAnsi="宋体" w:eastAsia="宋体" w:cs="宋体"/>
          <w:color w:val="auto"/>
          <w:szCs w:val="21"/>
          <w:highlight w:val="none"/>
          <w:lang w:val="zh-CN"/>
        </w:rPr>
      </w:pPr>
    </w:p>
    <w:p w14:paraId="63A87384">
      <w:pPr>
        <w:autoSpaceDE w:val="0"/>
        <w:autoSpaceDN w:val="0"/>
        <w:adjustRightInd w:val="0"/>
        <w:spacing w:line="360" w:lineRule="auto"/>
        <w:ind w:firstLine="4960" w:firstLineChars="236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373620D0">
      <w:pPr>
        <w:autoSpaceDE w:val="0"/>
        <w:autoSpaceDN w:val="0"/>
        <w:adjustRightInd w:val="0"/>
        <w:spacing w:line="360" w:lineRule="auto"/>
        <w:ind w:firstLine="4960" w:firstLineChars="236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4EE9A9FA">
      <w:pPr>
        <w:autoSpaceDE w:val="0"/>
        <w:autoSpaceDN w:val="0"/>
        <w:adjustRightInd w:val="0"/>
        <w:spacing w:line="360" w:lineRule="auto"/>
        <w:ind w:firstLine="4960" w:firstLineChars="2362"/>
        <w:outlineLvl w:val="9"/>
        <w:rPr>
          <w:rFonts w:hint="eastAsia" w:ascii="宋体" w:hAnsi="宋体" w:eastAsia="宋体" w:cs="宋体"/>
          <w:b/>
          <w:color w:val="auto"/>
          <w:kern w:val="0"/>
          <w:sz w:val="32"/>
          <w:szCs w:val="32"/>
          <w:highlight w:val="none"/>
        </w:rPr>
      </w:pPr>
      <w:r>
        <w:rPr>
          <w:rFonts w:hint="eastAsia" w:ascii="宋体" w:hAnsi="宋体" w:eastAsia="宋体" w:cs="宋体"/>
          <w:color w:val="auto"/>
          <w:szCs w:val="21"/>
          <w:highlight w:val="none"/>
          <w:lang w:val="zh-CN"/>
        </w:rPr>
        <w:t>日</w:t>
      </w:r>
      <w:r>
        <w:rPr>
          <w:rFonts w:hint="eastAsia" w:ascii="宋体" w:hAnsi="宋体" w:eastAsia="宋体" w:cs="宋体"/>
          <w:color w:val="auto"/>
          <w:szCs w:val="24"/>
          <w:highlight w:val="none"/>
          <w:lang w:val="zh-CN"/>
        </w:rPr>
        <w:t>期：   年   月   日</w:t>
      </w:r>
      <w:r>
        <w:rPr>
          <w:rFonts w:hint="eastAsia" w:ascii="宋体" w:hAnsi="宋体" w:eastAsia="宋体" w:cs="宋体"/>
          <w:color w:val="auto"/>
          <w:szCs w:val="24"/>
          <w:highlight w:val="none"/>
          <w:lang w:val="zh-CN"/>
        </w:rPr>
        <w:br w:type="page"/>
      </w:r>
      <w:bookmarkStart w:id="708" w:name="_Toc14010"/>
      <w:bookmarkStart w:id="709" w:name="_Toc26516"/>
      <w:bookmarkStart w:id="710" w:name="_Toc102860074"/>
      <w:bookmarkStart w:id="711" w:name="_Toc12866"/>
      <w:bookmarkStart w:id="712" w:name="_Toc94107209"/>
      <w:bookmarkStart w:id="713" w:name="_Toc142508369"/>
      <w:bookmarkStart w:id="714" w:name="_Toc102860418"/>
      <w:bookmarkStart w:id="715" w:name="_Toc104991875"/>
      <w:bookmarkStart w:id="716" w:name="_Toc23083"/>
      <w:bookmarkStart w:id="717" w:name="_Toc1977725"/>
      <w:bookmarkStart w:id="718" w:name="_Toc140596928"/>
      <w:bookmarkStart w:id="719" w:name="_Toc6190"/>
      <w:bookmarkStart w:id="720" w:name="_Toc533708124"/>
      <w:bookmarkStart w:id="721" w:name="_Toc20759_WPSOffice_Level2"/>
      <w:bookmarkStart w:id="722" w:name="_Toc486167712"/>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color w:val="auto"/>
          <w:kern w:val="0"/>
          <w:sz w:val="32"/>
          <w:szCs w:val="32"/>
          <w:highlight w:val="none"/>
        </w:rPr>
        <w:t>、投标人资格证明文件</w:t>
      </w:r>
      <w:bookmarkEnd w:id="708"/>
      <w:bookmarkEnd w:id="709"/>
      <w:bookmarkEnd w:id="710"/>
      <w:bookmarkEnd w:id="711"/>
      <w:bookmarkEnd w:id="712"/>
      <w:bookmarkEnd w:id="713"/>
      <w:bookmarkEnd w:id="714"/>
      <w:bookmarkEnd w:id="715"/>
      <w:bookmarkEnd w:id="716"/>
      <w:bookmarkEnd w:id="717"/>
      <w:bookmarkEnd w:id="718"/>
      <w:bookmarkEnd w:id="719"/>
    </w:p>
    <w:p w14:paraId="04615216">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0"/>
          <w:szCs w:val="30"/>
          <w:highlight w:val="none"/>
        </w:rPr>
      </w:pPr>
      <w:bookmarkStart w:id="723" w:name="_Toc142508370"/>
      <w:bookmarkStart w:id="724" w:name="_Toc104991876"/>
      <w:bookmarkStart w:id="725" w:name="_Toc14680"/>
      <w:bookmarkStart w:id="726" w:name="_Toc31924"/>
      <w:bookmarkStart w:id="727" w:name="_Toc25267"/>
      <w:bookmarkStart w:id="728" w:name="_Toc140596929"/>
      <w:bookmarkStart w:id="729" w:name="_Toc102860419"/>
      <w:bookmarkStart w:id="730" w:name="_Toc102860075"/>
      <w:bookmarkStart w:id="731" w:name="_Toc17358"/>
      <w:bookmarkStart w:id="732" w:name="_Toc29874"/>
      <w:bookmarkStart w:id="733" w:name="_Toc94107210"/>
      <w:bookmarkStart w:id="734" w:name="_Toc12091"/>
      <w:bookmarkStart w:id="735" w:name="_Toc197772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多证合一营业执照（或事业单位法人证书）复印件</w:t>
      </w:r>
      <w:bookmarkEnd w:id="723"/>
      <w:bookmarkEnd w:id="724"/>
      <w:bookmarkEnd w:id="725"/>
      <w:bookmarkEnd w:id="726"/>
      <w:bookmarkEnd w:id="727"/>
      <w:bookmarkEnd w:id="728"/>
      <w:bookmarkEnd w:id="729"/>
      <w:bookmarkEnd w:id="730"/>
      <w:bookmarkEnd w:id="731"/>
      <w:bookmarkEnd w:id="732"/>
      <w:bookmarkEnd w:id="733"/>
      <w:bookmarkEnd w:id="734"/>
    </w:p>
    <w:p w14:paraId="74D7C1DA">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767B5567">
      <w:pPr>
        <w:tabs>
          <w:tab w:val="left" w:pos="567"/>
        </w:tabs>
        <w:autoSpaceDE w:val="0"/>
        <w:autoSpaceDN w:val="0"/>
        <w:adjustRightInd w:val="0"/>
        <w:spacing w:line="360" w:lineRule="auto"/>
        <w:ind w:firstLine="316" w:firstLineChars="150"/>
        <w:jc w:val="left"/>
        <w:outlineLvl w:val="9"/>
        <w:rPr>
          <w:rFonts w:hint="eastAsia"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14:paraId="5B1A9A54">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0"/>
          <w:szCs w:val="30"/>
          <w:highlight w:val="none"/>
        </w:rPr>
      </w:pPr>
      <w:bookmarkStart w:id="736" w:name="_Toc104991877"/>
      <w:bookmarkStart w:id="737" w:name="_Toc94107211"/>
      <w:bookmarkStart w:id="738" w:name="_Toc25013"/>
      <w:bookmarkStart w:id="739" w:name="_Toc7120"/>
      <w:bookmarkStart w:id="740" w:name="_Toc22043"/>
      <w:bookmarkStart w:id="741" w:name="_Toc30063"/>
      <w:bookmarkStart w:id="742" w:name="_Toc27861"/>
      <w:bookmarkStart w:id="743" w:name="_Toc140596930"/>
      <w:bookmarkStart w:id="744" w:name="_Toc102860076"/>
      <w:bookmarkStart w:id="745" w:name="_Toc102860420"/>
      <w:bookmarkStart w:id="746" w:name="_Toc142508371"/>
      <w:bookmarkStart w:id="747" w:name="_Toc775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736"/>
      <w:bookmarkEnd w:id="737"/>
      <w:bookmarkEnd w:id="738"/>
      <w:bookmarkEnd w:id="739"/>
      <w:bookmarkEnd w:id="740"/>
      <w:bookmarkEnd w:id="741"/>
      <w:bookmarkEnd w:id="742"/>
      <w:bookmarkEnd w:id="743"/>
      <w:bookmarkEnd w:id="744"/>
      <w:bookmarkEnd w:id="745"/>
      <w:bookmarkEnd w:id="746"/>
      <w:bookmarkEnd w:id="747"/>
    </w:p>
    <w:p w14:paraId="770C3DB7">
      <w:pPr>
        <w:tabs>
          <w:tab w:val="left" w:pos="567"/>
        </w:tabs>
        <w:autoSpaceDE w:val="0"/>
        <w:autoSpaceDN w:val="0"/>
        <w:adjustRightInd w:val="0"/>
        <w:spacing w:line="360" w:lineRule="auto"/>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 w:val="30"/>
          <w:szCs w:val="30"/>
          <w:highlight w:val="none"/>
        </w:rPr>
        <w:br w:type="page"/>
      </w:r>
      <w:bookmarkStart w:id="748" w:name="_Toc142508372"/>
      <w:bookmarkStart w:id="749" w:name="_Toc17499"/>
      <w:bookmarkStart w:id="750" w:name="_Toc5774"/>
      <w:bookmarkStart w:id="751" w:name="_Toc6691"/>
      <w:bookmarkStart w:id="752" w:name="_Toc4474"/>
      <w:bookmarkStart w:id="753" w:name="_Toc102860077"/>
      <w:bookmarkStart w:id="754" w:name="_Toc140596931"/>
      <w:bookmarkStart w:id="755" w:name="_Toc9132"/>
      <w:bookmarkStart w:id="756" w:name="_Toc102860421"/>
      <w:bookmarkStart w:id="757" w:name="_Toc7441"/>
      <w:bookmarkStart w:id="758" w:name="_Toc94107212"/>
      <w:bookmarkStart w:id="759" w:name="_Toc104991878"/>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.3 法定代表人身份证明书原件、法定代表人授权书原件格式（法定代表人投标时只需提供法定代表人身份证明书，委托他人为投标代表或签署投标文件时需同时提供法定代表人授权书）</w:t>
      </w:r>
      <w:bookmarkEnd w:id="748"/>
      <w:bookmarkEnd w:id="749"/>
      <w:bookmarkEnd w:id="750"/>
      <w:bookmarkEnd w:id="751"/>
      <w:bookmarkEnd w:id="752"/>
      <w:bookmarkEnd w:id="753"/>
      <w:bookmarkEnd w:id="754"/>
      <w:bookmarkEnd w:id="755"/>
      <w:bookmarkEnd w:id="756"/>
      <w:bookmarkEnd w:id="757"/>
      <w:bookmarkEnd w:id="758"/>
      <w:bookmarkEnd w:id="759"/>
    </w:p>
    <w:p w14:paraId="0965129A">
      <w:pPr>
        <w:spacing w:before="120" w:after="120" w:line="360" w:lineRule="auto"/>
        <w:ind w:firstLine="426" w:firstLineChars="202"/>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720"/>
      <w:bookmarkEnd w:id="721"/>
      <w:bookmarkEnd w:id="722"/>
      <w:bookmarkEnd w:id="735"/>
    </w:p>
    <w:p w14:paraId="4129BAA3">
      <w:pPr>
        <w:spacing w:before="120" w:after="120" w:line="360" w:lineRule="auto"/>
        <w:ind w:firstLine="608" w:firstLineChars="202"/>
        <w:jc w:val="center"/>
        <w:outlineLvl w:val="9"/>
        <w:rPr>
          <w:rFonts w:hint="eastAsia" w:ascii="宋体" w:hAnsi="宋体" w:eastAsia="宋体" w:cs="宋体"/>
          <w:b/>
          <w:color w:val="auto"/>
          <w:sz w:val="30"/>
          <w:szCs w:val="30"/>
          <w:highlight w:val="none"/>
        </w:rPr>
      </w:pPr>
    </w:p>
    <w:p w14:paraId="329DE75C">
      <w:pPr>
        <w:spacing w:before="120" w:after="120" w:line="360" w:lineRule="auto"/>
        <w:ind w:firstLine="608" w:firstLineChars="202"/>
        <w:jc w:val="center"/>
        <w:outlineLvl w:val="9"/>
        <w:rPr>
          <w:rFonts w:hint="eastAsia" w:ascii="宋体" w:hAnsi="宋体" w:eastAsia="宋体" w:cs="宋体"/>
          <w:b/>
          <w:bCs/>
          <w:color w:val="auto"/>
          <w:sz w:val="30"/>
          <w:szCs w:val="30"/>
          <w:highlight w:val="none"/>
        </w:rPr>
      </w:pPr>
      <w:bookmarkStart w:id="760" w:name="_Toc11033_WPSOffice_Level3"/>
      <w:r>
        <w:rPr>
          <w:rFonts w:hint="eastAsia" w:ascii="宋体" w:hAnsi="宋体" w:eastAsia="宋体" w:cs="宋体"/>
          <w:b/>
          <w:color w:val="auto"/>
          <w:sz w:val="30"/>
          <w:szCs w:val="30"/>
          <w:highlight w:val="none"/>
        </w:rPr>
        <w:t>法定代</w:t>
      </w:r>
      <w:bookmarkStart w:id="761" w:name="_Toc45995270"/>
      <w:bookmarkStart w:id="762" w:name="_Toc36971359"/>
      <w:r>
        <w:rPr>
          <w:rFonts w:hint="eastAsia" w:ascii="宋体" w:hAnsi="宋体" w:eastAsia="宋体" w:cs="宋体"/>
          <w:b/>
          <w:color w:val="auto"/>
          <w:sz w:val="30"/>
          <w:szCs w:val="30"/>
          <w:highlight w:val="none"/>
        </w:rPr>
        <w:t>表人身份证明书</w:t>
      </w:r>
      <w:bookmarkEnd w:id="760"/>
    </w:p>
    <w:bookmarkEnd w:id="761"/>
    <w:bookmarkEnd w:id="762"/>
    <w:p w14:paraId="72D937C8">
      <w:pPr>
        <w:spacing w:before="120" w:after="120" w:line="360" w:lineRule="auto"/>
        <w:ind w:firstLine="420" w:firstLineChars="20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3F3C1A3D">
      <w:pPr>
        <w:spacing w:before="120" w:after="120"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5CC5EA0A">
      <w:pPr>
        <w:spacing w:before="120" w:after="120" w:line="360" w:lineRule="auto"/>
        <w:ind w:firstLine="424" w:firstLineChars="202"/>
        <w:outlineLvl w:val="9"/>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42BBC672">
      <w:pPr>
        <w:spacing w:before="120" w:after="120"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6183727E">
      <w:pPr>
        <w:spacing w:before="120" w:after="120" w:line="360" w:lineRule="auto"/>
        <w:ind w:firstLine="424" w:firstLineChars="202"/>
        <w:outlineLvl w:val="9"/>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2D4F530A">
      <w:pPr>
        <w:spacing w:before="120" w:after="120" w:line="360" w:lineRule="auto"/>
        <w:ind w:firstLine="424" w:firstLineChars="202"/>
        <w:outlineLvl w:val="9"/>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3EFD2EFB">
      <w:pPr>
        <w:spacing w:before="120" w:after="120"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14:paraId="58986F9C">
      <w:pPr>
        <w:spacing w:before="120" w:after="120" w:line="360" w:lineRule="auto"/>
        <w:ind w:left="340" w:leftChars="162" w:firstLine="474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14:paraId="28280667">
      <w:pPr>
        <w:autoSpaceDE w:val="0"/>
        <w:autoSpaceDN w:val="0"/>
        <w:adjustRightInd w:val="0"/>
        <w:spacing w:line="360" w:lineRule="auto"/>
        <w:ind w:right="1010" w:rightChars="481" w:firstLine="6090" w:firstLineChars="29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3466C9E6">
      <w:pPr>
        <w:autoSpaceDE w:val="0"/>
        <w:autoSpaceDN w:val="0"/>
        <w:adjustRightInd w:val="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5D3A1926">
                            <w:pPr>
                              <w:rPr>
                                <w:rFonts w:eastAsia="+中文正文"/>
                              </w:rPr>
                            </w:pPr>
                          </w:p>
                          <w:p w14:paraId="123C5DF5"/>
                          <w:p w14:paraId="5107766F"/>
                          <w:p w14:paraId="46B96961"/>
                          <w:p w14:paraId="7B0E7A07">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5D3A1926">
                      <w:pPr>
                        <w:rPr>
                          <w:rFonts w:eastAsia="+中文正文"/>
                        </w:rPr>
                      </w:pPr>
                    </w:p>
                    <w:p w14:paraId="123C5DF5"/>
                    <w:p w14:paraId="5107766F"/>
                    <w:p w14:paraId="46B96961"/>
                    <w:p w14:paraId="7B0E7A07">
                      <w:pPr>
                        <w:jc w:val="center"/>
                        <w:rPr>
                          <w:szCs w:val="21"/>
                        </w:rPr>
                      </w:pPr>
                      <w:r>
                        <w:rPr>
                          <w:rFonts w:hint="eastAsia"/>
                          <w:szCs w:val="21"/>
                        </w:rPr>
                        <w:t>法定代表人身份证正面</w:t>
                      </w:r>
                    </w:p>
                  </w:txbxContent>
                </v:textbox>
              </v:shape>
            </w:pict>
          </mc:Fallback>
        </mc:AlternateContent>
      </w: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640D589C"/>
                          <w:p w14:paraId="77BB6FBF"/>
                          <w:p w14:paraId="2FCE0AF6"/>
                          <w:p w14:paraId="25B7C557"/>
                          <w:p w14:paraId="1E2F2BBF">
                            <w:pPr>
                              <w:jc w:val="center"/>
                              <w:rPr>
                                <w:szCs w:val="21"/>
                              </w:rPr>
                            </w:pPr>
                            <w:r>
                              <w:rPr>
                                <w:rFonts w:hint="eastAsia"/>
                                <w:szCs w:val="21"/>
                              </w:rPr>
                              <w:t>法定代表人身份证反面</w:t>
                            </w:r>
                          </w:p>
                          <w:p w14:paraId="27D8FCE4">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640D589C"/>
                    <w:p w14:paraId="77BB6FBF"/>
                    <w:p w14:paraId="2FCE0AF6"/>
                    <w:p w14:paraId="25B7C557"/>
                    <w:p w14:paraId="1E2F2BBF">
                      <w:pPr>
                        <w:jc w:val="center"/>
                        <w:rPr>
                          <w:szCs w:val="21"/>
                        </w:rPr>
                      </w:pPr>
                      <w:r>
                        <w:rPr>
                          <w:rFonts w:hint="eastAsia"/>
                          <w:szCs w:val="21"/>
                        </w:rPr>
                        <w:t>法定代表人身份证反面</w:t>
                      </w:r>
                    </w:p>
                    <w:p w14:paraId="27D8FCE4">
                      <w:pPr>
                        <w:jc w:val="center"/>
                        <w:rPr>
                          <w:szCs w:val="21"/>
                        </w:rPr>
                      </w:pPr>
                    </w:p>
                  </w:txbxContent>
                </v:textbox>
              </v:shape>
            </w:pict>
          </mc:Fallback>
        </mc:AlternateContent>
      </w: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26E31469"/>
                          <w:p w14:paraId="2FAE5F52"/>
                          <w:p w14:paraId="6800667D"/>
                          <w:p w14:paraId="77149D5F"/>
                          <w:p w14:paraId="4F406A63">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26E31469"/>
                    <w:p w14:paraId="2FAE5F52"/>
                    <w:p w14:paraId="6800667D"/>
                    <w:p w14:paraId="77149D5F"/>
                    <w:p w14:paraId="4F406A63">
                      <w:pPr>
                        <w:jc w:val="center"/>
                      </w:pPr>
                      <w:r>
                        <w:rPr>
                          <w:rFonts w:hint="eastAsia"/>
                        </w:rPr>
                        <w:t>身份证正面</w:t>
                      </w:r>
                    </w:p>
                  </w:txbxContent>
                </v:textbox>
              </v:shape>
            </w:pict>
          </mc:Fallback>
        </mc:AlternateContent>
      </w:r>
    </w:p>
    <w:p w14:paraId="0E848E2C">
      <w:pPr>
        <w:autoSpaceDE w:val="0"/>
        <w:autoSpaceDN w:val="0"/>
        <w:adjustRightInd w:val="0"/>
        <w:jc w:val="left"/>
        <w:outlineLvl w:val="9"/>
        <w:rPr>
          <w:rFonts w:hint="eastAsia" w:ascii="宋体" w:hAnsi="宋体" w:eastAsia="宋体" w:cs="宋体"/>
          <w:color w:val="auto"/>
          <w:kern w:val="0"/>
          <w:sz w:val="24"/>
          <w:szCs w:val="24"/>
          <w:highlight w:val="none"/>
        </w:rPr>
      </w:pPr>
    </w:p>
    <w:p w14:paraId="139FF553">
      <w:pPr>
        <w:autoSpaceDE w:val="0"/>
        <w:autoSpaceDN w:val="0"/>
        <w:adjustRightInd w:val="0"/>
        <w:jc w:val="left"/>
        <w:outlineLvl w:val="9"/>
        <w:rPr>
          <w:rFonts w:hint="eastAsia" w:ascii="宋体" w:hAnsi="宋体" w:eastAsia="宋体" w:cs="宋体"/>
          <w:color w:val="auto"/>
          <w:kern w:val="0"/>
          <w:sz w:val="24"/>
          <w:szCs w:val="24"/>
          <w:highlight w:val="none"/>
        </w:rPr>
      </w:pPr>
    </w:p>
    <w:p w14:paraId="137F01D8">
      <w:pPr>
        <w:autoSpaceDE w:val="0"/>
        <w:autoSpaceDN w:val="0"/>
        <w:adjustRightInd w:val="0"/>
        <w:jc w:val="left"/>
        <w:outlineLvl w:val="9"/>
        <w:rPr>
          <w:rFonts w:hint="eastAsia" w:ascii="宋体" w:hAnsi="宋体" w:eastAsia="宋体" w:cs="宋体"/>
          <w:color w:val="auto"/>
          <w:kern w:val="0"/>
          <w:sz w:val="24"/>
          <w:szCs w:val="24"/>
          <w:highlight w:val="none"/>
        </w:rPr>
      </w:pPr>
    </w:p>
    <w:p w14:paraId="1A0AAA35">
      <w:pPr>
        <w:autoSpaceDE w:val="0"/>
        <w:autoSpaceDN w:val="0"/>
        <w:adjustRightInd w:val="0"/>
        <w:jc w:val="left"/>
        <w:outlineLvl w:val="9"/>
        <w:rPr>
          <w:rFonts w:hint="eastAsia" w:ascii="宋体" w:hAnsi="宋体" w:eastAsia="宋体" w:cs="宋体"/>
          <w:color w:val="auto"/>
          <w:kern w:val="0"/>
          <w:sz w:val="24"/>
          <w:szCs w:val="24"/>
          <w:highlight w:val="none"/>
        </w:rPr>
      </w:pPr>
    </w:p>
    <w:p w14:paraId="18EF7AAE">
      <w:pPr>
        <w:autoSpaceDE w:val="0"/>
        <w:autoSpaceDN w:val="0"/>
        <w:adjustRightInd w:val="0"/>
        <w:jc w:val="left"/>
        <w:outlineLvl w:val="9"/>
        <w:rPr>
          <w:rFonts w:hint="eastAsia" w:ascii="宋体" w:hAnsi="宋体" w:eastAsia="宋体" w:cs="宋体"/>
          <w:color w:val="auto"/>
          <w:kern w:val="0"/>
          <w:sz w:val="24"/>
          <w:szCs w:val="24"/>
          <w:highlight w:val="none"/>
        </w:rPr>
      </w:pPr>
    </w:p>
    <w:p w14:paraId="549D0729">
      <w:pPr>
        <w:autoSpaceDE w:val="0"/>
        <w:autoSpaceDN w:val="0"/>
        <w:adjustRightInd w:val="0"/>
        <w:jc w:val="left"/>
        <w:outlineLvl w:val="9"/>
        <w:rPr>
          <w:rFonts w:hint="eastAsia" w:ascii="宋体" w:hAnsi="宋体" w:eastAsia="宋体" w:cs="宋体"/>
          <w:color w:val="auto"/>
          <w:kern w:val="0"/>
          <w:sz w:val="24"/>
          <w:szCs w:val="24"/>
          <w:highlight w:val="none"/>
        </w:rPr>
      </w:pPr>
    </w:p>
    <w:p w14:paraId="52E78E44">
      <w:pPr>
        <w:autoSpaceDE w:val="0"/>
        <w:autoSpaceDN w:val="0"/>
        <w:adjustRightInd w:val="0"/>
        <w:jc w:val="left"/>
        <w:outlineLvl w:val="9"/>
        <w:rPr>
          <w:rFonts w:hint="eastAsia" w:ascii="宋体" w:hAnsi="宋体" w:eastAsia="宋体" w:cs="宋体"/>
          <w:color w:val="auto"/>
          <w:kern w:val="0"/>
          <w:sz w:val="24"/>
          <w:szCs w:val="24"/>
          <w:highlight w:val="none"/>
        </w:rPr>
      </w:pPr>
    </w:p>
    <w:p w14:paraId="1EEF47C2">
      <w:pPr>
        <w:autoSpaceDE w:val="0"/>
        <w:autoSpaceDN w:val="0"/>
        <w:adjustRightInd w:val="0"/>
        <w:jc w:val="left"/>
        <w:outlineLvl w:val="9"/>
        <w:rPr>
          <w:rFonts w:hint="eastAsia" w:ascii="宋体" w:hAnsi="宋体" w:eastAsia="宋体" w:cs="宋体"/>
          <w:color w:val="auto"/>
          <w:kern w:val="0"/>
          <w:sz w:val="24"/>
          <w:szCs w:val="24"/>
          <w:highlight w:val="none"/>
        </w:rPr>
      </w:pPr>
    </w:p>
    <w:p w14:paraId="0D1AE549">
      <w:pPr>
        <w:autoSpaceDE w:val="0"/>
        <w:autoSpaceDN w:val="0"/>
        <w:adjustRightInd w:val="0"/>
        <w:jc w:val="left"/>
        <w:outlineLvl w:val="9"/>
        <w:rPr>
          <w:rFonts w:hint="eastAsia" w:ascii="宋体" w:hAnsi="宋体" w:eastAsia="宋体" w:cs="宋体"/>
          <w:color w:val="auto"/>
          <w:kern w:val="0"/>
          <w:sz w:val="24"/>
          <w:szCs w:val="24"/>
          <w:highlight w:val="none"/>
        </w:rPr>
      </w:pPr>
    </w:p>
    <w:p w14:paraId="1E6CF5A9">
      <w:pPr>
        <w:autoSpaceDE w:val="0"/>
        <w:autoSpaceDN w:val="0"/>
        <w:adjustRightInd w:val="0"/>
        <w:jc w:val="left"/>
        <w:outlineLvl w:val="9"/>
        <w:rPr>
          <w:rFonts w:hint="eastAsia" w:ascii="宋体" w:hAnsi="宋体" w:eastAsia="宋体" w:cs="宋体"/>
          <w:b/>
          <w:color w:val="auto"/>
          <w:kern w:val="0"/>
          <w:szCs w:val="21"/>
          <w:highlight w:val="none"/>
        </w:rPr>
      </w:pPr>
    </w:p>
    <w:p w14:paraId="4C821699">
      <w:pPr>
        <w:autoSpaceDE w:val="0"/>
        <w:autoSpaceDN w:val="0"/>
        <w:adjustRightInd w:val="0"/>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1253F8D1">
      <w:pPr>
        <w:autoSpaceDE w:val="0"/>
        <w:autoSpaceDN w:val="0"/>
        <w:adjustRightInd w:val="0"/>
        <w:jc w:val="left"/>
        <w:outlineLvl w:val="9"/>
        <w:rPr>
          <w:rFonts w:hint="eastAsia" w:ascii="宋体" w:hAnsi="宋体" w:eastAsia="宋体" w:cs="宋体"/>
          <w:color w:val="auto"/>
          <w:kern w:val="0"/>
          <w:szCs w:val="21"/>
          <w:highlight w:val="none"/>
        </w:rPr>
      </w:pPr>
    </w:p>
    <w:p w14:paraId="7B2492D0">
      <w:pPr>
        <w:spacing w:before="120" w:after="120" w:line="360" w:lineRule="auto"/>
        <w:ind w:firstLine="424" w:firstLineChars="202"/>
        <w:outlineLvl w:val="9"/>
        <w:rPr>
          <w:rFonts w:hint="eastAsia"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675"/>
      <w:bookmarkEnd w:id="676"/>
      <w:bookmarkEnd w:id="677"/>
      <w:bookmarkStart w:id="763" w:name="_Toc486167713"/>
      <w:bookmarkStart w:id="764" w:name="_Toc533708125"/>
      <w:bookmarkStart w:id="765" w:name="_Toc1977727"/>
      <w:bookmarkStart w:id="766" w:name="_Toc6240_WPSOffice_Level2"/>
      <w:r>
        <w:rPr>
          <w:rFonts w:hint="eastAsia" w:ascii="宋体" w:hAnsi="宋体" w:eastAsia="宋体" w:cs="宋体"/>
          <w:b/>
          <w:color w:val="auto"/>
          <w:szCs w:val="24"/>
          <w:highlight w:val="none"/>
        </w:rPr>
        <w:t>（2）法定代表人授权书格式</w:t>
      </w:r>
      <w:bookmarkEnd w:id="763"/>
      <w:bookmarkEnd w:id="764"/>
      <w:bookmarkEnd w:id="765"/>
      <w:bookmarkEnd w:id="766"/>
    </w:p>
    <w:p w14:paraId="37547069">
      <w:pPr>
        <w:autoSpaceDE w:val="0"/>
        <w:autoSpaceDN w:val="0"/>
        <w:adjustRightInd w:val="0"/>
        <w:spacing w:line="360" w:lineRule="auto"/>
        <w:jc w:val="center"/>
        <w:outlineLvl w:val="9"/>
        <w:rPr>
          <w:rFonts w:hint="eastAsia" w:ascii="宋体" w:hAnsi="宋体" w:eastAsia="宋体" w:cs="宋体"/>
          <w:b/>
          <w:bCs/>
          <w:color w:val="auto"/>
          <w:sz w:val="30"/>
          <w:szCs w:val="30"/>
          <w:highlight w:val="none"/>
          <w:lang w:val="zh-CN"/>
        </w:rPr>
      </w:pPr>
    </w:p>
    <w:p w14:paraId="24122C6F">
      <w:pPr>
        <w:autoSpaceDE w:val="0"/>
        <w:autoSpaceDN w:val="0"/>
        <w:adjustRightInd w:val="0"/>
        <w:spacing w:line="360" w:lineRule="auto"/>
        <w:jc w:val="center"/>
        <w:outlineLvl w:val="9"/>
        <w:rPr>
          <w:rFonts w:hint="eastAsia" w:ascii="宋体" w:hAnsi="宋体" w:eastAsia="宋体" w:cs="宋体"/>
          <w:b/>
          <w:bCs/>
          <w:color w:val="auto"/>
          <w:sz w:val="30"/>
          <w:szCs w:val="30"/>
          <w:highlight w:val="none"/>
          <w:lang w:val="zh-CN"/>
        </w:rPr>
      </w:pPr>
      <w:bookmarkStart w:id="767" w:name="_Toc29146_WPSOffice_Level3"/>
      <w:r>
        <w:rPr>
          <w:rFonts w:hint="eastAsia" w:ascii="宋体" w:hAnsi="宋体" w:eastAsia="宋体" w:cs="宋体"/>
          <w:b/>
          <w:bCs/>
          <w:color w:val="auto"/>
          <w:sz w:val="30"/>
          <w:szCs w:val="30"/>
          <w:highlight w:val="none"/>
          <w:lang w:val="zh-CN"/>
        </w:rPr>
        <w:t>法定代表人授权书</w:t>
      </w:r>
      <w:bookmarkEnd w:id="767"/>
    </w:p>
    <w:p w14:paraId="2DE0BA2A">
      <w:pPr>
        <w:autoSpaceDE w:val="0"/>
        <w:autoSpaceDN w:val="0"/>
        <w:adjustRightInd w:val="0"/>
        <w:spacing w:line="360" w:lineRule="auto"/>
        <w:jc w:val="center"/>
        <w:outlineLvl w:val="9"/>
        <w:rPr>
          <w:rFonts w:hint="eastAsia" w:ascii="宋体" w:hAnsi="宋体" w:eastAsia="宋体" w:cs="宋体"/>
          <w:color w:val="auto"/>
          <w:szCs w:val="28"/>
          <w:highlight w:val="none"/>
          <w:lang w:val="zh-CN"/>
        </w:rPr>
      </w:pPr>
    </w:p>
    <w:p w14:paraId="34253763">
      <w:pPr>
        <w:spacing w:before="120" w:after="120" w:line="360" w:lineRule="auto"/>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致：东莞市利源有机资源再生利用有限公司</w:t>
      </w:r>
    </w:p>
    <w:p w14:paraId="200CBE08">
      <w:pPr>
        <w:spacing w:before="120" w:after="120" w:line="360" w:lineRule="auto"/>
        <w:ind w:firstLine="630" w:firstLineChars="300"/>
        <w:outlineLvl w:val="9"/>
        <w:rPr>
          <w:rFonts w:hint="eastAsia"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4"/>
          <w:highlight w:val="none"/>
          <w:u w:val="single"/>
          <w:lang w:val="zh-CN" w:eastAsia="zh-CN"/>
        </w:rPr>
        <w:t>东莞市置拓投资有限公司水业大厦食堂经营服务采购项目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rPr>
        <w:t>广建咨询（东招）2025-0020号</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1DFECD59">
      <w:pPr>
        <w:spacing w:before="120" w:after="120"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4CD20E3A">
      <w:pPr>
        <w:spacing w:before="120" w:after="120" w:line="360" w:lineRule="auto"/>
        <w:ind w:left="348" w:leftChars="136" w:hanging="62"/>
        <w:outlineLvl w:val="9"/>
        <w:rPr>
          <w:rFonts w:hint="eastAsia" w:ascii="宋体" w:hAnsi="宋体" w:eastAsia="宋体" w:cs="宋体"/>
          <w:color w:val="auto"/>
          <w:szCs w:val="24"/>
          <w:highlight w:val="none"/>
        </w:rPr>
      </w:pPr>
    </w:p>
    <w:p w14:paraId="36395CD0">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14:paraId="16242276">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4F707721">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14:paraId="3315C6C8">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3F32FBF8">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14:paraId="72D78BFF">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21F55326">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3E350D1B">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57C3943B">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14:paraId="4D1D17BF">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57D0CA03"/>
                          <w:p w14:paraId="58DEBC95"/>
                          <w:p w14:paraId="446310AB"/>
                          <w:p w14:paraId="6F9E6CC3"/>
                          <w:p w14:paraId="4E3480A0">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57D0CA03"/>
                    <w:p w14:paraId="58DEBC95"/>
                    <w:p w14:paraId="446310AB"/>
                    <w:p w14:paraId="6F9E6CC3"/>
                    <w:p w14:paraId="4E3480A0">
                      <w:pPr>
                        <w:jc w:val="center"/>
                        <w:rPr>
                          <w:rFonts w:hAnsi="宋体"/>
                        </w:rPr>
                      </w:pPr>
                      <w:r>
                        <w:rPr>
                          <w:rFonts w:hint="eastAsia" w:hAnsi="宋体"/>
                        </w:rPr>
                        <w:t>法定代表人身份证反面</w:t>
                      </w:r>
                    </w:p>
                  </w:txbxContent>
                </v:textbox>
              </v:shape>
            </w:pict>
          </mc:Fallback>
        </mc:AlternateContent>
      </w:r>
      <w:r>
        <w:rPr>
          <w:rFonts w:hint="eastAsia"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451E1366"/>
                          <w:p w14:paraId="0FE1F707"/>
                          <w:p w14:paraId="545E8AF1"/>
                          <w:p w14:paraId="5CB9B2FA"/>
                          <w:p w14:paraId="061ADE17">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451E1366"/>
                    <w:p w14:paraId="0FE1F707"/>
                    <w:p w14:paraId="545E8AF1"/>
                    <w:p w14:paraId="5CB9B2FA"/>
                    <w:p w14:paraId="061ADE17">
                      <w:pPr>
                        <w:jc w:val="center"/>
                        <w:rPr>
                          <w:rFonts w:hAnsi="宋体"/>
                        </w:rPr>
                      </w:pPr>
                      <w:r>
                        <w:rPr>
                          <w:rFonts w:hint="eastAsia" w:hAnsi="宋体"/>
                        </w:rPr>
                        <w:t>法定代表人身份证正面</w:t>
                      </w:r>
                    </w:p>
                  </w:txbxContent>
                </v:textbox>
              </v:shape>
            </w:pict>
          </mc:Fallback>
        </mc:AlternateContent>
      </w:r>
    </w:p>
    <w:p w14:paraId="5B0AEE3C">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0C521D4F">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009327A2">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1EE1BC32">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3D7101D4">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4647B5B8">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2164B078">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19247099">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6B1677A1">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5B6EFDDA"/>
                          <w:p w14:paraId="782B5055">
                            <w:pPr>
                              <w:jc w:val="center"/>
                              <w:rPr>
                                <w:rFonts w:hAnsi="宋体"/>
                                <w:color w:val="FF0000"/>
                              </w:rPr>
                            </w:pPr>
                          </w:p>
                          <w:p w14:paraId="1BC67251">
                            <w:pPr>
                              <w:jc w:val="center"/>
                              <w:rPr>
                                <w:rFonts w:hAnsi="宋体"/>
                                <w:color w:val="FF0000"/>
                              </w:rPr>
                            </w:pPr>
                          </w:p>
                          <w:p w14:paraId="3101B637">
                            <w:pPr>
                              <w:jc w:val="center"/>
                              <w:rPr>
                                <w:rFonts w:hAnsi="宋体"/>
                                <w:color w:val="FF0000"/>
                              </w:rPr>
                            </w:pPr>
                          </w:p>
                          <w:p w14:paraId="4B551373">
                            <w:pPr>
                              <w:jc w:val="center"/>
                            </w:pPr>
                            <w:r>
                              <w:rPr>
                                <w:rFonts w:hint="eastAsia" w:hAnsi="宋体"/>
                              </w:rPr>
                              <w:t>被授权人身份证反面</w:t>
                            </w:r>
                          </w:p>
                          <w:p w14:paraId="2415F6F9"/>
                          <w:p w14:paraId="610025CF"/>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5B6EFDDA"/>
                    <w:p w14:paraId="782B5055">
                      <w:pPr>
                        <w:jc w:val="center"/>
                        <w:rPr>
                          <w:rFonts w:hAnsi="宋体"/>
                          <w:color w:val="FF0000"/>
                        </w:rPr>
                      </w:pPr>
                    </w:p>
                    <w:p w14:paraId="1BC67251">
                      <w:pPr>
                        <w:jc w:val="center"/>
                        <w:rPr>
                          <w:rFonts w:hAnsi="宋体"/>
                          <w:color w:val="FF0000"/>
                        </w:rPr>
                      </w:pPr>
                    </w:p>
                    <w:p w14:paraId="3101B637">
                      <w:pPr>
                        <w:jc w:val="center"/>
                        <w:rPr>
                          <w:rFonts w:hAnsi="宋体"/>
                          <w:color w:val="FF0000"/>
                        </w:rPr>
                      </w:pPr>
                    </w:p>
                    <w:p w14:paraId="4B551373">
                      <w:pPr>
                        <w:jc w:val="center"/>
                      </w:pPr>
                      <w:r>
                        <w:rPr>
                          <w:rFonts w:hint="eastAsia" w:hAnsi="宋体"/>
                        </w:rPr>
                        <w:t>被授权人身份证反面</w:t>
                      </w:r>
                    </w:p>
                    <w:p w14:paraId="2415F6F9"/>
                    <w:p w14:paraId="610025CF"/>
                  </w:txbxContent>
                </v:textbox>
              </v:shape>
            </w:pict>
          </mc:Fallback>
        </mc:AlternateContent>
      </w:r>
      <w:r>
        <w:rPr>
          <w:rFonts w:hint="eastAsia"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7C351A4E"/>
                          <w:p w14:paraId="05EEC3A7">
                            <w:pPr>
                              <w:jc w:val="center"/>
                              <w:rPr>
                                <w:rFonts w:hAnsi="宋体"/>
                                <w:color w:val="FF0000"/>
                              </w:rPr>
                            </w:pPr>
                          </w:p>
                          <w:p w14:paraId="3D96BEE8">
                            <w:pPr>
                              <w:jc w:val="center"/>
                              <w:rPr>
                                <w:rFonts w:hAnsi="宋体"/>
                                <w:color w:val="FF0000"/>
                              </w:rPr>
                            </w:pPr>
                          </w:p>
                          <w:p w14:paraId="4B2E7596">
                            <w:pPr>
                              <w:jc w:val="center"/>
                              <w:rPr>
                                <w:rFonts w:hAnsi="宋体"/>
                                <w:color w:val="FF0000"/>
                              </w:rPr>
                            </w:pPr>
                          </w:p>
                          <w:p w14:paraId="55812766">
                            <w:pPr>
                              <w:jc w:val="center"/>
                            </w:pPr>
                            <w:r>
                              <w:rPr>
                                <w:rFonts w:hint="eastAsia" w:hAnsi="宋体"/>
                              </w:rPr>
                              <w:t>被授权人身份证正面</w:t>
                            </w:r>
                          </w:p>
                          <w:p w14:paraId="4339E0B2"/>
                          <w:p w14:paraId="51E0CD18"/>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7C351A4E"/>
                    <w:p w14:paraId="05EEC3A7">
                      <w:pPr>
                        <w:jc w:val="center"/>
                        <w:rPr>
                          <w:rFonts w:hAnsi="宋体"/>
                          <w:color w:val="FF0000"/>
                        </w:rPr>
                      </w:pPr>
                    </w:p>
                    <w:p w14:paraId="3D96BEE8">
                      <w:pPr>
                        <w:jc w:val="center"/>
                        <w:rPr>
                          <w:rFonts w:hAnsi="宋体"/>
                          <w:color w:val="FF0000"/>
                        </w:rPr>
                      </w:pPr>
                    </w:p>
                    <w:p w14:paraId="4B2E7596">
                      <w:pPr>
                        <w:jc w:val="center"/>
                        <w:rPr>
                          <w:rFonts w:hAnsi="宋体"/>
                          <w:color w:val="FF0000"/>
                        </w:rPr>
                      </w:pPr>
                    </w:p>
                    <w:p w14:paraId="55812766">
                      <w:pPr>
                        <w:jc w:val="center"/>
                      </w:pPr>
                      <w:r>
                        <w:rPr>
                          <w:rFonts w:hint="eastAsia" w:hAnsi="宋体"/>
                        </w:rPr>
                        <w:t>被授权人身份证正面</w:t>
                      </w:r>
                    </w:p>
                    <w:p w14:paraId="4339E0B2"/>
                    <w:p w14:paraId="51E0CD18"/>
                  </w:txbxContent>
                </v:textbox>
              </v:shape>
            </w:pict>
          </mc:Fallback>
        </mc:AlternateContent>
      </w:r>
    </w:p>
    <w:p w14:paraId="2CADBEEA">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5133F6AF">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1AEFD32D">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4566F7CD">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48B38DE4">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13B76DEE">
      <w:pPr>
        <w:widowControl/>
        <w:autoSpaceDE w:val="0"/>
        <w:autoSpaceDN w:val="0"/>
        <w:spacing w:before="120" w:after="120" w:line="360" w:lineRule="auto"/>
        <w:ind w:right="781" w:rightChars="372" w:firstLine="422" w:firstLineChars="200"/>
        <w:textAlignment w:val="bottom"/>
        <w:outlineLvl w:val="9"/>
        <w:rPr>
          <w:rFonts w:hint="eastAsia" w:ascii="宋体" w:hAnsi="宋体" w:eastAsia="宋体" w:cs="宋体"/>
          <w:b/>
          <w:color w:val="auto"/>
          <w:szCs w:val="24"/>
          <w:highlight w:val="none"/>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0B338C1C">
      <w:pPr>
        <w:pageBreakBefore/>
        <w:spacing w:line="360" w:lineRule="auto"/>
        <w:outlineLvl w:val="9"/>
        <w:rPr>
          <w:rFonts w:hint="eastAsia" w:ascii="宋体" w:hAnsi="宋体" w:eastAsia="宋体" w:cs="宋体"/>
          <w:b/>
          <w:color w:val="auto"/>
          <w:kern w:val="0"/>
          <w:sz w:val="30"/>
          <w:szCs w:val="30"/>
          <w:highlight w:val="none"/>
        </w:rPr>
      </w:pPr>
      <w:bookmarkStart w:id="768" w:name="_Toc20778"/>
      <w:bookmarkStart w:id="769" w:name="_Toc2859"/>
      <w:bookmarkStart w:id="770" w:name="_Toc20302"/>
      <w:bookmarkStart w:id="771" w:name="_Toc26831"/>
      <w:bookmarkStart w:id="772" w:name="_Toc15716"/>
      <w:bookmarkStart w:id="773" w:name="_Toc12400"/>
      <w:bookmarkStart w:id="774" w:name="_Toc16211"/>
      <w:bookmarkStart w:id="775" w:name="_Toc16360"/>
      <w:bookmarkStart w:id="776" w:name="_Toc32328"/>
      <w:bookmarkStart w:id="777" w:name="_Toc104991880"/>
      <w:bookmarkStart w:id="778" w:name="_Toc94107214"/>
      <w:bookmarkStart w:id="779" w:name="_Toc142508373"/>
      <w:bookmarkStart w:id="780" w:name="_Toc1977730"/>
      <w:bookmarkStart w:id="781" w:name="_Toc140596933"/>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.4 食品药品监督管理部门或市场监督管理部门颁发并在有效期内的食品经营许可证复印件</w:t>
      </w:r>
      <w:bookmarkEnd w:id="768"/>
      <w:bookmarkEnd w:id="769"/>
      <w:bookmarkEnd w:id="770"/>
      <w:bookmarkEnd w:id="771"/>
    </w:p>
    <w:p w14:paraId="16B015E8">
      <w:pPr>
        <w:spacing w:line="360" w:lineRule="auto"/>
        <w:ind w:left="424" w:hanging="424" w:hangingChars="201"/>
        <w:outlineLvl w:val="9"/>
        <w:rPr>
          <w:rFonts w:hint="eastAsia" w:ascii="宋体" w:hAnsi="宋体" w:eastAsia="宋体" w:cs="宋体"/>
          <w:b/>
          <w:color w:val="auto"/>
          <w:szCs w:val="21"/>
          <w:highlight w:val="none"/>
          <w:lang w:val="en-US" w:eastAsia="zh-CN"/>
        </w:rPr>
      </w:pPr>
    </w:p>
    <w:p w14:paraId="41435062">
      <w:pPr>
        <w:spacing w:line="360" w:lineRule="auto"/>
        <w:ind w:left="424" w:hanging="422" w:hangingChars="201"/>
        <w:outlineLvl w:val="9"/>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备注：复印件需清晰显示食品经营主体业态和食品经营项目的内容，资格条件必须满足：（1）食品</w:t>
      </w:r>
    </w:p>
    <w:p w14:paraId="39000AF7">
      <w:pPr>
        <w:spacing w:line="360" w:lineRule="auto"/>
        <w:outlineLvl w:val="9"/>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经营主体业态为餐饮服务经营者；（2）食品经营项目包含食品经营管理或食品经营管理中餐饮服务管理。</w:t>
      </w:r>
    </w:p>
    <w:p w14:paraId="02822145">
      <w:pPr>
        <w:outlineLvl w:val="9"/>
        <w:rPr>
          <w:rFonts w:hint="eastAsia" w:ascii="宋体" w:hAnsi="宋体" w:eastAsia="宋体" w:cs="宋体"/>
          <w:highlight w:val="none"/>
          <w:lang w:val="en-US" w:eastAsia="zh-CN"/>
        </w:rPr>
      </w:pPr>
    </w:p>
    <w:p w14:paraId="7D5D80A1">
      <w:pPr>
        <w:pageBreakBefore/>
        <w:spacing w:line="360" w:lineRule="auto"/>
        <w:outlineLvl w:val="9"/>
        <w:rPr>
          <w:rFonts w:hint="eastAsia" w:ascii="宋体" w:hAnsi="宋体" w:eastAsia="宋体" w:cs="宋体"/>
          <w:b/>
          <w:color w:val="auto"/>
          <w:sz w:val="30"/>
          <w:szCs w:val="30"/>
          <w:highlight w:val="none"/>
          <w:lang w:val="zh-CN"/>
        </w:rPr>
      </w:pPr>
      <w:bookmarkStart w:id="782" w:name="_Toc19429"/>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 xml:space="preserve"> </w:t>
      </w:r>
      <w:r>
        <w:rPr>
          <w:rFonts w:hint="eastAsia" w:ascii="宋体" w:hAnsi="宋体" w:eastAsia="宋体" w:cs="宋体"/>
          <w:b/>
          <w:bCs/>
          <w:color w:val="auto"/>
          <w:kern w:val="2"/>
          <w:sz w:val="32"/>
          <w:szCs w:val="32"/>
          <w:highlight w:val="none"/>
        </w:rPr>
        <w:t>资格业绩</w:t>
      </w:r>
      <w:r>
        <w:rPr>
          <w:rFonts w:hint="eastAsia" w:ascii="宋体" w:hAnsi="宋体" w:eastAsia="宋体" w:cs="宋体"/>
          <w:b/>
          <w:bCs/>
          <w:color w:val="auto"/>
          <w:sz w:val="32"/>
          <w:szCs w:val="32"/>
          <w:highlight w:val="none"/>
        </w:rPr>
        <w:t>【投标人提供一份</w:t>
      </w:r>
      <w:r>
        <w:rPr>
          <w:rFonts w:hint="eastAsia" w:ascii="宋体" w:hAnsi="宋体" w:eastAsia="宋体" w:cs="宋体"/>
          <w:b/>
          <w:bCs/>
          <w:color w:val="auto"/>
          <w:sz w:val="32"/>
          <w:szCs w:val="32"/>
          <w:highlight w:val="none"/>
          <w:lang w:val="en-US" w:eastAsia="zh-CN"/>
        </w:rPr>
        <w:t>2022</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lang w:val="en-US" w:eastAsia="zh-CN"/>
        </w:rPr>
        <w:t>1</w:t>
      </w:r>
      <w:r>
        <w:rPr>
          <w:rFonts w:hint="eastAsia" w:ascii="宋体" w:hAnsi="宋体" w:eastAsia="宋体" w:cs="宋体"/>
          <w:b/>
          <w:bCs/>
          <w:color w:val="auto"/>
          <w:sz w:val="32"/>
          <w:szCs w:val="32"/>
          <w:highlight w:val="none"/>
        </w:rPr>
        <w:t>月</w:t>
      </w:r>
      <w:r>
        <w:rPr>
          <w:rFonts w:hint="eastAsia" w:ascii="宋体" w:hAnsi="宋体" w:eastAsia="宋体" w:cs="宋体"/>
          <w:b/>
          <w:bCs/>
          <w:color w:val="auto"/>
          <w:sz w:val="32"/>
          <w:szCs w:val="32"/>
          <w:highlight w:val="none"/>
          <w:lang w:val="en-US" w:eastAsia="zh-CN"/>
        </w:rPr>
        <w:t>1</w:t>
      </w:r>
      <w:r>
        <w:rPr>
          <w:rFonts w:hint="eastAsia" w:ascii="宋体" w:hAnsi="宋体" w:eastAsia="宋体" w:cs="宋体"/>
          <w:b/>
          <w:bCs/>
          <w:color w:val="auto"/>
          <w:sz w:val="32"/>
          <w:szCs w:val="32"/>
          <w:highlight w:val="none"/>
        </w:rPr>
        <w:t>日以来</w:t>
      </w:r>
      <w:r>
        <w:rPr>
          <w:rFonts w:hint="eastAsia" w:ascii="宋体" w:hAnsi="宋体" w:eastAsia="宋体" w:cs="宋体"/>
          <w:b/>
          <w:bCs/>
          <w:color w:val="auto"/>
          <w:sz w:val="32"/>
          <w:szCs w:val="32"/>
          <w:highlight w:val="none"/>
          <w:lang w:val="en-US" w:eastAsia="zh-CN"/>
        </w:rPr>
        <w:t>具有食堂（或饭堂或餐厅）经营管理服务业绩</w:t>
      </w:r>
      <w:r>
        <w:rPr>
          <w:rFonts w:hint="eastAsia" w:ascii="宋体" w:hAnsi="宋体" w:eastAsia="宋体" w:cs="宋体"/>
          <w:b/>
          <w:bCs/>
          <w:color w:val="auto"/>
          <w:sz w:val="32"/>
          <w:szCs w:val="32"/>
          <w:highlight w:val="none"/>
        </w:rPr>
        <w:t>（合同签订日期为</w:t>
      </w:r>
      <w:r>
        <w:rPr>
          <w:rFonts w:hint="eastAsia" w:ascii="宋体" w:hAnsi="宋体" w:eastAsia="宋体" w:cs="宋体"/>
          <w:b/>
          <w:bCs/>
          <w:color w:val="auto"/>
          <w:sz w:val="32"/>
          <w:szCs w:val="32"/>
          <w:highlight w:val="none"/>
          <w:lang w:val="en-US" w:eastAsia="zh-CN"/>
        </w:rPr>
        <w:t>2022</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lang w:val="en-US" w:eastAsia="zh-CN"/>
        </w:rPr>
        <w:t>1</w:t>
      </w:r>
      <w:r>
        <w:rPr>
          <w:rFonts w:hint="eastAsia" w:ascii="宋体" w:hAnsi="宋体" w:eastAsia="宋体" w:cs="宋体"/>
          <w:b/>
          <w:bCs/>
          <w:color w:val="auto"/>
          <w:sz w:val="32"/>
          <w:szCs w:val="32"/>
          <w:highlight w:val="none"/>
        </w:rPr>
        <w:t>月</w:t>
      </w:r>
      <w:r>
        <w:rPr>
          <w:rFonts w:hint="eastAsia" w:ascii="宋体" w:hAnsi="宋体" w:eastAsia="宋体" w:cs="宋体"/>
          <w:b/>
          <w:bCs/>
          <w:color w:val="auto"/>
          <w:sz w:val="32"/>
          <w:szCs w:val="32"/>
          <w:highlight w:val="none"/>
          <w:lang w:val="en-US" w:eastAsia="zh-CN"/>
        </w:rPr>
        <w:t>1</w:t>
      </w:r>
      <w:r>
        <w:rPr>
          <w:rFonts w:hint="eastAsia" w:ascii="宋体" w:hAnsi="宋体" w:eastAsia="宋体" w:cs="宋体"/>
          <w:b/>
          <w:bCs/>
          <w:color w:val="auto"/>
          <w:sz w:val="32"/>
          <w:szCs w:val="32"/>
          <w:highlight w:val="none"/>
        </w:rPr>
        <w:t>日或以后）</w:t>
      </w:r>
      <w:bookmarkEnd w:id="772"/>
      <w:bookmarkEnd w:id="773"/>
      <w:bookmarkEnd w:id="774"/>
      <w:bookmarkEnd w:id="775"/>
      <w:bookmarkEnd w:id="776"/>
      <w:r>
        <w:rPr>
          <w:rFonts w:hint="eastAsia" w:ascii="宋体" w:hAnsi="宋体" w:eastAsia="宋体" w:cs="宋体"/>
          <w:b/>
          <w:bCs/>
          <w:color w:val="auto"/>
          <w:sz w:val="32"/>
          <w:szCs w:val="32"/>
          <w:highlight w:val="none"/>
          <w:lang w:eastAsia="zh-CN"/>
        </w:rPr>
        <w:t>】</w:t>
      </w:r>
      <w:bookmarkEnd w:id="782"/>
    </w:p>
    <w:p w14:paraId="320CE596">
      <w:pPr>
        <w:spacing w:line="360" w:lineRule="auto"/>
        <w:outlineLvl w:val="9"/>
        <w:rPr>
          <w:rFonts w:hint="eastAsia" w:ascii="宋体" w:hAnsi="宋体" w:eastAsia="宋体" w:cs="宋体"/>
          <w:b/>
          <w:color w:val="auto"/>
          <w:szCs w:val="21"/>
          <w:highlight w:val="none"/>
          <w:lang w:val="zh-CN"/>
        </w:rPr>
      </w:pPr>
    </w:p>
    <w:tbl>
      <w:tblPr>
        <w:tblStyle w:val="38"/>
        <w:tblW w:w="45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710"/>
        <w:gridCol w:w="1500"/>
        <w:gridCol w:w="1899"/>
        <w:gridCol w:w="1371"/>
        <w:gridCol w:w="1911"/>
        <w:gridCol w:w="977"/>
      </w:tblGrid>
      <w:tr w14:paraId="50DFB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460" w:hRule="exact"/>
          <w:jc w:val="center"/>
        </w:trPr>
        <w:tc>
          <w:tcPr>
            <w:tcW w:w="424" w:type="pct"/>
            <w:noWrap w:val="0"/>
            <w:vAlign w:val="center"/>
          </w:tcPr>
          <w:p w14:paraId="7E2DC33E">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96" w:type="pct"/>
            <w:noWrap w:val="0"/>
            <w:vAlign w:val="center"/>
          </w:tcPr>
          <w:p w14:paraId="0270DF4A">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134" w:type="pct"/>
            <w:noWrap w:val="0"/>
            <w:vAlign w:val="center"/>
          </w:tcPr>
          <w:p w14:paraId="1F3C356F">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819" w:type="pct"/>
            <w:noWrap w:val="0"/>
            <w:vAlign w:val="center"/>
          </w:tcPr>
          <w:p w14:paraId="12E7673D">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1141" w:type="pct"/>
            <w:noWrap w:val="0"/>
            <w:vAlign w:val="center"/>
          </w:tcPr>
          <w:p w14:paraId="1B6A67DA">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583" w:type="pct"/>
            <w:noWrap w:val="0"/>
            <w:vAlign w:val="center"/>
          </w:tcPr>
          <w:p w14:paraId="625275B5">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173A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82" w:hRule="exact"/>
          <w:jc w:val="center"/>
        </w:trPr>
        <w:tc>
          <w:tcPr>
            <w:tcW w:w="424" w:type="pct"/>
            <w:noWrap w:val="0"/>
            <w:vAlign w:val="center"/>
          </w:tcPr>
          <w:p w14:paraId="2AA8DCC8">
            <w:pPr>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96" w:type="pct"/>
            <w:noWrap w:val="0"/>
            <w:vAlign w:val="center"/>
          </w:tcPr>
          <w:p w14:paraId="43268892">
            <w:pPr>
              <w:jc w:val="center"/>
              <w:outlineLvl w:val="9"/>
              <w:rPr>
                <w:rFonts w:hint="eastAsia" w:ascii="宋体" w:hAnsi="宋体" w:eastAsia="宋体" w:cs="宋体"/>
                <w:color w:val="auto"/>
                <w:sz w:val="21"/>
                <w:szCs w:val="21"/>
                <w:highlight w:val="none"/>
              </w:rPr>
            </w:pPr>
          </w:p>
        </w:tc>
        <w:tc>
          <w:tcPr>
            <w:tcW w:w="1134" w:type="pct"/>
            <w:noWrap w:val="0"/>
            <w:vAlign w:val="center"/>
          </w:tcPr>
          <w:p w14:paraId="2593E842">
            <w:pPr>
              <w:jc w:val="center"/>
              <w:outlineLvl w:val="9"/>
              <w:rPr>
                <w:rFonts w:hint="eastAsia" w:ascii="宋体" w:hAnsi="宋体" w:eastAsia="宋体" w:cs="宋体"/>
                <w:color w:val="auto"/>
                <w:sz w:val="21"/>
                <w:szCs w:val="21"/>
                <w:highlight w:val="none"/>
              </w:rPr>
            </w:pPr>
          </w:p>
        </w:tc>
        <w:tc>
          <w:tcPr>
            <w:tcW w:w="819" w:type="pct"/>
            <w:noWrap w:val="0"/>
            <w:vAlign w:val="center"/>
          </w:tcPr>
          <w:p w14:paraId="07DE0BFC">
            <w:pPr>
              <w:jc w:val="center"/>
              <w:outlineLvl w:val="9"/>
              <w:rPr>
                <w:rFonts w:hint="eastAsia" w:ascii="宋体" w:hAnsi="宋体" w:eastAsia="宋体" w:cs="宋体"/>
                <w:color w:val="auto"/>
                <w:sz w:val="21"/>
                <w:szCs w:val="21"/>
                <w:highlight w:val="none"/>
              </w:rPr>
            </w:pPr>
          </w:p>
        </w:tc>
        <w:tc>
          <w:tcPr>
            <w:tcW w:w="1141" w:type="pct"/>
            <w:noWrap w:val="0"/>
            <w:vAlign w:val="center"/>
          </w:tcPr>
          <w:p w14:paraId="0620578D">
            <w:pPr>
              <w:jc w:val="center"/>
              <w:outlineLvl w:val="9"/>
              <w:rPr>
                <w:rFonts w:hint="eastAsia" w:ascii="宋体" w:hAnsi="宋体" w:eastAsia="宋体" w:cs="宋体"/>
                <w:color w:val="auto"/>
                <w:sz w:val="21"/>
                <w:szCs w:val="21"/>
                <w:highlight w:val="none"/>
              </w:rPr>
            </w:pPr>
          </w:p>
        </w:tc>
        <w:tc>
          <w:tcPr>
            <w:tcW w:w="583" w:type="pct"/>
            <w:noWrap w:val="0"/>
            <w:vAlign w:val="center"/>
          </w:tcPr>
          <w:p w14:paraId="2F5219A6">
            <w:pPr>
              <w:jc w:val="center"/>
              <w:outlineLvl w:val="9"/>
              <w:rPr>
                <w:rFonts w:hint="eastAsia" w:ascii="宋体" w:hAnsi="宋体" w:eastAsia="宋体" w:cs="宋体"/>
                <w:color w:val="auto"/>
                <w:sz w:val="21"/>
                <w:szCs w:val="21"/>
                <w:highlight w:val="none"/>
              </w:rPr>
            </w:pPr>
          </w:p>
        </w:tc>
      </w:tr>
      <w:tr w14:paraId="00228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82" w:hRule="exact"/>
          <w:jc w:val="center"/>
        </w:trPr>
        <w:tc>
          <w:tcPr>
            <w:tcW w:w="424" w:type="pct"/>
            <w:noWrap w:val="0"/>
            <w:vAlign w:val="center"/>
          </w:tcPr>
          <w:p w14:paraId="468CF606">
            <w:pPr>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96" w:type="pct"/>
            <w:noWrap w:val="0"/>
            <w:vAlign w:val="center"/>
          </w:tcPr>
          <w:p w14:paraId="74BEA4FE">
            <w:pPr>
              <w:jc w:val="center"/>
              <w:outlineLvl w:val="9"/>
              <w:rPr>
                <w:rFonts w:hint="eastAsia" w:ascii="宋体" w:hAnsi="宋体" w:eastAsia="宋体" w:cs="宋体"/>
                <w:color w:val="auto"/>
                <w:sz w:val="21"/>
                <w:szCs w:val="21"/>
                <w:highlight w:val="none"/>
              </w:rPr>
            </w:pPr>
          </w:p>
        </w:tc>
        <w:tc>
          <w:tcPr>
            <w:tcW w:w="1134" w:type="pct"/>
            <w:noWrap w:val="0"/>
            <w:vAlign w:val="center"/>
          </w:tcPr>
          <w:p w14:paraId="59A8E269">
            <w:pPr>
              <w:jc w:val="center"/>
              <w:outlineLvl w:val="9"/>
              <w:rPr>
                <w:rFonts w:hint="eastAsia" w:ascii="宋体" w:hAnsi="宋体" w:eastAsia="宋体" w:cs="宋体"/>
                <w:color w:val="auto"/>
                <w:sz w:val="21"/>
                <w:szCs w:val="21"/>
                <w:highlight w:val="none"/>
              </w:rPr>
            </w:pPr>
          </w:p>
        </w:tc>
        <w:tc>
          <w:tcPr>
            <w:tcW w:w="819" w:type="pct"/>
            <w:noWrap w:val="0"/>
            <w:vAlign w:val="center"/>
          </w:tcPr>
          <w:p w14:paraId="7E16AEC2">
            <w:pPr>
              <w:jc w:val="center"/>
              <w:outlineLvl w:val="9"/>
              <w:rPr>
                <w:rFonts w:hint="eastAsia" w:ascii="宋体" w:hAnsi="宋体" w:eastAsia="宋体" w:cs="宋体"/>
                <w:color w:val="auto"/>
                <w:sz w:val="21"/>
                <w:szCs w:val="21"/>
                <w:highlight w:val="none"/>
              </w:rPr>
            </w:pPr>
          </w:p>
        </w:tc>
        <w:tc>
          <w:tcPr>
            <w:tcW w:w="1141" w:type="pct"/>
            <w:noWrap w:val="0"/>
            <w:vAlign w:val="center"/>
          </w:tcPr>
          <w:p w14:paraId="281EE8A8">
            <w:pPr>
              <w:jc w:val="center"/>
              <w:outlineLvl w:val="9"/>
              <w:rPr>
                <w:rFonts w:hint="eastAsia" w:ascii="宋体" w:hAnsi="宋体" w:eastAsia="宋体" w:cs="宋体"/>
                <w:color w:val="auto"/>
                <w:sz w:val="21"/>
                <w:szCs w:val="21"/>
                <w:highlight w:val="none"/>
              </w:rPr>
            </w:pPr>
          </w:p>
        </w:tc>
        <w:tc>
          <w:tcPr>
            <w:tcW w:w="583" w:type="pct"/>
            <w:noWrap w:val="0"/>
            <w:vAlign w:val="center"/>
          </w:tcPr>
          <w:p w14:paraId="200A5A79">
            <w:pPr>
              <w:jc w:val="center"/>
              <w:outlineLvl w:val="9"/>
              <w:rPr>
                <w:rFonts w:hint="eastAsia" w:ascii="宋体" w:hAnsi="宋体" w:eastAsia="宋体" w:cs="宋体"/>
                <w:color w:val="auto"/>
                <w:sz w:val="21"/>
                <w:szCs w:val="21"/>
                <w:highlight w:val="none"/>
              </w:rPr>
            </w:pPr>
          </w:p>
        </w:tc>
      </w:tr>
      <w:tr w14:paraId="557C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82" w:hRule="exact"/>
          <w:jc w:val="center"/>
        </w:trPr>
        <w:tc>
          <w:tcPr>
            <w:tcW w:w="424" w:type="pct"/>
            <w:noWrap w:val="0"/>
            <w:vAlign w:val="center"/>
          </w:tcPr>
          <w:p w14:paraId="0A23EEB1">
            <w:pPr>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96" w:type="pct"/>
            <w:noWrap w:val="0"/>
            <w:vAlign w:val="center"/>
          </w:tcPr>
          <w:p w14:paraId="2E98BE0C">
            <w:pPr>
              <w:jc w:val="center"/>
              <w:outlineLvl w:val="9"/>
              <w:rPr>
                <w:rFonts w:hint="eastAsia" w:ascii="宋体" w:hAnsi="宋体" w:eastAsia="宋体" w:cs="宋体"/>
                <w:color w:val="auto"/>
                <w:sz w:val="21"/>
                <w:szCs w:val="21"/>
                <w:highlight w:val="none"/>
              </w:rPr>
            </w:pPr>
          </w:p>
        </w:tc>
        <w:tc>
          <w:tcPr>
            <w:tcW w:w="1134" w:type="pct"/>
            <w:noWrap w:val="0"/>
            <w:vAlign w:val="center"/>
          </w:tcPr>
          <w:p w14:paraId="3E9BC6F5">
            <w:pPr>
              <w:jc w:val="center"/>
              <w:outlineLvl w:val="9"/>
              <w:rPr>
                <w:rFonts w:hint="eastAsia" w:ascii="宋体" w:hAnsi="宋体" w:eastAsia="宋体" w:cs="宋体"/>
                <w:color w:val="auto"/>
                <w:sz w:val="21"/>
                <w:szCs w:val="21"/>
                <w:highlight w:val="none"/>
              </w:rPr>
            </w:pPr>
          </w:p>
        </w:tc>
        <w:tc>
          <w:tcPr>
            <w:tcW w:w="819" w:type="pct"/>
            <w:noWrap w:val="0"/>
            <w:vAlign w:val="center"/>
          </w:tcPr>
          <w:p w14:paraId="0E3E0BC2">
            <w:pPr>
              <w:jc w:val="center"/>
              <w:outlineLvl w:val="9"/>
              <w:rPr>
                <w:rFonts w:hint="eastAsia" w:ascii="宋体" w:hAnsi="宋体" w:eastAsia="宋体" w:cs="宋体"/>
                <w:color w:val="auto"/>
                <w:sz w:val="21"/>
                <w:szCs w:val="21"/>
                <w:highlight w:val="none"/>
              </w:rPr>
            </w:pPr>
          </w:p>
        </w:tc>
        <w:tc>
          <w:tcPr>
            <w:tcW w:w="1141" w:type="pct"/>
            <w:noWrap w:val="0"/>
            <w:vAlign w:val="center"/>
          </w:tcPr>
          <w:p w14:paraId="4CD6A949">
            <w:pPr>
              <w:jc w:val="center"/>
              <w:outlineLvl w:val="9"/>
              <w:rPr>
                <w:rFonts w:hint="eastAsia" w:ascii="宋体" w:hAnsi="宋体" w:eastAsia="宋体" w:cs="宋体"/>
                <w:color w:val="auto"/>
                <w:sz w:val="21"/>
                <w:szCs w:val="21"/>
                <w:highlight w:val="none"/>
              </w:rPr>
            </w:pPr>
          </w:p>
        </w:tc>
        <w:tc>
          <w:tcPr>
            <w:tcW w:w="583" w:type="pct"/>
            <w:noWrap w:val="0"/>
            <w:vAlign w:val="center"/>
          </w:tcPr>
          <w:p w14:paraId="65B72B43">
            <w:pPr>
              <w:jc w:val="center"/>
              <w:outlineLvl w:val="9"/>
              <w:rPr>
                <w:rFonts w:hint="eastAsia" w:ascii="宋体" w:hAnsi="宋体" w:eastAsia="宋体" w:cs="宋体"/>
                <w:color w:val="auto"/>
                <w:sz w:val="21"/>
                <w:szCs w:val="21"/>
                <w:highlight w:val="none"/>
              </w:rPr>
            </w:pPr>
          </w:p>
        </w:tc>
      </w:tr>
      <w:tr w14:paraId="34009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01" w:hRule="exact"/>
          <w:jc w:val="center"/>
        </w:trPr>
        <w:tc>
          <w:tcPr>
            <w:tcW w:w="424" w:type="pct"/>
            <w:noWrap w:val="0"/>
            <w:vAlign w:val="center"/>
          </w:tcPr>
          <w:p w14:paraId="2E687D7E">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rPr>
              <w:t>…</w:t>
            </w:r>
          </w:p>
        </w:tc>
        <w:tc>
          <w:tcPr>
            <w:tcW w:w="896" w:type="pct"/>
            <w:noWrap w:val="0"/>
            <w:vAlign w:val="center"/>
          </w:tcPr>
          <w:p w14:paraId="35393B3B">
            <w:pPr>
              <w:jc w:val="center"/>
              <w:outlineLvl w:val="9"/>
              <w:rPr>
                <w:rFonts w:hint="eastAsia" w:ascii="宋体" w:hAnsi="宋体" w:eastAsia="宋体" w:cs="宋体"/>
                <w:color w:val="auto"/>
                <w:sz w:val="21"/>
                <w:szCs w:val="21"/>
                <w:highlight w:val="none"/>
              </w:rPr>
            </w:pPr>
          </w:p>
        </w:tc>
        <w:tc>
          <w:tcPr>
            <w:tcW w:w="1134" w:type="pct"/>
            <w:noWrap w:val="0"/>
            <w:vAlign w:val="center"/>
          </w:tcPr>
          <w:p w14:paraId="267B45D8">
            <w:pPr>
              <w:jc w:val="center"/>
              <w:outlineLvl w:val="9"/>
              <w:rPr>
                <w:rFonts w:hint="eastAsia" w:ascii="宋体" w:hAnsi="宋体" w:eastAsia="宋体" w:cs="宋体"/>
                <w:color w:val="auto"/>
                <w:sz w:val="21"/>
                <w:szCs w:val="21"/>
                <w:highlight w:val="none"/>
              </w:rPr>
            </w:pPr>
          </w:p>
        </w:tc>
        <w:tc>
          <w:tcPr>
            <w:tcW w:w="819" w:type="pct"/>
            <w:noWrap w:val="0"/>
            <w:vAlign w:val="center"/>
          </w:tcPr>
          <w:p w14:paraId="41013430">
            <w:pPr>
              <w:jc w:val="center"/>
              <w:outlineLvl w:val="9"/>
              <w:rPr>
                <w:rFonts w:hint="eastAsia" w:ascii="宋体" w:hAnsi="宋体" w:eastAsia="宋体" w:cs="宋体"/>
                <w:color w:val="auto"/>
                <w:sz w:val="21"/>
                <w:szCs w:val="21"/>
                <w:highlight w:val="none"/>
              </w:rPr>
            </w:pPr>
          </w:p>
        </w:tc>
        <w:tc>
          <w:tcPr>
            <w:tcW w:w="1141" w:type="pct"/>
            <w:noWrap w:val="0"/>
            <w:vAlign w:val="center"/>
          </w:tcPr>
          <w:p w14:paraId="129D4DA0">
            <w:pPr>
              <w:jc w:val="center"/>
              <w:outlineLvl w:val="9"/>
              <w:rPr>
                <w:rFonts w:hint="eastAsia" w:ascii="宋体" w:hAnsi="宋体" w:eastAsia="宋体" w:cs="宋体"/>
                <w:color w:val="auto"/>
                <w:sz w:val="21"/>
                <w:szCs w:val="21"/>
                <w:highlight w:val="none"/>
              </w:rPr>
            </w:pPr>
          </w:p>
        </w:tc>
        <w:tc>
          <w:tcPr>
            <w:tcW w:w="583" w:type="pct"/>
            <w:noWrap w:val="0"/>
            <w:vAlign w:val="center"/>
          </w:tcPr>
          <w:p w14:paraId="36CFF4BD">
            <w:pPr>
              <w:jc w:val="center"/>
              <w:outlineLvl w:val="9"/>
              <w:rPr>
                <w:rFonts w:hint="eastAsia" w:ascii="宋体" w:hAnsi="宋体" w:eastAsia="宋体" w:cs="宋体"/>
                <w:color w:val="auto"/>
                <w:sz w:val="21"/>
                <w:szCs w:val="21"/>
                <w:highlight w:val="none"/>
              </w:rPr>
            </w:pPr>
          </w:p>
        </w:tc>
      </w:tr>
    </w:tbl>
    <w:p w14:paraId="4DF07BAE">
      <w:pPr>
        <w:spacing w:line="360" w:lineRule="auto"/>
        <w:ind w:left="424" w:hanging="424" w:hangingChars="201"/>
        <w:outlineLvl w:val="9"/>
        <w:rPr>
          <w:rFonts w:hint="eastAsia" w:ascii="宋体" w:hAnsi="宋体" w:eastAsia="宋体" w:cs="宋体"/>
          <w:b/>
          <w:color w:val="auto"/>
          <w:szCs w:val="21"/>
          <w:highlight w:val="none"/>
          <w:lang w:val="zh-CN"/>
        </w:rPr>
      </w:pPr>
    </w:p>
    <w:p w14:paraId="7A87CB83">
      <w:pPr>
        <w:spacing w:line="360" w:lineRule="auto"/>
        <w:ind w:left="424" w:hanging="424" w:hangingChars="201"/>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14:paraId="15B6DD3E">
      <w:pPr>
        <w:snapToGrid w:val="0"/>
        <w:spacing w:line="360" w:lineRule="auto"/>
        <w:ind w:left="399" w:leftChars="-58" w:hanging="521" w:hangingChars="247"/>
        <w:outlineLvl w:val="9"/>
        <w:rPr>
          <w:rFonts w:hint="eastAsia"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rPr>
        <w:t>（1）</w:t>
      </w:r>
      <w:r>
        <w:rPr>
          <w:rFonts w:hint="eastAsia" w:ascii="宋体" w:hAnsi="宋体" w:eastAsia="宋体" w:cs="宋体"/>
          <w:b/>
          <w:bCs w:val="0"/>
          <w:color w:val="auto"/>
          <w:szCs w:val="21"/>
          <w:highlight w:val="none"/>
          <w:u w:val="single"/>
        </w:rPr>
        <w:t>作为投标人资格条件证明的业绩放置在此处。</w:t>
      </w:r>
    </w:p>
    <w:p w14:paraId="7F75BAE0">
      <w:pPr>
        <w:snapToGrid w:val="0"/>
        <w:spacing w:line="360" w:lineRule="auto"/>
        <w:ind w:left="399" w:leftChars="-58" w:hanging="521" w:hangingChars="247"/>
        <w:outlineLvl w:val="9"/>
        <w:rPr>
          <w:rFonts w:hint="eastAsia"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rPr>
        <w:t>（2）</w:t>
      </w:r>
      <w:r>
        <w:rPr>
          <w:rFonts w:hint="eastAsia" w:ascii="宋体" w:hAnsi="宋体" w:eastAsia="宋体" w:cs="宋体"/>
          <w:b/>
          <w:bCs w:val="0"/>
          <w:color w:val="auto"/>
          <w:szCs w:val="21"/>
          <w:highlight w:val="none"/>
          <w:u w:val="single"/>
        </w:rPr>
        <w:t>业绩必须附合同复印件。</w:t>
      </w:r>
      <w:r>
        <w:rPr>
          <w:rFonts w:hint="eastAsia" w:ascii="宋体" w:hAnsi="宋体" w:eastAsia="宋体" w:cs="宋体"/>
          <w:b/>
          <w:bCs w:val="0"/>
          <w:color w:val="auto"/>
          <w:szCs w:val="21"/>
          <w:highlight w:val="none"/>
          <w:u w:val="single"/>
          <w:lang w:val="zh-CN"/>
        </w:rPr>
        <w:t>若合同无法反映合同签订时间、合同</w:t>
      </w:r>
      <w:r>
        <w:rPr>
          <w:rFonts w:hint="eastAsia" w:ascii="宋体" w:hAnsi="宋体" w:eastAsia="宋体" w:cs="宋体"/>
          <w:b/>
          <w:bCs w:val="0"/>
          <w:color w:val="auto"/>
          <w:szCs w:val="21"/>
          <w:highlight w:val="none"/>
          <w:u w:val="single"/>
        </w:rPr>
        <w:t>服务内容</w:t>
      </w:r>
      <w:r>
        <w:rPr>
          <w:rFonts w:hint="eastAsia" w:ascii="宋体" w:hAnsi="宋体" w:eastAsia="宋体" w:cs="宋体"/>
          <w:b/>
          <w:bCs w:val="0"/>
          <w:color w:val="auto"/>
          <w:szCs w:val="21"/>
          <w:highlight w:val="none"/>
          <w:u w:val="single"/>
          <w:lang w:val="zh-CN"/>
        </w:rPr>
        <w:t>，还需</w:t>
      </w:r>
      <w:r>
        <w:rPr>
          <w:rFonts w:hint="eastAsia" w:ascii="宋体" w:hAnsi="宋体" w:eastAsia="宋体" w:cs="宋体"/>
          <w:b/>
          <w:bCs w:val="0"/>
          <w:color w:val="auto"/>
          <w:szCs w:val="21"/>
          <w:highlight w:val="none"/>
          <w:u w:val="single"/>
        </w:rPr>
        <w:t>提供服务购买方出具的书面补充情况说明文件复印件</w:t>
      </w:r>
      <w:r>
        <w:rPr>
          <w:rFonts w:hint="eastAsia" w:ascii="宋体" w:hAnsi="宋体" w:eastAsia="宋体" w:cs="宋体"/>
          <w:b/>
          <w:bCs w:val="0"/>
          <w:color w:val="auto"/>
          <w:szCs w:val="21"/>
          <w:highlight w:val="none"/>
          <w:u w:val="single"/>
          <w:lang w:val="zh-CN"/>
        </w:rPr>
        <w:t>作为辅助证明。</w:t>
      </w:r>
    </w:p>
    <w:p w14:paraId="36DD5196">
      <w:pPr>
        <w:snapToGrid w:val="0"/>
        <w:spacing w:line="360" w:lineRule="auto"/>
        <w:ind w:left="399" w:leftChars="-58" w:hanging="521" w:hangingChars="247"/>
        <w:outlineLvl w:val="9"/>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（3）</w:t>
      </w:r>
      <w:r>
        <w:rPr>
          <w:rFonts w:hint="eastAsia" w:ascii="宋体" w:hAnsi="宋体" w:eastAsia="宋体" w:cs="宋体"/>
          <w:b/>
          <w:bCs w:val="0"/>
          <w:color w:val="auto"/>
          <w:szCs w:val="21"/>
          <w:highlight w:val="none"/>
          <w:u w:val="single"/>
        </w:rPr>
        <w:t>合同业绩证明材料必须满足下列条件：①合同签订日期为202</w:t>
      </w:r>
      <w:r>
        <w:rPr>
          <w:rFonts w:hint="eastAsia" w:ascii="宋体" w:hAnsi="宋体" w:eastAsia="宋体" w:cs="宋体"/>
          <w:b/>
          <w:bCs w:val="0"/>
          <w:color w:val="auto"/>
          <w:szCs w:val="21"/>
          <w:highlight w:val="none"/>
          <w:u w:val="single"/>
          <w:lang w:val="en-US" w:eastAsia="zh-CN"/>
        </w:rPr>
        <w:t>2</w:t>
      </w:r>
      <w:r>
        <w:rPr>
          <w:rFonts w:hint="eastAsia" w:ascii="宋体" w:hAnsi="宋体" w:eastAsia="宋体" w:cs="宋体"/>
          <w:b/>
          <w:bCs w:val="0"/>
          <w:color w:val="auto"/>
          <w:szCs w:val="21"/>
          <w:highlight w:val="none"/>
          <w:u w:val="single"/>
        </w:rPr>
        <w:t>年1月1日或以后；②</w:t>
      </w:r>
      <w:r>
        <w:rPr>
          <w:rFonts w:hint="eastAsia" w:ascii="宋体" w:hAnsi="宋体" w:eastAsia="宋体" w:cs="宋体"/>
          <w:b/>
          <w:bCs w:val="0"/>
          <w:color w:val="auto"/>
          <w:szCs w:val="21"/>
          <w:highlight w:val="none"/>
          <w:u w:val="single"/>
          <w:lang w:val="en-US" w:eastAsia="zh-CN"/>
        </w:rPr>
        <w:t>合同服务内容必须同时包含食品（或食材）配送及膳食（或餐饮或食材）加工服务,仅食品（或食材）配送或膳食（或餐饮或食材）加工服务业绩不予认定</w:t>
      </w:r>
      <w:r>
        <w:rPr>
          <w:rFonts w:hint="eastAsia" w:ascii="宋体" w:hAnsi="宋体" w:eastAsia="宋体" w:cs="宋体"/>
          <w:b/>
          <w:bCs w:val="0"/>
          <w:color w:val="auto"/>
          <w:szCs w:val="21"/>
          <w:highlight w:val="none"/>
          <w:u w:val="single"/>
        </w:rPr>
        <w:t>。</w:t>
      </w:r>
    </w:p>
    <w:p w14:paraId="0E6BF1AD">
      <w:pPr>
        <w:tabs>
          <w:tab w:val="left" w:pos="567"/>
        </w:tabs>
        <w:autoSpaceDE/>
        <w:autoSpaceDN/>
        <w:adjustRightInd w:val="0"/>
        <w:spacing w:line="360" w:lineRule="auto"/>
        <w:ind w:left="401" w:leftChars="-57" w:hanging="521" w:hangingChars="247"/>
        <w:jc w:val="left"/>
        <w:outlineLvl w:val="9"/>
        <w:rPr>
          <w:rFonts w:hint="eastAsia" w:ascii="宋体" w:hAnsi="宋体" w:eastAsia="宋体" w:cs="宋体"/>
          <w:b/>
          <w:color w:val="auto"/>
          <w:kern w:val="0"/>
          <w:sz w:val="30"/>
          <w:szCs w:val="30"/>
          <w:highlight w:val="none"/>
        </w:rPr>
      </w:pPr>
      <w:r>
        <w:rPr>
          <w:rFonts w:hint="eastAsia" w:ascii="宋体" w:hAnsi="宋体" w:eastAsia="宋体" w:cs="宋体"/>
          <w:b/>
          <w:bCs w:val="0"/>
          <w:color w:val="auto"/>
          <w:szCs w:val="21"/>
          <w:highlight w:val="none"/>
          <w:lang w:val="zh-CN"/>
        </w:rPr>
        <w:t>（4）</w:t>
      </w:r>
      <w:r>
        <w:rPr>
          <w:rFonts w:hint="eastAsia" w:ascii="宋体" w:hAnsi="宋体" w:eastAsia="宋体" w:cs="宋体"/>
          <w:b/>
          <w:bCs w:val="0"/>
          <w:color w:val="auto"/>
          <w:szCs w:val="21"/>
          <w:highlight w:val="none"/>
          <w:u w:val="single"/>
          <w:lang w:val="zh-CN"/>
        </w:rPr>
        <w:t>未按上述要求在此格式下提供证明材料的业绩，或在此格式下所附材料无法证明符合资格要求的业绩，按无效投标文件处理。</w:t>
      </w:r>
    </w:p>
    <w:p w14:paraId="43650977">
      <w:pP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4F60BCAE">
      <w:pPr>
        <w:tabs>
          <w:tab w:val="left" w:pos="567"/>
        </w:tabs>
        <w:autoSpaceDE w:val="0"/>
        <w:autoSpaceDN w:val="0"/>
        <w:adjustRightInd w:val="0"/>
        <w:spacing w:line="360" w:lineRule="auto"/>
        <w:jc w:val="left"/>
        <w:outlineLvl w:val="9"/>
        <w:rPr>
          <w:rFonts w:hint="eastAsia" w:ascii="宋体" w:hAnsi="宋体" w:eastAsia="宋体" w:cs="宋体"/>
          <w:b/>
          <w:bCs/>
          <w:color w:val="auto"/>
          <w:sz w:val="32"/>
          <w:szCs w:val="32"/>
          <w:highlight w:val="none"/>
          <w:lang w:val="zh-CN"/>
        </w:rPr>
      </w:pPr>
      <w:bookmarkStart w:id="783" w:name="_Toc31766"/>
      <w:bookmarkStart w:id="784" w:name="_Toc8121"/>
      <w:bookmarkStart w:id="785" w:name="_Toc8300"/>
      <w:bookmarkStart w:id="786" w:name="_Toc7508"/>
      <w:bookmarkStart w:id="787" w:name="_Toc21843"/>
      <w:bookmarkStart w:id="788" w:name="_Toc25903"/>
      <w:r>
        <w:rPr>
          <w:rFonts w:hint="eastAsia" w:ascii="宋体" w:hAnsi="宋体" w:eastAsia="宋体" w:cs="宋体"/>
          <w:b/>
          <w:color w:val="auto"/>
          <w:kern w:val="0"/>
          <w:sz w:val="30"/>
          <w:szCs w:val="30"/>
          <w:highlight w:val="none"/>
          <w:lang w:val="en-US" w:eastAsia="zh-CN"/>
        </w:rPr>
        <w:t xml:space="preserve">5.6 </w:t>
      </w:r>
      <w:r>
        <w:rPr>
          <w:rFonts w:hint="eastAsia" w:ascii="宋体" w:hAnsi="宋体" w:eastAsia="宋体" w:cs="宋体"/>
          <w:b/>
          <w:color w:val="auto"/>
          <w:kern w:val="0"/>
          <w:sz w:val="30"/>
          <w:szCs w:val="30"/>
          <w:highlight w:val="none"/>
        </w:rPr>
        <w:t>最近3年投标人牵涉的其他（失信和违法）处罚说明格式</w:t>
      </w:r>
      <w:bookmarkEnd w:id="777"/>
      <w:bookmarkEnd w:id="778"/>
      <w:bookmarkEnd w:id="779"/>
      <w:bookmarkEnd w:id="780"/>
      <w:bookmarkEnd w:id="781"/>
      <w:bookmarkEnd w:id="783"/>
      <w:bookmarkEnd w:id="784"/>
      <w:bookmarkEnd w:id="785"/>
      <w:bookmarkEnd w:id="786"/>
      <w:bookmarkEnd w:id="787"/>
      <w:bookmarkEnd w:id="788"/>
    </w:p>
    <w:p w14:paraId="51BEB7C9">
      <w:pPr>
        <w:autoSpaceDE w:val="0"/>
        <w:autoSpaceDN w:val="0"/>
        <w:adjustRightInd w:val="0"/>
        <w:spacing w:line="360" w:lineRule="auto"/>
        <w:jc w:val="center"/>
        <w:outlineLvl w:val="9"/>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769A6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4253" w:type="dxa"/>
            <w:vAlign w:val="center"/>
          </w:tcPr>
          <w:p w14:paraId="45A9E99B">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事项名称</w:t>
            </w:r>
          </w:p>
        </w:tc>
        <w:tc>
          <w:tcPr>
            <w:tcW w:w="1417" w:type="dxa"/>
            <w:vAlign w:val="center"/>
          </w:tcPr>
          <w:p w14:paraId="1118AE92">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vAlign w:val="center"/>
          </w:tcPr>
          <w:p w14:paraId="5CF861E1">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475EF9D3">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2FC05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1B01BFB8">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3989F30E">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268" w:type="dxa"/>
            <w:vAlign w:val="center"/>
          </w:tcPr>
          <w:p w14:paraId="43C0EA7C">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276" w:type="dxa"/>
            <w:vAlign w:val="center"/>
          </w:tcPr>
          <w:p w14:paraId="65B5612A">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4A6B6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6A2F90E2">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4769C21B">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268" w:type="dxa"/>
            <w:vAlign w:val="center"/>
          </w:tcPr>
          <w:p w14:paraId="4B2A2DE8">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276" w:type="dxa"/>
            <w:vAlign w:val="center"/>
          </w:tcPr>
          <w:p w14:paraId="70622EA9">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4CC05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2F38ADA9">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14:paraId="3A80405C">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268" w:type="dxa"/>
            <w:vAlign w:val="center"/>
          </w:tcPr>
          <w:p w14:paraId="45DF5C19">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276" w:type="dxa"/>
            <w:vAlign w:val="center"/>
          </w:tcPr>
          <w:p w14:paraId="2F767F8E">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bl>
    <w:p w14:paraId="6CBE83A6">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56BC62DB">
      <w:pPr>
        <w:autoSpaceDE w:val="0"/>
        <w:autoSpaceDN w:val="0"/>
        <w:adjustRightInd w:val="0"/>
        <w:spacing w:line="360" w:lineRule="auto"/>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14:paraId="5955B047">
      <w:pPr>
        <w:autoSpaceDE w:val="0"/>
        <w:autoSpaceDN w:val="0"/>
        <w:adjustRightInd w:val="0"/>
        <w:ind w:right="-23" w:rightChars="-11"/>
        <w:jc w:val="left"/>
        <w:outlineLvl w:val="9"/>
        <w:rPr>
          <w:rFonts w:hint="eastAsia" w:ascii="宋体" w:hAnsi="宋体" w:eastAsia="宋体" w:cs="宋体"/>
          <w:b/>
          <w:bCs/>
          <w:color w:val="auto"/>
          <w:kern w:val="0"/>
          <w:szCs w:val="21"/>
          <w:highlight w:val="none"/>
          <w:lang w:val="zh-CN"/>
        </w:rPr>
      </w:pPr>
    </w:p>
    <w:p w14:paraId="544309EC">
      <w:pPr>
        <w:autoSpaceDE w:val="0"/>
        <w:autoSpaceDN w:val="0"/>
        <w:adjustRightInd w:val="0"/>
        <w:spacing w:line="360" w:lineRule="auto"/>
        <w:jc w:val="center"/>
        <w:outlineLvl w:val="9"/>
        <w:rPr>
          <w:rFonts w:hint="eastAsia" w:ascii="宋体" w:hAnsi="宋体" w:eastAsia="宋体" w:cs="宋体"/>
          <w:color w:val="auto"/>
          <w:kern w:val="0"/>
          <w:sz w:val="24"/>
          <w:szCs w:val="24"/>
          <w:highlight w:val="none"/>
        </w:rPr>
      </w:pPr>
    </w:p>
    <w:p w14:paraId="5050053D">
      <w:pPr>
        <w:spacing w:line="360" w:lineRule="auto"/>
        <w:ind w:firstLine="494" w:firstLineChars="206"/>
        <w:outlineLvl w:val="9"/>
        <w:rPr>
          <w:rFonts w:hint="eastAsia" w:ascii="宋体" w:hAnsi="宋体" w:eastAsia="宋体" w:cs="宋体"/>
          <w:color w:val="auto"/>
          <w:kern w:val="0"/>
          <w:sz w:val="24"/>
          <w:szCs w:val="24"/>
          <w:highlight w:val="none"/>
        </w:rPr>
      </w:pPr>
    </w:p>
    <w:p w14:paraId="5C4886FE">
      <w:pPr>
        <w:spacing w:line="360" w:lineRule="auto"/>
        <w:ind w:firstLine="494" w:firstLineChars="206"/>
        <w:outlineLvl w:val="9"/>
        <w:rPr>
          <w:rFonts w:hint="eastAsia" w:ascii="宋体" w:hAnsi="宋体" w:eastAsia="宋体" w:cs="宋体"/>
          <w:color w:val="auto"/>
          <w:kern w:val="0"/>
          <w:sz w:val="24"/>
          <w:szCs w:val="24"/>
          <w:highlight w:val="none"/>
        </w:rPr>
      </w:pPr>
    </w:p>
    <w:p w14:paraId="1024D8B3">
      <w:pPr>
        <w:spacing w:line="360" w:lineRule="auto"/>
        <w:ind w:firstLine="494" w:firstLineChars="206"/>
        <w:outlineLvl w:val="9"/>
        <w:rPr>
          <w:rFonts w:hint="eastAsia" w:ascii="宋体" w:hAnsi="宋体" w:eastAsia="宋体" w:cs="宋体"/>
          <w:color w:val="auto"/>
          <w:kern w:val="0"/>
          <w:sz w:val="24"/>
          <w:szCs w:val="24"/>
          <w:highlight w:val="none"/>
        </w:rPr>
      </w:pPr>
    </w:p>
    <w:p w14:paraId="23137171">
      <w:pPr>
        <w:spacing w:line="360" w:lineRule="auto"/>
        <w:ind w:right="368" w:rightChars="175" w:firstLine="5460" w:firstLineChars="2600"/>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401C9152">
      <w:pPr>
        <w:autoSpaceDE w:val="0"/>
        <w:autoSpaceDN w:val="0"/>
        <w:adjustRightInd w:val="0"/>
        <w:spacing w:line="360" w:lineRule="auto"/>
        <w:ind w:right="781" w:rightChars="372" w:firstLine="2811" w:firstLineChars="1339"/>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日  期：   年  月  日</w:t>
      </w:r>
    </w:p>
    <w:p w14:paraId="4B3A1B79">
      <w:pPr>
        <w:outlineLvl w:val="9"/>
        <w:rPr>
          <w:rFonts w:hint="eastAsia" w:ascii="宋体" w:hAnsi="宋体" w:eastAsia="宋体" w:cs="宋体"/>
          <w:color w:val="auto"/>
          <w:szCs w:val="24"/>
          <w:highlight w:val="none"/>
          <w:lang w:val="zh-CN"/>
        </w:rPr>
      </w:pPr>
      <w:bookmarkStart w:id="789" w:name="_Toc30939"/>
      <w:bookmarkStart w:id="790" w:name="_Toc102860423"/>
      <w:bookmarkStart w:id="791" w:name="_Toc102860079"/>
      <w:bookmarkStart w:id="792" w:name="_Toc6412"/>
      <w:bookmarkStart w:id="793" w:name="_Toc104991881"/>
      <w:bookmarkStart w:id="794" w:name="_Toc1977731"/>
      <w:bookmarkStart w:id="795" w:name="_Toc94107215"/>
      <w:bookmarkStart w:id="796" w:name="_Toc486167714"/>
      <w:bookmarkStart w:id="797" w:name="_Toc142508374"/>
      <w:bookmarkStart w:id="798" w:name="_Toc2031_WPSOffice_Level2"/>
      <w:bookmarkStart w:id="799" w:name="_Toc533708126"/>
      <w:bookmarkStart w:id="800" w:name="_Toc140596934"/>
      <w:r>
        <w:rPr>
          <w:rFonts w:hint="eastAsia" w:ascii="宋体" w:hAnsi="宋体" w:eastAsia="宋体" w:cs="宋体"/>
          <w:color w:val="auto"/>
          <w:szCs w:val="24"/>
          <w:highlight w:val="none"/>
          <w:lang w:val="zh-CN"/>
        </w:rPr>
        <w:br w:type="page"/>
      </w:r>
    </w:p>
    <w:p w14:paraId="60BAB3CE">
      <w:pPr>
        <w:tabs>
          <w:tab w:val="left" w:pos="567"/>
        </w:tabs>
        <w:autoSpaceDE w:val="0"/>
        <w:autoSpaceDN w:val="0"/>
        <w:adjustRightInd w:val="0"/>
        <w:spacing w:line="360" w:lineRule="auto"/>
        <w:jc w:val="left"/>
        <w:outlineLvl w:val="9"/>
        <w:rPr>
          <w:rFonts w:hint="eastAsia" w:ascii="宋体" w:hAnsi="宋体" w:eastAsia="宋体" w:cs="宋体"/>
          <w:color w:val="auto"/>
          <w:kern w:val="0"/>
          <w:szCs w:val="21"/>
          <w:highlight w:val="none"/>
          <w:u w:val="single"/>
        </w:rPr>
      </w:pPr>
      <w:bookmarkStart w:id="801" w:name="_Toc5064"/>
      <w:bookmarkStart w:id="802" w:name="_Toc19120"/>
      <w:bookmarkStart w:id="803" w:name="_Toc7978"/>
      <w:bookmarkStart w:id="804" w:name="_Toc17508"/>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kern w:val="0"/>
          <w:sz w:val="32"/>
          <w:szCs w:val="32"/>
          <w:highlight w:val="none"/>
        </w:rPr>
        <w:t>、投标人基本情况一览表</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14:paraId="3ADD6472">
      <w:pPr>
        <w:autoSpaceDE w:val="0"/>
        <w:autoSpaceDN w:val="0"/>
        <w:adjustRightInd w:val="0"/>
        <w:spacing w:line="360" w:lineRule="auto"/>
        <w:jc w:val="center"/>
        <w:outlineLvl w:val="9"/>
        <w:rPr>
          <w:rFonts w:hint="eastAsia" w:ascii="宋体" w:hAnsi="宋体" w:eastAsia="宋体" w:cs="宋体"/>
          <w:b/>
          <w:bCs/>
          <w:color w:val="auto"/>
          <w:sz w:val="30"/>
          <w:szCs w:val="30"/>
          <w:highlight w:val="none"/>
        </w:rPr>
      </w:pPr>
      <w:bookmarkStart w:id="805" w:name="_Toc2773_WPSOffice_Level3"/>
      <w:r>
        <w:rPr>
          <w:rFonts w:hint="eastAsia" w:ascii="宋体" w:hAnsi="宋体" w:eastAsia="宋体" w:cs="宋体"/>
          <w:b/>
          <w:bCs/>
          <w:color w:val="auto"/>
          <w:sz w:val="30"/>
          <w:szCs w:val="30"/>
          <w:highlight w:val="none"/>
          <w:lang w:val="zh-CN"/>
        </w:rPr>
        <w:t>投标人基本情况一览表</w:t>
      </w:r>
      <w:bookmarkEnd w:id="805"/>
    </w:p>
    <w:p w14:paraId="3FD06BD0">
      <w:pPr>
        <w:autoSpaceDE w:val="0"/>
        <w:autoSpaceDN w:val="0"/>
        <w:adjustRightInd w:val="0"/>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14:paraId="5183314D">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60C561F6">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1B422D37">
      <w:pPr>
        <w:autoSpaceDE w:val="0"/>
        <w:autoSpaceDN w:val="0"/>
        <w:adjustRightInd w:val="0"/>
        <w:spacing w:line="360" w:lineRule="auto"/>
        <w:ind w:firstLine="66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7D4794B3">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21F219E3">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42624FF9">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430A8399">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14:paraId="5D272CAD">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4E44779C">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7D798BA9">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73CEBA3D">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3F097525">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6A62ED67">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46C3EAB2">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2792CCC4">
      <w:pPr>
        <w:autoSpaceDE w:val="0"/>
        <w:autoSpaceDN w:val="0"/>
        <w:adjustRightInd w:val="0"/>
        <w:spacing w:line="360" w:lineRule="auto"/>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223C23AB">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14:paraId="51D61E84">
      <w:pPr>
        <w:autoSpaceDE w:val="0"/>
        <w:autoSpaceDN w:val="0"/>
        <w:adjustRightInd w:val="0"/>
        <w:spacing w:line="360" w:lineRule="auto"/>
        <w:ind w:firstLine="630" w:firstLineChars="3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14:paraId="1D9BDE84">
      <w:pPr>
        <w:autoSpaceDE w:val="0"/>
        <w:autoSpaceDN w:val="0"/>
        <w:adjustRightInd w:val="0"/>
        <w:spacing w:line="360" w:lineRule="auto"/>
        <w:ind w:firstLine="1155" w:firstLineChars="55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2B4AC2E7">
      <w:pPr>
        <w:autoSpaceDE w:val="0"/>
        <w:autoSpaceDN w:val="0"/>
        <w:adjustRightInd w:val="0"/>
        <w:spacing w:line="360" w:lineRule="auto"/>
        <w:ind w:firstLine="630" w:firstLineChars="3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14:paraId="6CA5C5A1">
      <w:pPr>
        <w:autoSpaceDE w:val="0"/>
        <w:autoSpaceDN w:val="0"/>
        <w:adjustRightInd w:val="0"/>
        <w:spacing w:line="360" w:lineRule="auto"/>
        <w:ind w:firstLine="1155" w:firstLineChars="55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14:paraId="2F329058">
      <w:pPr>
        <w:autoSpaceDE w:val="0"/>
        <w:autoSpaceDN w:val="0"/>
        <w:adjustRightInd w:val="0"/>
        <w:spacing w:line="360" w:lineRule="auto"/>
        <w:ind w:left="836" w:leftChars="137" w:hanging="548" w:hangingChars="261"/>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448E2A8B">
      <w:pPr>
        <w:autoSpaceDE w:val="0"/>
        <w:autoSpaceDN w:val="0"/>
        <w:adjustRightInd w:val="0"/>
        <w:spacing w:line="360" w:lineRule="auto"/>
        <w:ind w:firstLine="420" w:firstLineChars="2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1094DD44">
      <w:pPr>
        <w:autoSpaceDE w:val="0"/>
        <w:autoSpaceDN w:val="0"/>
        <w:adjustRightInd w:val="0"/>
        <w:spacing w:line="360" w:lineRule="auto"/>
        <w:ind w:firstLine="420" w:firstLineChars="200"/>
        <w:outlineLvl w:val="9"/>
        <w:rPr>
          <w:rFonts w:hint="eastAsia" w:ascii="宋体" w:hAnsi="宋体" w:eastAsia="宋体" w:cs="宋体"/>
          <w:color w:val="auto"/>
          <w:szCs w:val="24"/>
          <w:highlight w:val="none"/>
        </w:rPr>
      </w:pPr>
    </w:p>
    <w:p w14:paraId="3FDB018C">
      <w:pPr>
        <w:autoSpaceDE w:val="0"/>
        <w:autoSpaceDN w:val="0"/>
        <w:adjustRightInd w:val="0"/>
        <w:spacing w:line="360" w:lineRule="auto"/>
        <w:ind w:right="368" w:rightChars="175"/>
        <w:jc w:val="right"/>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14:paraId="7BDC3A24">
      <w:pPr>
        <w:autoSpaceDE w:val="0"/>
        <w:autoSpaceDN w:val="0"/>
        <w:adjustRightInd w:val="0"/>
        <w:spacing w:line="360" w:lineRule="auto"/>
        <w:ind w:right="368" w:rightChars="175" w:firstLine="6237"/>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5485BEDF">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806" w:name="_Toc102860080"/>
      <w:bookmarkStart w:id="807" w:name="_Toc4023"/>
      <w:bookmarkStart w:id="808" w:name="_Toc104991882"/>
      <w:bookmarkStart w:id="809" w:name="_Toc10443"/>
      <w:bookmarkStart w:id="810" w:name="_Toc102860424"/>
      <w:bookmarkStart w:id="811" w:name="_Toc29014"/>
      <w:bookmarkStart w:id="812" w:name="_Toc94107216"/>
      <w:bookmarkStart w:id="813" w:name="_Toc10884"/>
      <w:bookmarkStart w:id="814" w:name="_Toc142508375"/>
      <w:bookmarkStart w:id="815" w:name="_Toc28255"/>
      <w:bookmarkStart w:id="816" w:name="_Toc140596935"/>
      <w:bookmarkStart w:id="817" w:name="_Toc24115"/>
      <w:bookmarkStart w:id="818" w:name="_Toc486167715"/>
      <w:bookmarkStart w:id="819" w:name="_Toc9051_WPSOffice_Level2"/>
      <w:bookmarkStart w:id="820" w:name="_Toc1977733"/>
      <w:bookmarkStart w:id="821" w:name="_Toc533708128"/>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lang w:val="zh-CN"/>
        </w:rPr>
        <w:t>、投标人财务状况表格式</w:t>
      </w:r>
      <w:bookmarkEnd w:id="806"/>
      <w:bookmarkEnd w:id="807"/>
      <w:bookmarkEnd w:id="808"/>
      <w:bookmarkEnd w:id="809"/>
      <w:bookmarkEnd w:id="810"/>
      <w:bookmarkEnd w:id="811"/>
      <w:bookmarkEnd w:id="812"/>
      <w:bookmarkEnd w:id="813"/>
      <w:bookmarkEnd w:id="814"/>
      <w:bookmarkEnd w:id="815"/>
      <w:bookmarkEnd w:id="816"/>
      <w:bookmarkEnd w:id="817"/>
    </w:p>
    <w:p w14:paraId="5A52A18E">
      <w:pPr>
        <w:autoSpaceDE w:val="0"/>
        <w:autoSpaceDN w:val="0"/>
        <w:adjustRightInd w:val="0"/>
        <w:spacing w:line="360" w:lineRule="auto"/>
        <w:jc w:val="cente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08786443">
      <w:pPr>
        <w:autoSpaceDE w:val="0"/>
        <w:autoSpaceDN w:val="0"/>
        <w:adjustRightInd w:val="0"/>
        <w:spacing w:line="360" w:lineRule="auto"/>
        <w:jc w:val="righ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318613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6" w:hRule="atLeast"/>
          <w:jc w:val="center"/>
        </w:trPr>
        <w:tc>
          <w:tcPr>
            <w:tcW w:w="1166" w:type="dxa"/>
            <w:vAlign w:val="center"/>
          </w:tcPr>
          <w:p w14:paraId="47B33A56">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762D9EFD">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0F43A552">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6512736B">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15E1ACCF">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550201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6ABDA0F5">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2021</w:t>
            </w:r>
          </w:p>
        </w:tc>
        <w:tc>
          <w:tcPr>
            <w:tcW w:w="1944" w:type="dxa"/>
            <w:vAlign w:val="center"/>
          </w:tcPr>
          <w:p w14:paraId="3DBF0D85">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946" w:type="dxa"/>
            <w:vAlign w:val="center"/>
          </w:tcPr>
          <w:p w14:paraId="449AB117">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713" w:type="dxa"/>
            <w:vAlign w:val="center"/>
          </w:tcPr>
          <w:p w14:paraId="635751B9">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060" w:type="dxa"/>
            <w:vAlign w:val="center"/>
          </w:tcPr>
          <w:p w14:paraId="6B81F02C">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6B6A82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18B82586">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2022</w:t>
            </w:r>
          </w:p>
        </w:tc>
        <w:tc>
          <w:tcPr>
            <w:tcW w:w="1944" w:type="dxa"/>
            <w:vAlign w:val="center"/>
          </w:tcPr>
          <w:p w14:paraId="5CC727C2">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946" w:type="dxa"/>
            <w:vAlign w:val="center"/>
          </w:tcPr>
          <w:p w14:paraId="382F69BB">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713" w:type="dxa"/>
          </w:tcPr>
          <w:p w14:paraId="2102CA15">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060" w:type="dxa"/>
            <w:vAlign w:val="center"/>
          </w:tcPr>
          <w:p w14:paraId="55E7266A">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6B991A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3C94B8A7">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2023</w:t>
            </w:r>
          </w:p>
        </w:tc>
        <w:tc>
          <w:tcPr>
            <w:tcW w:w="1944" w:type="dxa"/>
            <w:vAlign w:val="center"/>
          </w:tcPr>
          <w:p w14:paraId="39123D39">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946" w:type="dxa"/>
            <w:vAlign w:val="center"/>
          </w:tcPr>
          <w:p w14:paraId="183C73D5">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713" w:type="dxa"/>
          </w:tcPr>
          <w:p w14:paraId="00FE3246">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060" w:type="dxa"/>
            <w:vAlign w:val="center"/>
          </w:tcPr>
          <w:p w14:paraId="27CC4672">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34D108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1D3C9E22">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28370473">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060" w:type="dxa"/>
            <w:vAlign w:val="center"/>
          </w:tcPr>
          <w:p w14:paraId="529EEC79">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bl>
    <w:p w14:paraId="41D54A75">
      <w:pPr>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4BD45ACB">
      <w:pPr>
        <w:autoSpaceDE w:val="0"/>
        <w:autoSpaceDN w:val="0"/>
        <w:adjustRightInd w:val="0"/>
        <w:spacing w:line="360" w:lineRule="auto"/>
        <w:ind w:firstLine="5409" w:firstLineChars="2576"/>
        <w:outlineLvl w:val="9"/>
        <w:rPr>
          <w:rFonts w:hint="eastAsia" w:ascii="宋体" w:hAnsi="宋体" w:eastAsia="宋体" w:cs="宋体"/>
          <w:color w:val="auto"/>
          <w:szCs w:val="24"/>
          <w:highlight w:val="none"/>
          <w:lang w:val="zh-CN"/>
        </w:rPr>
      </w:pPr>
    </w:p>
    <w:p w14:paraId="62D03FBB">
      <w:pPr>
        <w:autoSpaceDE w:val="0"/>
        <w:autoSpaceDN w:val="0"/>
        <w:adjustRightInd w:val="0"/>
        <w:spacing w:line="360" w:lineRule="auto"/>
        <w:ind w:firstLine="5409" w:firstLineChars="2576"/>
        <w:outlineLvl w:val="9"/>
        <w:rPr>
          <w:rFonts w:hint="eastAsia" w:ascii="宋体" w:hAnsi="宋体" w:eastAsia="宋体" w:cs="宋体"/>
          <w:color w:val="auto"/>
          <w:szCs w:val="24"/>
          <w:highlight w:val="none"/>
          <w:lang w:val="zh-CN"/>
        </w:rPr>
      </w:pPr>
    </w:p>
    <w:p w14:paraId="7619AE05">
      <w:pPr>
        <w:autoSpaceDE w:val="0"/>
        <w:autoSpaceDN w:val="0"/>
        <w:adjustRightInd w:val="0"/>
        <w:spacing w:line="360" w:lineRule="auto"/>
        <w:ind w:firstLine="5409" w:firstLineChars="2576"/>
        <w:outlineLvl w:val="9"/>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14:paraId="024256AD">
      <w:pPr>
        <w:autoSpaceDE w:val="0"/>
        <w:autoSpaceDN w:val="0"/>
        <w:adjustRightInd w:val="0"/>
        <w:spacing w:line="360" w:lineRule="auto"/>
        <w:ind w:firstLine="6249" w:firstLineChars="2976"/>
        <w:outlineLvl w:val="9"/>
        <w:rPr>
          <w:rFonts w:hint="eastAsia" w:ascii="宋体" w:hAnsi="宋体" w:eastAsia="宋体" w:cs="宋体"/>
          <w:b/>
          <w:bCs/>
          <w:color w:val="auto"/>
          <w:kern w:val="0"/>
          <w:szCs w:val="21"/>
          <w:highlight w:val="none"/>
        </w:rPr>
        <w:sectPr>
          <w:footerReference r:id="rId7"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none"/>
        </w:rPr>
        <w:t>日</w:t>
      </w:r>
    </w:p>
    <w:bookmarkEnd w:id="818"/>
    <w:bookmarkEnd w:id="819"/>
    <w:bookmarkEnd w:id="820"/>
    <w:bookmarkEnd w:id="821"/>
    <w:p w14:paraId="5DEC56D6">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2"/>
          <w:szCs w:val="32"/>
          <w:highlight w:val="none"/>
          <w:lang w:val="zh-CN"/>
        </w:rPr>
      </w:pPr>
      <w:bookmarkStart w:id="822" w:name="_Toc29257"/>
      <w:bookmarkStart w:id="823" w:name="_Toc102860081"/>
      <w:bookmarkStart w:id="824" w:name="_Toc142508376"/>
      <w:bookmarkStart w:id="825" w:name="_Toc20695"/>
      <w:bookmarkStart w:id="826" w:name="_Toc17995"/>
      <w:bookmarkStart w:id="827" w:name="_Toc333"/>
      <w:bookmarkStart w:id="828" w:name="_Toc104991883"/>
      <w:bookmarkStart w:id="829" w:name="_Toc140596936"/>
      <w:bookmarkStart w:id="830" w:name="_Toc739_WPSOffice_Level2"/>
      <w:bookmarkStart w:id="831" w:name="_Toc94107217"/>
      <w:bookmarkStart w:id="832" w:name="_Toc26821"/>
      <w:bookmarkStart w:id="833" w:name="_Toc533708130"/>
      <w:bookmarkStart w:id="834" w:name="_Toc102860425"/>
      <w:bookmarkStart w:id="835" w:name="_Toc486167716"/>
      <w:bookmarkStart w:id="836" w:name="_Toc1977736"/>
      <w:bookmarkStart w:id="837" w:name="_Toc3596"/>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zh-CN"/>
        </w:rPr>
        <w:t>、标准化体系认证</w:t>
      </w:r>
      <w:bookmarkEnd w:id="822"/>
    </w:p>
    <w:p w14:paraId="2A037FAF">
      <w:pPr>
        <w:autoSpaceDE/>
        <w:autoSpaceDN/>
        <w:adjustRightInd/>
        <w:spacing w:line="360" w:lineRule="auto"/>
        <w:ind w:firstLine="420" w:firstLineChars="200"/>
        <w:jc w:val="left"/>
        <w:outlineLvl w:val="9"/>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val="0"/>
          <w:color w:val="auto"/>
          <w:kern w:val="2"/>
          <w:sz w:val="21"/>
          <w:szCs w:val="21"/>
          <w:highlight w:val="none"/>
          <w:lang w:val="en-US" w:eastAsia="zh-CN"/>
        </w:rPr>
        <w:t>备注：投标人应提供上述证书复印件及能显示证书有效状态的全国认证认可信息公共服务平台（http://cx.cnca.cn/）查询结果凭证{凭证界面需显示有“全国认证认可信息公共服务平台”或“认证证书（需显示网址cx.cnca.cn）”}。</w:t>
      </w:r>
      <w:r>
        <w:rPr>
          <w:rFonts w:hint="eastAsia" w:ascii="宋体" w:hAnsi="宋体" w:eastAsia="宋体" w:cs="宋体"/>
          <w:b/>
          <w:color w:val="auto"/>
          <w:kern w:val="0"/>
          <w:sz w:val="32"/>
          <w:szCs w:val="32"/>
          <w:highlight w:val="none"/>
          <w:lang w:val="en-US" w:eastAsia="zh-CN"/>
        </w:rPr>
        <w:br w:type="page"/>
      </w:r>
    </w:p>
    <w:p w14:paraId="7B3E9933">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2"/>
          <w:szCs w:val="32"/>
          <w:highlight w:val="none"/>
          <w:lang w:val="zh-CN"/>
        </w:rPr>
      </w:pPr>
      <w:bookmarkStart w:id="838" w:name="_Toc23665"/>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lang w:val="zh-CN"/>
        </w:rPr>
        <w:t>、合同条款偏离表格式</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p w14:paraId="1B7057D0">
      <w:pPr>
        <w:autoSpaceDE w:val="0"/>
        <w:autoSpaceDN w:val="0"/>
        <w:adjustRightInd w:val="0"/>
        <w:spacing w:line="360" w:lineRule="auto"/>
        <w:jc w:val="center"/>
        <w:outlineLvl w:val="9"/>
        <w:rPr>
          <w:rFonts w:hint="eastAsia" w:ascii="宋体" w:hAnsi="宋体" w:eastAsia="宋体" w:cs="宋体"/>
          <w:b/>
          <w:bCs/>
          <w:color w:val="auto"/>
          <w:kern w:val="0"/>
          <w:sz w:val="28"/>
          <w:szCs w:val="30"/>
          <w:highlight w:val="none"/>
          <w:lang w:val="zh-CN"/>
        </w:rPr>
      </w:pPr>
      <w:bookmarkStart w:id="839" w:name="_Toc26412_WPSOffice_Level3"/>
      <w:r>
        <w:rPr>
          <w:rFonts w:hint="eastAsia" w:ascii="宋体" w:hAnsi="宋体" w:eastAsia="宋体" w:cs="宋体"/>
          <w:b/>
          <w:bCs/>
          <w:color w:val="auto"/>
          <w:kern w:val="0"/>
          <w:sz w:val="28"/>
          <w:szCs w:val="30"/>
          <w:highlight w:val="none"/>
          <w:lang w:val="zh-CN" w:eastAsia="zh-CN"/>
        </w:rPr>
        <w:t>东莞市置拓投资有限公司水业大厦食堂经营服务采购项目</w:t>
      </w:r>
      <w:r>
        <w:rPr>
          <w:rFonts w:hint="eastAsia" w:ascii="宋体" w:hAnsi="宋体" w:eastAsia="宋体" w:cs="宋体"/>
          <w:b/>
          <w:bCs/>
          <w:color w:val="auto"/>
          <w:kern w:val="0"/>
          <w:sz w:val="28"/>
          <w:szCs w:val="30"/>
          <w:highlight w:val="none"/>
          <w:lang w:val="zh-CN"/>
        </w:rPr>
        <w:t>合同条款偏离表</w:t>
      </w:r>
      <w:bookmarkEnd w:id="839"/>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5F142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656E5FE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79A29AC6">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3F05F353">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381D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55A0F436">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1425" w:type="dxa"/>
            <w:vAlign w:val="center"/>
          </w:tcPr>
          <w:p w14:paraId="5C32671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280096D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6CC6364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20ACBBC2">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36FD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 w:type="dxa"/>
            <w:vAlign w:val="center"/>
          </w:tcPr>
          <w:p w14:paraId="4FBC34AA">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0E4E9B80">
            <w:pPr>
              <w:snapToGri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第一条</w:t>
            </w:r>
          </w:p>
        </w:tc>
        <w:tc>
          <w:tcPr>
            <w:tcW w:w="3055" w:type="dxa"/>
            <w:vAlign w:val="center"/>
          </w:tcPr>
          <w:p w14:paraId="144DCF1C">
            <w:pPr>
              <w:snapToGrid w:val="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项目概况</w:t>
            </w:r>
          </w:p>
        </w:tc>
        <w:tc>
          <w:tcPr>
            <w:tcW w:w="1346" w:type="dxa"/>
            <w:vAlign w:val="center"/>
          </w:tcPr>
          <w:p w14:paraId="0401A94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4AE56E8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54EE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 w:type="dxa"/>
            <w:vAlign w:val="center"/>
          </w:tcPr>
          <w:p w14:paraId="345A33E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3A7BFAAC">
            <w:pPr>
              <w:snapToGri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条</w:t>
            </w:r>
          </w:p>
        </w:tc>
        <w:tc>
          <w:tcPr>
            <w:tcW w:w="3055" w:type="dxa"/>
            <w:vAlign w:val="center"/>
          </w:tcPr>
          <w:p w14:paraId="40B17D80">
            <w:pPr>
              <w:snapToGrid w:val="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val="en-US" w:eastAsia="zh-CN"/>
              </w:rPr>
              <w:t>内容</w:t>
            </w:r>
          </w:p>
        </w:tc>
        <w:tc>
          <w:tcPr>
            <w:tcW w:w="1346" w:type="dxa"/>
            <w:vAlign w:val="center"/>
          </w:tcPr>
          <w:p w14:paraId="5E3B926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0BDCCF59">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30E4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 w:type="dxa"/>
            <w:vAlign w:val="center"/>
          </w:tcPr>
          <w:p w14:paraId="4A4509A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69C7BD3F">
            <w:pPr>
              <w:snapToGri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条</w:t>
            </w:r>
          </w:p>
        </w:tc>
        <w:tc>
          <w:tcPr>
            <w:tcW w:w="3055" w:type="dxa"/>
            <w:vAlign w:val="center"/>
          </w:tcPr>
          <w:p w14:paraId="4F4437D2">
            <w:pPr>
              <w:snapToGrid w:val="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服务要求</w:t>
            </w:r>
          </w:p>
        </w:tc>
        <w:tc>
          <w:tcPr>
            <w:tcW w:w="1346" w:type="dxa"/>
            <w:vAlign w:val="center"/>
          </w:tcPr>
          <w:p w14:paraId="55D5500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5545E1D3">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54913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 w:type="dxa"/>
            <w:vAlign w:val="center"/>
          </w:tcPr>
          <w:p w14:paraId="704BFD41">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15558365">
            <w:pPr>
              <w:snapToGri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条</w:t>
            </w:r>
          </w:p>
        </w:tc>
        <w:tc>
          <w:tcPr>
            <w:tcW w:w="3055" w:type="dxa"/>
            <w:vAlign w:val="center"/>
          </w:tcPr>
          <w:p w14:paraId="15E411E2">
            <w:pPr>
              <w:snapToGrid w:val="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合同期限</w:t>
            </w:r>
          </w:p>
        </w:tc>
        <w:tc>
          <w:tcPr>
            <w:tcW w:w="1346" w:type="dxa"/>
            <w:vAlign w:val="center"/>
          </w:tcPr>
          <w:p w14:paraId="2617181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1ACD4C66">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64148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 w:type="dxa"/>
            <w:vAlign w:val="center"/>
          </w:tcPr>
          <w:p w14:paraId="315F2E12">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4E7786F6">
            <w:pPr>
              <w:snapToGri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五</w:t>
            </w:r>
            <w:r>
              <w:rPr>
                <w:rFonts w:hint="eastAsia" w:ascii="宋体" w:hAnsi="宋体" w:eastAsia="宋体" w:cs="宋体"/>
                <w:color w:val="auto"/>
                <w:sz w:val="21"/>
                <w:szCs w:val="21"/>
                <w:highlight w:val="none"/>
              </w:rPr>
              <w:t>条</w:t>
            </w:r>
          </w:p>
        </w:tc>
        <w:tc>
          <w:tcPr>
            <w:tcW w:w="3055" w:type="dxa"/>
            <w:vAlign w:val="center"/>
          </w:tcPr>
          <w:p w14:paraId="2B28C901">
            <w:pPr>
              <w:snapToGri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权利与义务</w:t>
            </w:r>
          </w:p>
        </w:tc>
        <w:tc>
          <w:tcPr>
            <w:tcW w:w="1346" w:type="dxa"/>
            <w:vAlign w:val="center"/>
          </w:tcPr>
          <w:p w14:paraId="47CB635A">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07DF314A">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2EA6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 w:type="dxa"/>
            <w:vAlign w:val="center"/>
          </w:tcPr>
          <w:p w14:paraId="5781CBC1">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343EF7DD">
            <w:pPr>
              <w:snapToGri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条</w:t>
            </w:r>
          </w:p>
        </w:tc>
        <w:tc>
          <w:tcPr>
            <w:tcW w:w="3055" w:type="dxa"/>
            <w:vAlign w:val="center"/>
          </w:tcPr>
          <w:p w14:paraId="3C75DEF2">
            <w:pPr>
              <w:snapToGri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权利与义务</w:t>
            </w:r>
          </w:p>
        </w:tc>
        <w:tc>
          <w:tcPr>
            <w:tcW w:w="1346" w:type="dxa"/>
            <w:vAlign w:val="center"/>
          </w:tcPr>
          <w:p w14:paraId="59802A5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0C88E15B">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0A4B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 w:type="dxa"/>
            <w:vAlign w:val="center"/>
          </w:tcPr>
          <w:p w14:paraId="64E68ED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74D7CB5B">
            <w:pPr>
              <w:snapToGri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七</w:t>
            </w:r>
            <w:r>
              <w:rPr>
                <w:rFonts w:hint="eastAsia" w:ascii="宋体" w:hAnsi="宋体" w:eastAsia="宋体" w:cs="宋体"/>
                <w:color w:val="auto"/>
                <w:sz w:val="21"/>
                <w:szCs w:val="21"/>
                <w:highlight w:val="none"/>
              </w:rPr>
              <w:t>条</w:t>
            </w:r>
          </w:p>
        </w:tc>
        <w:tc>
          <w:tcPr>
            <w:tcW w:w="3055" w:type="dxa"/>
            <w:vAlign w:val="center"/>
          </w:tcPr>
          <w:p w14:paraId="20B3E6ED">
            <w:pPr>
              <w:snapToGrid w:val="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餐饮供应时间</w:t>
            </w:r>
          </w:p>
        </w:tc>
        <w:tc>
          <w:tcPr>
            <w:tcW w:w="1346" w:type="dxa"/>
            <w:vAlign w:val="center"/>
          </w:tcPr>
          <w:p w14:paraId="50389E62">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7301163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0E55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 w:type="dxa"/>
            <w:vAlign w:val="center"/>
          </w:tcPr>
          <w:p w14:paraId="6FD294B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52048243">
            <w:pPr>
              <w:snapToGri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八</w:t>
            </w:r>
            <w:r>
              <w:rPr>
                <w:rFonts w:hint="eastAsia" w:ascii="宋体" w:hAnsi="宋体" w:eastAsia="宋体" w:cs="宋体"/>
                <w:color w:val="auto"/>
                <w:sz w:val="21"/>
                <w:szCs w:val="21"/>
                <w:highlight w:val="none"/>
              </w:rPr>
              <w:t>条</w:t>
            </w:r>
          </w:p>
        </w:tc>
        <w:tc>
          <w:tcPr>
            <w:tcW w:w="3055" w:type="dxa"/>
            <w:vAlign w:val="center"/>
          </w:tcPr>
          <w:p w14:paraId="48FCFA26">
            <w:pPr>
              <w:snapToGrid w:val="0"/>
              <w:jc w:val="center"/>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用餐标准、费用结算方式</w:t>
            </w:r>
          </w:p>
        </w:tc>
        <w:tc>
          <w:tcPr>
            <w:tcW w:w="1346" w:type="dxa"/>
            <w:vAlign w:val="center"/>
          </w:tcPr>
          <w:p w14:paraId="172D8C3A">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3AD36ECA">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3D004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 w:type="dxa"/>
            <w:vAlign w:val="center"/>
          </w:tcPr>
          <w:p w14:paraId="3F7423B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02C6B5F3">
            <w:pPr>
              <w:snapToGri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九</w:t>
            </w:r>
            <w:r>
              <w:rPr>
                <w:rFonts w:hint="eastAsia" w:ascii="宋体" w:hAnsi="宋体" w:eastAsia="宋体" w:cs="宋体"/>
                <w:color w:val="auto"/>
                <w:sz w:val="21"/>
                <w:szCs w:val="21"/>
                <w:highlight w:val="none"/>
              </w:rPr>
              <w:t>条</w:t>
            </w:r>
          </w:p>
        </w:tc>
        <w:tc>
          <w:tcPr>
            <w:tcW w:w="3055" w:type="dxa"/>
            <w:vAlign w:val="center"/>
          </w:tcPr>
          <w:p w14:paraId="277DA891">
            <w:pPr>
              <w:snapToGrid w:val="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支付方式</w:t>
            </w:r>
          </w:p>
        </w:tc>
        <w:tc>
          <w:tcPr>
            <w:tcW w:w="1346" w:type="dxa"/>
            <w:vAlign w:val="center"/>
          </w:tcPr>
          <w:p w14:paraId="17CAA7D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586C1736">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554B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 w:type="dxa"/>
            <w:vAlign w:val="center"/>
          </w:tcPr>
          <w:p w14:paraId="320C939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14:paraId="10563AD1">
            <w:pPr>
              <w:snapToGri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十</w:t>
            </w:r>
            <w:r>
              <w:rPr>
                <w:rFonts w:hint="eastAsia" w:ascii="宋体" w:hAnsi="宋体" w:eastAsia="宋体" w:cs="宋体"/>
                <w:color w:val="auto"/>
                <w:sz w:val="21"/>
                <w:szCs w:val="21"/>
                <w:highlight w:val="none"/>
              </w:rPr>
              <w:t>条</w:t>
            </w:r>
          </w:p>
        </w:tc>
        <w:tc>
          <w:tcPr>
            <w:tcW w:w="3055" w:type="dxa"/>
            <w:vAlign w:val="center"/>
          </w:tcPr>
          <w:p w14:paraId="2931EF15">
            <w:pPr>
              <w:snapToGrid w:val="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伙食质量要求及标准</w:t>
            </w:r>
          </w:p>
        </w:tc>
        <w:tc>
          <w:tcPr>
            <w:tcW w:w="1346" w:type="dxa"/>
            <w:vAlign w:val="center"/>
          </w:tcPr>
          <w:p w14:paraId="55B5F98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364CB67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0700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 w:type="dxa"/>
            <w:vAlign w:val="center"/>
          </w:tcPr>
          <w:p w14:paraId="060E2A11">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14:paraId="1DD49A08">
            <w:pPr>
              <w:snapToGri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十一</w:t>
            </w:r>
            <w:r>
              <w:rPr>
                <w:rFonts w:hint="eastAsia" w:ascii="宋体" w:hAnsi="宋体" w:eastAsia="宋体" w:cs="宋体"/>
                <w:color w:val="auto"/>
                <w:sz w:val="21"/>
                <w:szCs w:val="21"/>
                <w:highlight w:val="none"/>
              </w:rPr>
              <w:t>条</w:t>
            </w:r>
          </w:p>
        </w:tc>
        <w:tc>
          <w:tcPr>
            <w:tcW w:w="3055" w:type="dxa"/>
            <w:vAlign w:val="center"/>
          </w:tcPr>
          <w:p w14:paraId="5F589608">
            <w:pPr>
              <w:snapToGrid w:val="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工作人员要求和配置</w:t>
            </w:r>
          </w:p>
        </w:tc>
        <w:tc>
          <w:tcPr>
            <w:tcW w:w="1346" w:type="dxa"/>
            <w:vAlign w:val="center"/>
          </w:tcPr>
          <w:p w14:paraId="037DC04B">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68E9E1D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0374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 w:type="dxa"/>
            <w:vAlign w:val="center"/>
          </w:tcPr>
          <w:p w14:paraId="07802882">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14:paraId="5289C7C6">
            <w:pPr>
              <w:snapToGri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十二</w:t>
            </w:r>
            <w:r>
              <w:rPr>
                <w:rFonts w:hint="eastAsia" w:ascii="宋体" w:hAnsi="宋体" w:eastAsia="宋体" w:cs="宋体"/>
                <w:color w:val="auto"/>
                <w:sz w:val="21"/>
                <w:szCs w:val="21"/>
                <w:highlight w:val="none"/>
              </w:rPr>
              <w:t>条</w:t>
            </w:r>
          </w:p>
        </w:tc>
        <w:tc>
          <w:tcPr>
            <w:tcW w:w="3055" w:type="dxa"/>
            <w:vAlign w:val="center"/>
          </w:tcPr>
          <w:p w14:paraId="01E37DA8">
            <w:pPr>
              <w:snapToGrid w:val="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考核评价</w:t>
            </w:r>
          </w:p>
        </w:tc>
        <w:tc>
          <w:tcPr>
            <w:tcW w:w="1346" w:type="dxa"/>
            <w:vAlign w:val="center"/>
          </w:tcPr>
          <w:p w14:paraId="7D9813D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5714B8B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072FA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 w:type="dxa"/>
            <w:vAlign w:val="center"/>
          </w:tcPr>
          <w:p w14:paraId="3501D489">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w:t>
            </w:r>
          </w:p>
        </w:tc>
        <w:tc>
          <w:tcPr>
            <w:tcW w:w="1425" w:type="dxa"/>
            <w:vAlign w:val="center"/>
          </w:tcPr>
          <w:p w14:paraId="10C6A3EA">
            <w:pPr>
              <w:snapToGrid w:val="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第十三条</w:t>
            </w:r>
          </w:p>
        </w:tc>
        <w:tc>
          <w:tcPr>
            <w:tcW w:w="3055" w:type="dxa"/>
            <w:vAlign w:val="center"/>
          </w:tcPr>
          <w:p w14:paraId="18B1A9E3">
            <w:pPr>
              <w:snapToGrid w:val="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菜品定价机制</w:t>
            </w:r>
          </w:p>
        </w:tc>
        <w:tc>
          <w:tcPr>
            <w:tcW w:w="1346" w:type="dxa"/>
            <w:vAlign w:val="center"/>
          </w:tcPr>
          <w:p w14:paraId="63BAC38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191B89D6">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0FE7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 w:type="dxa"/>
            <w:vAlign w:val="center"/>
          </w:tcPr>
          <w:p w14:paraId="5AF25FB3">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14</w:t>
            </w:r>
          </w:p>
        </w:tc>
        <w:tc>
          <w:tcPr>
            <w:tcW w:w="1425" w:type="dxa"/>
            <w:vAlign w:val="center"/>
          </w:tcPr>
          <w:p w14:paraId="5D070863">
            <w:pPr>
              <w:snapToGrid w:val="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第十四条</w:t>
            </w:r>
          </w:p>
        </w:tc>
        <w:tc>
          <w:tcPr>
            <w:tcW w:w="3055" w:type="dxa"/>
            <w:vAlign w:val="center"/>
          </w:tcPr>
          <w:p w14:paraId="2C00CD5B">
            <w:pPr>
              <w:snapToGrid w:val="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履约担保</w:t>
            </w:r>
          </w:p>
        </w:tc>
        <w:tc>
          <w:tcPr>
            <w:tcW w:w="1346" w:type="dxa"/>
            <w:vAlign w:val="center"/>
          </w:tcPr>
          <w:p w14:paraId="0B3BBEA6">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6E42A8F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276FE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 w:type="dxa"/>
            <w:vAlign w:val="center"/>
          </w:tcPr>
          <w:p w14:paraId="238DFE44">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w:t>
            </w:r>
          </w:p>
        </w:tc>
        <w:tc>
          <w:tcPr>
            <w:tcW w:w="1425" w:type="dxa"/>
            <w:vAlign w:val="center"/>
          </w:tcPr>
          <w:p w14:paraId="6EE7D113">
            <w:pPr>
              <w:snapToGrid w:val="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第十五条</w:t>
            </w:r>
          </w:p>
        </w:tc>
        <w:tc>
          <w:tcPr>
            <w:tcW w:w="3055" w:type="dxa"/>
            <w:vAlign w:val="center"/>
          </w:tcPr>
          <w:p w14:paraId="09DBF6EF">
            <w:pPr>
              <w:snapToGrid w:val="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违约责任</w:t>
            </w:r>
          </w:p>
        </w:tc>
        <w:tc>
          <w:tcPr>
            <w:tcW w:w="1346" w:type="dxa"/>
            <w:vAlign w:val="center"/>
          </w:tcPr>
          <w:p w14:paraId="18A1D52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23B677E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321E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 w:type="dxa"/>
            <w:vAlign w:val="center"/>
          </w:tcPr>
          <w:p w14:paraId="3F45C570">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16</w:t>
            </w:r>
          </w:p>
        </w:tc>
        <w:tc>
          <w:tcPr>
            <w:tcW w:w="1425" w:type="dxa"/>
            <w:vAlign w:val="center"/>
          </w:tcPr>
          <w:p w14:paraId="0E73FB81">
            <w:pPr>
              <w:snapToGrid w:val="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第十六条</w:t>
            </w:r>
          </w:p>
        </w:tc>
        <w:tc>
          <w:tcPr>
            <w:tcW w:w="3055" w:type="dxa"/>
            <w:vAlign w:val="center"/>
          </w:tcPr>
          <w:p w14:paraId="43C9B49A">
            <w:pPr>
              <w:snapToGrid w:val="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廉政保证</w:t>
            </w:r>
          </w:p>
        </w:tc>
        <w:tc>
          <w:tcPr>
            <w:tcW w:w="1346" w:type="dxa"/>
            <w:vAlign w:val="center"/>
          </w:tcPr>
          <w:p w14:paraId="44EC1CFA">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501DB6E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6420D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 w:type="dxa"/>
            <w:vAlign w:val="center"/>
          </w:tcPr>
          <w:p w14:paraId="3DF306A6">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1425" w:type="dxa"/>
            <w:vAlign w:val="center"/>
          </w:tcPr>
          <w:p w14:paraId="74C8EEFD">
            <w:pPr>
              <w:snapToGrid w:val="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第十七条</w:t>
            </w:r>
          </w:p>
        </w:tc>
        <w:tc>
          <w:tcPr>
            <w:tcW w:w="3055" w:type="dxa"/>
            <w:vAlign w:val="center"/>
          </w:tcPr>
          <w:p w14:paraId="751788C0">
            <w:pPr>
              <w:snapToGrid w:val="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争议解决</w:t>
            </w:r>
          </w:p>
        </w:tc>
        <w:tc>
          <w:tcPr>
            <w:tcW w:w="1346" w:type="dxa"/>
            <w:vAlign w:val="center"/>
          </w:tcPr>
          <w:p w14:paraId="52DFC49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18243C8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4BC4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 w:type="dxa"/>
            <w:vAlign w:val="center"/>
          </w:tcPr>
          <w:p w14:paraId="4ADDC410">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p>
        </w:tc>
        <w:tc>
          <w:tcPr>
            <w:tcW w:w="1425" w:type="dxa"/>
            <w:vAlign w:val="center"/>
          </w:tcPr>
          <w:p w14:paraId="4FA18A5B">
            <w:pPr>
              <w:snapToGrid w:val="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第十八条</w:t>
            </w:r>
          </w:p>
        </w:tc>
        <w:tc>
          <w:tcPr>
            <w:tcW w:w="3055" w:type="dxa"/>
            <w:vAlign w:val="center"/>
          </w:tcPr>
          <w:p w14:paraId="6F49C684">
            <w:pPr>
              <w:snapToGrid w:val="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w:t>
            </w:r>
          </w:p>
        </w:tc>
        <w:tc>
          <w:tcPr>
            <w:tcW w:w="1346" w:type="dxa"/>
            <w:vAlign w:val="center"/>
          </w:tcPr>
          <w:p w14:paraId="6A9D9CF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1037F39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1C780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 w:type="dxa"/>
            <w:vAlign w:val="center"/>
          </w:tcPr>
          <w:p w14:paraId="09F829F2">
            <w:pPr>
              <w:autoSpaceDE w:val="0"/>
              <w:autoSpaceDN w:val="0"/>
              <w:adjustRightInd w:val="0"/>
              <w:spacing w:line="400" w:lineRule="exact"/>
              <w:jc w:val="center"/>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9</w:t>
            </w:r>
          </w:p>
        </w:tc>
        <w:tc>
          <w:tcPr>
            <w:tcW w:w="1425" w:type="dxa"/>
            <w:vAlign w:val="center"/>
          </w:tcPr>
          <w:p w14:paraId="30478B82">
            <w:pPr>
              <w:snapToGri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1</w:t>
            </w:r>
          </w:p>
        </w:tc>
        <w:tc>
          <w:tcPr>
            <w:tcW w:w="3055" w:type="dxa"/>
            <w:vAlign w:val="center"/>
          </w:tcPr>
          <w:p w14:paraId="3285C356">
            <w:pPr>
              <w:snapToGri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廉洁协议书</w:t>
            </w:r>
          </w:p>
        </w:tc>
        <w:tc>
          <w:tcPr>
            <w:tcW w:w="1346" w:type="dxa"/>
            <w:vAlign w:val="center"/>
          </w:tcPr>
          <w:p w14:paraId="3BB347E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46BE3072">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1DFF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 w:type="dxa"/>
            <w:vAlign w:val="center"/>
          </w:tcPr>
          <w:p w14:paraId="081672AE">
            <w:pPr>
              <w:autoSpaceDE w:val="0"/>
              <w:autoSpaceDN w:val="0"/>
              <w:adjustRightInd w:val="0"/>
              <w:spacing w:line="400" w:lineRule="exact"/>
              <w:jc w:val="center"/>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w:t>
            </w:r>
          </w:p>
        </w:tc>
        <w:tc>
          <w:tcPr>
            <w:tcW w:w="1425" w:type="dxa"/>
            <w:vAlign w:val="center"/>
          </w:tcPr>
          <w:p w14:paraId="21B835C9">
            <w:pPr>
              <w:snapToGrid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3</w:t>
            </w:r>
          </w:p>
        </w:tc>
        <w:tc>
          <w:tcPr>
            <w:tcW w:w="3055" w:type="dxa"/>
            <w:vAlign w:val="center"/>
          </w:tcPr>
          <w:p w14:paraId="070FFA1C">
            <w:pPr>
              <w:snapToGrid w:val="0"/>
              <w:jc w:val="center"/>
              <w:outlineLvl w:val="9"/>
              <w:rPr>
                <w:rFonts w:hint="eastAsia" w:ascii="宋体" w:hAnsi="宋体" w:eastAsia="宋体" w:cs="宋体"/>
                <w:color w:val="auto"/>
                <w:kern w:val="0"/>
                <w:szCs w:val="21"/>
                <w:highlight w:val="none"/>
                <w:lang w:eastAsia="zh-CN"/>
              </w:rPr>
            </w:pPr>
            <w:r>
              <w:rPr>
                <w:rFonts w:hint="eastAsia" w:ascii="宋体" w:hAnsi="宋体" w:eastAsia="宋体" w:cs="宋体"/>
                <w:color w:val="auto"/>
                <w:sz w:val="21"/>
                <w:szCs w:val="21"/>
                <w:highlight w:val="none"/>
              </w:rPr>
              <w:t>安全</w:t>
            </w:r>
            <w:r>
              <w:rPr>
                <w:rFonts w:hint="eastAsia" w:ascii="宋体" w:hAnsi="宋体" w:eastAsia="宋体" w:cs="宋体"/>
                <w:color w:val="auto"/>
                <w:sz w:val="21"/>
                <w:szCs w:val="21"/>
                <w:highlight w:val="none"/>
                <w:lang w:val="en-US" w:eastAsia="zh-CN"/>
              </w:rPr>
              <w:t>生产</w:t>
            </w:r>
            <w:r>
              <w:rPr>
                <w:rFonts w:hint="eastAsia" w:ascii="宋体" w:hAnsi="宋体" w:eastAsia="宋体" w:cs="宋体"/>
                <w:color w:val="auto"/>
                <w:sz w:val="21"/>
                <w:szCs w:val="21"/>
                <w:highlight w:val="none"/>
              </w:rPr>
              <w:t>管理协议</w:t>
            </w:r>
          </w:p>
        </w:tc>
        <w:tc>
          <w:tcPr>
            <w:tcW w:w="1346" w:type="dxa"/>
            <w:vAlign w:val="center"/>
          </w:tcPr>
          <w:p w14:paraId="6B41DA6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19D1497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13A71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 w:type="dxa"/>
            <w:vAlign w:val="center"/>
          </w:tcPr>
          <w:p w14:paraId="6DD4D31D">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21</w:t>
            </w:r>
          </w:p>
        </w:tc>
        <w:tc>
          <w:tcPr>
            <w:tcW w:w="1425" w:type="dxa"/>
            <w:vAlign w:val="center"/>
          </w:tcPr>
          <w:p w14:paraId="2FE77213">
            <w:pPr>
              <w:snapToGrid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4</w:t>
            </w:r>
          </w:p>
        </w:tc>
        <w:tc>
          <w:tcPr>
            <w:tcW w:w="3055" w:type="dxa"/>
            <w:vAlign w:val="center"/>
          </w:tcPr>
          <w:p w14:paraId="6DDC4BCC">
            <w:pPr>
              <w:snapToGri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月度</w:t>
            </w:r>
            <w:r>
              <w:rPr>
                <w:rFonts w:hint="eastAsia" w:ascii="宋体" w:hAnsi="宋体" w:eastAsia="宋体" w:cs="宋体"/>
                <w:color w:val="auto"/>
                <w:kern w:val="2"/>
                <w:sz w:val="21"/>
                <w:szCs w:val="21"/>
                <w:highlight w:val="none"/>
                <w:lang w:val="en-US" w:eastAsia="zh-CN"/>
              </w:rPr>
              <w:t>绩效</w:t>
            </w:r>
            <w:r>
              <w:rPr>
                <w:rFonts w:hint="eastAsia" w:ascii="宋体" w:hAnsi="宋体" w:eastAsia="宋体" w:cs="宋体"/>
                <w:color w:val="auto"/>
                <w:kern w:val="2"/>
                <w:sz w:val="21"/>
                <w:szCs w:val="21"/>
                <w:highlight w:val="none"/>
              </w:rPr>
              <w:t>考</w:t>
            </w:r>
            <w:r>
              <w:rPr>
                <w:rFonts w:hint="eastAsia" w:ascii="宋体" w:hAnsi="宋体" w:eastAsia="宋体" w:cs="宋体"/>
                <w:color w:val="auto"/>
                <w:kern w:val="2"/>
                <w:sz w:val="21"/>
                <w:szCs w:val="21"/>
                <w:highlight w:val="none"/>
                <w:lang w:val="en-US" w:eastAsia="zh-CN"/>
              </w:rPr>
              <w:t>评</w:t>
            </w:r>
            <w:r>
              <w:rPr>
                <w:rFonts w:hint="eastAsia" w:ascii="宋体" w:hAnsi="宋体" w:eastAsia="宋体" w:cs="宋体"/>
                <w:color w:val="auto"/>
                <w:kern w:val="2"/>
                <w:sz w:val="21"/>
                <w:szCs w:val="21"/>
                <w:highlight w:val="none"/>
              </w:rPr>
              <w:t>表</w:t>
            </w:r>
          </w:p>
        </w:tc>
        <w:tc>
          <w:tcPr>
            <w:tcW w:w="1346" w:type="dxa"/>
            <w:vAlign w:val="center"/>
          </w:tcPr>
          <w:p w14:paraId="088A2C8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4909209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34AAD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 w:type="dxa"/>
            <w:vAlign w:val="center"/>
          </w:tcPr>
          <w:p w14:paraId="407C3052">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22</w:t>
            </w:r>
          </w:p>
        </w:tc>
        <w:tc>
          <w:tcPr>
            <w:tcW w:w="1425" w:type="dxa"/>
            <w:vAlign w:val="center"/>
          </w:tcPr>
          <w:p w14:paraId="5DB017E8">
            <w:pPr>
              <w:snapToGrid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一</w:t>
            </w:r>
          </w:p>
        </w:tc>
        <w:tc>
          <w:tcPr>
            <w:tcW w:w="3055" w:type="dxa"/>
            <w:vAlign w:val="center"/>
          </w:tcPr>
          <w:p w14:paraId="1FCB148A">
            <w:pPr>
              <w:snapToGri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不可撤销银行履约保函</w:t>
            </w:r>
          </w:p>
        </w:tc>
        <w:tc>
          <w:tcPr>
            <w:tcW w:w="1346" w:type="dxa"/>
            <w:vAlign w:val="center"/>
          </w:tcPr>
          <w:p w14:paraId="3AC6775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06F5B6F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5F45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 w:type="dxa"/>
            <w:vAlign w:val="center"/>
          </w:tcPr>
          <w:p w14:paraId="0B7A7F1F">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23</w:t>
            </w:r>
          </w:p>
        </w:tc>
        <w:tc>
          <w:tcPr>
            <w:tcW w:w="1425" w:type="dxa"/>
            <w:vAlign w:val="center"/>
          </w:tcPr>
          <w:p w14:paraId="246910E0">
            <w:pPr>
              <w:snapToGrid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二</w:t>
            </w:r>
          </w:p>
        </w:tc>
        <w:tc>
          <w:tcPr>
            <w:tcW w:w="3055" w:type="dxa"/>
            <w:vAlign w:val="center"/>
          </w:tcPr>
          <w:p w14:paraId="7A8AC54D">
            <w:pPr>
              <w:snapToGri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履约保证保险凭证</w:t>
            </w:r>
          </w:p>
        </w:tc>
        <w:tc>
          <w:tcPr>
            <w:tcW w:w="1346" w:type="dxa"/>
            <w:vAlign w:val="center"/>
          </w:tcPr>
          <w:p w14:paraId="2602134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04D7949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04C2B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 w:type="dxa"/>
            <w:vAlign w:val="center"/>
          </w:tcPr>
          <w:p w14:paraId="35833DC2">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w:t>
            </w:r>
          </w:p>
        </w:tc>
        <w:tc>
          <w:tcPr>
            <w:tcW w:w="1425" w:type="dxa"/>
            <w:vAlign w:val="center"/>
          </w:tcPr>
          <w:p w14:paraId="452D8D83">
            <w:pPr>
              <w:autoSpaceDE w:val="0"/>
              <w:autoSpaceDN w:val="0"/>
              <w:adjustRightInd w:val="0"/>
              <w:spacing w:line="400" w:lineRule="exact"/>
              <w:jc w:val="center"/>
              <w:outlineLvl w:val="9"/>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Cs w:val="21"/>
                <w:highlight w:val="none"/>
                <w:lang w:val="en-US" w:eastAsia="zh-CN"/>
              </w:rPr>
              <w:t>三</w:t>
            </w:r>
          </w:p>
        </w:tc>
        <w:tc>
          <w:tcPr>
            <w:tcW w:w="3055" w:type="dxa"/>
            <w:vAlign w:val="center"/>
          </w:tcPr>
          <w:p w14:paraId="11453AEE">
            <w:pPr>
              <w:autoSpaceDE w:val="0"/>
              <w:autoSpaceDN w:val="0"/>
              <w:adjustRightInd w:val="0"/>
              <w:spacing w:line="40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担保公司履约担保书</w:t>
            </w:r>
          </w:p>
        </w:tc>
        <w:tc>
          <w:tcPr>
            <w:tcW w:w="1346" w:type="dxa"/>
            <w:vAlign w:val="center"/>
          </w:tcPr>
          <w:p w14:paraId="392D260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1307C41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bl>
    <w:p w14:paraId="517F91E2">
      <w:pPr>
        <w:autoSpaceDE w:val="0"/>
        <w:autoSpaceDN w:val="0"/>
        <w:adjustRightInd w:val="0"/>
        <w:snapToGrid w:val="0"/>
        <w:spacing w:line="360" w:lineRule="auto"/>
        <w:ind w:left="186" w:leftChars="-158" w:hanging="518" w:hangingChars="247"/>
        <w:jc w:val="left"/>
        <w:outlineLvl w:val="9"/>
        <w:rPr>
          <w:rFonts w:hint="eastAsia" w:ascii="宋体" w:hAnsi="宋体" w:eastAsia="宋体" w:cs="宋体"/>
          <w:color w:val="auto"/>
          <w:szCs w:val="24"/>
          <w:highlight w:val="none"/>
          <w:lang w:val="zh-CN"/>
        </w:rPr>
      </w:pPr>
    </w:p>
    <w:p w14:paraId="6F86A405">
      <w:pPr>
        <w:autoSpaceDE w:val="0"/>
        <w:autoSpaceDN w:val="0"/>
        <w:adjustRightInd w:val="0"/>
        <w:snapToGrid w:val="0"/>
        <w:spacing w:line="360" w:lineRule="auto"/>
        <w:ind w:left="166" w:leftChars="-101" w:hanging="378" w:hangingChars="18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3533228D">
      <w:pPr>
        <w:spacing w:line="360" w:lineRule="auto"/>
        <w:ind w:left="607" w:leftChars="18" w:hanging="569" w:hangingChars="270"/>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（1）</w:t>
      </w:r>
      <w:r>
        <w:rPr>
          <w:rFonts w:hint="eastAsia" w:ascii="宋体" w:hAnsi="宋体" w:eastAsia="宋体" w:cs="宋体"/>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宋体"/>
          <w:b/>
          <w:color w:val="auto"/>
          <w:kern w:val="0"/>
          <w:szCs w:val="21"/>
          <w:highlight w:val="none"/>
        </w:rPr>
        <w:t>。</w:t>
      </w:r>
    </w:p>
    <w:p w14:paraId="62FCA0CF">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商务条件优于招标文件的要求；负偏离是指投标人提供的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商务条件不满足或不完全满足招标文件的要求；无偏离是指投标人提供的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商务条件完全满足招标文件的要求。</w:t>
      </w:r>
    </w:p>
    <w:p w14:paraId="3CFFB9EB">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（3）招标文件“第五篇 相关保函格式”作为重要的商务条款，投标人的响应情况列入本合同条款偏离表。</w:t>
      </w:r>
    </w:p>
    <w:p w14:paraId="12AA749D">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（4）如投标人差异内容较多可另附页说明，并在本偏离表“具体偏离内容”项注明其在投标文件中的具体页码。</w:t>
      </w:r>
    </w:p>
    <w:p w14:paraId="624DBB0B">
      <w:pPr>
        <w:spacing w:line="360" w:lineRule="auto"/>
        <w:ind w:left="357" w:leftChars="-100" w:hanging="567" w:hangingChars="270"/>
        <w:outlineLvl w:val="9"/>
        <w:rPr>
          <w:rFonts w:hint="eastAsia" w:ascii="宋体" w:hAnsi="宋体" w:eastAsia="宋体" w:cs="宋体"/>
          <w:color w:val="auto"/>
          <w:szCs w:val="21"/>
          <w:highlight w:val="none"/>
        </w:rPr>
      </w:pPr>
    </w:p>
    <w:p w14:paraId="7932AB73">
      <w:pPr>
        <w:spacing w:line="360" w:lineRule="auto"/>
        <w:ind w:left="357" w:leftChars="-100" w:hanging="567" w:hangingChars="270"/>
        <w:outlineLvl w:val="9"/>
        <w:rPr>
          <w:rFonts w:hint="eastAsia" w:ascii="宋体" w:hAnsi="宋体" w:eastAsia="宋体" w:cs="宋体"/>
          <w:color w:val="auto"/>
          <w:szCs w:val="21"/>
          <w:highlight w:val="none"/>
        </w:rPr>
      </w:pPr>
    </w:p>
    <w:p w14:paraId="4CA03FA3">
      <w:pPr>
        <w:spacing w:line="360" w:lineRule="auto"/>
        <w:ind w:left="357" w:leftChars="-100" w:hanging="567" w:hangingChars="270"/>
        <w:outlineLvl w:val="9"/>
        <w:rPr>
          <w:rFonts w:hint="eastAsia" w:ascii="宋体" w:hAnsi="宋体" w:eastAsia="宋体" w:cs="宋体"/>
          <w:color w:val="auto"/>
          <w:szCs w:val="21"/>
          <w:highlight w:val="none"/>
        </w:rPr>
      </w:pPr>
    </w:p>
    <w:p w14:paraId="416F183A">
      <w:pPr>
        <w:spacing w:line="360" w:lineRule="auto"/>
        <w:ind w:right="368" w:rightChars="175" w:firstLine="5355" w:firstLineChars="2550"/>
        <w:jc w:val="left"/>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168FF725">
      <w:pPr>
        <w:autoSpaceDE w:val="0"/>
        <w:autoSpaceDN w:val="0"/>
        <w:adjustRightInd w:val="0"/>
        <w:spacing w:line="360" w:lineRule="auto"/>
        <w:ind w:firstLine="5355" w:firstLineChars="255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4E449229">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840" w:name="_Toc29505"/>
      <w:bookmarkStart w:id="841" w:name="_Toc7363"/>
      <w:bookmarkStart w:id="842" w:name="_Toc5473"/>
      <w:bookmarkStart w:id="843" w:name="_Toc94107218"/>
      <w:bookmarkStart w:id="844" w:name="_Toc9031"/>
      <w:bookmarkStart w:id="845" w:name="_Toc140596937"/>
      <w:bookmarkStart w:id="846" w:name="_Toc102860082"/>
      <w:bookmarkStart w:id="847" w:name="_Toc104991884"/>
      <w:bookmarkStart w:id="848" w:name="_Toc102860426"/>
      <w:bookmarkStart w:id="849" w:name="_Toc13179"/>
      <w:bookmarkStart w:id="850" w:name="_Toc26656"/>
      <w:bookmarkStart w:id="851" w:name="_Toc142508377"/>
      <w:bookmarkStart w:id="852" w:name="_Toc486167717"/>
      <w:bookmarkStart w:id="853" w:name="_Toc27980_WPSOffice_Level2"/>
      <w:r>
        <w:rPr>
          <w:rFonts w:hint="eastAsia" w:ascii="宋体" w:hAnsi="宋体" w:eastAsia="宋体" w:cs="宋体"/>
          <w:b/>
          <w:color w:val="auto"/>
          <w:kern w:val="0"/>
          <w:sz w:val="32"/>
          <w:szCs w:val="32"/>
          <w:highlight w:val="none"/>
          <w:lang w:val="en-US" w:eastAsia="zh-CN"/>
        </w:rPr>
        <w:t>十</w:t>
      </w:r>
      <w:r>
        <w:rPr>
          <w:rFonts w:hint="eastAsia" w:ascii="宋体" w:hAnsi="宋体" w:eastAsia="宋体" w:cs="宋体"/>
          <w:b/>
          <w:color w:val="auto"/>
          <w:kern w:val="0"/>
          <w:sz w:val="32"/>
          <w:szCs w:val="32"/>
          <w:highlight w:val="none"/>
        </w:rPr>
        <w:t>、业绩表格式</w:t>
      </w:r>
      <w:bookmarkEnd w:id="840"/>
      <w:bookmarkEnd w:id="841"/>
      <w:bookmarkEnd w:id="842"/>
      <w:bookmarkEnd w:id="843"/>
      <w:bookmarkEnd w:id="844"/>
      <w:bookmarkEnd w:id="845"/>
      <w:bookmarkEnd w:id="846"/>
      <w:bookmarkEnd w:id="847"/>
      <w:bookmarkEnd w:id="848"/>
      <w:bookmarkEnd w:id="849"/>
      <w:bookmarkEnd w:id="850"/>
      <w:bookmarkEnd w:id="851"/>
    </w:p>
    <w:p w14:paraId="09A4BF94">
      <w:pPr>
        <w:autoSpaceDE w:val="0"/>
        <w:autoSpaceDN w:val="0"/>
        <w:adjustRightInd w:val="0"/>
        <w:spacing w:line="360" w:lineRule="auto"/>
        <w:ind w:firstLine="602"/>
        <w:jc w:val="center"/>
        <w:outlineLvl w:val="9"/>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投标人202</w:t>
      </w:r>
      <w:r>
        <w:rPr>
          <w:rFonts w:hint="eastAsia" w:ascii="宋体" w:hAnsi="宋体" w:eastAsia="宋体" w:cs="宋体"/>
          <w:b/>
          <w:bCs/>
          <w:color w:val="auto"/>
          <w:sz w:val="30"/>
          <w:szCs w:val="30"/>
          <w:highlight w:val="none"/>
          <w:lang w:val="en-US" w:eastAsia="zh-CN"/>
        </w:rPr>
        <w:t>2</w:t>
      </w:r>
      <w:r>
        <w:rPr>
          <w:rFonts w:hint="eastAsia" w:ascii="宋体" w:hAnsi="宋体" w:eastAsia="宋体" w:cs="宋体"/>
          <w:b/>
          <w:bCs/>
          <w:color w:val="auto"/>
          <w:sz w:val="30"/>
          <w:szCs w:val="30"/>
          <w:highlight w:val="none"/>
          <w:lang w:val="zh-CN"/>
        </w:rPr>
        <w:t>年1月1日（以合同签订时间为准）至今</w:t>
      </w:r>
      <w:r>
        <w:rPr>
          <w:rFonts w:hint="eastAsia" w:ascii="宋体" w:hAnsi="宋体" w:eastAsia="宋体" w:cs="宋体"/>
          <w:b/>
          <w:bCs/>
          <w:color w:val="auto"/>
          <w:sz w:val="30"/>
          <w:szCs w:val="30"/>
          <w:highlight w:val="none"/>
          <w:lang w:val="en-US" w:eastAsia="zh-CN"/>
        </w:rPr>
        <w:t>承接</w:t>
      </w:r>
      <w:r>
        <w:rPr>
          <w:rFonts w:hint="eastAsia" w:ascii="宋体" w:hAnsi="宋体" w:eastAsia="宋体" w:cs="宋体"/>
          <w:b/>
          <w:bCs/>
          <w:color w:val="auto"/>
          <w:sz w:val="30"/>
          <w:szCs w:val="30"/>
          <w:highlight w:val="none"/>
          <w:lang w:val="zh-CN"/>
        </w:rPr>
        <w:t>的</w:t>
      </w:r>
      <w:r>
        <w:rPr>
          <w:rFonts w:hint="eastAsia" w:ascii="宋体" w:hAnsi="宋体" w:eastAsia="宋体" w:cs="宋体"/>
          <w:b/>
          <w:bCs/>
          <w:color w:val="auto"/>
          <w:sz w:val="30"/>
          <w:szCs w:val="30"/>
          <w:highlight w:val="none"/>
          <w:lang w:val="zh-CN" w:eastAsia="zh-CN"/>
        </w:rPr>
        <w:t>食堂（或饭堂</w:t>
      </w:r>
      <w:r>
        <w:rPr>
          <w:rFonts w:hint="eastAsia" w:ascii="宋体" w:hAnsi="宋体" w:eastAsia="宋体" w:cs="宋体"/>
          <w:b/>
          <w:bCs/>
          <w:color w:val="auto"/>
          <w:sz w:val="30"/>
          <w:szCs w:val="30"/>
          <w:highlight w:val="none"/>
          <w:lang w:val="en-US" w:eastAsia="zh-CN"/>
        </w:rPr>
        <w:t>或餐厅</w:t>
      </w:r>
      <w:r>
        <w:rPr>
          <w:rFonts w:hint="eastAsia" w:ascii="宋体" w:hAnsi="宋体" w:eastAsia="宋体" w:cs="宋体"/>
          <w:b/>
          <w:bCs/>
          <w:color w:val="auto"/>
          <w:sz w:val="30"/>
          <w:szCs w:val="30"/>
          <w:highlight w:val="none"/>
          <w:lang w:val="zh-CN" w:eastAsia="zh-CN"/>
        </w:rPr>
        <w:t>）经营管理服务业绩</w:t>
      </w:r>
      <w:r>
        <w:rPr>
          <w:rFonts w:hint="eastAsia" w:ascii="宋体" w:hAnsi="宋体" w:eastAsia="宋体" w:cs="宋体"/>
          <w:b/>
          <w:bCs/>
          <w:color w:val="auto"/>
          <w:sz w:val="30"/>
          <w:szCs w:val="30"/>
          <w:highlight w:val="none"/>
          <w:lang w:val="zh-CN"/>
        </w:rPr>
        <w:t>业绩情况表</w:t>
      </w:r>
    </w:p>
    <w:tbl>
      <w:tblPr>
        <w:tblStyle w:val="38"/>
        <w:tblW w:w="46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788"/>
        <w:gridCol w:w="1150"/>
        <w:gridCol w:w="1791"/>
        <w:gridCol w:w="2021"/>
        <w:gridCol w:w="1100"/>
        <w:gridCol w:w="1751"/>
        <w:gridCol w:w="847"/>
      </w:tblGrid>
      <w:tr w14:paraId="18AFD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539" w:hRule="exact"/>
          <w:jc w:val="center"/>
        </w:trPr>
        <w:tc>
          <w:tcPr>
            <w:tcW w:w="417" w:type="pct"/>
            <w:noWrap w:val="0"/>
            <w:vAlign w:val="center"/>
          </w:tcPr>
          <w:p w14:paraId="198747F0">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608" w:type="pct"/>
            <w:noWrap w:val="0"/>
            <w:vAlign w:val="center"/>
          </w:tcPr>
          <w:p w14:paraId="4705B5A4">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947" w:type="pct"/>
            <w:noWrap w:val="0"/>
            <w:vAlign w:val="center"/>
          </w:tcPr>
          <w:p w14:paraId="7CCFA2EE">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1069" w:type="pct"/>
            <w:noWrap w:val="0"/>
            <w:vAlign w:val="center"/>
          </w:tcPr>
          <w:p w14:paraId="01A91B58">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食堂或饭堂建筑面积</w:t>
            </w:r>
          </w:p>
        </w:tc>
        <w:tc>
          <w:tcPr>
            <w:tcW w:w="582" w:type="pct"/>
            <w:noWrap w:val="0"/>
            <w:vAlign w:val="center"/>
          </w:tcPr>
          <w:p w14:paraId="220379E5">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926" w:type="pct"/>
            <w:noWrap w:val="0"/>
            <w:vAlign w:val="center"/>
          </w:tcPr>
          <w:p w14:paraId="58175769">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448" w:type="pct"/>
            <w:noWrap w:val="0"/>
            <w:vAlign w:val="center"/>
          </w:tcPr>
          <w:p w14:paraId="3046FA59">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16646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19" w:hRule="exact"/>
          <w:jc w:val="center"/>
        </w:trPr>
        <w:tc>
          <w:tcPr>
            <w:tcW w:w="417" w:type="pct"/>
            <w:noWrap w:val="0"/>
            <w:vAlign w:val="center"/>
          </w:tcPr>
          <w:p w14:paraId="6C9E15A0">
            <w:pPr>
              <w:jc w:val="center"/>
              <w:outlineLvl w:val="9"/>
              <w:rPr>
                <w:rFonts w:hint="eastAsia" w:ascii="宋体" w:hAnsi="宋体" w:eastAsia="宋体" w:cs="宋体"/>
                <w:color w:val="auto"/>
                <w:sz w:val="21"/>
                <w:szCs w:val="21"/>
                <w:highlight w:val="none"/>
              </w:rPr>
            </w:pPr>
          </w:p>
        </w:tc>
        <w:tc>
          <w:tcPr>
            <w:tcW w:w="608" w:type="pct"/>
            <w:noWrap w:val="0"/>
            <w:vAlign w:val="center"/>
          </w:tcPr>
          <w:p w14:paraId="37797ACE">
            <w:pPr>
              <w:jc w:val="center"/>
              <w:outlineLvl w:val="9"/>
              <w:rPr>
                <w:rFonts w:hint="eastAsia" w:ascii="宋体" w:hAnsi="宋体" w:eastAsia="宋体" w:cs="宋体"/>
                <w:color w:val="auto"/>
                <w:sz w:val="21"/>
                <w:szCs w:val="21"/>
                <w:highlight w:val="none"/>
              </w:rPr>
            </w:pPr>
          </w:p>
        </w:tc>
        <w:tc>
          <w:tcPr>
            <w:tcW w:w="947" w:type="pct"/>
            <w:noWrap w:val="0"/>
            <w:vAlign w:val="center"/>
          </w:tcPr>
          <w:p w14:paraId="2ECAC7CE">
            <w:pPr>
              <w:jc w:val="center"/>
              <w:outlineLvl w:val="9"/>
              <w:rPr>
                <w:rFonts w:hint="eastAsia" w:ascii="宋体" w:hAnsi="宋体" w:eastAsia="宋体" w:cs="宋体"/>
                <w:color w:val="auto"/>
                <w:sz w:val="21"/>
                <w:szCs w:val="21"/>
                <w:highlight w:val="none"/>
              </w:rPr>
            </w:pPr>
          </w:p>
        </w:tc>
        <w:tc>
          <w:tcPr>
            <w:tcW w:w="1069" w:type="pct"/>
            <w:noWrap w:val="0"/>
            <w:vAlign w:val="center"/>
          </w:tcPr>
          <w:p w14:paraId="6BB9AC76">
            <w:pPr>
              <w:jc w:val="center"/>
              <w:outlineLvl w:val="9"/>
              <w:rPr>
                <w:rFonts w:hint="eastAsia" w:ascii="宋体" w:hAnsi="宋体" w:eastAsia="宋体" w:cs="宋体"/>
                <w:color w:val="auto"/>
                <w:sz w:val="21"/>
                <w:szCs w:val="21"/>
                <w:highlight w:val="none"/>
              </w:rPr>
            </w:pPr>
          </w:p>
        </w:tc>
        <w:tc>
          <w:tcPr>
            <w:tcW w:w="582" w:type="pct"/>
            <w:noWrap w:val="0"/>
            <w:vAlign w:val="center"/>
          </w:tcPr>
          <w:p w14:paraId="28BC30A7">
            <w:pPr>
              <w:jc w:val="center"/>
              <w:outlineLvl w:val="9"/>
              <w:rPr>
                <w:rFonts w:hint="eastAsia" w:ascii="宋体" w:hAnsi="宋体" w:eastAsia="宋体" w:cs="宋体"/>
                <w:color w:val="auto"/>
                <w:sz w:val="21"/>
                <w:szCs w:val="21"/>
                <w:highlight w:val="none"/>
              </w:rPr>
            </w:pPr>
          </w:p>
        </w:tc>
        <w:tc>
          <w:tcPr>
            <w:tcW w:w="926" w:type="pct"/>
            <w:noWrap w:val="0"/>
            <w:vAlign w:val="center"/>
          </w:tcPr>
          <w:p w14:paraId="5384FEE0">
            <w:pPr>
              <w:jc w:val="center"/>
              <w:outlineLvl w:val="9"/>
              <w:rPr>
                <w:rFonts w:hint="eastAsia" w:ascii="宋体" w:hAnsi="宋体" w:eastAsia="宋体" w:cs="宋体"/>
                <w:color w:val="auto"/>
                <w:sz w:val="21"/>
                <w:szCs w:val="21"/>
                <w:highlight w:val="none"/>
              </w:rPr>
            </w:pPr>
          </w:p>
        </w:tc>
        <w:tc>
          <w:tcPr>
            <w:tcW w:w="448" w:type="pct"/>
            <w:noWrap w:val="0"/>
            <w:vAlign w:val="center"/>
          </w:tcPr>
          <w:p w14:paraId="3110B9DA">
            <w:pPr>
              <w:jc w:val="center"/>
              <w:outlineLvl w:val="9"/>
              <w:rPr>
                <w:rFonts w:hint="eastAsia" w:ascii="宋体" w:hAnsi="宋体" w:eastAsia="宋体" w:cs="宋体"/>
                <w:color w:val="auto"/>
                <w:sz w:val="21"/>
                <w:szCs w:val="21"/>
                <w:highlight w:val="none"/>
              </w:rPr>
            </w:pPr>
          </w:p>
        </w:tc>
      </w:tr>
      <w:tr w14:paraId="154C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19" w:hRule="exact"/>
          <w:jc w:val="center"/>
        </w:trPr>
        <w:tc>
          <w:tcPr>
            <w:tcW w:w="417" w:type="pct"/>
            <w:noWrap w:val="0"/>
            <w:vAlign w:val="center"/>
          </w:tcPr>
          <w:p w14:paraId="10C6831F">
            <w:pPr>
              <w:jc w:val="center"/>
              <w:outlineLvl w:val="9"/>
              <w:rPr>
                <w:rFonts w:hint="eastAsia" w:ascii="宋体" w:hAnsi="宋体" w:eastAsia="宋体" w:cs="宋体"/>
                <w:color w:val="auto"/>
                <w:sz w:val="21"/>
                <w:szCs w:val="21"/>
                <w:highlight w:val="none"/>
              </w:rPr>
            </w:pPr>
          </w:p>
        </w:tc>
        <w:tc>
          <w:tcPr>
            <w:tcW w:w="608" w:type="pct"/>
            <w:noWrap w:val="0"/>
            <w:vAlign w:val="center"/>
          </w:tcPr>
          <w:p w14:paraId="378D065F">
            <w:pPr>
              <w:jc w:val="center"/>
              <w:outlineLvl w:val="9"/>
              <w:rPr>
                <w:rFonts w:hint="eastAsia" w:ascii="宋体" w:hAnsi="宋体" w:eastAsia="宋体" w:cs="宋体"/>
                <w:color w:val="auto"/>
                <w:sz w:val="21"/>
                <w:szCs w:val="21"/>
                <w:highlight w:val="none"/>
              </w:rPr>
            </w:pPr>
          </w:p>
        </w:tc>
        <w:tc>
          <w:tcPr>
            <w:tcW w:w="947" w:type="pct"/>
            <w:noWrap w:val="0"/>
            <w:vAlign w:val="center"/>
          </w:tcPr>
          <w:p w14:paraId="10B096F5">
            <w:pPr>
              <w:jc w:val="center"/>
              <w:outlineLvl w:val="9"/>
              <w:rPr>
                <w:rFonts w:hint="eastAsia" w:ascii="宋体" w:hAnsi="宋体" w:eastAsia="宋体" w:cs="宋体"/>
                <w:color w:val="auto"/>
                <w:sz w:val="21"/>
                <w:szCs w:val="21"/>
                <w:highlight w:val="none"/>
              </w:rPr>
            </w:pPr>
          </w:p>
        </w:tc>
        <w:tc>
          <w:tcPr>
            <w:tcW w:w="1069" w:type="pct"/>
            <w:noWrap w:val="0"/>
            <w:vAlign w:val="center"/>
          </w:tcPr>
          <w:p w14:paraId="5B5E665B">
            <w:pPr>
              <w:jc w:val="center"/>
              <w:outlineLvl w:val="9"/>
              <w:rPr>
                <w:rFonts w:hint="eastAsia" w:ascii="宋体" w:hAnsi="宋体" w:eastAsia="宋体" w:cs="宋体"/>
                <w:color w:val="auto"/>
                <w:sz w:val="21"/>
                <w:szCs w:val="21"/>
                <w:highlight w:val="none"/>
              </w:rPr>
            </w:pPr>
          </w:p>
        </w:tc>
        <w:tc>
          <w:tcPr>
            <w:tcW w:w="582" w:type="pct"/>
            <w:noWrap w:val="0"/>
            <w:vAlign w:val="center"/>
          </w:tcPr>
          <w:p w14:paraId="2541C19F">
            <w:pPr>
              <w:jc w:val="center"/>
              <w:outlineLvl w:val="9"/>
              <w:rPr>
                <w:rFonts w:hint="eastAsia" w:ascii="宋体" w:hAnsi="宋体" w:eastAsia="宋体" w:cs="宋体"/>
                <w:color w:val="auto"/>
                <w:sz w:val="21"/>
                <w:szCs w:val="21"/>
                <w:highlight w:val="none"/>
              </w:rPr>
            </w:pPr>
          </w:p>
        </w:tc>
        <w:tc>
          <w:tcPr>
            <w:tcW w:w="926" w:type="pct"/>
            <w:noWrap w:val="0"/>
            <w:vAlign w:val="center"/>
          </w:tcPr>
          <w:p w14:paraId="74D8CD98">
            <w:pPr>
              <w:jc w:val="center"/>
              <w:outlineLvl w:val="9"/>
              <w:rPr>
                <w:rFonts w:hint="eastAsia" w:ascii="宋体" w:hAnsi="宋体" w:eastAsia="宋体" w:cs="宋体"/>
                <w:color w:val="auto"/>
                <w:sz w:val="21"/>
                <w:szCs w:val="21"/>
                <w:highlight w:val="none"/>
              </w:rPr>
            </w:pPr>
          </w:p>
        </w:tc>
        <w:tc>
          <w:tcPr>
            <w:tcW w:w="448" w:type="pct"/>
            <w:noWrap w:val="0"/>
            <w:vAlign w:val="center"/>
          </w:tcPr>
          <w:p w14:paraId="47EF9497">
            <w:pPr>
              <w:jc w:val="center"/>
              <w:outlineLvl w:val="9"/>
              <w:rPr>
                <w:rFonts w:hint="eastAsia" w:ascii="宋体" w:hAnsi="宋体" w:eastAsia="宋体" w:cs="宋体"/>
                <w:color w:val="auto"/>
                <w:sz w:val="21"/>
                <w:szCs w:val="21"/>
                <w:highlight w:val="none"/>
              </w:rPr>
            </w:pPr>
          </w:p>
        </w:tc>
      </w:tr>
      <w:tr w14:paraId="5059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19" w:hRule="exact"/>
          <w:jc w:val="center"/>
        </w:trPr>
        <w:tc>
          <w:tcPr>
            <w:tcW w:w="417" w:type="pct"/>
            <w:noWrap w:val="0"/>
            <w:vAlign w:val="center"/>
          </w:tcPr>
          <w:p w14:paraId="756EF152">
            <w:pPr>
              <w:jc w:val="center"/>
              <w:outlineLvl w:val="9"/>
              <w:rPr>
                <w:rFonts w:hint="eastAsia" w:ascii="宋体" w:hAnsi="宋体" w:eastAsia="宋体" w:cs="宋体"/>
                <w:color w:val="auto"/>
                <w:sz w:val="21"/>
                <w:szCs w:val="21"/>
                <w:highlight w:val="none"/>
              </w:rPr>
            </w:pPr>
          </w:p>
        </w:tc>
        <w:tc>
          <w:tcPr>
            <w:tcW w:w="608" w:type="pct"/>
            <w:noWrap w:val="0"/>
            <w:vAlign w:val="center"/>
          </w:tcPr>
          <w:p w14:paraId="6A532AA5">
            <w:pPr>
              <w:jc w:val="center"/>
              <w:outlineLvl w:val="9"/>
              <w:rPr>
                <w:rFonts w:hint="eastAsia" w:ascii="宋体" w:hAnsi="宋体" w:eastAsia="宋体" w:cs="宋体"/>
                <w:color w:val="auto"/>
                <w:sz w:val="21"/>
                <w:szCs w:val="21"/>
                <w:highlight w:val="none"/>
              </w:rPr>
            </w:pPr>
          </w:p>
        </w:tc>
        <w:tc>
          <w:tcPr>
            <w:tcW w:w="947" w:type="pct"/>
            <w:noWrap w:val="0"/>
            <w:vAlign w:val="center"/>
          </w:tcPr>
          <w:p w14:paraId="3807CA69">
            <w:pPr>
              <w:jc w:val="center"/>
              <w:outlineLvl w:val="9"/>
              <w:rPr>
                <w:rFonts w:hint="eastAsia" w:ascii="宋体" w:hAnsi="宋体" w:eastAsia="宋体" w:cs="宋体"/>
                <w:color w:val="auto"/>
                <w:sz w:val="21"/>
                <w:szCs w:val="21"/>
                <w:highlight w:val="none"/>
              </w:rPr>
            </w:pPr>
          </w:p>
        </w:tc>
        <w:tc>
          <w:tcPr>
            <w:tcW w:w="1069" w:type="pct"/>
            <w:noWrap w:val="0"/>
            <w:vAlign w:val="center"/>
          </w:tcPr>
          <w:p w14:paraId="0E69B42D">
            <w:pPr>
              <w:jc w:val="center"/>
              <w:outlineLvl w:val="9"/>
              <w:rPr>
                <w:rFonts w:hint="eastAsia" w:ascii="宋体" w:hAnsi="宋体" w:eastAsia="宋体" w:cs="宋体"/>
                <w:color w:val="auto"/>
                <w:sz w:val="21"/>
                <w:szCs w:val="21"/>
                <w:highlight w:val="none"/>
              </w:rPr>
            </w:pPr>
          </w:p>
        </w:tc>
        <w:tc>
          <w:tcPr>
            <w:tcW w:w="582" w:type="pct"/>
            <w:noWrap w:val="0"/>
            <w:vAlign w:val="center"/>
          </w:tcPr>
          <w:p w14:paraId="3FFE15A2">
            <w:pPr>
              <w:jc w:val="center"/>
              <w:outlineLvl w:val="9"/>
              <w:rPr>
                <w:rFonts w:hint="eastAsia" w:ascii="宋体" w:hAnsi="宋体" w:eastAsia="宋体" w:cs="宋体"/>
                <w:color w:val="auto"/>
                <w:sz w:val="21"/>
                <w:szCs w:val="21"/>
                <w:highlight w:val="none"/>
              </w:rPr>
            </w:pPr>
          </w:p>
        </w:tc>
        <w:tc>
          <w:tcPr>
            <w:tcW w:w="926" w:type="pct"/>
            <w:noWrap w:val="0"/>
            <w:vAlign w:val="center"/>
          </w:tcPr>
          <w:p w14:paraId="0E979A54">
            <w:pPr>
              <w:jc w:val="center"/>
              <w:outlineLvl w:val="9"/>
              <w:rPr>
                <w:rFonts w:hint="eastAsia" w:ascii="宋体" w:hAnsi="宋体" w:eastAsia="宋体" w:cs="宋体"/>
                <w:color w:val="auto"/>
                <w:sz w:val="21"/>
                <w:szCs w:val="21"/>
                <w:highlight w:val="none"/>
              </w:rPr>
            </w:pPr>
          </w:p>
        </w:tc>
        <w:tc>
          <w:tcPr>
            <w:tcW w:w="448" w:type="pct"/>
            <w:noWrap w:val="0"/>
            <w:vAlign w:val="center"/>
          </w:tcPr>
          <w:p w14:paraId="723C4FE7">
            <w:pPr>
              <w:jc w:val="center"/>
              <w:outlineLvl w:val="9"/>
              <w:rPr>
                <w:rFonts w:hint="eastAsia" w:ascii="宋体" w:hAnsi="宋体" w:eastAsia="宋体" w:cs="宋体"/>
                <w:color w:val="auto"/>
                <w:sz w:val="21"/>
                <w:szCs w:val="21"/>
                <w:highlight w:val="none"/>
              </w:rPr>
            </w:pPr>
          </w:p>
        </w:tc>
      </w:tr>
      <w:tr w14:paraId="4AE3F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29" w:hRule="exact"/>
          <w:jc w:val="center"/>
        </w:trPr>
        <w:tc>
          <w:tcPr>
            <w:tcW w:w="417" w:type="pct"/>
            <w:noWrap w:val="0"/>
            <w:vAlign w:val="center"/>
          </w:tcPr>
          <w:p w14:paraId="4AAECC32">
            <w:pPr>
              <w:jc w:val="center"/>
              <w:outlineLvl w:val="9"/>
              <w:rPr>
                <w:rFonts w:hint="eastAsia" w:ascii="宋体" w:hAnsi="宋体" w:eastAsia="宋体" w:cs="宋体"/>
                <w:color w:val="auto"/>
                <w:sz w:val="21"/>
                <w:szCs w:val="21"/>
                <w:highlight w:val="none"/>
              </w:rPr>
            </w:pPr>
          </w:p>
        </w:tc>
        <w:tc>
          <w:tcPr>
            <w:tcW w:w="608" w:type="pct"/>
            <w:noWrap w:val="0"/>
            <w:vAlign w:val="center"/>
          </w:tcPr>
          <w:p w14:paraId="230F01D4">
            <w:pPr>
              <w:jc w:val="center"/>
              <w:outlineLvl w:val="9"/>
              <w:rPr>
                <w:rFonts w:hint="eastAsia" w:ascii="宋体" w:hAnsi="宋体" w:eastAsia="宋体" w:cs="宋体"/>
                <w:color w:val="auto"/>
                <w:sz w:val="21"/>
                <w:szCs w:val="21"/>
                <w:highlight w:val="none"/>
              </w:rPr>
            </w:pPr>
          </w:p>
        </w:tc>
        <w:tc>
          <w:tcPr>
            <w:tcW w:w="947" w:type="pct"/>
            <w:noWrap w:val="0"/>
            <w:vAlign w:val="center"/>
          </w:tcPr>
          <w:p w14:paraId="7D849328">
            <w:pPr>
              <w:jc w:val="center"/>
              <w:outlineLvl w:val="9"/>
              <w:rPr>
                <w:rFonts w:hint="eastAsia" w:ascii="宋体" w:hAnsi="宋体" w:eastAsia="宋体" w:cs="宋体"/>
                <w:color w:val="auto"/>
                <w:sz w:val="21"/>
                <w:szCs w:val="21"/>
                <w:highlight w:val="none"/>
              </w:rPr>
            </w:pPr>
          </w:p>
        </w:tc>
        <w:tc>
          <w:tcPr>
            <w:tcW w:w="1069" w:type="pct"/>
            <w:noWrap w:val="0"/>
            <w:vAlign w:val="center"/>
          </w:tcPr>
          <w:p w14:paraId="4E8F534D">
            <w:pPr>
              <w:jc w:val="center"/>
              <w:outlineLvl w:val="9"/>
              <w:rPr>
                <w:rFonts w:hint="eastAsia" w:ascii="宋体" w:hAnsi="宋体" w:eastAsia="宋体" w:cs="宋体"/>
                <w:color w:val="auto"/>
                <w:sz w:val="21"/>
                <w:szCs w:val="21"/>
                <w:highlight w:val="none"/>
              </w:rPr>
            </w:pPr>
          </w:p>
        </w:tc>
        <w:tc>
          <w:tcPr>
            <w:tcW w:w="582" w:type="pct"/>
            <w:noWrap w:val="0"/>
            <w:vAlign w:val="center"/>
          </w:tcPr>
          <w:p w14:paraId="2D5A8549">
            <w:pPr>
              <w:jc w:val="center"/>
              <w:outlineLvl w:val="9"/>
              <w:rPr>
                <w:rFonts w:hint="eastAsia" w:ascii="宋体" w:hAnsi="宋体" w:eastAsia="宋体" w:cs="宋体"/>
                <w:color w:val="auto"/>
                <w:sz w:val="21"/>
                <w:szCs w:val="21"/>
                <w:highlight w:val="none"/>
              </w:rPr>
            </w:pPr>
          </w:p>
        </w:tc>
        <w:tc>
          <w:tcPr>
            <w:tcW w:w="926" w:type="pct"/>
            <w:noWrap w:val="0"/>
            <w:vAlign w:val="center"/>
          </w:tcPr>
          <w:p w14:paraId="442CE038">
            <w:pPr>
              <w:jc w:val="center"/>
              <w:outlineLvl w:val="9"/>
              <w:rPr>
                <w:rFonts w:hint="eastAsia" w:ascii="宋体" w:hAnsi="宋体" w:eastAsia="宋体" w:cs="宋体"/>
                <w:color w:val="auto"/>
                <w:sz w:val="21"/>
                <w:szCs w:val="21"/>
                <w:highlight w:val="none"/>
              </w:rPr>
            </w:pPr>
          </w:p>
        </w:tc>
        <w:tc>
          <w:tcPr>
            <w:tcW w:w="448" w:type="pct"/>
            <w:noWrap w:val="0"/>
            <w:vAlign w:val="center"/>
          </w:tcPr>
          <w:p w14:paraId="591A1B0F">
            <w:pPr>
              <w:jc w:val="center"/>
              <w:outlineLvl w:val="9"/>
              <w:rPr>
                <w:rFonts w:hint="eastAsia" w:ascii="宋体" w:hAnsi="宋体" w:eastAsia="宋体" w:cs="宋体"/>
                <w:color w:val="auto"/>
                <w:sz w:val="21"/>
                <w:szCs w:val="21"/>
                <w:highlight w:val="none"/>
              </w:rPr>
            </w:pPr>
          </w:p>
        </w:tc>
      </w:tr>
    </w:tbl>
    <w:p w14:paraId="095D7A79">
      <w:pPr>
        <w:autoSpaceDE w:val="0"/>
        <w:autoSpaceDN w:val="0"/>
        <w:adjustRightInd w:val="0"/>
        <w:snapToGrid w:val="0"/>
        <w:spacing w:line="360" w:lineRule="auto"/>
        <w:ind w:left="186" w:leftChars="-158" w:hanging="518" w:hangingChars="247"/>
        <w:jc w:val="left"/>
        <w:outlineLvl w:val="9"/>
        <w:rPr>
          <w:rFonts w:hint="eastAsia" w:ascii="宋体" w:hAnsi="宋体" w:eastAsia="宋体" w:cs="宋体"/>
          <w:color w:val="auto"/>
          <w:szCs w:val="24"/>
          <w:highlight w:val="none"/>
          <w:lang w:val="zh-CN"/>
        </w:rPr>
      </w:pPr>
    </w:p>
    <w:p w14:paraId="3D77593D">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23DACEC1">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b/>
          <w:bCs/>
          <w:color w:val="auto"/>
          <w:szCs w:val="24"/>
          <w:highlight w:val="none"/>
          <w:u w:val="single"/>
          <w:lang w:val="zh-CN"/>
        </w:rPr>
      </w:pPr>
      <w:r>
        <w:rPr>
          <w:rFonts w:hint="eastAsia" w:ascii="宋体" w:hAnsi="宋体" w:eastAsia="宋体" w:cs="宋体"/>
          <w:color w:val="auto"/>
          <w:szCs w:val="24"/>
          <w:highlight w:val="none"/>
          <w:lang w:val="zh-CN"/>
        </w:rPr>
        <w:t>（1）业绩按单项合同</w:t>
      </w:r>
      <w:r>
        <w:rPr>
          <w:rFonts w:hint="eastAsia" w:ascii="宋体" w:hAnsi="宋体" w:eastAsia="宋体" w:cs="宋体"/>
          <w:color w:val="auto"/>
          <w:szCs w:val="24"/>
          <w:highlight w:val="none"/>
          <w:lang w:val="en-US" w:eastAsia="zh-CN"/>
        </w:rPr>
        <w:t>食堂（或饭堂或餐厅）建筑面积</w:t>
      </w:r>
      <w:r>
        <w:rPr>
          <w:rFonts w:hint="eastAsia" w:ascii="宋体" w:hAnsi="宋体" w:eastAsia="宋体" w:cs="宋体"/>
          <w:color w:val="auto"/>
          <w:szCs w:val="24"/>
          <w:highlight w:val="none"/>
          <w:lang w:val="zh-CN"/>
        </w:rPr>
        <w:t>从高到低的方式排列；</w:t>
      </w:r>
      <w:r>
        <w:rPr>
          <w:rFonts w:hint="eastAsia" w:ascii="宋体" w:hAnsi="宋体" w:eastAsia="宋体" w:cs="宋体"/>
          <w:b/>
          <w:bCs/>
          <w:color w:val="auto"/>
          <w:szCs w:val="24"/>
          <w:highlight w:val="none"/>
          <w:u w:val="single"/>
          <w:lang w:val="zh-CN"/>
        </w:rPr>
        <w:t>同一个单项合同的业绩可以同时在资格业绩和评分业绩重复放置。</w:t>
      </w:r>
    </w:p>
    <w:p w14:paraId="4DBB509E">
      <w:pPr>
        <w:autoSpaceDE w:val="0"/>
        <w:autoSpaceDN w:val="0"/>
        <w:adjustRightInd w:val="0"/>
        <w:snapToGrid w:val="0"/>
        <w:spacing w:line="360" w:lineRule="auto"/>
        <w:ind w:left="483" w:leftChars="-41" w:hanging="569" w:hangingChars="270"/>
        <w:jc w:val="left"/>
        <w:outlineLvl w:val="9"/>
        <w:rPr>
          <w:rFonts w:hint="eastAsia" w:ascii="宋体" w:hAnsi="宋体" w:eastAsia="宋体" w:cs="宋体"/>
          <w:b/>
          <w:bCs/>
          <w:color w:val="auto"/>
          <w:highlight w:val="none"/>
          <w:lang w:val="zh-CN"/>
        </w:rPr>
      </w:pPr>
      <w:r>
        <w:rPr>
          <w:rFonts w:hint="eastAsia" w:ascii="宋体" w:hAnsi="宋体" w:eastAsia="宋体" w:cs="宋体"/>
          <w:b/>
          <w:bCs/>
          <w:color w:val="auto"/>
          <w:szCs w:val="24"/>
          <w:highlight w:val="none"/>
          <w:lang w:val="zh-CN"/>
        </w:rPr>
        <w:t>（</w:t>
      </w:r>
      <w:r>
        <w:rPr>
          <w:rFonts w:hint="eastAsia" w:ascii="宋体" w:hAnsi="宋体" w:eastAsia="宋体" w:cs="宋体"/>
          <w:b/>
          <w:bCs/>
          <w:color w:val="auto"/>
          <w:szCs w:val="24"/>
          <w:highlight w:val="none"/>
          <w:lang w:val="en-US" w:eastAsia="zh-CN"/>
        </w:rPr>
        <w:t>2</w:t>
      </w:r>
      <w:r>
        <w:rPr>
          <w:rFonts w:hint="eastAsia" w:ascii="宋体" w:hAnsi="宋体" w:eastAsia="宋体" w:cs="宋体"/>
          <w:b/>
          <w:bCs/>
          <w:color w:val="auto"/>
          <w:szCs w:val="24"/>
          <w:highlight w:val="none"/>
          <w:lang w:val="zh-CN"/>
        </w:rPr>
        <w:t>）</w:t>
      </w:r>
      <w:r>
        <w:rPr>
          <w:rFonts w:hint="eastAsia" w:ascii="宋体" w:hAnsi="宋体" w:eastAsia="宋体" w:cs="宋体"/>
          <w:b/>
          <w:bCs/>
          <w:color w:val="auto"/>
          <w:highlight w:val="none"/>
          <w:u w:val="single"/>
          <w:lang w:val="zh-CN"/>
        </w:rPr>
        <w:t>业绩必须附合同复印件（</w:t>
      </w:r>
      <w:r>
        <w:rPr>
          <w:rFonts w:hint="eastAsia" w:ascii="宋体" w:hAnsi="宋体" w:eastAsia="宋体" w:cs="宋体"/>
          <w:b/>
          <w:bCs/>
          <w:color w:val="auto"/>
          <w:highlight w:val="none"/>
          <w:u w:val="single"/>
        </w:rPr>
        <w:t>合同服务提供方为投标人</w:t>
      </w:r>
      <w:r>
        <w:rPr>
          <w:rFonts w:hint="eastAsia" w:ascii="宋体" w:hAnsi="宋体" w:eastAsia="宋体" w:cs="宋体"/>
          <w:b/>
          <w:bCs/>
          <w:color w:val="auto"/>
          <w:highlight w:val="none"/>
          <w:u w:val="single"/>
          <w:lang w:val="zh-CN"/>
        </w:rPr>
        <w:t>）。合同必须能反映评分条件</w:t>
      </w:r>
      <w:r>
        <w:rPr>
          <w:rFonts w:hint="eastAsia" w:ascii="宋体" w:hAnsi="宋体" w:eastAsia="宋体" w:cs="宋体"/>
          <w:b/>
          <w:bCs/>
          <w:color w:val="auto"/>
          <w:highlight w:val="none"/>
          <w:u w:val="single"/>
          <w:lang w:val="en-US" w:eastAsia="zh-CN"/>
        </w:rPr>
        <w:t>[</w:t>
      </w:r>
      <w:r>
        <w:rPr>
          <w:rFonts w:hint="eastAsia" w:ascii="宋体" w:hAnsi="宋体" w:eastAsia="宋体" w:cs="宋体"/>
          <w:b/>
          <w:bCs/>
          <w:color w:val="auto"/>
          <w:highlight w:val="none"/>
          <w:u w:val="single"/>
        </w:rPr>
        <w:t>合同签订日期、服务内容、</w:t>
      </w:r>
      <w:r>
        <w:rPr>
          <w:rFonts w:hint="eastAsia" w:ascii="宋体" w:hAnsi="宋体" w:eastAsia="宋体" w:cs="宋体"/>
          <w:b/>
          <w:bCs/>
          <w:color w:val="auto"/>
          <w:highlight w:val="none"/>
          <w:u w:val="single"/>
          <w:lang w:val="en-US" w:eastAsia="zh-CN"/>
        </w:rPr>
        <w:t>食堂（或饭堂或餐厅）建筑面积]</w:t>
      </w:r>
      <w:r>
        <w:rPr>
          <w:rFonts w:hint="eastAsia" w:ascii="宋体" w:hAnsi="宋体" w:eastAsia="宋体" w:cs="宋体"/>
          <w:b/>
          <w:bCs/>
          <w:color w:val="auto"/>
          <w:highlight w:val="none"/>
          <w:u w:val="single"/>
          <w:lang w:val="zh-CN"/>
        </w:rPr>
        <w:t>，</w:t>
      </w:r>
      <w:r>
        <w:rPr>
          <w:rFonts w:hint="eastAsia" w:ascii="宋体" w:hAnsi="宋体" w:eastAsia="宋体" w:cs="宋体"/>
          <w:b/>
          <w:bCs/>
          <w:color w:val="auto"/>
          <w:highlight w:val="none"/>
          <w:u w:val="single"/>
          <w:lang w:val="zh-CN" w:eastAsia="zh-CN"/>
        </w:rPr>
        <w:t>合同服务内容必须同时包含</w:t>
      </w:r>
      <w:r>
        <w:rPr>
          <w:rFonts w:hint="eastAsia" w:ascii="宋体" w:hAnsi="宋体" w:eastAsia="宋体" w:cs="宋体"/>
          <w:b/>
          <w:bCs w:val="0"/>
          <w:color w:val="auto"/>
          <w:szCs w:val="21"/>
          <w:highlight w:val="none"/>
          <w:u w:val="single"/>
          <w:lang w:val="en-US" w:eastAsia="zh-CN"/>
        </w:rPr>
        <w:t>食品（或食材）配送及膳食（或餐饮或食材）加工服务</w:t>
      </w:r>
      <w:r>
        <w:rPr>
          <w:rFonts w:hint="eastAsia" w:ascii="宋体" w:hAnsi="宋体" w:eastAsia="宋体" w:cs="宋体"/>
          <w:b/>
          <w:bCs/>
          <w:color w:val="auto"/>
          <w:highlight w:val="none"/>
          <w:u w:val="single"/>
          <w:lang w:val="zh-CN" w:eastAsia="zh-CN"/>
        </w:rPr>
        <w:t>，否则，需同时提供服务发包人（业主）出具的书面文件复印件作为辅助证明（需加盖服务发包人公章，即复印件能显示服务发包人公章）或提供加盖委托方公章反映评分条件的招标文件复印件，否则不得分。</w:t>
      </w:r>
      <w:r>
        <w:rPr>
          <w:rFonts w:hint="eastAsia" w:ascii="宋体" w:hAnsi="宋体" w:eastAsia="宋体" w:cs="宋体"/>
          <w:b/>
          <w:bCs w:val="0"/>
          <w:color w:val="auto"/>
          <w:szCs w:val="21"/>
          <w:highlight w:val="none"/>
          <w:u w:val="single"/>
          <w:lang w:val="en-US" w:eastAsia="zh-CN"/>
        </w:rPr>
        <w:t>仅食品（或食材）配送或膳食（或餐饮或食材）</w:t>
      </w:r>
      <w:r>
        <w:rPr>
          <w:rFonts w:hint="eastAsia" w:ascii="宋体" w:hAnsi="宋体" w:eastAsia="宋体" w:cs="宋体"/>
          <w:b/>
          <w:bCs/>
          <w:color w:val="auto"/>
          <w:highlight w:val="none"/>
          <w:u w:val="single"/>
          <w:lang w:val="zh-CN" w:eastAsia="zh-CN"/>
        </w:rPr>
        <w:t>加工服务的不得分</w:t>
      </w:r>
      <w:r>
        <w:rPr>
          <w:rFonts w:hint="eastAsia" w:ascii="宋体" w:hAnsi="宋体" w:eastAsia="宋体" w:cs="宋体"/>
          <w:b/>
          <w:bCs/>
          <w:color w:val="auto"/>
          <w:highlight w:val="none"/>
          <w:lang w:val="zh-CN"/>
        </w:rPr>
        <w:t>。</w:t>
      </w:r>
    </w:p>
    <w:p w14:paraId="560E1891">
      <w:pPr>
        <w:snapToGrid w:val="0"/>
        <w:spacing w:line="360" w:lineRule="auto"/>
        <w:ind w:left="483" w:leftChars="-41" w:hanging="569" w:hangingChars="270"/>
        <w:jc w:val="left"/>
        <w:outlineLvl w:val="9"/>
        <w:rPr>
          <w:rFonts w:hint="eastAsia" w:ascii="宋体" w:hAnsi="宋体" w:eastAsia="宋体" w:cs="宋体"/>
          <w:b/>
          <w:bCs/>
          <w:color w:val="auto"/>
          <w:highlight w:val="none"/>
          <w:lang w:eastAsia="zh-CN"/>
        </w:rPr>
      </w:pPr>
      <w:r>
        <w:rPr>
          <w:rFonts w:hint="eastAsia" w:ascii="宋体" w:hAnsi="宋体" w:eastAsia="宋体" w:cs="宋体"/>
          <w:b/>
          <w:bCs/>
          <w:color w:val="auto"/>
          <w:szCs w:val="24"/>
          <w:highlight w:val="none"/>
          <w:lang w:val="zh-CN"/>
        </w:rPr>
        <w:t>（</w:t>
      </w:r>
      <w:r>
        <w:rPr>
          <w:rFonts w:hint="eastAsia" w:ascii="宋体" w:hAnsi="宋体" w:eastAsia="宋体" w:cs="宋体"/>
          <w:b/>
          <w:bCs/>
          <w:color w:val="auto"/>
          <w:szCs w:val="24"/>
          <w:highlight w:val="none"/>
          <w:lang w:val="en-US" w:eastAsia="zh-CN"/>
        </w:rPr>
        <w:t>3</w:t>
      </w:r>
      <w:r>
        <w:rPr>
          <w:rFonts w:hint="eastAsia" w:ascii="宋体" w:hAnsi="宋体" w:eastAsia="宋体" w:cs="宋体"/>
          <w:b/>
          <w:bCs/>
          <w:color w:val="auto"/>
          <w:szCs w:val="24"/>
          <w:highlight w:val="none"/>
          <w:lang w:val="zh-CN"/>
        </w:rPr>
        <w:t>）</w:t>
      </w:r>
      <w:r>
        <w:rPr>
          <w:rFonts w:hint="eastAsia" w:ascii="宋体" w:hAnsi="宋体" w:eastAsia="宋体" w:cs="宋体"/>
          <w:b/>
          <w:bCs/>
          <w:color w:val="auto"/>
          <w:sz w:val="21"/>
          <w:szCs w:val="21"/>
          <w:highlight w:val="none"/>
          <w:u w:val="single"/>
          <w:lang w:val="en-US" w:eastAsia="zh-CN"/>
        </w:rPr>
        <w:t>如果一体化项目的食品（或食材）配送服务和膳食（或餐饮或食材）加工服务合同不属于同一份合同的，投标人需提供两份合同（该两份合同按一个业绩计算），且合同签署方一致，合同签署时间相同</w:t>
      </w:r>
      <w:r>
        <w:rPr>
          <w:rFonts w:hint="eastAsia" w:ascii="宋体" w:hAnsi="宋体" w:eastAsia="宋体" w:cs="宋体"/>
          <w:b/>
          <w:bCs/>
          <w:color w:val="auto"/>
          <w:highlight w:val="none"/>
          <w:lang w:eastAsia="zh-CN"/>
        </w:rPr>
        <w:t>。</w:t>
      </w:r>
    </w:p>
    <w:p w14:paraId="251FC43A">
      <w:pPr>
        <w:autoSpaceDE w:val="0"/>
        <w:autoSpaceDN w:val="0"/>
        <w:adjustRightInd w:val="0"/>
        <w:snapToGrid w:val="0"/>
        <w:spacing w:line="360" w:lineRule="auto"/>
        <w:ind w:left="483" w:leftChars="-41" w:hanging="569" w:hangingChars="270"/>
        <w:jc w:val="left"/>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szCs w:val="24"/>
          <w:highlight w:val="none"/>
          <w:lang w:val="zh-CN"/>
        </w:rPr>
        <w:t>（</w:t>
      </w:r>
      <w:r>
        <w:rPr>
          <w:rFonts w:hint="eastAsia" w:ascii="宋体" w:hAnsi="宋体" w:eastAsia="宋体" w:cs="宋体"/>
          <w:b/>
          <w:bCs/>
          <w:color w:val="auto"/>
          <w:szCs w:val="24"/>
          <w:highlight w:val="none"/>
          <w:lang w:val="en-US" w:eastAsia="zh-CN"/>
        </w:rPr>
        <w:t>4</w:t>
      </w:r>
      <w:r>
        <w:rPr>
          <w:rFonts w:hint="eastAsia" w:ascii="宋体" w:hAnsi="宋体" w:eastAsia="宋体" w:cs="宋体"/>
          <w:b/>
          <w:bCs/>
          <w:color w:val="auto"/>
          <w:szCs w:val="24"/>
          <w:highlight w:val="none"/>
          <w:lang w:val="zh-CN"/>
        </w:rPr>
        <w:t>）</w:t>
      </w:r>
      <w:r>
        <w:rPr>
          <w:rFonts w:hint="eastAsia" w:ascii="宋体" w:hAnsi="宋体" w:eastAsia="宋体" w:cs="宋体"/>
          <w:b/>
          <w:bCs/>
          <w:color w:val="auto"/>
          <w:szCs w:val="24"/>
          <w:highlight w:val="none"/>
          <w:u w:val="single"/>
          <w:lang w:val="zh-CN"/>
        </w:rPr>
        <w:t>未按上述要求在此格式下提供证明材料的业绩，或在此格式下</w:t>
      </w:r>
      <w:r>
        <w:rPr>
          <w:rFonts w:hint="eastAsia" w:ascii="宋体" w:hAnsi="宋体" w:eastAsia="宋体" w:cs="宋体"/>
          <w:b/>
          <w:bCs/>
          <w:color w:val="auto"/>
          <w:highlight w:val="none"/>
          <w:u w:val="single"/>
        </w:rPr>
        <w:t>所附材料无法证明填报项目属投标人完成的或不符合本项评分要求的业绩</w:t>
      </w:r>
      <w:r>
        <w:rPr>
          <w:rFonts w:hint="eastAsia" w:ascii="宋体" w:hAnsi="宋体" w:eastAsia="宋体" w:cs="宋体"/>
          <w:b/>
          <w:bCs/>
          <w:color w:val="auto"/>
          <w:szCs w:val="24"/>
          <w:highlight w:val="none"/>
          <w:u w:val="single"/>
          <w:lang w:val="zh-CN"/>
        </w:rPr>
        <w:t>，在评标时将不予考虑</w:t>
      </w:r>
      <w:r>
        <w:rPr>
          <w:rFonts w:hint="eastAsia" w:ascii="宋体" w:hAnsi="宋体" w:eastAsia="宋体" w:cs="宋体"/>
          <w:b/>
          <w:bCs/>
          <w:color w:val="auto"/>
          <w:kern w:val="0"/>
          <w:szCs w:val="21"/>
          <w:highlight w:val="none"/>
        </w:rPr>
        <w:t>。</w:t>
      </w:r>
    </w:p>
    <w:p w14:paraId="3BD6B5CB">
      <w:pPr>
        <w:snapToGrid w:val="0"/>
        <w:spacing w:line="360" w:lineRule="auto"/>
        <w:ind w:left="399" w:leftChars="-58" w:hanging="521" w:hangingChars="247"/>
        <w:outlineLvl w:val="9"/>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w:t>
      </w: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lang w:val="zh-CN"/>
        </w:rPr>
        <w:t>）</w:t>
      </w:r>
      <w:r>
        <w:rPr>
          <w:rFonts w:hint="eastAsia" w:ascii="宋体" w:hAnsi="宋体" w:eastAsia="宋体" w:cs="宋体"/>
          <w:b/>
          <w:bCs/>
          <w:color w:val="auto"/>
          <w:highlight w:val="none"/>
          <w:u w:val="single"/>
          <w:lang w:val="zh-CN"/>
        </w:rPr>
        <w:t>招标人有权对投标人提供的业绩进行核查，若发现弄虚作假，有权按照评标委员会推荐的中标候选人名单排序依次确定其他中标候选人为中标人或重新招标，并不予退还投标保证金；若合同履行过程中发现弄虚作假，将没收履约担保，并将上报监督管理部门，从严处理</w:t>
      </w:r>
      <w:r>
        <w:rPr>
          <w:rFonts w:hint="eastAsia" w:ascii="宋体" w:hAnsi="宋体" w:eastAsia="宋体" w:cs="宋体"/>
          <w:b/>
          <w:bCs/>
          <w:color w:val="auto"/>
          <w:highlight w:val="none"/>
          <w:lang w:val="zh-CN"/>
        </w:rPr>
        <w:t>。</w:t>
      </w:r>
    </w:p>
    <w:p w14:paraId="7ADAA85D">
      <w:pPr>
        <w:autoSpaceDE/>
        <w:autoSpaceDN/>
        <w:adjustRightInd w:val="0"/>
        <w:snapToGrid w:val="0"/>
        <w:spacing w:line="360" w:lineRule="auto"/>
        <w:ind w:left="525" w:leftChars="-41" w:hanging="611" w:hangingChars="290"/>
        <w:jc w:val="left"/>
        <w:outlineLvl w:val="9"/>
        <w:rPr>
          <w:rFonts w:hint="eastAsia" w:ascii="宋体" w:hAnsi="宋体" w:eastAsia="宋体" w:cs="宋体"/>
          <w:color w:val="auto"/>
          <w:kern w:val="0"/>
          <w:szCs w:val="21"/>
          <w:highlight w:val="none"/>
        </w:rPr>
      </w:pPr>
      <w:r>
        <w:rPr>
          <w:rFonts w:hint="eastAsia" w:ascii="宋体" w:hAnsi="宋体" w:eastAsia="宋体" w:cs="宋体"/>
          <w:b/>
          <w:bCs/>
          <w:color w:val="auto"/>
          <w:highlight w:val="none"/>
          <w:lang w:val="zh-CN"/>
        </w:rPr>
        <w:t>（</w:t>
      </w:r>
      <w:r>
        <w:rPr>
          <w:rFonts w:hint="eastAsia" w:ascii="宋体" w:hAnsi="宋体" w:eastAsia="宋体" w:cs="宋体"/>
          <w:b/>
          <w:bCs/>
          <w:color w:val="auto"/>
          <w:highlight w:val="none"/>
          <w:lang w:val="en-US" w:eastAsia="zh-CN"/>
        </w:rPr>
        <w:t>6</w:t>
      </w:r>
      <w:r>
        <w:rPr>
          <w:rFonts w:hint="eastAsia" w:ascii="宋体" w:hAnsi="宋体" w:eastAsia="宋体" w:cs="宋体"/>
          <w:b/>
          <w:bCs/>
          <w:color w:val="auto"/>
          <w:highlight w:val="none"/>
          <w:lang w:val="zh-CN"/>
        </w:rPr>
        <w:t>）</w:t>
      </w:r>
      <w:r>
        <w:rPr>
          <w:rFonts w:hint="eastAsia" w:ascii="宋体" w:hAnsi="宋体" w:eastAsia="宋体" w:cs="宋体"/>
          <w:b/>
          <w:bCs/>
          <w:color w:val="auto"/>
          <w:highlight w:val="none"/>
          <w:u w:val="single"/>
        </w:rPr>
        <w:t>在接到招标人通知之日起3个工作日内</w:t>
      </w:r>
      <w:r>
        <w:rPr>
          <w:rFonts w:hint="eastAsia" w:ascii="宋体" w:hAnsi="宋体" w:eastAsia="宋体" w:cs="宋体"/>
          <w:b/>
          <w:bCs/>
          <w:color w:val="auto"/>
          <w:highlight w:val="none"/>
          <w:u w:val="single"/>
          <w:lang w:val="zh-CN"/>
        </w:rPr>
        <w:t>，</w:t>
      </w:r>
      <w:r>
        <w:rPr>
          <w:rFonts w:hint="eastAsia" w:ascii="宋体" w:hAnsi="宋体" w:eastAsia="宋体" w:cs="宋体"/>
          <w:b/>
          <w:bCs/>
          <w:color w:val="auto"/>
          <w:highlight w:val="none"/>
          <w:u w:val="single"/>
        </w:rPr>
        <w:t>投标人必须提供上述合同及其证明材料的原件供招标人核对其真实性</w:t>
      </w:r>
      <w:r>
        <w:rPr>
          <w:rFonts w:hint="eastAsia" w:ascii="宋体" w:hAnsi="宋体" w:eastAsia="宋体" w:cs="宋体"/>
          <w:color w:val="auto"/>
          <w:highlight w:val="none"/>
        </w:rPr>
        <w:t>。</w:t>
      </w:r>
    </w:p>
    <w:p w14:paraId="5442BC15">
      <w:pPr>
        <w:autoSpaceDE w:val="0"/>
        <w:autoSpaceDN w:val="0"/>
        <w:adjustRightInd w:val="0"/>
        <w:spacing w:line="360" w:lineRule="auto"/>
        <w:ind w:firstLine="5040" w:firstLineChars="2400"/>
        <w:jc w:val="left"/>
        <w:outlineLvl w:val="9"/>
        <w:rPr>
          <w:rFonts w:hint="eastAsia" w:ascii="宋体" w:hAnsi="宋体" w:eastAsia="宋体" w:cs="宋体"/>
          <w:color w:val="auto"/>
          <w:szCs w:val="24"/>
          <w:highlight w:val="none"/>
          <w:lang w:val="zh-CN"/>
        </w:rPr>
      </w:pPr>
    </w:p>
    <w:p w14:paraId="5A6A801D">
      <w:pPr>
        <w:autoSpaceDE w:val="0"/>
        <w:autoSpaceDN w:val="0"/>
        <w:adjustRightInd w:val="0"/>
        <w:spacing w:line="360" w:lineRule="auto"/>
        <w:ind w:firstLine="5040" w:firstLineChars="24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lang w:val="zh-CN"/>
        </w:rPr>
        <w:t>投标人：（加盖投标人法人公章）</w:t>
      </w:r>
    </w:p>
    <w:p w14:paraId="0F64913B">
      <w:pPr>
        <w:autoSpaceDE w:val="0"/>
        <w:autoSpaceDN w:val="0"/>
        <w:adjustRightInd w:val="0"/>
        <w:spacing w:line="360" w:lineRule="auto"/>
        <w:ind w:firstLine="5040" w:firstLineChars="240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日期：   年   月   日</w:t>
      </w:r>
    </w:p>
    <w:p w14:paraId="06DF2F09">
      <w:pPr>
        <w:autoSpaceDE/>
        <w:autoSpaceDN/>
        <w:adjustRightInd/>
        <w:spacing w:line="240" w:lineRule="auto"/>
        <w:ind w:firstLine="0" w:firstLineChars="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br w:type="page"/>
      </w:r>
    </w:p>
    <w:bookmarkEnd w:id="852"/>
    <w:bookmarkEnd w:id="853"/>
    <w:p w14:paraId="1F8E5BBF">
      <w:pPr>
        <w:pageBreakBefore/>
        <w:spacing w:before="120" w:after="120" w:line="360" w:lineRule="auto"/>
        <w:jc w:val="left"/>
        <w:outlineLvl w:val="9"/>
        <w:rPr>
          <w:rFonts w:hint="eastAsia" w:ascii="宋体" w:hAnsi="宋体" w:eastAsia="宋体" w:cs="宋体"/>
          <w:b/>
          <w:bCs/>
          <w:color w:val="auto"/>
          <w:kern w:val="0"/>
          <w:sz w:val="32"/>
          <w:szCs w:val="32"/>
          <w:highlight w:val="none"/>
          <w:lang w:val="zh-CN"/>
        </w:rPr>
      </w:pPr>
      <w:bookmarkStart w:id="854" w:name="_Toc102860427"/>
      <w:bookmarkStart w:id="855" w:name="_Toc140596938"/>
      <w:bookmarkStart w:id="856" w:name="_Toc19890"/>
      <w:bookmarkStart w:id="857" w:name="_Toc1977737"/>
      <w:bookmarkStart w:id="858" w:name="_Toc94107220"/>
      <w:bookmarkStart w:id="859" w:name="_Toc16185"/>
      <w:bookmarkStart w:id="860" w:name="_Toc18413"/>
      <w:bookmarkStart w:id="861" w:name="_Toc31965"/>
      <w:bookmarkStart w:id="862" w:name="_Toc2433"/>
      <w:bookmarkStart w:id="863" w:name="_Toc533708132"/>
      <w:bookmarkStart w:id="864" w:name="_Toc104991885"/>
      <w:bookmarkStart w:id="865" w:name="_Toc486167719"/>
      <w:bookmarkStart w:id="866" w:name="_Toc142508378"/>
      <w:bookmarkStart w:id="867" w:name="_Toc102860083"/>
      <w:bookmarkStart w:id="868" w:name="_Toc21979"/>
      <w:bookmarkStart w:id="869" w:name="_Toc18175_WPSOffice_Level2"/>
      <w:r>
        <w:rPr>
          <w:rFonts w:hint="eastAsia" w:ascii="宋体" w:hAnsi="宋体" w:eastAsia="宋体" w:cs="宋体"/>
          <w:b/>
          <w:bCs/>
          <w:color w:val="auto"/>
          <w:kern w:val="0"/>
          <w:sz w:val="32"/>
          <w:szCs w:val="32"/>
          <w:highlight w:val="none"/>
          <w:lang w:val="zh-CN"/>
        </w:rPr>
        <w:t>十一、投标保证金汇入情况说明</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p>
    <w:p w14:paraId="236CAB29">
      <w:pPr>
        <w:autoSpaceDE w:val="0"/>
        <w:autoSpaceDN w:val="0"/>
        <w:adjustRightInd w:val="0"/>
        <w:spacing w:line="360" w:lineRule="auto"/>
        <w:jc w:val="left"/>
        <w:outlineLvl w:val="9"/>
        <w:rPr>
          <w:rFonts w:hint="eastAsia" w:ascii="宋体" w:hAnsi="宋体" w:eastAsia="宋体" w:cs="宋体"/>
          <w:color w:val="auto"/>
          <w:szCs w:val="24"/>
          <w:highlight w:val="none"/>
        </w:rPr>
      </w:pPr>
    </w:p>
    <w:p w14:paraId="5BFC8B6D">
      <w:pPr>
        <w:autoSpaceDE w:val="0"/>
        <w:autoSpaceDN w:val="0"/>
        <w:adjustRightInd w:val="0"/>
        <w:spacing w:line="360" w:lineRule="auto"/>
        <w:jc w:val="center"/>
        <w:outlineLvl w:val="9"/>
        <w:rPr>
          <w:rFonts w:hint="eastAsia" w:ascii="宋体" w:hAnsi="宋体" w:eastAsia="宋体" w:cs="宋体"/>
          <w:b/>
          <w:bCs/>
          <w:color w:val="auto"/>
          <w:kern w:val="0"/>
          <w:sz w:val="24"/>
          <w:szCs w:val="24"/>
          <w:highlight w:val="none"/>
        </w:rPr>
      </w:pPr>
      <w:bookmarkStart w:id="870" w:name="_Toc31832_WPSOffice_Level3"/>
      <w:r>
        <w:rPr>
          <w:rFonts w:hint="eastAsia" w:ascii="宋体" w:hAnsi="宋体" w:eastAsia="宋体" w:cs="宋体"/>
          <w:b/>
          <w:bCs/>
          <w:color w:val="auto"/>
          <w:kern w:val="0"/>
          <w:sz w:val="24"/>
          <w:szCs w:val="24"/>
          <w:highlight w:val="none"/>
        </w:rPr>
        <w:t>投标保证金汇入情况说明</w:t>
      </w:r>
      <w:bookmarkEnd w:id="870"/>
    </w:p>
    <w:p w14:paraId="212E475C">
      <w:pPr>
        <w:autoSpaceDE w:val="0"/>
        <w:autoSpaceDN w:val="0"/>
        <w:adjustRightInd w:val="0"/>
        <w:spacing w:line="360" w:lineRule="auto"/>
        <w:jc w:val="center"/>
        <w:outlineLvl w:val="9"/>
        <w:rPr>
          <w:rFonts w:hint="eastAsia" w:ascii="宋体" w:hAnsi="宋体" w:eastAsia="宋体" w:cs="宋体"/>
          <w:b/>
          <w:bCs/>
          <w:color w:val="auto"/>
          <w:kern w:val="0"/>
          <w:szCs w:val="24"/>
          <w:highlight w:val="none"/>
        </w:rPr>
      </w:pPr>
    </w:p>
    <w:p w14:paraId="7F366A90">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东莞市</w:t>
      </w:r>
      <w:r>
        <w:rPr>
          <w:rFonts w:hint="eastAsia" w:ascii="宋体" w:hAnsi="宋体" w:eastAsia="宋体" w:cs="宋体"/>
          <w:color w:val="auto"/>
          <w:szCs w:val="21"/>
          <w:highlight w:val="none"/>
          <w:lang w:val="en-US" w:eastAsia="zh-CN"/>
        </w:rPr>
        <w:t>置拓投资</w:t>
      </w:r>
      <w:r>
        <w:rPr>
          <w:rFonts w:hint="eastAsia" w:ascii="宋体" w:hAnsi="宋体" w:eastAsia="宋体" w:cs="宋体"/>
          <w:color w:val="auto"/>
          <w:szCs w:val="21"/>
          <w:highlight w:val="none"/>
          <w:lang w:eastAsia="zh-CN"/>
        </w:rPr>
        <w:t>有限公司</w:t>
      </w:r>
      <w:r>
        <w:rPr>
          <w:rFonts w:hint="eastAsia" w:ascii="宋体" w:hAnsi="宋体" w:eastAsia="宋体" w:cs="宋体"/>
          <w:color w:val="auto"/>
          <w:szCs w:val="21"/>
          <w:highlight w:val="none"/>
        </w:rPr>
        <w:t>：</w:t>
      </w:r>
    </w:p>
    <w:p w14:paraId="088AC8D8">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lang w:eastAsia="zh-CN"/>
        </w:rPr>
        <w:t>东莞市</w:t>
      </w:r>
      <w:r>
        <w:rPr>
          <w:rFonts w:hint="eastAsia" w:ascii="宋体" w:hAnsi="宋体" w:eastAsia="宋体" w:cs="宋体"/>
          <w:color w:val="auto"/>
          <w:kern w:val="0"/>
          <w:szCs w:val="21"/>
          <w:highlight w:val="none"/>
          <w:u w:val="single"/>
          <w:lang w:val="en-US" w:eastAsia="zh-CN"/>
        </w:rPr>
        <w:t>置拓投资</w:t>
      </w:r>
      <w:r>
        <w:rPr>
          <w:rFonts w:hint="eastAsia" w:ascii="宋体" w:hAnsi="宋体" w:eastAsia="宋体" w:cs="宋体"/>
          <w:color w:val="auto"/>
          <w:kern w:val="0"/>
          <w:szCs w:val="21"/>
          <w:highlight w:val="none"/>
          <w:u w:val="single"/>
          <w:lang w:eastAsia="zh-CN"/>
        </w:rPr>
        <w:t>有限公司</w:t>
      </w:r>
      <w:r>
        <w:rPr>
          <w:rFonts w:hint="eastAsia" w:ascii="宋体" w:hAnsi="宋体" w:eastAsia="宋体" w:cs="宋体"/>
          <w:color w:val="auto"/>
          <w:kern w:val="0"/>
          <w:szCs w:val="21"/>
          <w:highlight w:val="none"/>
          <w:u w:val="single"/>
          <w:lang w:val="en-US" w:eastAsia="zh-CN"/>
        </w:rPr>
        <w:t>水业大厦食堂经营服务</w:t>
      </w:r>
      <w:r>
        <w:rPr>
          <w:rFonts w:hint="eastAsia" w:ascii="宋体" w:hAnsi="宋体" w:eastAsia="宋体" w:cs="宋体"/>
          <w:color w:val="auto"/>
          <w:kern w:val="0"/>
          <w:szCs w:val="21"/>
          <w:highlight w:val="none"/>
          <w:u w:val="single"/>
          <w:lang w:eastAsia="zh-CN"/>
        </w:rPr>
        <w:t>采购项目</w:t>
      </w:r>
      <w:r>
        <w:rPr>
          <w:rFonts w:hint="eastAsia" w:ascii="宋体" w:hAnsi="宋体" w:eastAsia="宋体" w:cs="宋体"/>
          <w:color w:val="auto"/>
          <w:szCs w:val="21"/>
          <w:highlight w:val="none"/>
        </w:rPr>
        <w:t>（招标编号：广建咨询（东招）2025-0020号）的招标文件要求，于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14:paraId="6856BE8B">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14:paraId="62452514">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14:paraId="126F9177">
      <w:pPr>
        <w:spacing w:line="360" w:lineRule="auto"/>
        <w:ind w:firstLine="424" w:firstLineChars="202"/>
        <w:outlineLvl w:val="9"/>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14:paraId="1C41F352">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14:paraId="2E4789EB">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14:paraId="7960E7BC">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省         市         </w:t>
      </w:r>
    </w:p>
    <w:p w14:paraId="3EB2FF59">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1DCDEDD1">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14:paraId="6B29643F">
      <w:pPr>
        <w:spacing w:line="360" w:lineRule="auto"/>
        <w:ind w:right="844" w:rightChars="402" w:firstLine="424" w:firstLineChars="202"/>
        <w:jc w:val="right"/>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14:paraId="4DDBAA0B">
      <w:pPr>
        <w:spacing w:line="360" w:lineRule="auto"/>
        <w:ind w:right="628" w:rightChars="299" w:firstLine="7774" w:firstLineChars="3702"/>
        <w:jc w:val="left"/>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年   月   日</w:t>
      </w:r>
    </w:p>
    <w:p w14:paraId="308C4988">
      <w:pPr>
        <w:spacing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单位名称：</w:t>
      </w:r>
    </w:p>
    <w:p w14:paraId="21205881">
      <w:pPr>
        <w:spacing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单位地址：</w:t>
      </w:r>
    </w:p>
    <w:p w14:paraId="5001FEE4">
      <w:pPr>
        <w:spacing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联系人：</w:t>
      </w:r>
    </w:p>
    <w:p w14:paraId="6A8EF235">
      <w:pPr>
        <w:spacing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14:paraId="3D992C17">
      <w:pPr>
        <w:spacing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联系人手机：</w:t>
      </w:r>
    </w:p>
    <w:p w14:paraId="0B3E675A">
      <w:pPr>
        <w:spacing w:line="360" w:lineRule="auto"/>
        <w:ind w:left="340" w:leftChars="162" w:firstLine="425"/>
        <w:outlineLvl w:val="9"/>
        <w:rPr>
          <w:rFonts w:hint="eastAsia" w:ascii="宋体" w:hAnsi="宋体" w:eastAsia="宋体" w:cs="宋体"/>
          <w:b/>
          <w:bCs/>
          <w:color w:val="auto"/>
          <w:szCs w:val="21"/>
          <w:highlight w:val="none"/>
        </w:rPr>
      </w:pPr>
      <w:bookmarkStart w:id="871" w:name="_Toc26208_WPSOffice_Level3"/>
      <w:r>
        <w:rPr>
          <w:rFonts w:hint="eastAsia" w:ascii="宋体" w:hAnsi="宋体" w:eastAsia="宋体" w:cs="宋体"/>
          <w:b/>
          <w:bCs/>
          <w:color w:val="auto"/>
          <w:szCs w:val="21"/>
          <w:highlight w:val="none"/>
        </w:rPr>
        <w:t>附：1、我方投标保证金汇款凭证（复印件）</w:t>
      </w:r>
      <w:bookmarkEnd w:id="871"/>
    </w:p>
    <w:p w14:paraId="5AD7FEEC">
      <w:pPr>
        <w:spacing w:line="360" w:lineRule="auto"/>
        <w:ind w:left="340" w:leftChars="162" w:firstLine="839" w:firstLineChars="398"/>
        <w:outlineLvl w:val="9"/>
        <w:rPr>
          <w:rFonts w:hint="eastAsia" w:ascii="宋体" w:hAnsi="宋体" w:eastAsia="宋体" w:cs="宋体"/>
          <w:b/>
          <w:bCs/>
          <w:color w:val="auto"/>
          <w:szCs w:val="21"/>
          <w:highlight w:val="none"/>
        </w:rPr>
      </w:pPr>
      <w:bookmarkStart w:id="872" w:name="_Toc12992_WPSOffice_Level3"/>
      <w:r>
        <w:rPr>
          <w:rFonts w:hint="eastAsia" w:ascii="宋体" w:hAnsi="宋体" w:eastAsia="宋体" w:cs="宋体"/>
          <w:b/>
          <w:bCs/>
          <w:color w:val="auto"/>
          <w:szCs w:val="21"/>
          <w:highlight w:val="none"/>
        </w:rPr>
        <w:t>2、我方基本账户开户许可证（复印件）</w:t>
      </w:r>
      <w:bookmarkEnd w:id="872"/>
    </w:p>
    <w:p w14:paraId="692F4FC0">
      <w:pPr>
        <w:spacing w:line="360" w:lineRule="auto"/>
        <w:ind w:left="340" w:leftChars="162" w:firstLine="736" w:firstLineChars="349"/>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14:paraId="1EFCBD4D">
      <w:pPr>
        <w:autoSpaceDE w:val="0"/>
        <w:autoSpaceDN w:val="0"/>
        <w:adjustRightInd w:val="0"/>
        <w:spacing w:line="360" w:lineRule="auto"/>
        <w:ind w:firstLine="5145" w:firstLineChars="2450"/>
        <w:outlineLvl w:val="9"/>
        <w:rPr>
          <w:rFonts w:hint="eastAsia" w:ascii="宋体" w:hAnsi="宋体" w:eastAsia="宋体" w:cs="宋体"/>
          <w:color w:val="auto"/>
          <w:szCs w:val="24"/>
          <w:highlight w:val="none"/>
          <w:lang w:val="zh-CN"/>
        </w:rPr>
      </w:pPr>
    </w:p>
    <w:p w14:paraId="714B1EF0">
      <w:pPr>
        <w:spacing w:line="360" w:lineRule="auto"/>
        <w:outlineLvl w:val="9"/>
        <w:rPr>
          <w:rFonts w:hint="eastAsia" w:ascii="宋体" w:hAnsi="宋体" w:eastAsia="宋体" w:cs="宋体"/>
          <w:b/>
          <w:color w:val="auto"/>
          <w:kern w:val="0"/>
          <w:szCs w:val="21"/>
          <w:highlight w:val="none"/>
        </w:rPr>
      </w:pPr>
      <w:bookmarkStart w:id="873" w:name="_Toc533708134"/>
      <w:bookmarkStart w:id="874" w:name="_Toc486167721"/>
    </w:p>
    <w:p w14:paraId="63AD4586">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bCs/>
          <w:color w:val="auto"/>
          <w:kern w:val="0"/>
          <w:sz w:val="32"/>
          <w:szCs w:val="32"/>
          <w:highlight w:val="none"/>
          <w:lang w:val="zh-CN"/>
        </w:rPr>
      </w:pPr>
      <w:bookmarkStart w:id="875" w:name="_Toc1977738"/>
      <w:bookmarkStart w:id="876" w:name="_Toc102860428"/>
      <w:bookmarkStart w:id="877" w:name="_Toc142508379"/>
      <w:bookmarkStart w:id="878" w:name="_Toc140596939"/>
      <w:bookmarkStart w:id="879" w:name="_Toc94107221"/>
      <w:bookmarkStart w:id="880" w:name="_Toc102860084"/>
      <w:bookmarkStart w:id="881" w:name="_Toc24616"/>
      <w:bookmarkStart w:id="882" w:name="_Toc104991886"/>
    </w:p>
    <w:p w14:paraId="549C4279">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bCs/>
          <w:color w:val="auto"/>
          <w:kern w:val="0"/>
          <w:sz w:val="32"/>
          <w:szCs w:val="32"/>
          <w:highlight w:val="none"/>
          <w:lang w:val="zh-CN"/>
        </w:rPr>
      </w:pPr>
    </w:p>
    <w:p w14:paraId="1E83A897">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bCs/>
          <w:color w:val="auto"/>
          <w:kern w:val="0"/>
          <w:sz w:val="32"/>
          <w:szCs w:val="32"/>
          <w:highlight w:val="none"/>
          <w:lang w:val="en-US" w:eastAsia="zh-CN"/>
        </w:rPr>
      </w:pPr>
      <w:bookmarkStart w:id="883" w:name="_Toc6421"/>
      <w:bookmarkStart w:id="884" w:name="_Toc2007"/>
      <w:bookmarkStart w:id="885" w:name="_Toc7420"/>
      <w:bookmarkStart w:id="886" w:name="_Toc29652"/>
      <w:bookmarkStart w:id="887" w:name="_Toc11074"/>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二</w:t>
      </w:r>
      <w:r>
        <w:rPr>
          <w:rFonts w:hint="eastAsia" w:ascii="宋体" w:hAnsi="宋体" w:eastAsia="宋体" w:cs="宋体"/>
          <w:b/>
          <w:bCs/>
          <w:color w:val="auto"/>
          <w:kern w:val="0"/>
          <w:sz w:val="32"/>
          <w:szCs w:val="32"/>
          <w:highlight w:val="none"/>
          <w:lang w:val="zh-CN"/>
        </w:rPr>
        <w:t>、</w:t>
      </w:r>
      <w:r>
        <w:rPr>
          <w:rFonts w:hint="eastAsia" w:ascii="宋体" w:hAnsi="宋体" w:eastAsia="宋体" w:cs="宋体"/>
          <w:b/>
          <w:bCs/>
          <w:color w:val="auto"/>
          <w:kern w:val="0"/>
          <w:sz w:val="32"/>
          <w:szCs w:val="32"/>
          <w:highlight w:val="none"/>
          <w:lang w:val="en-US" w:eastAsia="zh-CN"/>
        </w:rPr>
        <w:t>投标人服务便利性</w:t>
      </w:r>
      <w:bookmarkEnd w:id="883"/>
    </w:p>
    <w:p w14:paraId="582C39A8">
      <w:pPr>
        <w:pStyle w:val="2"/>
        <w:spacing w:line="360" w:lineRule="auto"/>
        <w:outlineLvl w:val="9"/>
        <w:rPr>
          <w:rFonts w:hint="eastAsia" w:ascii="宋体" w:hAnsi="宋体" w:eastAsia="宋体" w:cs="宋体"/>
          <w:highlight w:val="none"/>
          <w:lang w:val="en-US" w:eastAsia="zh-CN"/>
        </w:rPr>
      </w:pPr>
      <w:r>
        <w:rPr>
          <w:rFonts w:hint="eastAsia" w:ascii="宋体" w:hAnsi="宋体" w:eastAsia="宋体" w:cs="宋体"/>
          <w:b/>
          <w:bCs/>
          <w:color w:val="auto"/>
          <w:kern w:val="0"/>
          <w:sz w:val="32"/>
          <w:szCs w:val="32"/>
          <w:highlight w:val="none"/>
          <w:lang w:val="en-US" w:eastAsia="zh-CN" w:bidi="ar-SA"/>
        </w:rPr>
        <w:t>服务便利性时间情况表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3340"/>
        <w:gridCol w:w="1970"/>
        <w:gridCol w:w="2730"/>
        <w:gridCol w:w="1288"/>
      </w:tblGrid>
      <w:tr w14:paraId="70D61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0" w:type="dxa"/>
            <w:vAlign w:val="center"/>
          </w:tcPr>
          <w:p w14:paraId="1260AE19">
            <w:pPr>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3340" w:type="dxa"/>
            <w:vAlign w:val="center"/>
          </w:tcPr>
          <w:p w14:paraId="62BB86E4">
            <w:pPr>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投标人地址</w:t>
            </w:r>
          </w:p>
        </w:tc>
        <w:tc>
          <w:tcPr>
            <w:tcW w:w="1970" w:type="dxa"/>
            <w:vAlign w:val="center"/>
          </w:tcPr>
          <w:p w14:paraId="2A691A0C">
            <w:pPr>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到水业大厦的距离</w:t>
            </w:r>
          </w:p>
        </w:tc>
        <w:tc>
          <w:tcPr>
            <w:tcW w:w="2730" w:type="dxa"/>
            <w:vAlign w:val="center"/>
          </w:tcPr>
          <w:p w14:paraId="234DDD61">
            <w:pPr>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到达水业大厦时间（分钟）</w:t>
            </w:r>
          </w:p>
        </w:tc>
        <w:tc>
          <w:tcPr>
            <w:tcW w:w="1288" w:type="dxa"/>
            <w:vAlign w:val="center"/>
          </w:tcPr>
          <w:p w14:paraId="49D5C0F6">
            <w:pPr>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7C692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780" w:type="dxa"/>
            <w:vAlign w:val="center"/>
          </w:tcPr>
          <w:p w14:paraId="13E2D695">
            <w:pPr>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340" w:type="dxa"/>
            <w:vAlign w:val="center"/>
          </w:tcPr>
          <w:p w14:paraId="229A984D">
            <w:pPr>
              <w:jc w:val="center"/>
              <w:outlineLvl w:val="9"/>
              <w:rPr>
                <w:rFonts w:hint="eastAsia" w:ascii="宋体" w:hAnsi="宋体" w:eastAsia="宋体" w:cs="宋体"/>
                <w:color w:val="auto"/>
                <w:sz w:val="21"/>
                <w:szCs w:val="21"/>
                <w:highlight w:val="none"/>
                <w:lang w:val="en-US" w:eastAsia="zh-CN"/>
              </w:rPr>
            </w:pPr>
          </w:p>
        </w:tc>
        <w:tc>
          <w:tcPr>
            <w:tcW w:w="1970" w:type="dxa"/>
            <w:vAlign w:val="center"/>
          </w:tcPr>
          <w:p w14:paraId="3BD7FDF6">
            <w:pPr>
              <w:jc w:val="center"/>
              <w:outlineLvl w:val="9"/>
              <w:rPr>
                <w:rFonts w:hint="eastAsia" w:ascii="宋体" w:hAnsi="宋体" w:eastAsia="宋体" w:cs="宋体"/>
                <w:color w:val="auto"/>
                <w:sz w:val="21"/>
                <w:szCs w:val="21"/>
                <w:highlight w:val="none"/>
                <w:lang w:val="en-US" w:eastAsia="zh-CN"/>
              </w:rPr>
            </w:pPr>
          </w:p>
        </w:tc>
        <w:tc>
          <w:tcPr>
            <w:tcW w:w="2730" w:type="dxa"/>
            <w:vAlign w:val="center"/>
          </w:tcPr>
          <w:p w14:paraId="0FED5166">
            <w:pPr>
              <w:jc w:val="center"/>
              <w:outlineLvl w:val="9"/>
              <w:rPr>
                <w:rFonts w:hint="eastAsia" w:ascii="宋体" w:hAnsi="宋体" w:eastAsia="宋体" w:cs="宋体"/>
                <w:color w:val="auto"/>
                <w:sz w:val="21"/>
                <w:szCs w:val="21"/>
                <w:highlight w:val="none"/>
                <w:lang w:val="en-US" w:eastAsia="zh-CN"/>
              </w:rPr>
            </w:pPr>
          </w:p>
        </w:tc>
        <w:tc>
          <w:tcPr>
            <w:tcW w:w="1288" w:type="dxa"/>
            <w:vAlign w:val="center"/>
          </w:tcPr>
          <w:p w14:paraId="049566C5">
            <w:pPr>
              <w:jc w:val="center"/>
              <w:outlineLvl w:val="9"/>
              <w:rPr>
                <w:rFonts w:hint="eastAsia" w:ascii="宋体" w:hAnsi="宋体" w:eastAsia="宋体" w:cs="宋体"/>
                <w:color w:val="auto"/>
                <w:sz w:val="21"/>
                <w:szCs w:val="21"/>
                <w:highlight w:val="none"/>
                <w:lang w:val="en-US" w:eastAsia="zh-CN"/>
              </w:rPr>
            </w:pPr>
          </w:p>
        </w:tc>
      </w:tr>
      <w:tr w14:paraId="336F4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80" w:type="dxa"/>
            <w:vAlign w:val="center"/>
          </w:tcPr>
          <w:p w14:paraId="5EB8A20A">
            <w:pPr>
              <w:jc w:val="center"/>
              <w:outlineLvl w:val="9"/>
              <w:rPr>
                <w:rFonts w:hint="eastAsia" w:ascii="宋体" w:hAnsi="宋体" w:eastAsia="宋体" w:cs="宋体"/>
                <w:color w:val="auto"/>
                <w:sz w:val="21"/>
                <w:szCs w:val="21"/>
                <w:highlight w:val="none"/>
                <w:lang w:val="en-US" w:eastAsia="zh-CN"/>
              </w:rPr>
            </w:pPr>
          </w:p>
        </w:tc>
        <w:tc>
          <w:tcPr>
            <w:tcW w:w="3340" w:type="dxa"/>
            <w:vAlign w:val="center"/>
          </w:tcPr>
          <w:p w14:paraId="1ECBF5BD">
            <w:pPr>
              <w:jc w:val="center"/>
              <w:outlineLvl w:val="9"/>
              <w:rPr>
                <w:rFonts w:hint="eastAsia" w:ascii="宋体" w:hAnsi="宋体" w:eastAsia="宋体" w:cs="宋体"/>
                <w:color w:val="auto"/>
                <w:sz w:val="21"/>
                <w:szCs w:val="21"/>
                <w:highlight w:val="none"/>
                <w:lang w:val="en-US" w:eastAsia="zh-CN"/>
              </w:rPr>
            </w:pPr>
          </w:p>
        </w:tc>
        <w:tc>
          <w:tcPr>
            <w:tcW w:w="1970" w:type="dxa"/>
            <w:vAlign w:val="center"/>
          </w:tcPr>
          <w:p w14:paraId="09B634D6">
            <w:pPr>
              <w:jc w:val="center"/>
              <w:outlineLvl w:val="9"/>
              <w:rPr>
                <w:rFonts w:hint="eastAsia" w:ascii="宋体" w:hAnsi="宋体" w:eastAsia="宋体" w:cs="宋体"/>
                <w:color w:val="auto"/>
                <w:sz w:val="21"/>
                <w:szCs w:val="21"/>
                <w:highlight w:val="none"/>
                <w:lang w:val="en-US" w:eastAsia="zh-CN"/>
              </w:rPr>
            </w:pPr>
          </w:p>
        </w:tc>
        <w:tc>
          <w:tcPr>
            <w:tcW w:w="2730" w:type="dxa"/>
            <w:vAlign w:val="center"/>
          </w:tcPr>
          <w:p w14:paraId="3543EE2C">
            <w:pPr>
              <w:jc w:val="center"/>
              <w:outlineLvl w:val="9"/>
              <w:rPr>
                <w:rFonts w:hint="eastAsia" w:ascii="宋体" w:hAnsi="宋体" w:eastAsia="宋体" w:cs="宋体"/>
                <w:color w:val="auto"/>
                <w:sz w:val="21"/>
                <w:szCs w:val="21"/>
                <w:highlight w:val="none"/>
                <w:lang w:val="en-US" w:eastAsia="zh-CN"/>
              </w:rPr>
            </w:pPr>
          </w:p>
        </w:tc>
        <w:tc>
          <w:tcPr>
            <w:tcW w:w="1288" w:type="dxa"/>
            <w:vAlign w:val="center"/>
          </w:tcPr>
          <w:p w14:paraId="5EDF9396">
            <w:pPr>
              <w:jc w:val="center"/>
              <w:outlineLvl w:val="9"/>
              <w:rPr>
                <w:rFonts w:hint="eastAsia" w:ascii="宋体" w:hAnsi="宋体" w:eastAsia="宋体" w:cs="宋体"/>
                <w:color w:val="auto"/>
                <w:sz w:val="21"/>
                <w:szCs w:val="21"/>
                <w:highlight w:val="none"/>
                <w:lang w:val="en-US" w:eastAsia="zh-CN"/>
              </w:rPr>
            </w:pPr>
          </w:p>
        </w:tc>
      </w:tr>
    </w:tbl>
    <w:p w14:paraId="1CAD0160">
      <w:pPr>
        <w:numPr>
          <w:ilvl w:val="0"/>
          <w:numId w:val="0"/>
        </w:numPr>
        <w:spacing w:line="360" w:lineRule="auto"/>
        <w:outlineLvl w:val="9"/>
        <w:rPr>
          <w:rFonts w:hint="eastAsia" w:ascii="宋体" w:hAnsi="宋体" w:eastAsia="宋体" w:cs="宋体"/>
          <w:sz w:val="21"/>
          <w:szCs w:val="21"/>
          <w:highlight w:val="none"/>
          <w:lang w:val="en-US" w:eastAsia="zh-CN"/>
        </w:rPr>
      </w:pPr>
    </w:p>
    <w:p w14:paraId="6879527A">
      <w:pPr>
        <w:numPr>
          <w:ilvl w:val="0"/>
          <w:numId w:val="0"/>
        </w:numPr>
        <w:spacing w:line="360" w:lineRule="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备注：</w:t>
      </w:r>
    </w:p>
    <w:p w14:paraId="46E87123">
      <w:pPr>
        <w:autoSpaceDE w:val="0"/>
        <w:autoSpaceDN w:val="0"/>
        <w:adjustRightInd w:val="0"/>
        <w:snapToGrid w:val="0"/>
        <w:spacing w:line="360" w:lineRule="auto"/>
        <w:ind w:left="691" w:leftChars="59" w:hanging="567" w:hangingChars="270"/>
        <w:jc w:val="left"/>
        <w:outlineLvl w:val="9"/>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（1）投标人注册地或其分支机构地址以提供的营业执照或办公场所租赁合同或产权证明的地址为准，需提供前述证明复印件，否则评审时将不予考虑。</w:t>
      </w:r>
    </w:p>
    <w:p w14:paraId="7E853702">
      <w:pPr>
        <w:autoSpaceDE w:val="0"/>
        <w:autoSpaceDN w:val="0"/>
        <w:adjustRightInd w:val="0"/>
        <w:snapToGrid w:val="0"/>
        <w:spacing w:line="360" w:lineRule="auto"/>
        <w:ind w:left="691" w:leftChars="59" w:hanging="567" w:hangingChars="270"/>
        <w:jc w:val="left"/>
        <w:outlineLvl w:val="9"/>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投标人需提供从投标人注册地或其分支机构地址到达指定地点的路线图导航截屏（需体现投标人注册地或其分支机构地址至指定地点的名称、距离以及用时等关键因素），未提供相关证明资料或不符合本项评分要求的，在评审时将不予考虑。</w:t>
      </w:r>
    </w:p>
    <w:p w14:paraId="7A4EB924">
      <w:pPr>
        <w:autoSpaceDE w:val="0"/>
        <w:autoSpaceDN w:val="0"/>
        <w:adjustRightInd w:val="0"/>
        <w:spacing w:line="360" w:lineRule="auto"/>
        <w:ind w:firstLine="5040" w:firstLineChars="2400"/>
        <w:jc w:val="left"/>
        <w:outlineLvl w:val="9"/>
        <w:rPr>
          <w:rFonts w:hint="eastAsia" w:ascii="宋体" w:hAnsi="宋体" w:eastAsia="宋体" w:cs="宋体"/>
          <w:color w:val="auto"/>
          <w:szCs w:val="24"/>
          <w:highlight w:val="none"/>
          <w:lang w:val="zh-CN"/>
        </w:rPr>
      </w:pPr>
    </w:p>
    <w:p w14:paraId="42D55A86">
      <w:pPr>
        <w:autoSpaceDE w:val="0"/>
        <w:autoSpaceDN w:val="0"/>
        <w:adjustRightInd w:val="0"/>
        <w:spacing w:line="360" w:lineRule="auto"/>
        <w:ind w:firstLine="5040" w:firstLineChars="2400"/>
        <w:jc w:val="left"/>
        <w:outlineLvl w:val="9"/>
        <w:rPr>
          <w:rFonts w:hint="eastAsia" w:ascii="宋体" w:hAnsi="宋体" w:eastAsia="宋体" w:cs="宋体"/>
          <w:color w:val="auto"/>
          <w:szCs w:val="24"/>
          <w:highlight w:val="none"/>
          <w:lang w:val="zh-CN"/>
        </w:rPr>
      </w:pPr>
    </w:p>
    <w:p w14:paraId="335EDAA0">
      <w:pPr>
        <w:autoSpaceDE w:val="0"/>
        <w:autoSpaceDN w:val="0"/>
        <w:adjustRightInd w:val="0"/>
        <w:spacing w:line="360" w:lineRule="auto"/>
        <w:ind w:firstLine="5040" w:firstLineChars="2400"/>
        <w:jc w:val="left"/>
        <w:outlineLvl w:val="9"/>
        <w:rPr>
          <w:rFonts w:hint="eastAsia" w:ascii="宋体" w:hAnsi="宋体" w:eastAsia="宋体" w:cs="宋体"/>
          <w:color w:val="auto"/>
          <w:szCs w:val="24"/>
          <w:highlight w:val="none"/>
          <w:lang w:val="zh-CN"/>
        </w:rPr>
      </w:pPr>
    </w:p>
    <w:p w14:paraId="6C9D57ED">
      <w:pPr>
        <w:autoSpaceDE w:val="0"/>
        <w:autoSpaceDN w:val="0"/>
        <w:adjustRightInd w:val="0"/>
        <w:spacing w:line="360" w:lineRule="auto"/>
        <w:ind w:firstLine="5040" w:firstLineChars="24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lang w:val="zh-CN"/>
        </w:rPr>
        <w:t>投标人：（加盖投标人法人公章）</w:t>
      </w:r>
    </w:p>
    <w:p w14:paraId="27008BC3">
      <w:pPr>
        <w:autoSpaceDE w:val="0"/>
        <w:autoSpaceDN w:val="0"/>
        <w:adjustRightInd w:val="0"/>
        <w:spacing w:line="360" w:lineRule="auto"/>
        <w:ind w:firstLine="5040" w:firstLineChars="2400"/>
        <w:jc w:val="left"/>
        <w:outlineLvl w:val="9"/>
        <w:rPr>
          <w:rFonts w:hint="eastAsia" w:ascii="宋体" w:hAnsi="宋体" w:eastAsia="宋体" w:cs="宋体"/>
          <w:highlight w:val="none"/>
          <w:lang w:val="en-US" w:eastAsia="zh-CN"/>
        </w:rPr>
      </w:pPr>
      <w:r>
        <w:rPr>
          <w:rFonts w:hint="eastAsia" w:ascii="宋体" w:hAnsi="宋体" w:eastAsia="宋体" w:cs="宋体"/>
          <w:color w:val="auto"/>
          <w:szCs w:val="24"/>
          <w:highlight w:val="none"/>
          <w:lang w:val="zh-CN"/>
        </w:rPr>
        <w:t>日期：   年   月   日</w:t>
      </w:r>
    </w:p>
    <w:p w14:paraId="15DF3535">
      <w:pPr>
        <w:keepNext w:val="0"/>
        <w:keepLines w:val="0"/>
        <w:pageBreakBefore/>
        <w:widowControl w:val="0"/>
        <w:tabs>
          <w:tab w:val="left" w:pos="567"/>
        </w:tabs>
        <w:kinsoku/>
        <w:wordWrap/>
        <w:overflowPunct/>
        <w:topLinePunct w:val="0"/>
        <w:autoSpaceDE w:val="0"/>
        <w:autoSpaceDN w:val="0"/>
        <w:bidi w:val="0"/>
        <w:adjustRightInd w:val="0"/>
        <w:snapToGrid/>
        <w:spacing w:line="360" w:lineRule="auto"/>
        <w:ind w:left="357" w:leftChars="-100" w:hanging="567"/>
        <w:jc w:val="left"/>
        <w:textAlignment w:val="auto"/>
        <w:outlineLvl w:val="9"/>
        <w:rPr>
          <w:rFonts w:hint="eastAsia"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888" w:name="_Toc11730"/>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三</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bookmarkEnd w:id="875"/>
      <w:bookmarkEnd w:id="876"/>
      <w:bookmarkEnd w:id="877"/>
      <w:bookmarkEnd w:id="878"/>
      <w:bookmarkEnd w:id="879"/>
      <w:bookmarkEnd w:id="880"/>
      <w:bookmarkEnd w:id="881"/>
      <w:bookmarkEnd w:id="882"/>
      <w:bookmarkEnd w:id="884"/>
      <w:bookmarkEnd w:id="885"/>
      <w:bookmarkEnd w:id="886"/>
      <w:bookmarkEnd w:id="887"/>
      <w:bookmarkEnd w:id="888"/>
    </w:p>
    <w:p w14:paraId="06E4B61B">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color w:val="auto"/>
          <w:kern w:val="0"/>
          <w:sz w:val="32"/>
          <w:szCs w:val="32"/>
          <w:highlight w:val="none"/>
        </w:rPr>
      </w:pPr>
      <w:bookmarkStart w:id="889" w:name="_Toc27482"/>
      <w:bookmarkStart w:id="890" w:name="_Toc104991887"/>
      <w:bookmarkStart w:id="891" w:name="_Toc140596940"/>
      <w:bookmarkStart w:id="892" w:name="_Toc18038"/>
      <w:bookmarkStart w:id="893" w:name="_Toc102860085"/>
      <w:bookmarkStart w:id="894" w:name="_Toc5772"/>
      <w:bookmarkStart w:id="895" w:name="_Toc142508380"/>
      <w:bookmarkStart w:id="896" w:name="_Toc1977739"/>
      <w:bookmarkStart w:id="897" w:name="_Toc102860429"/>
      <w:bookmarkStart w:id="898" w:name="_Toc10308"/>
      <w:bookmarkStart w:id="899" w:name="_Toc31389"/>
      <w:bookmarkStart w:id="900" w:name="_Toc31916"/>
      <w:bookmarkStart w:id="901" w:name="_Toc94107222"/>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、技术响应文件格式</w:t>
      </w:r>
      <w:bookmarkEnd w:id="873"/>
      <w:bookmarkEnd w:id="889"/>
      <w:bookmarkEnd w:id="890"/>
      <w:bookmarkEnd w:id="891"/>
      <w:bookmarkEnd w:id="892"/>
      <w:bookmarkEnd w:id="893"/>
      <w:bookmarkEnd w:id="894"/>
      <w:bookmarkEnd w:id="895"/>
      <w:bookmarkEnd w:id="896"/>
      <w:bookmarkEnd w:id="897"/>
      <w:bookmarkEnd w:id="898"/>
      <w:bookmarkEnd w:id="899"/>
      <w:bookmarkEnd w:id="900"/>
      <w:bookmarkEnd w:id="901"/>
    </w:p>
    <w:p w14:paraId="6C924697">
      <w:pPr>
        <w:tabs>
          <w:tab w:val="left" w:pos="8640"/>
        </w:tabs>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14:paraId="734C3987">
      <w:pPr>
        <w:spacing w:line="360" w:lineRule="auto"/>
        <w:ind w:left="443" w:leftChars="77" w:hanging="281" w:hangingChars="134"/>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w:t>
      </w:r>
      <w:r>
        <w:rPr>
          <w:rFonts w:hint="eastAsia" w:ascii="宋体" w:hAnsi="宋体" w:eastAsia="宋体" w:cs="宋体"/>
          <w:color w:val="auto"/>
          <w:kern w:val="0"/>
          <w:szCs w:val="21"/>
          <w:highlight w:val="none"/>
          <w:lang w:val="en-US" w:eastAsia="zh-CN"/>
        </w:rPr>
        <w:t>14</w:t>
      </w:r>
      <w:r>
        <w:rPr>
          <w:rFonts w:hint="eastAsia" w:ascii="宋体" w:hAnsi="宋体" w:eastAsia="宋体" w:cs="宋体"/>
          <w:color w:val="auto"/>
          <w:kern w:val="0"/>
          <w:szCs w:val="21"/>
          <w:highlight w:val="none"/>
        </w:rPr>
        <w:t>.1用户需求偏离表格式）；</w:t>
      </w:r>
    </w:p>
    <w:p w14:paraId="74E85361">
      <w:pPr>
        <w:spacing w:line="360" w:lineRule="auto"/>
        <w:ind w:left="443" w:leftChars="77" w:hanging="281" w:hangingChars="134"/>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2、食堂总体运营服务方案</w:t>
      </w:r>
      <w:r>
        <w:rPr>
          <w:rFonts w:hint="eastAsia" w:ascii="宋体" w:hAnsi="宋体" w:eastAsia="宋体" w:cs="宋体"/>
          <w:color w:val="auto"/>
          <w:kern w:val="0"/>
          <w:szCs w:val="21"/>
          <w:highlight w:val="none"/>
          <w:lang w:val="zh-CN"/>
        </w:rPr>
        <w:t>；</w:t>
      </w:r>
    </w:p>
    <w:p w14:paraId="0C47FE75">
      <w:pPr>
        <w:spacing w:line="360" w:lineRule="auto"/>
        <w:ind w:left="443" w:leftChars="77" w:hanging="281" w:hangingChars="134"/>
        <w:outlineLvl w:val="9"/>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3、供餐服务方案</w:t>
      </w:r>
      <w:r>
        <w:rPr>
          <w:rFonts w:hint="eastAsia" w:ascii="宋体" w:hAnsi="宋体" w:eastAsia="宋体" w:cs="宋体"/>
          <w:color w:val="auto"/>
          <w:kern w:val="0"/>
          <w:szCs w:val="21"/>
          <w:highlight w:val="none"/>
          <w:lang w:eastAsia="zh-CN"/>
        </w:rPr>
        <w:t>；</w:t>
      </w:r>
    </w:p>
    <w:p w14:paraId="6FD42359">
      <w:pPr>
        <w:spacing w:line="360" w:lineRule="auto"/>
        <w:ind w:left="443" w:leftChars="77" w:hanging="281" w:hangingChars="134"/>
        <w:outlineLvl w:val="9"/>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4、食材配送方案</w:t>
      </w:r>
      <w:r>
        <w:rPr>
          <w:rFonts w:hint="eastAsia" w:ascii="宋体" w:hAnsi="宋体" w:eastAsia="宋体" w:cs="宋体"/>
          <w:color w:val="auto"/>
          <w:kern w:val="0"/>
          <w:szCs w:val="21"/>
          <w:highlight w:val="none"/>
          <w:lang w:eastAsia="zh-CN"/>
        </w:rPr>
        <w:t>；</w:t>
      </w:r>
    </w:p>
    <w:p w14:paraId="31896E6D">
      <w:pPr>
        <w:spacing w:line="360" w:lineRule="auto"/>
        <w:ind w:left="443" w:leftChars="77" w:hanging="281" w:hangingChars="134"/>
        <w:outlineLvl w:val="9"/>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5、食品安全卫生与安全生产管理措施</w:t>
      </w:r>
      <w:r>
        <w:rPr>
          <w:rFonts w:hint="eastAsia" w:ascii="宋体" w:hAnsi="宋体" w:eastAsia="宋体" w:cs="宋体"/>
          <w:color w:val="auto"/>
          <w:kern w:val="0"/>
          <w:szCs w:val="21"/>
          <w:highlight w:val="none"/>
          <w:lang w:eastAsia="zh-CN"/>
        </w:rPr>
        <w:t>；</w:t>
      </w:r>
    </w:p>
    <w:p w14:paraId="1FE8A3FF">
      <w:pPr>
        <w:spacing w:line="360" w:lineRule="auto"/>
        <w:ind w:left="443" w:leftChars="77" w:hanging="281" w:hangingChars="134"/>
        <w:outlineLvl w:val="9"/>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6、拟投入本项目的食堂经营团队</w:t>
      </w:r>
      <w:r>
        <w:rPr>
          <w:rFonts w:hint="eastAsia" w:ascii="宋体" w:hAnsi="宋体" w:eastAsia="宋体" w:cs="宋体"/>
          <w:color w:val="auto"/>
          <w:kern w:val="0"/>
          <w:szCs w:val="21"/>
          <w:highlight w:val="none"/>
          <w:lang w:eastAsia="zh-CN"/>
        </w:rPr>
        <w:t>；</w:t>
      </w:r>
    </w:p>
    <w:p w14:paraId="6A382CCD">
      <w:pPr>
        <w:spacing w:line="360" w:lineRule="auto"/>
        <w:ind w:left="443" w:leftChars="77" w:hanging="281" w:hangingChars="134"/>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7、拟投入本项目的食堂智能支付系统及称重设备；</w:t>
      </w:r>
    </w:p>
    <w:p w14:paraId="17CF4416">
      <w:pPr>
        <w:spacing w:line="360" w:lineRule="auto"/>
        <w:ind w:left="443" w:leftChars="77" w:hanging="281" w:hangingChars="134"/>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8、食堂应急预案和保障措施</w:t>
      </w:r>
    </w:p>
    <w:p w14:paraId="3C80B6C8">
      <w:pPr>
        <w:spacing w:line="360" w:lineRule="auto"/>
        <w:ind w:left="443" w:leftChars="77" w:hanging="281" w:hangingChars="134"/>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、投标人认为有必要提供的其它材料（不做强制要求）。</w:t>
      </w:r>
    </w:p>
    <w:p w14:paraId="028FE79F">
      <w:pPr>
        <w:pStyle w:val="19"/>
        <w:spacing w:line="360" w:lineRule="auto"/>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bookmarkEnd w:id="874"/>
      <w:bookmarkStart w:id="902" w:name="_Toc140596941"/>
      <w:bookmarkStart w:id="903" w:name="_Toc94107223"/>
      <w:bookmarkStart w:id="904" w:name="_Toc533708135"/>
      <w:bookmarkStart w:id="905" w:name="_Toc102860086"/>
      <w:bookmarkStart w:id="906" w:name="_Toc142508381"/>
      <w:bookmarkStart w:id="907" w:name="_Toc104991888"/>
      <w:bookmarkStart w:id="908" w:name="_Toc1977740"/>
      <w:bookmarkStart w:id="909" w:name="_Toc102860430"/>
    </w:p>
    <w:p w14:paraId="4E4BF71E">
      <w:pPr>
        <w:pStyle w:val="19"/>
        <w:spacing w:line="360" w:lineRule="auto"/>
        <w:jc w:val="center"/>
        <w:outlineLvl w:val="9"/>
        <w:rPr>
          <w:rFonts w:hint="eastAsia" w:ascii="宋体" w:hAnsi="宋体" w:eastAsia="宋体" w:cs="宋体"/>
          <w:b/>
          <w:color w:val="auto"/>
          <w:kern w:val="0"/>
          <w:szCs w:val="21"/>
          <w:highlight w:val="none"/>
        </w:rPr>
      </w:pPr>
    </w:p>
    <w:p w14:paraId="0211CB7C">
      <w:pPr>
        <w:pStyle w:val="19"/>
        <w:spacing w:line="360" w:lineRule="auto"/>
        <w:jc w:val="center"/>
        <w:outlineLvl w:val="9"/>
        <w:rPr>
          <w:rFonts w:hint="eastAsia" w:ascii="宋体" w:hAnsi="宋体" w:eastAsia="宋体" w:cs="宋体"/>
          <w:b/>
          <w:color w:val="auto"/>
          <w:kern w:val="0"/>
          <w:szCs w:val="21"/>
          <w:highlight w:val="none"/>
        </w:rPr>
      </w:pPr>
    </w:p>
    <w:p w14:paraId="62E9A8C2">
      <w:pPr>
        <w:pStyle w:val="19"/>
        <w:spacing w:line="360" w:lineRule="auto"/>
        <w:jc w:val="center"/>
        <w:outlineLvl w:val="9"/>
        <w:rPr>
          <w:rFonts w:hint="eastAsia" w:ascii="宋体" w:hAnsi="宋体" w:eastAsia="宋体" w:cs="宋体"/>
          <w:b/>
          <w:color w:val="auto"/>
          <w:kern w:val="0"/>
          <w:szCs w:val="21"/>
          <w:highlight w:val="none"/>
        </w:rPr>
      </w:pPr>
    </w:p>
    <w:p w14:paraId="23EF4CBD">
      <w:pPr>
        <w:pStyle w:val="19"/>
        <w:spacing w:line="360" w:lineRule="auto"/>
        <w:jc w:val="center"/>
        <w:outlineLvl w:val="9"/>
        <w:rPr>
          <w:rFonts w:hint="eastAsia" w:ascii="宋体" w:hAnsi="宋体" w:eastAsia="宋体" w:cs="宋体"/>
          <w:b/>
          <w:color w:val="auto"/>
          <w:kern w:val="0"/>
          <w:szCs w:val="21"/>
          <w:highlight w:val="none"/>
        </w:rPr>
      </w:pPr>
    </w:p>
    <w:p w14:paraId="3D77D9AD">
      <w:pPr>
        <w:pStyle w:val="19"/>
        <w:spacing w:line="360" w:lineRule="auto"/>
        <w:jc w:val="center"/>
        <w:outlineLvl w:val="9"/>
        <w:rPr>
          <w:rFonts w:hint="eastAsia" w:ascii="宋体" w:hAnsi="宋体" w:eastAsia="宋体" w:cs="宋体"/>
          <w:b/>
          <w:color w:val="auto"/>
          <w:kern w:val="0"/>
          <w:szCs w:val="21"/>
          <w:highlight w:val="none"/>
        </w:rPr>
      </w:pPr>
    </w:p>
    <w:p w14:paraId="4910DD40">
      <w:pPr>
        <w:pStyle w:val="19"/>
        <w:spacing w:line="360" w:lineRule="auto"/>
        <w:jc w:val="center"/>
        <w:outlineLvl w:val="9"/>
        <w:rPr>
          <w:rFonts w:hint="eastAsia" w:ascii="宋体" w:hAnsi="宋体" w:eastAsia="宋体" w:cs="宋体"/>
          <w:b/>
          <w:color w:val="auto"/>
          <w:kern w:val="0"/>
          <w:szCs w:val="21"/>
          <w:highlight w:val="none"/>
        </w:rPr>
      </w:pPr>
    </w:p>
    <w:p w14:paraId="2041B1A1">
      <w:pPr>
        <w:pStyle w:val="19"/>
        <w:spacing w:line="360" w:lineRule="auto"/>
        <w:jc w:val="center"/>
        <w:outlineLvl w:val="9"/>
        <w:rPr>
          <w:rFonts w:hint="eastAsia" w:ascii="宋体" w:hAnsi="宋体" w:eastAsia="宋体" w:cs="宋体"/>
          <w:b/>
          <w:color w:val="auto"/>
          <w:kern w:val="0"/>
          <w:szCs w:val="21"/>
          <w:highlight w:val="none"/>
        </w:rPr>
      </w:pPr>
    </w:p>
    <w:p w14:paraId="52E53549">
      <w:pPr>
        <w:pStyle w:val="19"/>
        <w:spacing w:line="360" w:lineRule="auto"/>
        <w:jc w:val="center"/>
        <w:outlineLvl w:val="9"/>
        <w:rPr>
          <w:rFonts w:hint="eastAsia" w:ascii="宋体" w:hAnsi="宋体" w:eastAsia="宋体" w:cs="宋体"/>
          <w:b/>
          <w:color w:val="auto"/>
          <w:kern w:val="0"/>
          <w:szCs w:val="21"/>
          <w:highlight w:val="none"/>
        </w:rPr>
      </w:pPr>
    </w:p>
    <w:p w14:paraId="3AB4673F">
      <w:pPr>
        <w:pStyle w:val="19"/>
        <w:spacing w:line="360" w:lineRule="auto"/>
        <w:jc w:val="center"/>
        <w:outlineLvl w:val="9"/>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212F6321">
      <w:pPr>
        <w:pStyle w:val="19"/>
        <w:spacing w:line="360" w:lineRule="auto"/>
        <w:outlineLvl w:val="9"/>
        <w:rPr>
          <w:rFonts w:hint="eastAsia" w:ascii="宋体" w:hAnsi="宋体" w:eastAsia="宋体" w:cs="宋体"/>
          <w:color w:val="auto"/>
          <w:highlight w:val="none"/>
        </w:rPr>
      </w:pPr>
    </w:p>
    <w:p w14:paraId="2CEBF10B">
      <w:pPr>
        <w:pStyle w:val="19"/>
        <w:spacing w:line="360" w:lineRule="auto"/>
        <w:outlineLvl w:val="9"/>
        <w:rPr>
          <w:rFonts w:hint="eastAsia" w:ascii="宋体" w:hAnsi="宋体" w:eastAsia="宋体" w:cs="宋体"/>
          <w:color w:val="auto"/>
          <w:highlight w:val="none"/>
        </w:rPr>
      </w:pPr>
    </w:p>
    <w:p w14:paraId="73DA0ECC">
      <w:pPr>
        <w:pStyle w:val="19"/>
        <w:spacing w:line="360" w:lineRule="auto"/>
        <w:outlineLvl w:val="9"/>
        <w:rPr>
          <w:rFonts w:hint="eastAsia" w:ascii="宋体" w:hAnsi="宋体" w:eastAsia="宋体" w:cs="宋体"/>
          <w:color w:val="auto"/>
          <w:highlight w:val="none"/>
        </w:rPr>
      </w:pPr>
    </w:p>
    <w:p w14:paraId="414A413C">
      <w:pPr>
        <w:pStyle w:val="19"/>
        <w:spacing w:line="360" w:lineRule="auto"/>
        <w:outlineLvl w:val="9"/>
        <w:rPr>
          <w:rFonts w:hint="eastAsia" w:ascii="宋体" w:hAnsi="宋体" w:eastAsia="宋体" w:cs="宋体"/>
          <w:color w:val="auto"/>
          <w:highlight w:val="none"/>
        </w:rPr>
      </w:pPr>
    </w:p>
    <w:p w14:paraId="1D153CE8">
      <w:pPr>
        <w:pStyle w:val="19"/>
        <w:spacing w:line="360" w:lineRule="auto"/>
        <w:outlineLvl w:val="9"/>
        <w:rPr>
          <w:rFonts w:hint="eastAsia" w:ascii="宋体" w:hAnsi="宋体" w:eastAsia="宋体" w:cs="宋体"/>
          <w:color w:val="auto"/>
          <w:highlight w:val="none"/>
        </w:rPr>
      </w:pPr>
    </w:p>
    <w:p w14:paraId="4E66C3AB">
      <w:pPr>
        <w:pStyle w:val="19"/>
        <w:spacing w:line="360" w:lineRule="auto"/>
        <w:outlineLvl w:val="9"/>
        <w:rPr>
          <w:rFonts w:hint="eastAsia" w:ascii="宋体" w:hAnsi="宋体" w:eastAsia="宋体" w:cs="宋体"/>
          <w:color w:val="auto"/>
          <w:highlight w:val="none"/>
        </w:rPr>
      </w:pPr>
    </w:p>
    <w:p w14:paraId="687141A9">
      <w:pPr>
        <w:pStyle w:val="19"/>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22C0EB87">
      <w:pPr>
        <w:pStyle w:val="19"/>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72F9A211">
      <w:pPr>
        <w:pStyle w:val="19"/>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eastAsia="宋体" w:cs="宋体"/>
          <w:color w:val="auto"/>
          <w:sz w:val="30"/>
          <w:highlight w:val="none"/>
          <w:u w:val="single"/>
          <w:lang w:val="en-US" w:eastAsia="zh-CN"/>
        </w:rPr>
        <w:t>技术</w:t>
      </w:r>
      <w:r>
        <w:rPr>
          <w:rFonts w:hint="eastAsia" w:ascii="宋体" w:hAnsi="宋体" w:eastAsia="宋体" w:cs="宋体"/>
          <w:color w:val="auto"/>
          <w:sz w:val="30"/>
          <w:highlight w:val="none"/>
          <w:u w:val="single"/>
        </w:rPr>
        <w:t xml:space="preserve">部分 </w:t>
      </w:r>
    </w:p>
    <w:p w14:paraId="4F86E03E">
      <w:pPr>
        <w:pStyle w:val="19"/>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3A5BA3A1">
      <w:pPr>
        <w:pStyle w:val="19"/>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5842D237">
      <w:pPr>
        <w:pStyle w:val="19"/>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61BA2B4F">
      <w:pPr>
        <w:pStyle w:val="19"/>
        <w:spacing w:line="360" w:lineRule="auto"/>
        <w:outlineLvl w:val="9"/>
        <w:rPr>
          <w:rFonts w:hint="eastAsia" w:ascii="宋体" w:hAnsi="宋体" w:eastAsia="宋体" w:cs="宋体"/>
          <w:color w:val="auto"/>
          <w:highlight w:val="none"/>
        </w:rPr>
      </w:pPr>
    </w:p>
    <w:p w14:paraId="137FA65A">
      <w:pPr>
        <w:pStyle w:val="19"/>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AA4E060">
      <w:pPr>
        <w:pStyle w:val="19"/>
        <w:spacing w:line="360" w:lineRule="auto"/>
        <w:outlineLvl w:val="9"/>
        <w:rPr>
          <w:rFonts w:hint="eastAsia" w:ascii="宋体" w:hAnsi="宋体" w:eastAsia="宋体" w:cs="宋体"/>
          <w:color w:val="auto"/>
          <w:highlight w:val="none"/>
        </w:rPr>
      </w:pPr>
    </w:p>
    <w:p w14:paraId="3160E6DB">
      <w:pPr>
        <w:pBdr>
          <w:bottom w:val="single" w:color="auto" w:sz="6" w:space="0"/>
        </w:pBdr>
        <w:spacing w:line="480" w:lineRule="auto"/>
        <w:ind w:firstLine="472" w:firstLineChars="224"/>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评审部分索引表</w:t>
      </w:r>
    </w:p>
    <w:tbl>
      <w:tblPr>
        <w:tblStyle w:val="38"/>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253"/>
        <w:gridCol w:w="2522"/>
        <w:gridCol w:w="1975"/>
        <w:gridCol w:w="3678"/>
      </w:tblGrid>
      <w:tr w14:paraId="7BD29E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1A906C0A">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5D776E3C">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047" w:type="pct"/>
            <w:vAlign w:val="center"/>
          </w:tcPr>
          <w:p w14:paraId="71627671">
            <w:pPr>
              <w:adjustRightInd w:val="0"/>
              <w:snapToGrid w:val="0"/>
              <w:spacing w:line="360" w:lineRule="auto"/>
              <w:jc w:val="center"/>
              <w:outlineLvl w:val="9"/>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1950" w:type="pct"/>
            <w:tcBorders>
              <w:left w:val="single" w:color="auto" w:sz="4" w:space="0"/>
            </w:tcBorders>
            <w:vAlign w:val="center"/>
          </w:tcPr>
          <w:p w14:paraId="204DEBAB">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7F237F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7D2454DE">
            <w:pPr>
              <w:adjustRightInd w:val="0"/>
              <w:snapToGrid w:val="0"/>
              <w:spacing w:line="360" w:lineRule="auto"/>
              <w:jc w:val="center"/>
              <w:outlineLvl w:val="9"/>
              <w:rPr>
                <w:rFonts w:hint="eastAsia" w:ascii="宋体" w:hAnsi="宋体" w:eastAsia="宋体" w:cs="宋体"/>
                <w:bCs/>
                <w:color w:val="auto"/>
                <w:szCs w:val="21"/>
                <w:highlight w:val="none"/>
              </w:rPr>
            </w:pPr>
          </w:p>
        </w:tc>
        <w:tc>
          <w:tcPr>
            <w:tcW w:w="1337" w:type="pct"/>
            <w:vAlign w:val="center"/>
          </w:tcPr>
          <w:p w14:paraId="0CA5FE70">
            <w:pPr>
              <w:adjustRightInd w:val="0"/>
              <w:snapToGrid w:val="0"/>
              <w:spacing w:line="360" w:lineRule="auto"/>
              <w:jc w:val="center"/>
              <w:outlineLvl w:val="9"/>
              <w:rPr>
                <w:rFonts w:hint="eastAsia" w:ascii="宋体" w:hAnsi="宋体" w:eastAsia="宋体" w:cs="宋体"/>
                <w:bCs/>
                <w:color w:val="auto"/>
                <w:szCs w:val="21"/>
                <w:highlight w:val="none"/>
              </w:rPr>
            </w:pPr>
          </w:p>
        </w:tc>
        <w:tc>
          <w:tcPr>
            <w:tcW w:w="1047" w:type="pct"/>
            <w:vAlign w:val="center"/>
          </w:tcPr>
          <w:p w14:paraId="00F99930">
            <w:pPr>
              <w:adjustRightInd w:val="0"/>
              <w:snapToGrid w:val="0"/>
              <w:spacing w:line="360" w:lineRule="auto"/>
              <w:jc w:val="center"/>
              <w:outlineLvl w:val="9"/>
              <w:rPr>
                <w:rFonts w:hint="eastAsia" w:ascii="宋体" w:hAnsi="宋体" w:eastAsia="宋体" w:cs="宋体"/>
                <w:bCs/>
                <w:color w:val="auto"/>
                <w:szCs w:val="21"/>
                <w:highlight w:val="none"/>
              </w:rPr>
            </w:pPr>
          </w:p>
        </w:tc>
        <w:tc>
          <w:tcPr>
            <w:tcW w:w="1950" w:type="pct"/>
            <w:tcBorders>
              <w:left w:val="single" w:color="auto" w:sz="4" w:space="0"/>
            </w:tcBorders>
            <w:vAlign w:val="center"/>
          </w:tcPr>
          <w:p w14:paraId="7A04A8F5">
            <w:pPr>
              <w:adjustRightInd w:val="0"/>
              <w:snapToGrid w:val="0"/>
              <w:spacing w:line="360" w:lineRule="auto"/>
              <w:outlineLvl w:val="9"/>
              <w:rPr>
                <w:rFonts w:hint="eastAsia" w:ascii="宋体" w:hAnsi="宋体" w:eastAsia="宋体" w:cs="宋体"/>
                <w:bCs/>
                <w:color w:val="auto"/>
                <w:szCs w:val="21"/>
                <w:highlight w:val="none"/>
              </w:rPr>
            </w:pPr>
          </w:p>
        </w:tc>
      </w:tr>
      <w:tr w14:paraId="535C5E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7CE9329B">
            <w:pPr>
              <w:outlineLvl w:val="9"/>
              <w:rPr>
                <w:rFonts w:hint="eastAsia" w:ascii="宋体" w:hAnsi="宋体" w:eastAsia="宋体" w:cs="宋体"/>
                <w:bCs/>
                <w:color w:val="auto"/>
                <w:szCs w:val="21"/>
                <w:highlight w:val="none"/>
              </w:rPr>
            </w:pPr>
          </w:p>
        </w:tc>
        <w:tc>
          <w:tcPr>
            <w:tcW w:w="1337" w:type="pct"/>
            <w:vAlign w:val="center"/>
          </w:tcPr>
          <w:p w14:paraId="274BE3CD">
            <w:pPr>
              <w:outlineLvl w:val="9"/>
              <w:rPr>
                <w:rFonts w:hint="eastAsia" w:ascii="宋体" w:hAnsi="宋体" w:eastAsia="宋体" w:cs="宋体"/>
                <w:bCs/>
                <w:color w:val="auto"/>
                <w:szCs w:val="21"/>
                <w:highlight w:val="none"/>
              </w:rPr>
            </w:pPr>
          </w:p>
        </w:tc>
        <w:tc>
          <w:tcPr>
            <w:tcW w:w="1047" w:type="pct"/>
            <w:vAlign w:val="center"/>
          </w:tcPr>
          <w:p w14:paraId="036CF421">
            <w:pPr>
              <w:outlineLvl w:val="9"/>
              <w:rPr>
                <w:rFonts w:hint="eastAsia" w:ascii="宋体" w:hAnsi="宋体" w:eastAsia="宋体" w:cs="宋体"/>
                <w:bCs/>
                <w:color w:val="auto"/>
                <w:szCs w:val="21"/>
                <w:highlight w:val="none"/>
              </w:rPr>
            </w:pPr>
          </w:p>
        </w:tc>
        <w:tc>
          <w:tcPr>
            <w:tcW w:w="1950" w:type="pct"/>
            <w:tcBorders>
              <w:left w:val="single" w:color="auto" w:sz="4" w:space="0"/>
            </w:tcBorders>
            <w:vAlign w:val="center"/>
          </w:tcPr>
          <w:p w14:paraId="2FD7D500">
            <w:pPr>
              <w:adjustRightInd w:val="0"/>
              <w:snapToGrid w:val="0"/>
              <w:spacing w:line="360" w:lineRule="auto"/>
              <w:ind w:firstLine="105" w:firstLineChars="50"/>
              <w:outlineLvl w:val="9"/>
              <w:rPr>
                <w:rFonts w:hint="eastAsia" w:ascii="宋体" w:hAnsi="宋体" w:eastAsia="宋体" w:cs="宋体"/>
                <w:bCs/>
                <w:color w:val="auto"/>
                <w:szCs w:val="21"/>
                <w:highlight w:val="none"/>
              </w:rPr>
            </w:pPr>
          </w:p>
        </w:tc>
      </w:tr>
      <w:tr w14:paraId="2DD9EC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203B9F6A">
            <w:pPr>
              <w:adjustRightInd w:val="0"/>
              <w:snapToGrid w:val="0"/>
              <w:spacing w:line="360" w:lineRule="auto"/>
              <w:jc w:val="center"/>
              <w:outlineLvl w:val="9"/>
              <w:rPr>
                <w:rFonts w:hint="eastAsia" w:ascii="宋体" w:hAnsi="宋体" w:eastAsia="宋体" w:cs="宋体"/>
                <w:bCs/>
                <w:color w:val="auto"/>
                <w:szCs w:val="21"/>
                <w:highlight w:val="none"/>
              </w:rPr>
            </w:pPr>
          </w:p>
        </w:tc>
        <w:tc>
          <w:tcPr>
            <w:tcW w:w="1337" w:type="pct"/>
            <w:vAlign w:val="center"/>
          </w:tcPr>
          <w:p w14:paraId="432FBE41">
            <w:pPr>
              <w:adjustRightInd w:val="0"/>
              <w:snapToGrid w:val="0"/>
              <w:spacing w:line="360" w:lineRule="auto"/>
              <w:outlineLvl w:val="9"/>
              <w:rPr>
                <w:rFonts w:hint="eastAsia" w:ascii="宋体" w:hAnsi="宋体" w:eastAsia="宋体" w:cs="宋体"/>
                <w:bCs/>
                <w:color w:val="auto"/>
                <w:szCs w:val="21"/>
                <w:highlight w:val="none"/>
              </w:rPr>
            </w:pPr>
          </w:p>
        </w:tc>
        <w:tc>
          <w:tcPr>
            <w:tcW w:w="1047" w:type="pct"/>
            <w:vAlign w:val="center"/>
          </w:tcPr>
          <w:p w14:paraId="509465A4">
            <w:pPr>
              <w:adjustRightInd w:val="0"/>
              <w:snapToGrid w:val="0"/>
              <w:spacing w:line="360" w:lineRule="auto"/>
              <w:jc w:val="center"/>
              <w:outlineLvl w:val="9"/>
              <w:rPr>
                <w:rFonts w:hint="eastAsia" w:ascii="宋体" w:hAnsi="宋体" w:eastAsia="宋体" w:cs="宋体"/>
                <w:bCs/>
                <w:color w:val="auto"/>
                <w:szCs w:val="21"/>
                <w:highlight w:val="none"/>
              </w:rPr>
            </w:pPr>
          </w:p>
        </w:tc>
        <w:tc>
          <w:tcPr>
            <w:tcW w:w="1950" w:type="pct"/>
            <w:tcBorders>
              <w:left w:val="single" w:color="auto" w:sz="4" w:space="0"/>
            </w:tcBorders>
            <w:vAlign w:val="center"/>
          </w:tcPr>
          <w:p w14:paraId="65EAF2CD">
            <w:pPr>
              <w:spacing w:line="360" w:lineRule="auto"/>
              <w:ind w:firstLine="8" w:firstLineChars="4"/>
              <w:outlineLvl w:val="9"/>
              <w:rPr>
                <w:rFonts w:hint="eastAsia" w:ascii="宋体" w:hAnsi="宋体" w:eastAsia="宋体" w:cs="宋体"/>
                <w:bCs/>
                <w:color w:val="auto"/>
                <w:szCs w:val="21"/>
                <w:highlight w:val="none"/>
              </w:rPr>
            </w:pPr>
          </w:p>
        </w:tc>
      </w:tr>
      <w:tr w14:paraId="088A0A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308C27E2">
            <w:pPr>
              <w:adjustRightInd w:val="0"/>
              <w:snapToGrid w:val="0"/>
              <w:spacing w:line="360" w:lineRule="auto"/>
              <w:jc w:val="center"/>
              <w:outlineLvl w:val="9"/>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7C412B52">
            <w:pPr>
              <w:adjustRightInd w:val="0"/>
              <w:snapToGrid w:val="0"/>
              <w:spacing w:line="360" w:lineRule="auto"/>
              <w:outlineLvl w:val="9"/>
              <w:rPr>
                <w:rFonts w:hint="eastAsia" w:ascii="宋体" w:hAnsi="宋体" w:eastAsia="宋体" w:cs="宋体"/>
                <w:bCs/>
                <w:color w:val="auto"/>
                <w:szCs w:val="21"/>
                <w:highlight w:val="none"/>
              </w:rPr>
            </w:pPr>
          </w:p>
        </w:tc>
        <w:tc>
          <w:tcPr>
            <w:tcW w:w="1047" w:type="pct"/>
            <w:tcBorders>
              <w:top w:val="single" w:color="auto" w:sz="6" w:space="0"/>
              <w:left w:val="single" w:color="auto" w:sz="6" w:space="0"/>
              <w:bottom w:val="outset" w:color="808080" w:sz="6" w:space="0"/>
              <w:right w:val="single" w:color="auto" w:sz="6" w:space="0"/>
            </w:tcBorders>
            <w:vAlign w:val="center"/>
          </w:tcPr>
          <w:p w14:paraId="4575FC44">
            <w:pPr>
              <w:adjustRightInd w:val="0"/>
              <w:snapToGrid w:val="0"/>
              <w:spacing w:line="360" w:lineRule="auto"/>
              <w:jc w:val="center"/>
              <w:outlineLvl w:val="9"/>
              <w:rPr>
                <w:rFonts w:hint="eastAsia" w:ascii="宋体" w:hAnsi="宋体" w:eastAsia="宋体" w:cs="宋体"/>
                <w:bCs/>
                <w:color w:val="auto"/>
                <w:szCs w:val="21"/>
                <w:highlight w:val="none"/>
              </w:rPr>
            </w:pPr>
          </w:p>
        </w:tc>
        <w:tc>
          <w:tcPr>
            <w:tcW w:w="1950" w:type="pct"/>
            <w:tcBorders>
              <w:top w:val="single" w:color="auto" w:sz="6" w:space="0"/>
              <w:left w:val="single" w:color="auto" w:sz="4" w:space="0"/>
              <w:bottom w:val="outset" w:color="808080" w:sz="6" w:space="0"/>
              <w:right w:val="single" w:color="auto" w:sz="6" w:space="0"/>
            </w:tcBorders>
            <w:vAlign w:val="center"/>
          </w:tcPr>
          <w:p w14:paraId="4EAB6CF2">
            <w:pPr>
              <w:adjustRightInd w:val="0"/>
              <w:snapToGrid w:val="0"/>
              <w:spacing w:line="360" w:lineRule="auto"/>
              <w:outlineLvl w:val="9"/>
              <w:rPr>
                <w:rFonts w:hint="eastAsia" w:ascii="宋体" w:hAnsi="宋体" w:eastAsia="宋体" w:cs="宋体"/>
                <w:bCs/>
                <w:color w:val="auto"/>
                <w:szCs w:val="21"/>
                <w:highlight w:val="none"/>
              </w:rPr>
            </w:pPr>
          </w:p>
        </w:tc>
      </w:tr>
      <w:tr w14:paraId="7BB3A0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0AE3059E">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047" w:type="pct"/>
            <w:tcBorders>
              <w:bottom w:val="single" w:color="auto" w:sz="4" w:space="0"/>
            </w:tcBorders>
            <w:vAlign w:val="center"/>
          </w:tcPr>
          <w:p w14:paraId="6369FA61">
            <w:pPr>
              <w:adjustRightInd w:val="0"/>
              <w:snapToGrid w:val="0"/>
              <w:spacing w:line="360" w:lineRule="auto"/>
              <w:jc w:val="center"/>
              <w:outlineLvl w:val="9"/>
              <w:rPr>
                <w:rFonts w:hint="eastAsia" w:ascii="宋体" w:hAnsi="宋体" w:eastAsia="宋体" w:cs="宋体"/>
                <w:bCs/>
                <w:color w:val="auto"/>
                <w:szCs w:val="21"/>
                <w:highlight w:val="none"/>
              </w:rPr>
            </w:pPr>
          </w:p>
        </w:tc>
        <w:tc>
          <w:tcPr>
            <w:tcW w:w="1950" w:type="pct"/>
            <w:tcBorders>
              <w:left w:val="single" w:color="auto" w:sz="4" w:space="0"/>
              <w:bottom w:val="single" w:color="auto" w:sz="4" w:space="0"/>
            </w:tcBorders>
            <w:vAlign w:val="center"/>
          </w:tcPr>
          <w:p w14:paraId="3B792B72">
            <w:pPr>
              <w:spacing w:line="360" w:lineRule="auto"/>
              <w:jc w:val="center"/>
              <w:outlineLvl w:val="9"/>
              <w:rPr>
                <w:rFonts w:hint="eastAsia" w:ascii="宋体" w:hAnsi="宋体" w:eastAsia="宋体" w:cs="宋体"/>
                <w:bCs/>
                <w:color w:val="auto"/>
                <w:szCs w:val="21"/>
                <w:highlight w:val="none"/>
              </w:rPr>
            </w:pPr>
          </w:p>
        </w:tc>
      </w:tr>
    </w:tbl>
    <w:p w14:paraId="45819BDE">
      <w:pP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76BA99A0">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0"/>
          <w:szCs w:val="30"/>
          <w:highlight w:val="none"/>
        </w:rPr>
      </w:pPr>
      <w:bookmarkStart w:id="910" w:name="_Toc27934"/>
      <w:bookmarkStart w:id="911" w:name="_Toc23512"/>
      <w:bookmarkStart w:id="912" w:name="_Toc11447"/>
      <w:bookmarkStart w:id="913" w:name="_Toc18999"/>
      <w:bookmarkStart w:id="914" w:name="_Toc24830"/>
      <w:bookmarkStart w:id="915" w:name="_Toc30448"/>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.1 用户需求偏离表格式</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p w14:paraId="795BCE63">
      <w:pPr>
        <w:spacing w:before="120" w:after="120" w:line="360" w:lineRule="auto"/>
        <w:jc w:val="center"/>
        <w:outlineLvl w:val="9"/>
        <w:rPr>
          <w:rFonts w:hint="eastAsia" w:ascii="宋体" w:hAnsi="宋体" w:eastAsia="宋体" w:cs="宋体"/>
          <w:color w:val="auto"/>
          <w:kern w:val="0"/>
          <w:szCs w:val="21"/>
          <w:highlight w:val="none"/>
        </w:rPr>
      </w:pPr>
      <w:bookmarkStart w:id="916" w:name="_Toc17449_WPSOffice_Level3"/>
      <w:r>
        <w:rPr>
          <w:rFonts w:hint="eastAsia" w:ascii="宋体" w:hAnsi="宋体" w:eastAsia="宋体" w:cs="宋体"/>
          <w:b/>
          <w:color w:val="auto"/>
          <w:kern w:val="0"/>
          <w:sz w:val="30"/>
          <w:szCs w:val="30"/>
          <w:highlight w:val="none"/>
          <w:lang w:val="zh-CN"/>
        </w:rPr>
        <w:t>用户需求偏离表</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1162"/>
        <w:gridCol w:w="5535"/>
        <w:gridCol w:w="653"/>
        <w:gridCol w:w="786"/>
        <w:gridCol w:w="747"/>
      </w:tblGrid>
      <w:tr w14:paraId="1D3AF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90" w:type="pct"/>
            <w:vMerge w:val="restart"/>
            <w:vAlign w:val="center"/>
          </w:tcPr>
          <w:p w14:paraId="2B1B8E5C">
            <w:pPr>
              <w:spacing w:line="400" w:lineRule="exact"/>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3551" w:type="pct"/>
            <w:gridSpan w:val="2"/>
            <w:vAlign w:val="center"/>
          </w:tcPr>
          <w:p w14:paraId="00FA199A">
            <w:pPr>
              <w:spacing w:line="400" w:lineRule="exact"/>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招标文件要求</w:t>
            </w:r>
          </w:p>
        </w:tc>
        <w:tc>
          <w:tcPr>
            <w:tcW w:w="1158" w:type="pct"/>
            <w:gridSpan w:val="3"/>
            <w:vAlign w:val="center"/>
          </w:tcPr>
          <w:p w14:paraId="79640B0F">
            <w:pPr>
              <w:spacing w:line="400" w:lineRule="exact"/>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投标文件内容</w:t>
            </w:r>
          </w:p>
        </w:tc>
      </w:tr>
      <w:tr w14:paraId="08BC7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90" w:type="pct"/>
            <w:vMerge w:val="continue"/>
            <w:vAlign w:val="center"/>
          </w:tcPr>
          <w:p w14:paraId="3B30DC4A">
            <w:pPr>
              <w:keepNext/>
              <w:keepLines/>
              <w:spacing w:line="400" w:lineRule="exact"/>
              <w:jc w:val="center"/>
              <w:outlineLvl w:val="9"/>
              <w:rPr>
                <w:rFonts w:hint="eastAsia" w:ascii="宋体" w:hAnsi="宋体" w:eastAsia="宋体" w:cs="宋体"/>
                <w:color w:val="auto"/>
                <w:kern w:val="0"/>
                <w:sz w:val="18"/>
                <w:szCs w:val="18"/>
                <w:highlight w:val="none"/>
              </w:rPr>
            </w:pPr>
          </w:p>
        </w:tc>
        <w:tc>
          <w:tcPr>
            <w:tcW w:w="616" w:type="pct"/>
            <w:vAlign w:val="center"/>
          </w:tcPr>
          <w:p w14:paraId="7CB81872">
            <w:pPr>
              <w:spacing w:line="400" w:lineRule="exact"/>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条款号</w:t>
            </w:r>
          </w:p>
        </w:tc>
        <w:tc>
          <w:tcPr>
            <w:tcW w:w="2934" w:type="pct"/>
            <w:vAlign w:val="center"/>
          </w:tcPr>
          <w:p w14:paraId="5F90AB1A">
            <w:pPr>
              <w:spacing w:line="400" w:lineRule="exact"/>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简要内容</w:t>
            </w:r>
          </w:p>
        </w:tc>
        <w:tc>
          <w:tcPr>
            <w:tcW w:w="346" w:type="pct"/>
            <w:vAlign w:val="center"/>
          </w:tcPr>
          <w:p w14:paraId="33B10F5F">
            <w:pPr>
              <w:spacing w:line="400" w:lineRule="exact"/>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偏离情况</w:t>
            </w:r>
          </w:p>
        </w:tc>
        <w:tc>
          <w:tcPr>
            <w:tcW w:w="417" w:type="pct"/>
            <w:vAlign w:val="center"/>
          </w:tcPr>
          <w:p w14:paraId="19FDDAF4">
            <w:pPr>
              <w:spacing w:line="400" w:lineRule="exact"/>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实质性响应的具体内容</w:t>
            </w:r>
          </w:p>
        </w:tc>
        <w:tc>
          <w:tcPr>
            <w:tcW w:w="393" w:type="pct"/>
            <w:vAlign w:val="center"/>
          </w:tcPr>
          <w:p w14:paraId="599E29DF">
            <w:pPr>
              <w:spacing w:line="400" w:lineRule="exact"/>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对应证明材料页码</w:t>
            </w:r>
          </w:p>
        </w:tc>
      </w:tr>
      <w:tr w14:paraId="2E790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90" w:type="pct"/>
            <w:vAlign w:val="center"/>
          </w:tcPr>
          <w:p w14:paraId="6139D37E">
            <w:pPr>
              <w:spacing w:line="400" w:lineRule="exact"/>
              <w:jc w:val="center"/>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w:t>
            </w:r>
          </w:p>
        </w:tc>
        <w:tc>
          <w:tcPr>
            <w:tcW w:w="616" w:type="pct"/>
            <w:vAlign w:val="center"/>
          </w:tcPr>
          <w:p w14:paraId="66316CEC">
            <w:pPr>
              <w:spacing w:line="400" w:lineRule="exact"/>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一</w:t>
            </w:r>
          </w:p>
        </w:tc>
        <w:tc>
          <w:tcPr>
            <w:tcW w:w="2934" w:type="pct"/>
            <w:vAlign w:val="center"/>
          </w:tcPr>
          <w:p w14:paraId="4E2A11EF">
            <w:pPr>
              <w:autoSpaceDE w:val="0"/>
              <w:autoSpaceDN w:val="0"/>
              <w:adjustRightInd w:val="0"/>
              <w:spacing w:line="400" w:lineRule="exact"/>
              <w:jc w:val="left"/>
              <w:outlineLvl w:val="9"/>
              <w:rPr>
                <w:rFonts w:hint="default"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项目背景</w:t>
            </w:r>
          </w:p>
        </w:tc>
        <w:tc>
          <w:tcPr>
            <w:tcW w:w="346" w:type="pct"/>
            <w:vAlign w:val="center"/>
          </w:tcPr>
          <w:p w14:paraId="30F8E2CB">
            <w:pPr>
              <w:keepNext/>
              <w:keepLines/>
              <w:spacing w:line="400" w:lineRule="exact"/>
              <w:jc w:val="center"/>
              <w:outlineLvl w:val="9"/>
              <w:rPr>
                <w:rFonts w:hint="eastAsia" w:ascii="宋体" w:hAnsi="宋体" w:eastAsia="宋体" w:cs="宋体"/>
                <w:color w:val="auto"/>
                <w:kern w:val="0"/>
                <w:sz w:val="18"/>
                <w:szCs w:val="18"/>
                <w:highlight w:val="none"/>
              </w:rPr>
            </w:pPr>
          </w:p>
        </w:tc>
        <w:tc>
          <w:tcPr>
            <w:tcW w:w="417" w:type="pct"/>
            <w:vAlign w:val="center"/>
          </w:tcPr>
          <w:p w14:paraId="55BDF1BA">
            <w:pPr>
              <w:keepNext/>
              <w:keepLines/>
              <w:spacing w:line="400" w:lineRule="exact"/>
              <w:jc w:val="center"/>
              <w:outlineLvl w:val="9"/>
              <w:rPr>
                <w:rFonts w:hint="eastAsia" w:ascii="宋体" w:hAnsi="宋体" w:eastAsia="宋体" w:cs="宋体"/>
                <w:color w:val="auto"/>
                <w:kern w:val="0"/>
                <w:sz w:val="18"/>
                <w:szCs w:val="18"/>
                <w:highlight w:val="none"/>
              </w:rPr>
            </w:pPr>
          </w:p>
        </w:tc>
        <w:tc>
          <w:tcPr>
            <w:tcW w:w="393" w:type="pct"/>
            <w:vAlign w:val="center"/>
          </w:tcPr>
          <w:p w14:paraId="1BF0F37F">
            <w:pPr>
              <w:keepNext/>
              <w:keepLines/>
              <w:spacing w:line="400" w:lineRule="exact"/>
              <w:jc w:val="center"/>
              <w:outlineLvl w:val="9"/>
              <w:rPr>
                <w:rFonts w:hint="eastAsia" w:ascii="宋体" w:hAnsi="宋体" w:eastAsia="宋体" w:cs="宋体"/>
                <w:color w:val="auto"/>
                <w:kern w:val="0"/>
                <w:sz w:val="18"/>
                <w:szCs w:val="18"/>
                <w:highlight w:val="none"/>
              </w:rPr>
            </w:pPr>
          </w:p>
        </w:tc>
      </w:tr>
      <w:tr w14:paraId="3F9B5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14:paraId="715BC553">
            <w:pPr>
              <w:spacing w:line="400" w:lineRule="exact"/>
              <w:jc w:val="center"/>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2</w:t>
            </w:r>
          </w:p>
        </w:tc>
        <w:tc>
          <w:tcPr>
            <w:tcW w:w="616" w:type="pct"/>
            <w:vAlign w:val="center"/>
          </w:tcPr>
          <w:p w14:paraId="73B3B206">
            <w:pPr>
              <w:spacing w:line="400" w:lineRule="exact"/>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二</w:t>
            </w:r>
          </w:p>
        </w:tc>
        <w:tc>
          <w:tcPr>
            <w:tcW w:w="2934" w:type="pct"/>
            <w:vAlign w:val="center"/>
          </w:tcPr>
          <w:p w14:paraId="444089E3">
            <w:pPr>
              <w:autoSpaceDE w:val="0"/>
              <w:autoSpaceDN w:val="0"/>
              <w:adjustRightInd w:val="0"/>
              <w:spacing w:line="400" w:lineRule="exact"/>
              <w:jc w:val="left"/>
              <w:outlineLvl w:val="9"/>
              <w:rPr>
                <w:rFonts w:hint="default"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食堂基本情况</w:t>
            </w:r>
          </w:p>
        </w:tc>
        <w:tc>
          <w:tcPr>
            <w:tcW w:w="346" w:type="pct"/>
            <w:vAlign w:val="center"/>
          </w:tcPr>
          <w:p w14:paraId="076C867F">
            <w:pPr>
              <w:keepNext/>
              <w:keepLines/>
              <w:spacing w:line="400" w:lineRule="exact"/>
              <w:jc w:val="center"/>
              <w:outlineLvl w:val="9"/>
              <w:rPr>
                <w:rFonts w:hint="eastAsia" w:ascii="宋体" w:hAnsi="宋体" w:eastAsia="宋体" w:cs="宋体"/>
                <w:color w:val="auto"/>
                <w:kern w:val="0"/>
                <w:sz w:val="18"/>
                <w:szCs w:val="18"/>
                <w:highlight w:val="none"/>
              </w:rPr>
            </w:pPr>
          </w:p>
        </w:tc>
        <w:tc>
          <w:tcPr>
            <w:tcW w:w="417" w:type="pct"/>
            <w:vAlign w:val="center"/>
          </w:tcPr>
          <w:p w14:paraId="1108794E">
            <w:pPr>
              <w:keepNext/>
              <w:keepLines/>
              <w:spacing w:line="400" w:lineRule="exact"/>
              <w:jc w:val="center"/>
              <w:outlineLvl w:val="9"/>
              <w:rPr>
                <w:rFonts w:hint="eastAsia" w:ascii="宋体" w:hAnsi="宋体" w:eastAsia="宋体" w:cs="宋体"/>
                <w:color w:val="auto"/>
                <w:kern w:val="0"/>
                <w:sz w:val="18"/>
                <w:szCs w:val="18"/>
                <w:highlight w:val="none"/>
              </w:rPr>
            </w:pPr>
          </w:p>
        </w:tc>
        <w:tc>
          <w:tcPr>
            <w:tcW w:w="393" w:type="pct"/>
            <w:vAlign w:val="center"/>
          </w:tcPr>
          <w:p w14:paraId="261F842B">
            <w:pPr>
              <w:keepNext/>
              <w:keepLines/>
              <w:spacing w:line="400" w:lineRule="exact"/>
              <w:jc w:val="center"/>
              <w:outlineLvl w:val="9"/>
              <w:rPr>
                <w:rFonts w:hint="eastAsia" w:ascii="宋体" w:hAnsi="宋体" w:eastAsia="宋体" w:cs="宋体"/>
                <w:color w:val="auto"/>
                <w:kern w:val="0"/>
                <w:sz w:val="18"/>
                <w:szCs w:val="18"/>
                <w:highlight w:val="none"/>
              </w:rPr>
            </w:pPr>
          </w:p>
        </w:tc>
      </w:tr>
      <w:tr w14:paraId="6A95D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14:paraId="1EF839E9">
            <w:pPr>
              <w:spacing w:line="400" w:lineRule="exact"/>
              <w:jc w:val="center"/>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3</w:t>
            </w:r>
          </w:p>
        </w:tc>
        <w:tc>
          <w:tcPr>
            <w:tcW w:w="616" w:type="pct"/>
            <w:vAlign w:val="center"/>
          </w:tcPr>
          <w:p w14:paraId="4C9FBAAE">
            <w:pPr>
              <w:spacing w:line="400" w:lineRule="exact"/>
              <w:jc w:val="center"/>
              <w:outlineLvl w:val="9"/>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三</w:t>
            </w:r>
          </w:p>
        </w:tc>
        <w:tc>
          <w:tcPr>
            <w:tcW w:w="2934" w:type="pct"/>
            <w:vAlign w:val="center"/>
          </w:tcPr>
          <w:p w14:paraId="3E3ABA70">
            <w:pPr>
              <w:autoSpaceDE w:val="0"/>
              <w:autoSpaceDN w:val="0"/>
              <w:adjustRightInd w:val="0"/>
              <w:spacing w:line="400" w:lineRule="exact"/>
              <w:jc w:val="left"/>
              <w:outlineLvl w:val="9"/>
              <w:rPr>
                <w:rFonts w:hint="default"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服务期</w:t>
            </w:r>
          </w:p>
        </w:tc>
        <w:tc>
          <w:tcPr>
            <w:tcW w:w="346" w:type="pct"/>
            <w:vAlign w:val="center"/>
          </w:tcPr>
          <w:p w14:paraId="7F698F71">
            <w:pPr>
              <w:keepNext/>
              <w:keepLines/>
              <w:spacing w:line="400" w:lineRule="exact"/>
              <w:jc w:val="center"/>
              <w:outlineLvl w:val="9"/>
              <w:rPr>
                <w:rFonts w:hint="eastAsia" w:ascii="宋体" w:hAnsi="宋体" w:eastAsia="宋体" w:cs="宋体"/>
                <w:color w:val="auto"/>
                <w:kern w:val="0"/>
                <w:sz w:val="18"/>
                <w:szCs w:val="18"/>
                <w:highlight w:val="none"/>
              </w:rPr>
            </w:pPr>
          </w:p>
        </w:tc>
        <w:tc>
          <w:tcPr>
            <w:tcW w:w="417" w:type="pct"/>
            <w:vAlign w:val="center"/>
          </w:tcPr>
          <w:p w14:paraId="41B8633E">
            <w:pPr>
              <w:keepNext/>
              <w:keepLines/>
              <w:spacing w:line="400" w:lineRule="exact"/>
              <w:jc w:val="center"/>
              <w:outlineLvl w:val="9"/>
              <w:rPr>
                <w:rFonts w:hint="eastAsia" w:ascii="宋体" w:hAnsi="宋体" w:eastAsia="宋体" w:cs="宋体"/>
                <w:color w:val="auto"/>
                <w:kern w:val="0"/>
                <w:sz w:val="18"/>
                <w:szCs w:val="18"/>
                <w:highlight w:val="none"/>
              </w:rPr>
            </w:pPr>
          </w:p>
        </w:tc>
        <w:tc>
          <w:tcPr>
            <w:tcW w:w="393" w:type="pct"/>
            <w:vAlign w:val="center"/>
          </w:tcPr>
          <w:p w14:paraId="558CD8F5">
            <w:pPr>
              <w:keepNext/>
              <w:keepLines/>
              <w:spacing w:line="400" w:lineRule="exact"/>
              <w:jc w:val="center"/>
              <w:outlineLvl w:val="9"/>
              <w:rPr>
                <w:rFonts w:hint="eastAsia" w:ascii="宋体" w:hAnsi="宋体" w:eastAsia="宋体" w:cs="宋体"/>
                <w:color w:val="auto"/>
                <w:kern w:val="0"/>
                <w:sz w:val="18"/>
                <w:szCs w:val="18"/>
                <w:highlight w:val="none"/>
              </w:rPr>
            </w:pPr>
          </w:p>
        </w:tc>
      </w:tr>
      <w:tr w14:paraId="40511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14:paraId="7D2865A9">
            <w:pPr>
              <w:spacing w:line="400" w:lineRule="exact"/>
              <w:jc w:val="center"/>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4</w:t>
            </w:r>
          </w:p>
        </w:tc>
        <w:tc>
          <w:tcPr>
            <w:tcW w:w="616" w:type="pct"/>
            <w:vAlign w:val="center"/>
          </w:tcPr>
          <w:p w14:paraId="3DD83804">
            <w:pPr>
              <w:spacing w:line="400" w:lineRule="exact"/>
              <w:jc w:val="center"/>
              <w:outlineLvl w:val="9"/>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四</w:t>
            </w:r>
          </w:p>
        </w:tc>
        <w:tc>
          <w:tcPr>
            <w:tcW w:w="2934" w:type="pct"/>
            <w:vAlign w:val="center"/>
          </w:tcPr>
          <w:p w14:paraId="3FB31CB1">
            <w:pPr>
              <w:autoSpaceDE w:val="0"/>
              <w:autoSpaceDN w:val="0"/>
              <w:adjustRightInd w:val="0"/>
              <w:spacing w:line="400" w:lineRule="exact"/>
              <w:jc w:val="left"/>
              <w:outlineLvl w:val="9"/>
              <w:rPr>
                <w:rFonts w:hint="default"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服务要求</w:t>
            </w:r>
          </w:p>
        </w:tc>
        <w:tc>
          <w:tcPr>
            <w:tcW w:w="346" w:type="pct"/>
            <w:vAlign w:val="center"/>
          </w:tcPr>
          <w:p w14:paraId="324D9794">
            <w:pPr>
              <w:keepNext/>
              <w:keepLines/>
              <w:spacing w:line="400" w:lineRule="exact"/>
              <w:jc w:val="center"/>
              <w:outlineLvl w:val="9"/>
              <w:rPr>
                <w:rFonts w:hint="eastAsia" w:ascii="宋体" w:hAnsi="宋体" w:eastAsia="宋体" w:cs="宋体"/>
                <w:color w:val="auto"/>
                <w:kern w:val="0"/>
                <w:sz w:val="18"/>
                <w:szCs w:val="18"/>
                <w:highlight w:val="none"/>
              </w:rPr>
            </w:pPr>
          </w:p>
        </w:tc>
        <w:tc>
          <w:tcPr>
            <w:tcW w:w="417" w:type="pct"/>
            <w:vAlign w:val="center"/>
          </w:tcPr>
          <w:p w14:paraId="45DE23E0">
            <w:pPr>
              <w:keepNext/>
              <w:keepLines/>
              <w:spacing w:line="400" w:lineRule="exact"/>
              <w:jc w:val="center"/>
              <w:outlineLvl w:val="9"/>
              <w:rPr>
                <w:rFonts w:hint="eastAsia" w:ascii="宋体" w:hAnsi="宋体" w:eastAsia="宋体" w:cs="宋体"/>
                <w:color w:val="auto"/>
                <w:kern w:val="0"/>
                <w:sz w:val="18"/>
                <w:szCs w:val="18"/>
                <w:highlight w:val="none"/>
              </w:rPr>
            </w:pPr>
          </w:p>
        </w:tc>
        <w:tc>
          <w:tcPr>
            <w:tcW w:w="393" w:type="pct"/>
            <w:vAlign w:val="center"/>
          </w:tcPr>
          <w:p w14:paraId="2D34F06A">
            <w:pPr>
              <w:keepNext/>
              <w:keepLines/>
              <w:spacing w:line="400" w:lineRule="exact"/>
              <w:jc w:val="center"/>
              <w:outlineLvl w:val="9"/>
              <w:rPr>
                <w:rFonts w:hint="eastAsia" w:ascii="宋体" w:hAnsi="宋体" w:eastAsia="宋体" w:cs="宋体"/>
                <w:color w:val="auto"/>
                <w:kern w:val="0"/>
                <w:sz w:val="18"/>
                <w:szCs w:val="18"/>
                <w:highlight w:val="none"/>
              </w:rPr>
            </w:pPr>
          </w:p>
        </w:tc>
      </w:tr>
      <w:tr w14:paraId="54AA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14:paraId="7239C86A">
            <w:pPr>
              <w:spacing w:line="400" w:lineRule="exact"/>
              <w:jc w:val="center"/>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5</w:t>
            </w:r>
          </w:p>
        </w:tc>
        <w:tc>
          <w:tcPr>
            <w:tcW w:w="616" w:type="pct"/>
            <w:vAlign w:val="center"/>
          </w:tcPr>
          <w:p w14:paraId="14A6E00F">
            <w:pPr>
              <w:spacing w:line="400" w:lineRule="exact"/>
              <w:jc w:val="center"/>
              <w:outlineLvl w:val="9"/>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五</w:t>
            </w:r>
          </w:p>
        </w:tc>
        <w:tc>
          <w:tcPr>
            <w:tcW w:w="2934" w:type="pct"/>
            <w:vAlign w:val="center"/>
          </w:tcPr>
          <w:p w14:paraId="6D05AD56">
            <w:pPr>
              <w:autoSpaceDE w:val="0"/>
              <w:autoSpaceDN w:val="0"/>
              <w:adjustRightInd w:val="0"/>
              <w:spacing w:line="400" w:lineRule="exact"/>
              <w:jc w:val="left"/>
              <w:outlineLvl w:val="9"/>
              <w:rPr>
                <w:rFonts w:hint="default"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管理细则</w:t>
            </w:r>
          </w:p>
        </w:tc>
        <w:tc>
          <w:tcPr>
            <w:tcW w:w="346" w:type="pct"/>
            <w:vAlign w:val="center"/>
          </w:tcPr>
          <w:p w14:paraId="3C87C626">
            <w:pPr>
              <w:keepNext/>
              <w:keepLines/>
              <w:spacing w:line="400" w:lineRule="exact"/>
              <w:jc w:val="center"/>
              <w:outlineLvl w:val="9"/>
              <w:rPr>
                <w:rFonts w:hint="eastAsia" w:ascii="宋体" w:hAnsi="宋体" w:eastAsia="宋体" w:cs="宋体"/>
                <w:color w:val="auto"/>
                <w:kern w:val="0"/>
                <w:sz w:val="18"/>
                <w:szCs w:val="18"/>
                <w:highlight w:val="none"/>
              </w:rPr>
            </w:pPr>
          </w:p>
        </w:tc>
        <w:tc>
          <w:tcPr>
            <w:tcW w:w="417" w:type="pct"/>
            <w:vAlign w:val="center"/>
          </w:tcPr>
          <w:p w14:paraId="0EA2D4BC">
            <w:pPr>
              <w:keepNext/>
              <w:keepLines/>
              <w:spacing w:line="400" w:lineRule="exact"/>
              <w:jc w:val="center"/>
              <w:outlineLvl w:val="9"/>
              <w:rPr>
                <w:rFonts w:hint="eastAsia" w:ascii="宋体" w:hAnsi="宋体" w:eastAsia="宋体" w:cs="宋体"/>
                <w:color w:val="auto"/>
                <w:kern w:val="0"/>
                <w:sz w:val="18"/>
                <w:szCs w:val="18"/>
                <w:highlight w:val="none"/>
              </w:rPr>
            </w:pPr>
          </w:p>
        </w:tc>
        <w:tc>
          <w:tcPr>
            <w:tcW w:w="393" w:type="pct"/>
            <w:vAlign w:val="center"/>
          </w:tcPr>
          <w:p w14:paraId="4DE98A2C">
            <w:pPr>
              <w:keepNext/>
              <w:keepLines/>
              <w:spacing w:line="400" w:lineRule="exact"/>
              <w:jc w:val="center"/>
              <w:outlineLvl w:val="9"/>
              <w:rPr>
                <w:rFonts w:hint="eastAsia" w:ascii="宋体" w:hAnsi="宋体" w:eastAsia="宋体" w:cs="宋体"/>
                <w:color w:val="auto"/>
                <w:kern w:val="0"/>
                <w:sz w:val="18"/>
                <w:szCs w:val="18"/>
                <w:highlight w:val="none"/>
              </w:rPr>
            </w:pPr>
          </w:p>
        </w:tc>
      </w:tr>
      <w:tr w14:paraId="14A87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14:paraId="2336EDBE">
            <w:pPr>
              <w:spacing w:line="400" w:lineRule="exact"/>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6</w:t>
            </w:r>
          </w:p>
        </w:tc>
        <w:tc>
          <w:tcPr>
            <w:tcW w:w="616" w:type="pct"/>
            <w:vAlign w:val="center"/>
          </w:tcPr>
          <w:p w14:paraId="463103AA">
            <w:pPr>
              <w:spacing w:line="400" w:lineRule="exact"/>
              <w:jc w:val="center"/>
              <w:outlineLvl w:val="9"/>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六</w:t>
            </w:r>
          </w:p>
        </w:tc>
        <w:tc>
          <w:tcPr>
            <w:tcW w:w="2934" w:type="pct"/>
            <w:vAlign w:val="center"/>
          </w:tcPr>
          <w:p w14:paraId="18BFEB45">
            <w:pPr>
              <w:autoSpaceDE w:val="0"/>
              <w:autoSpaceDN w:val="0"/>
              <w:adjustRightInd w:val="0"/>
              <w:spacing w:line="400" w:lineRule="exact"/>
              <w:jc w:val="left"/>
              <w:outlineLvl w:val="9"/>
              <w:rPr>
                <w:rFonts w:hint="default"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伙食质量要求及标准</w:t>
            </w:r>
          </w:p>
        </w:tc>
        <w:tc>
          <w:tcPr>
            <w:tcW w:w="346" w:type="pct"/>
            <w:vAlign w:val="center"/>
          </w:tcPr>
          <w:p w14:paraId="228FB0DD">
            <w:pPr>
              <w:keepNext/>
              <w:keepLines/>
              <w:spacing w:line="400" w:lineRule="exact"/>
              <w:jc w:val="center"/>
              <w:outlineLvl w:val="9"/>
              <w:rPr>
                <w:rFonts w:hint="eastAsia" w:ascii="宋体" w:hAnsi="宋体" w:eastAsia="宋体" w:cs="宋体"/>
                <w:color w:val="auto"/>
                <w:kern w:val="0"/>
                <w:sz w:val="18"/>
                <w:szCs w:val="18"/>
                <w:highlight w:val="none"/>
              </w:rPr>
            </w:pPr>
          </w:p>
        </w:tc>
        <w:tc>
          <w:tcPr>
            <w:tcW w:w="417" w:type="pct"/>
            <w:vAlign w:val="center"/>
          </w:tcPr>
          <w:p w14:paraId="0FE83B1F">
            <w:pPr>
              <w:keepNext/>
              <w:keepLines/>
              <w:spacing w:line="400" w:lineRule="exact"/>
              <w:jc w:val="center"/>
              <w:outlineLvl w:val="9"/>
              <w:rPr>
                <w:rFonts w:hint="eastAsia" w:ascii="宋体" w:hAnsi="宋体" w:eastAsia="宋体" w:cs="宋体"/>
                <w:color w:val="auto"/>
                <w:kern w:val="0"/>
                <w:sz w:val="18"/>
                <w:szCs w:val="18"/>
                <w:highlight w:val="none"/>
              </w:rPr>
            </w:pPr>
          </w:p>
        </w:tc>
        <w:tc>
          <w:tcPr>
            <w:tcW w:w="393" w:type="pct"/>
            <w:vAlign w:val="center"/>
          </w:tcPr>
          <w:p w14:paraId="3B51E412">
            <w:pPr>
              <w:keepNext/>
              <w:keepLines/>
              <w:spacing w:line="400" w:lineRule="exact"/>
              <w:jc w:val="center"/>
              <w:outlineLvl w:val="9"/>
              <w:rPr>
                <w:rFonts w:hint="eastAsia" w:ascii="宋体" w:hAnsi="宋体" w:eastAsia="宋体" w:cs="宋体"/>
                <w:color w:val="auto"/>
                <w:kern w:val="0"/>
                <w:sz w:val="18"/>
                <w:szCs w:val="18"/>
                <w:highlight w:val="none"/>
              </w:rPr>
            </w:pPr>
          </w:p>
        </w:tc>
      </w:tr>
      <w:tr w14:paraId="5EDEA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14:paraId="49AE97D2">
            <w:pPr>
              <w:spacing w:line="400" w:lineRule="exact"/>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7</w:t>
            </w:r>
          </w:p>
        </w:tc>
        <w:tc>
          <w:tcPr>
            <w:tcW w:w="616" w:type="pct"/>
            <w:vAlign w:val="center"/>
          </w:tcPr>
          <w:p w14:paraId="40942839">
            <w:pPr>
              <w:spacing w:line="400" w:lineRule="exact"/>
              <w:jc w:val="center"/>
              <w:outlineLvl w:val="9"/>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七</w:t>
            </w:r>
          </w:p>
        </w:tc>
        <w:tc>
          <w:tcPr>
            <w:tcW w:w="2934" w:type="pct"/>
            <w:vAlign w:val="center"/>
          </w:tcPr>
          <w:p w14:paraId="6E37D240">
            <w:pPr>
              <w:autoSpaceDE w:val="0"/>
              <w:autoSpaceDN w:val="0"/>
              <w:adjustRightInd w:val="0"/>
              <w:spacing w:line="400" w:lineRule="exact"/>
              <w:jc w:val="left"/>
              <w:outlineLvl w:val="9"/>
              <w:rPr>
                <w:rFonts w:hint="default"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工作人员要求和配置</w:t>
            </w:r>
          </w:p>
        </w:tc>
        <w:tc>
          <w:tcPr>
            <w:tcW w:w="346" w:type="pct"/>
            <w:vAlign w:val="center"/>
          </w:tcPr>
          <w:p w14:paraId="3FA85EE0">
            <w:pPr>
              <w:keepNext/>
              <w:keepLines/>
              <w:spacing w:line="400" w:lineRule="exact"/>
              <w:jc w:val="center"/>
              <w:outlineLvl w:val="9"/>
              <w:rPr>
                <w:rFonts w:hint="eastAsia" w:ascii="宋体" w:hAnsi="宋体" w:eastAsia="宋体" w:cs="宋体"/>
                <w:color w:val="auto"/>
                <w:kern w:val="0"/>
                <w:sz w:val="18"/>
                <w:szCs w:val="18"/>
                <w:highlight w:val="none"/>
              </w:rPr>
            </w:pPr>
          </w:p>
        </w:tc>
        <w:tc>
          <w:tcPr>
            <w:tcW w:w="417" w:type="pct"/>
            <w:vAlign w:val="center"/>
          </w:tcPr>
          <w:p w14:paraId="2E0B5938">
            <w:pPr>
              <w:keepNext/>
              <w:keepLines/>
              <w:spacing w:line="400" w:lineRule="exact"/>
              <w:jc w:val="center"/>
              <w:outlineLvl w:val="9"/>
              <w:rPr>
                <w:rFonts w:hint="eastAsia" w:ascii="宋体" w:hAnsi="宋体" w:eastAsia="宋体" w:cs="宋体"/>
                <w:color w:val="auto"/>
                <w:kern w:val="0"/>
                <w:sz w:val="18"/>
                <w:szCs w:val="18"/>
                <w:highlight w:val="none"/>
              </w:rPr>
            </w:pPr>
          </w:p>
        </w:tc>
        <w:tc>
          <w:tcPr>
            <w:tcW w:w="393" w:type="pct"/>
            <w:vAlign w:val="center"/>
          </w:tcPr>
          <w:p w14:paraId="25A1FB26">
            <w:pPr>
              <w:keepNext/>
              <w:keepLines/>
              <w:spacing w:line="400" w:lineRule="exact"/>
              <w:jc w:val="center"/>
              <w:outlineLvl w:val="9"/>
              <w:rPr>
                <w:rFonts w:hint="eastAsia" w:ascii="宋体" w:hAnsi="宋体" w:eastAsia="宋体" w:cs="宋体"/>
                <w:color w:val="auto"/>
                <w:kern w:val="0"/>
                <w:sz w:val="18"/>
                <w:szCs w:val="18"/>
                <w:highlight w:val="none"/>
              </w:rPr>
            </w:pPr>
          </w:p>
        </w:tc>
      </w:tr>
      <w:tr w14:paraId="73640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14:paraId="54A441AB">
            <w:pPr>
              <w:spacing w:line="400" w:lineRule="exact"/>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8</w:t>
            </w:r>
          </w:p>
        </w:tc>
        <w:tc>
          <w:tcPr>
            <w:tcW w:w="616" w:type="pct"/>
            <w:vAlign w:val="center"/>
          </w:tcPr>
          <w:p w14:paraId="4D4B6E26">
            <w:pPr>
              <w:spacing w:line="400" w:lineRule="exact"/>
              <w:jc w:val="center"/>
              <w:outlineLvl w:val="9"/>
              <w:rPr>
                <w:rFonts w:hint="default"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八</w:t>
            </w:r>
          </w:p>
        </w:tc>
        <w:tc>
          <w:tcPr>
            <w:tcW w:w="2934" w:type="pct"/>
            <w:vAlign w:val="center"/>
          </w:tcPr>
          <w:p w14:paraId="49DCD52A">
            <w:pPr>
              <w:autoSpaceDE w:val="0"/>
              <w:autoSpaceDN w:val="0"/>
              <w:adjustRightInd w:val="0"/>
              <w:spacing w:line="400" w:lineRule="exact"/>
              <w:jc w:val="left"/>
              <w:outlineLvl w:val="9"/>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kern w:val="0"/>
                <w:sz w:val="18"/>
                <w:szCs w:val="18"/>
                <w:highlight w:val="none"/>
                <w:lang w:val="en-US" w:eastAsia="zh-CN"/>
              </w:rPr>
              <w:t>食堂监督管理</w:t>
            </w:r>
          </w:p>
        </w:tc>
        <w:tc>
          <w:tcPr>
            <w:tcW w:w="346" w:type="pct"/>
            <w:vAlign w:val="center"/>
          </w:tcPr>
          <w:p w14:paraId="5D8349A5">
            <w:pPr>
              <w:keepNext/>
              <w:keepLines/>
              <w:spacing w:line="400" w:lineRule="exact"/>
              <w:jc w:val="center"/>
              <w:outlineLvl w:val="9"/>
              <w:rPr>
                <w:rFonts w:hint="eastAsia" w:ascii="宋体" w:hAnsi="宋体" w:eastAsia="宋体" w:cs="宋体"/>
                <w:color w:val="auto"/>
                <w:kern w:val="0"/>
                <w:sz w:val="18"/>
                <w:szCs w:val="18"/>
                <w:highlight w:val="none"/>
              </w:rPr>
            </w:pPr>
          </w:p>
        </w:tc>
        <w:tc>
          <w:tcPr>
            <w:tcW w:w="417" w:type="pct"/>
            <w:vAlign w:val="center"/>
          </w:tcPr>
          <w:p w14:paraId="0655F492">
            <w:pPr>
              <w:keepNext/>
              <w:keepLines/>
              <w:spacing w:line="400" w:lineRule="exact"/>
              <w:jc w:val="center"/>
              <w:outlineLvl w:val="9"/>
              <w:rPr>
                <w:rFonts w:hint="eastAsia" w:ascii="宋体" w:hAnsi="宋体" w:eastAsia="宋体" w:cs="宋体"/>
                <w:color w:val="auto"/>
                <w:kern w:val="0"/>
                <w:sz w:val="18"/>
                <w:szCs w:val="18"/>
                <w:highlight w:val="none"/>
              </w:rPr>
            </w:pPr>
          </w:p>
        </w:tc>
        <w:tc>
          <w:tcPr>
            <w:tcW w:w="393" w:type="pct"/>
            <w:vAlign w:val="center"/>
          </w:tcPr>
          <w:p w14:paraId="588C6BEB">
            <w:pPr>
              <w:keepNext/>
              <w:keepLines/>
              <w:spacing w:line="400" w:lineRule="exact"/>
              <w:jc w:val="center"/>
              <w:outlineLvl w:val="9"/>
              <w:rPr>
                <w:rFonts w:hint="eastAsia" w:ascii="宋体" w:hAnsi="宋体" w:eastAsia="宋体" w:cs="宋体"/>
                <w:color w:val="auto"/>
                <w:kern w:val="0"/>
                <w:sz w:val="18"/>
                <w:szCs w:val="18"/>
                <w:highlight w:val="none"/>
              </w:rPr>
            </w:pPr>
          </w:p>
        </w:tc>
      </w:tr>
      <w:tr w14:paraId="1FAA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14:paraId="550E900B">
            <w:pPr>
              <w:spacing w:line="400" w:lineRule="exact"/>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9</w:t>
            </w:r>
          </w:p>
        </w:tc>
        <w:tc>
          <w:tcPr>
            <w:tcW w:w="616" w:type="pct"/>
            <w:vAlign w:val="center"/>
          </w:tcPr>
          <w:p w14:paraId="544CE6B1">
            <w:pPr>
              <w:spacing w:line="400" w:lineRule="exact"/>
              <w:jc w:val="center"/>
              <w:outlineLvl w:val="9"/>
              <w:rPr>
                <w:rFonts w:hint="default"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九</w:t>
            </w:r>
          </w:p>
        </w:tc>
        <w:tc>
          <w:tcPr>
            <w:tcW w:w="2934" w:type="pct"/>
            <w:vAlign w:val="center"/>
          </w:tcPr>
          <w:p w14:paraId="14C06CF2">
            <w:pPr>
              <w:autoSpaceDE w:val="0"/>
              <w:autoSpaceDN w:val="0"/>
              <w:adjustRightInd w:val="0"/>
              <w:spacing w:line="400" w:lineRule="exact"/>
              <w:jc w:val="left"/>
              <w:outlineLvl w:val="9"/>
              <w:rPr>
                <w:rFonts w:hint="default"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其他规定和要求</w:t>
            </w:r>
          </w:p>
        </w:tc>
        <w:tc>
          <w:tcPr>
            <w:tcW w:w="346" w:type="pct"/>
            <w:vAlign w:val="center"/>
          </w:tcPr>
          <w:p w14:paraId="4DBE8E08">
            <w:pPr>
              <w:keepNext/>
              <w:keepLines/>
              <w:spacing w:line="400" w:lineRule="exact"/>
              <w:jc w:val="center"/>
              <w:outlineLvl w:val="9"/>
              <w:rPr>
                <w:rFonts w:hint="eastAsia" w:ascii="宋体" w:hAnsi="宋体" w:eastAsia="宋体" w:cs="宋体"/>
                <w:color w:val="auto"/>
                <w:kern w:val="0"/>
                <w:sz w:val="18"/>
                <w:szCs w:val="18"/>
                <w:highlight w:val="none"/>
              </w:rPr>
            </w:pPr>
          </w:p>
        </w:tc>
        <w:tc>
          <w:tcPr>
            <w:tcW w:w="417" w:type="pct"/>
            <w:vAlign w:val="center"/>
          </w:tcPr>
          <w:p w14:paraId="408B4AB7">
            <w:pPr>
              <w:keepNext/>
              <w:keepLines/>
              <w:spacing w:line="400" w:lineRule="exact"/>
              <w:jc w:val="center"/>
              <w:outlineLvl w:val="9"/>
              <w:rPr>
                <w:rFonts w:hint="eastAsia" w:ascii="宋体" w:hAnsi="宋体" w:eastAsia="宋体" w:cs="宋体"/>
                <w:color w:val="auto"/>
                <w:kern w:val="0"/>
                <w:sz w:val="18"/>
                <w:szCs w:val="18"/>
                <w:highlight w:val="none"/>
              </w:rPr>
            </w:pPr>
          </w:p>
        </w:tc>
        <w:tc>
          <w:tcPr>
            <w:tcW w:w="393" w:type="pct"/>
            <w:vAlign w:val="center"/>
          </w:tcPr>
          <w:p w14:paraId="36BC7255">
            <w:pPr>
              <w:keepNext/>
              <w:keepLines/>
              <w:spacing w:line="400" w:lineRule="exact"/>
              <w:jc w:val="center"/>
              <w:outlineLvl w:val="9"/>
              <w:rPr>
                <w:rFonts w:hint="eastAsia" w:ascii="宋体" w:hAnsi="宋体" w:eastAsia="宋体" w:cs="宋体"/>
                <w:color w:val="auto"/>
                <w:kern w:val="0"/>
                <w:sz w:val="18"/>
                <w:szCs w:val="18"/>
                <w:highlight w:val="none"/>
              </w:rPr>
            </w:pPr>
          </w:p>
        </w:tc>
      </w:tr>
      <w:tr w14:paraId="4CCDF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14:paraId="79FD0B17">
            <w:pPr>
              <w:spacing w:line="400" w:lineRule="exact"/>
              <w:jc w:val="center"/>
              <w:outlineLvl w:val="9"/>
              <w:rPr>
                <w:rFonts w:hint="default"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10</w:t>
            </w:r>
          </w:p>
        </w:tc>
        <w:tc>
          <w:tcPr>
            <w:tcW w:w="616" w:type="pct"/>
            <w:vAlign w:val="center"/>
          </w:tcPr>
          <w:p w14:paraId="34F524FE">
            <w:pPr>
              <w:spacing w:line="400" w:lineRule="exact"/>
              <w:jc w:val="center"/>
              <w:outlineLvl w:val="9"/>
              <w:rPr>
                <w:rFonts w:hint="default"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十</w:t>
            </w:r>
          </w:p>
        </w:tc>
        <w:tc>
          <w:tcPr>
            <w:tcW w:w="2934" w:type="pct"/>
            <w:vAlign w:val="center"/>
          </w:tcPr>
          <w:p w14:paraId="2B169A3D">
            <w:pPr>
              <w:autoSpaceDE w:val="0"/>
              <w:autoSpaceDN w:val="0"/>
              <w:adjustRightInd w:val="0"/>
              <w:spacing w:line="400" w:lineRule="exact"/>
              <w:jc w:val="left"/>
              <w:outlineLvl w:val="9"/>
              <w:rPr>
                <w:rFonts w:hint="default"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退出机制</w:t>
            </w:r>
          </w:p>
        </w:tc>
        <w:tc>
          <w:tcPr>
            <w:tcW w:w="346" w:type="pct"/>
            <w:vAlign w:val="center"/>
          </w:tcPr>
          <w:p w14:paraId="18367FB7">
            <w:pPr>
              <w:keepNext/>
              <w:keepLines/>
              <w:spacing w:line="400" w:lineRule="exact"/>
              <w:jc w:val="center"/>
              <w:outlineLvl w:val="9"/>
              <w:rPr>
                <w:rFonts w:hint="eastAsia" w:ascii="宋体" w:hAnsi="宋体" w:eastAsia="宋体" w:cs="宋体"/>
                <w:color w:val="auto"/>
                <w:kern w:val="0"/>
                <w:sz w:val="18"/>
                <w:szCs w:val="18"/>
                <w:highlight w:val="none"/>
              </w:rPr>
            </w:pPr>
          </w:p>
        </w:tc>
        <w:tc>
          <w:tcPr>
            <w:tcW w:w="417" w:type="pct"/>
            <w:vAlign w:val="center"/>
          </w:tcPr>
          <w:p w14:paraId="45980496">
            <w:pPr>
              <w:keepNext/>
              <w:keepLines/>
              <w:spacing w:line="400" w:lineRule="exact"/>
              <w:jc w:val="center"/>
              <w:outlineLvl w:val="9"/>
              <w:rPr>
                <w:rFonts w:hint="eastAsia" w:ascii="宋体" w:hAnsi="宋体" w:eastAsia="宋体" w:cs="宋体"/>
                <w:color w:val="auto"/>
                <w:kern w:val="0"/>
                <w:sz w:val="18"/>
                <w:szCs w:val="18"/>
                <w:highlight w:val="none"/>
              </w:rPr>
            </w:pPr>
          </w:p>
        </w:tc>
        <w:tc>
          <w:tcPr>
            <w:tcW w:w="393" w:type="pct"/>
            <w:vAlign w:val="center"/>
          </w:tcPr>
          <w:p w14:paraId="35E75A22">
            <w:pPr>
              <w:keepNext/>
              <w:keepLines/>
              <w:spacing w:line="400" w:lineRule="exact"/>
              <w:jc w:val="center"/>
              <w:outlineLvl w:val="9"/>
              <w:rPr>
                <w:rFonts w:hint="eastAsia" w:ascii="宋体" w:hAnsi="宋体" w:eastAsia="宋体" w:cs="宋体"/>
                <w:color w:val="auto"/>
                <w:kern w:val="0"/>
                <w:sz w:val="18"/>
                <w:szCs w:val="18"/>
                <w:highlight w:val="none"/>
              </w:rPr>
            </w:pPr>
          </w:p>
        </w:tc>
      </w:tr>
      <w:tr w14:paraId="4AF5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14:paraId="0A9953E5">
            <w:pPr>
              <w:spacing w:line="400" w:lineRule="exact"/>
              <w:jc w:val="center"/>
              <w:outlineLvl w:val="9"/>
              <w:rPr>
                <w:rFonts w:hint="default"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11</w:t>
            </w:r>
          </w:p>
        </w:tc>
        <w:tc>
          <w:tcPr>
            <w:tcW w:w="616" w:type="pct"/>
            <w:vAlign w:val="center"/>
          </w:tcPr>
          <w:p w14:paraId="20B93420">
            <w:pPr>
              <w:spacing w:line="400" w:lineRule="exact"/>
              <w:jc w:val="center"/>
              <w:outlineLvl w:val="9"/>
              <w:rPr>
                <w:rFonts w:hint="default"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十一</w:t>
            </w:r>
          </w:p>
        </w:tc>
        <w:tc>
          <w:tcPr>
            <w:tcW w:w="2934" w:type="pct"/>
            <w:vAlign w:val="center"/>
          </w:tcPr>
          <w:p w14:paraId="39AA1F81">
            <w:pPr>
              <w:autoSpaceDE w:val="0"/>
              <w:autoSpaceDN w:val="0"/>
              <w:adjustRightInd w:val="0"/>
              <w:spacing w:line="400" w:lineRule="exact"/>
              <w:jc w:val="left"/>
              <w:outlineLvl w:val="9"/>
              <w:rPr>
                <w:rFonts w:hint="default"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考核评价</w:t>
            </w:r>
          </w:p>
        </w:tc>
        <w:tc>
          <w:tcPr>
            <w:tcW w:w="346" w:type="pct"/>
            <w:vAlign w:val="center"/>
          </w:tcPr>
          <w:p w14:paraId="43B9C8EB">
            <w:pPr>
              <w:keepNext/>
              <w:keepLines/>
              <w:spacing w:line="400" w:lineRule="exact"/>
              <w:jc w:val="center"/>
              <w:outlineLvl w:val="9"/>
              <w:rPr>
                <w:rFonts w:hint="eastAsia" w:ascii="宋体" w:hAnsi="宋体" w:eastAsia="宋体" w:cs="宋体"/>
                <w:color w:val="auto"/>
                <w:kern w:val="0"/>
                <w:sz w:val="18"/>
                <w:szCs w:val="18"/>
                <w:highlight w:val="none"/>
              </w:rPr>
            </w:pPr>
          </w:p>
        </w:tc>
        <w:tc>
          <w:tcPr>
            <w:tcW w:w="417" w:type="pct"/>
            <w:vAlign w:val="center"/>
          </w:tcPr>
          <w:p w14:paraId="04A9C6FA">
            <w:pPr>
              <w:keepNext/>
              <w:keepLines/>
              <w:spacing w:line="400" w:lineRule="exact"/>
              <w:jc w:val="center"/>
              <w:outlineLvl w:val="9"/>
              <w:rPr>
                <w:rFonts w:hint="eastAsia" w:ascii="宋体" w:hAnsi="宋体" w:eastAsia="宋体" w:cs="宋体"/>
                <w:color w:val="auto"/>
                <w:kern w:val="0"/>
                <w:sz w:val="18"/>
                <w:szCs w:val="18"/>
                <w:highlight w:val="none"/>
              </w:rPr>
            </w:pPr>
          </w:p>
        </w:tc>
        <w:tc>
          <w:tcPr>
            <w:tcW w:w="393" w:type="pct"/>
            <w:vAlign w:val="center"/>
          </w:tcPr>
          <w:p w14:paraId="71345D4E">
            <w:pPr>
              <w:keepNext/>
              <w:keepLines/>
              <w:spacing w:line="400" w:lineRule="exact"/>
              <w:jc w:val="center"/>
              <w:outlineLvl w:val="9"/>
              <w:rPr>
                <w:rFonts w:hint="eastAsia" w:ascii="宋体" w:hAnsi="宋体" w:eastAsia="宋体" w:cs="宋体"/>
                <w:color w:val="auto"/>
                <w:kern w:val="0"/>
                <w:sz w:val="18"/>
                <w:szCs w:val="18"/>
                <w:highlight w:val="none"/>
              </w:rPr>
            </w:pPr>
          </w:p>
        </w:tc>
      </w:tr>
      <w:tr w14:paraId="03B2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14:paraId="228118CF">
            <w:pPr>
              <w:spacing w:line="400" w:lineRule="exact"/>
              <w:jc w:val="center"/>
              <w:outlineLvl w:val="9"/>
              <w:rPr>
                <w:rFonts w:hint="default"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12</w:t>
            </w:r>
          </w:p>
        </w:tc>
        <w:tc>
          <w:tcPr>
            <w:tcW w:w="616" w:type="pct"/>
            <w:vAlign w:val="center"/>
          </w:tcPr>
          <w:p w14:paraId="04DA1453">
            <w:pPr>
              <w:spacing w:line="400" w:lineRule="exact"/>
              <w:jc w:val="center"/>
              <w:outlineLvl w:val="9"/>
              <w:rPr>
                <w:rFonts w:hint="default"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十二</w:t>
            </w:r>
          </w:p>
        </w:tc>
        <w:tc>
          <w:tcPr>
            <w:tcW w:w="2934" w:type="pct"/>
            <w:vAlign w:val="center"/>
          </w:tcPr>
          <w:p w14:paraId="76A1401B">
            <w:pPr>
              <w:autoSpaceDE w:val="0"/>
              <w:autoSpaceDN w:val="0"/>
              <w:adjustRightInd w:val="0"/>
              <w:spacing w:line="400" w:lineRule="exact"/>
              <w:jc w:val="left"/>
              <w:outlineLvl w:val="9"/>
              <w:rPr>
                <w:rFonts w:hint="default"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付款方式</w:t>
            </w:r>
          </w:p>
        </w:tc>
        <w:tc>
          <w:tcPr>
            <w:tcW w:w="346" w:type="pct"/>
            <w:vAlign w:val="center"/>
          </w:tcPr>
          <w:p w14:paraId="32AA3BC7">
            <w:pPr>
              <w:keepNext/>
              <w:keepLines/>
              <w:spacing w:line="400" w:lineRule="exact"/>
              <w:jc w:val="center"/>
              <w:outlineLvl w:val="9"/>
              <w:rPr>
                <w:rFonts w:hint="eastAsia" w:ascii="宋体" w:hAnsi="宋体" w:eastAsia="宋体" w:cs="宋体"/>
                <w:color w:val="auto"/>
                <w:kern w:val="0"/>
                <w:sz w:val="18"/>
                <w:szCs w:val="18"/>
                <w:highlight w:val="none"/>
              </w:rPr>
            </w:pPr>
          </w:p>
        </w:tc>
        <w:tc>
          <w:tcPr>
            <w:tcW w:w="417" w:type="pct"/>
            <w:vAlign w:val="center"/>
          </w:tcPr>
          <w:p w14:paraId="3AC8AAD6">
            <w:pPr>
              <w:keepNext/>
              <w:keepLines/>
              <w:spacing w:line="400" w:lineRule="exact"/>
              <w:jc w:val="center"/>
              <w:outlineLvl w:val="9"/>
              <w:rPr>
                <w:rFonts w:hint="eastAsia" w:ascii="宋体" w:hAnsi="宋体" w:eastAsia="宋体" w:cs="宋体"/>
                <w:color w:val="auto"/>
                <w:kern w:val="0"/>
                <w:sz w:val="18"/>
                <w:szCs w:val="18"/>
                <w:highlight w:val="none"/>
              </w:rPr>
            </w:pPr>
          </w:p>
        </w:tc>
        <w:tc>
          <w:tcPr>
            <w:tcW w:w="393" w:type="pct"/>
            <w:vAlign w:val="center"/>
          </w:tcPr>
          <w:p w14:paraId="58BC94F6">
            <w:pPr>
              <w:keepNext/>
              <w:keepLines/>
              <w:spacing w:line="400" w:lineRule="exact"/>
              <w:jc w:val="center"/>
              <w:outlineLvl w:val="9"/>
              <w:rPr>
                <w:rFonts w:hint="eastAsia" w:ascii="宋体" w:hAnsi="宋体" w:eastAsia="宋体" w:cs="宋体"/>
                <w:color w:val="auto"/>
                <w:kern w:val="0"/>
                <w:sz w:val="18"/>
                <w:szCs w:val="18"/>
                <w:highlight w:val="none"/>
              </w:rPr>
            </w:pPr>
          </w:p>
        </w:tc>
      </w:tr>
      <w:tr w14:paraId="347AF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14:paraId="7AE8485D">
            <w:pPr>
              <w:spacing w:line="400" w:lineRule="exact"/>
              <w:jc w:val="center"/>
              <w:outlineLvl w:val="9"/>
              <w:rPr>
                <w:rFonts w:hint="default"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13</w:t>
            </w:r>
          </w:p>
        </w:tc>
        <w:tc>
          <w:tcPr>
            <w:tcW w:w="616" w:type="pct"/>
            <w:vAlign w:val="center"/>
          </w:tcPr>
          <w:p w14:paraId="77A73118">
            <w:pPr>
              <w:spacing w:line="400" w:lineRule="exact"/>
              <w:jc w:val="center"/>
              <w:outlineLvl w:val="9"/>
              <w:rPr>
                <w:rFonts w:hint="default"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十三</w:t>
            </w:r>
          </w:p>
        </w:tc>
        <w:tc>
          <w:tcPr>
            <w:tcW w:w="2934" w:type="pct"/>
            <w:vAlign w:val="center"/>
          </w:tcPr>
          <w:p w14:paraId="50155A34">
            <w:pPr>
              <w:autoSpaceDE w:val="0"/>
              <w:autoSpaceDN w:val="0"/>
              <w:adjustRightInd w:val="0"/>
              <w:spacing w:line="400" w:lineRule="exact"/>
              <w:jc w:val="left"/>
              <w:outlineLvl w:val="9"/>
              <w:rPr>
                <w:rFonts w:hint="default"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结算金额</w:t>
            </w:r>
          </w:p>
        </w:tc>
        <w:tc>
          <w:tcPr>
            <w:tcW w:w="346" w:type="pct"/>
            <w:vAlign w:val="center"/>
          </w:tcPr>
          <w:p w14:paraId="53ABBC2C">
            <w:pPr>
              <w:keepNext/>
              <w:keepLines/>
              <w:spacing w:line="400" w:lineRule="exact"/>
              <w:jc w:val="center"/>
              <w:outlineLvl w:val="9"/>
              <w:rPr>
                <w:rFonts w:hint="eastAsia" w:ascii="宋体" w:hAnsi="宋体" w:eastAsia="宋体" w:cs="宋体"/>
                <w:color w:val="auto"/>
                <w:kern w:val="0"/>
                <w:sz w:val="18"/>
                <w:szCs w:val="18"/>
                <w:highlight w:val="none"/>
              </w:rPr>
            </w:pPr>
          </w:p>
        </w:tc>
        <w:tc>
          <w:tcPr>
            <w:tcW w:w="417" w:type="pct"/>
            <w:vAlign w:val="center"/>
          </w:tcPr>
          <w:p w14:paraId="6E4E670A">
            <w:pPr>
              <w:keepNext/>
              <w:keepLines/>
              <w:spacing w:line="400" w:lineRule="exact"/>
              <w:jc w:val="center"/>
              <w:outlineLvl w:val="9"/>
              <w:rPr>
                <w:rFonts w:hint="eastAsia" w:ascii="宋体" w:hAnsi="宋体" w:eastAsia="宋体" w:cs="宋体"/>
                <w:color w:val="auto"/>
                <w:kern w:val="0"/>
                <w:sz w:val="18"/>
                <w:szCs w:val="18"/>
                <w:highlight w:val="none"/>
              </w:rPr>
            </w:pPr>
          </w:p>
        </w:tc>
        <w:tc>
          <w:tcPr>
            <w:tcW w:w="393" w:type="pct"/>
            <w:vAlign w:val="center"/>
          </w:tcPr>
          <w:p w14:paraId="1015CFE0">
            <w:pPr>
              <w:keepNext/>
              <w:keepLines/>
              <w:spacing w:line="400" w:lineRule="exact"/>
              <w:jc w:val="center"/>
              <w:outlineLvl w:val="9"/>
              <w:rPr>
                <w:rFonts w:hint="eastAsia" w:ascii="宋体" w:hAnsi="宋体" w:eastAsia="宋体" w:cs="宋体"/>
                <w:color w:val="auto"/>
                <w:kern w:val="0"/>
                <w:sz w:val="18"/>
                <w:szCs w:val="18"/>
                <w:highlight w:val="none"/>
              </w:rPr>
            </w:pPr>
          </w:p>
        </w:tc>
      </w:tr>
      <w:tr w14:paraId="75A9D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14:paraId="5A431277">
            <w:pPr>
              <w:spacing w:line="400" w:lineRule="exact"/>
              <w:jc w:val="center"/>
              <w:outlineLvl w:val="9"/>
              <w:rPr>
                <w:rFonts w:hint="default"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14</w:t>
            </w:r>
          </w:p>
        </w:tc>
        <w:tc>
          <w:tcPr>
            <w:tcW w:w="616" w:type="pct"/>
            <w:vAlign w:val="center"/>
          </w:tcPr>
          <w:p w14:paraId="60E47225">
            <w:pPr>
              <w:spacing w:line="400" w:lineRule="exact"/>
              <w:jc w:val="center"/>
              <w:outlineLvl w:val="9"/>
              <w:rPr>
                <w:rFonts w:hint="default"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十四</w:t>
            </w:r>
          </w:p>
        </w:tc>
        <w:tc>
          <w:tcPr>
            <w:tcW w:w="2934" w:type="pct"/>
            <w:vAlign w:val="center"/>
          </w:tcPr>
          <w:p w14:paraId="2EF9532E">
            <w:pPr>
              <w:autoSpaceDE w:val="0"/>
              <w:autoSpaceDN w:val="0"/>
              <w:adjustRightInd w:val="0"/>
              <w:spacing w:line="400" w:lineRule="exact"/>
              <w:jc w:val="left"/>
              <w:outlineLvl w:val="9"/>
              <w:rPr>
                <w:rFonts w:hint="default"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菜品定价机制</w:t>
            </w:r>
          </w:p>
        </w:tc>
        <w:tc>
          <w:tcPr>
            <w:tcW w:w="346" w:type="pct"/>
            <w:vAlign w:val="center"/>
          </w:tcPr>
          <w:p w14:paraId="03D2AB7C">
            <w:pPr>
              <w:keepNext/>
              <w:keepLines/>
              <w:spacing w:line="400" w:lineRule="exact"/>
              <w:jc w:val="center"/>
              <w:outlineLvl w:val="9"/>
              <w:rPr>
                <w:rFonts w:hint="eastAsia" w:ascii="宋体" w:hAnsi="宋体" w:eastAsia="宋体" w:cs="宋体"/>
                <w:color w:val="auto"/>
                <w:kern w:val="0"/>
                <w:sz w:val="18"/>
                <w:szCs w:val="18"/>
                <w:highlight w:val="none"/>
              </w:rPr>
            </w:pPr>
          </w:p>
        </w:tc>
        <w:tc>
          <w:tcPr>
            <w:tcW w:w="417" w:type="pct"/>
            <w:vAlign w:val="center"/>
          </w:tcPr>
          <w:p w14:paraId="6D12DEDC">
            <w:pPr>
              <w:keepNext/>
              <w:keepLines/>
              <w:spacing w:line="400" w:lineRule="exact"/>
              <w:jc w:val="center"/>
              <w:outlineLvl w:val="9"/>
              <w:rPr>
                <w:rFonts w:hint="eastAsia" w:ascii="宋体" w:hAnsi="宋体" w:eastAsia="宋体" w:cs="宋体"/>
                <w:color w:val="auto"/>
                <w:kern w:val="0"/>
                <w:sz w:val="18"/>
                <w:szCs w:val="18"/>
                <w:highlight w:val="none"/>
              </w:rPr>
            </w:pPr>
          </w:p>
        </w:tc>
        <w:tc>
          <w:tcPr>
            <w:tcW w:w="393" w:type="pct"/>
            <w:vAlign w:val="center"/>
          </w:tcPr>
          <w:p w14:paraId="40985B5C">
            <w:pPr>
              <w:keepNext/>
              <w:keepLines/>
              <w:spacing w:line="400" w:lineRule="exact"/>
              <w:jc w:val="center"/>
              <w:outlineLvl w:val="9"/>
              <w:rPr>
                <w:rFonts w:hint="eastAsia" w:ascii="宋体" w:hAnsi="宋体" w:eastAsia="宋体" w:cs="宋体"/>
                <w:color w:val="auto"/>
                <w:kern w:val="0"/>
                <w:sz w:val="18"/>
                <w:szCs w:val="18"/>
                <w:highlight w:val="none"/>
              </w:rPr>
            </w:pPr>
          </w:p>
        </w:tc>
      </w:tr>
      <w:tr w14:paraId="4FD1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14:paraId="5B3D7B12">
            <w:pPr>
              <w:spacing w:line="400" w:lineRule="exact"/>
              <w:jc w:val="center"/>
              <w:outlineLvl w:val="9"/>
              <w:rPr>
                <w:rFonts w:hint="default"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15</w:t>
            </w:r>
          </w:p>
        </w:tc>
        <w:tc>
          <w:tcPr>
            <w:tcW w:w="616" w:type="pct"/>
            <w:vAlign w:val="center"/>
          </w:tcPr>
          <w:p w14:paraId="0790F618">
            <w:pPr>
              <w:spacing w:line="400" w:lineRule="exact"/>
              <w:jc w:val="center"/>
              <w:outlineLvl w:val="9"/>
              <w:rPr>
                <w:rFonts w:hint="default"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十五</w:t>
            </w:r>
          </w:p>
        </w:tc>
        <w:tc>
          <w:tcPr>
            <w:tcW w:w="2934" w:type="pct"/>
            <w:vAlign w:val="center"/>
          </w:tcPr>
          <w:p w14:paraId="7C29681C">
            <w:pPr>
              <w:autoSpaceDE w:val="0"/>
              <w:autoSpaceDN w:val="0"/>
              <w:adjustRightInd w:val="0"/>
              <w:spacing w:line="400" w:lineRule="exact"/>
              <w:jc w:val="left"/>
              <w:outlineLvl w:val="9"/>
              <w:rPr>
                <w:rFonts w:hint="default"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服务考核表</w:t>
            </w:r>
          </w:p>
        </w:tc>
        <w:tc>
          <w:tcPr>
            <w:tcW w:w="346" w:type="pct"/>
            <w:vAlign w:val="center"/>
          </w:tcPr>
          <w:p w14:paraId="6B4CC30D">
            <w:pPr>
              <w:keepNext/>
              <w:keepLines/>
              <w:spacing w:line="400" w:lineRule="exact"/>
              <w:jc w:val="center"/>
              <w:outlineLvl w:val="9"/>
              <w:rPr>
                <w:rFonts w:hint="eastAsia" w:ascii="宋体" w:hAnsi="宋体" w:eastAsia="宋体" w:cs="宋体"/>
                <w:color w:val="auto"/>
                <w:kern w:val="0"/>
                <w:sz w:val="18"/>
                <w:szCs w:val="18"/>
                <w:highlight w:val="none"/>
              </w:rPr>
            </w:pPr>
          </w:p>
        </w:tc>
        <w:tc>
          <w:tcPr>
            <w:tcW w:w="417" w:type="pct"/>
            <w:vAlign w:val="center"/>
          </w:tcPr>
          <w:p w14:paraId="0B156120">
            <w:pPr>
              <w:keepNext/>
              <w:keepLines/>
              <w:spacing w:line="400" w:lineRule="exact"/>
              <w:jc w:val="center"/>
              <w:outlineLvl w:val="9"/>
              <w:rPr>
                <w:rFonts w:hint="eastAsia" w:ascii="宋体" w:hAnsi="宋体" w:eastAsia="宋体" w:cs="宋体"/>
                <w:color w:val="auto"/>
                <w:kern w:val="0"/>
                <w:sz w:val="18"/>
                <w:szCs w:val="18"/>
                <w:highlight w:val="none"/>
              </w:rPr>
            </w:pPr>
          </w:p>
        </w:tc>
        <w:tc>
          <w:tcPr>
            <w:tcW w:w="393" w:type="pct"/>
            <w:vAlign w:val="center"/>
          </w:tcPr>
          <w:p w14:paraId="141FA02C">
            <w:pPr>
              <w:keepNext/>
              <w:keepLines/>
              <w:spacing w:line="400" w:lineRule="exact"/>
              <w:jc w:val="center"/>
              <w:outlineLvl w:val="9"/>
              <w:rPr>
                <w:rFonts w:hint="eastAsia" w:ascii="宋体" w:hAnsi="宋体" w:eastAsia="宋体" w:cs="宋体"/>
                <w:color w:val="auto"/>
                <w:kern w:val="0"/>
                <w:sz w:val="18"/>
                <w:szCs w:val="18"/>
                <w:highlight w:val="none"/>
              </w:rPr>
            </w:pPr>
          </w:p>
        </w:tc>
      </w:tr>
      <w:tr w14:paraId="51AA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71488D87">
            <w:pPr>
              <w:keepNext/>
              <w:keepLines/>
              <w:spacing w:line="400" w:lineRule="exact"/>
              <w:jc w:val="both"/>
              <w:outlineLvl w:val="9"/>
              <w:rPr>
                <w:rFonts w:hint="default" w:ascii="宋体" w:hAnsi="宋体" w:eastAsia="宋体" w:cs="宋体"/>
                <w:color w:val="auto"/>
                <w:kern w:val="0"/>
                <w:sz w:val="18"/>
                <w:szCs w:val="18"/>
                <w:highlight w:val="none"/>
                <w:lang w:val="en-US" w:eastAsia="zh-CN"/>
              </w:rPr>
            </w:pPr>
            <w:r>
              <w:rPr>
                <w:rFonts w:hint="eastAsia" w:ascii="宋体" w:hAnsi="宋体" w:eastAsia="宋体" w:cs="宋体"/>
                <w:b/>
                <w:bCs/>
                <w:sz w:val="18"/>
                <w:szCs w:val="18"/>
                <w:highlight w:val="none"/>
                <w:lang w:bidi="ar"/>
              </w:rPr>
              <w:t>用户需求书“★”条款汇总</w:t>
            </w:r>
          </w:p>
        </w:tc>
      </w:tr>
      <w:tr w14:paraId="4E56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14:paraId="318E5AF8">
            <w:pPr>
              <w:spacing w:line="400" w:lineRule="exact"/>
              <w:jc w:val="center"/>
              <w:outlineLvl w:val="9"/>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16</w:t>
            </w:r>
          </w:p>
        </w:tc>
        <w:tc>
          <w:tcPr>
            <w:tcW w:w="616" w:type="pct"/>
            <w:vAlign w:val="center"/>
          </w:tcPr>
          <w:p w14:paraId="04F21F90">
            <w:pPr>
              <w:spacing w:line="400" w:lineRule="exact"/>
              <w:jc w:val="center"/>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三、（一）</w:t>
            </w:r>
          </w:p>
        </w:tc>
        <w:tc>
          <w:tcPr>
            <w:tcW w:w="2934" w:type="pct"/>
            <w:vAlign w:val="center"/>
          </w:tcPr>
          <w:p w14:paraId="5C9EDD1B">
            <w:pPr>
              <w:autoSpaceDE w:val="0"/>
              <w:autoSpaceDN w:val="0"/>
              <w:adjustRightInd w:val="0"/>
              <w:spacing w:line="400" w:lineRule="exact"/>
              <w:jc w:val="left"/>
              <w:outlineLvl w:val="9"/>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★合同服务期2年（招标人按月度和年度对中标人进行考核，中标人未通过考核的，招标人有权终止合同）。</w:t>
            </w:r>
          </w:p>
        </w:tc>
        <w:tc>
          <w:tcPr>
            <w:tcW w:w="346" w:type="pct"/>
            <w:vAlign w:val="center"/>
          </w:tcPr>
          <w:p w14:paraId="7D6A0196">
            <w:pPr>
              <w:keepNext/>
              <w:keepLines/>
              <w:spacing w:line="400" w:lineRule="exact"/>
              <w:jc w:val="center"/>
              <w:outlineLvl w:val="9"/>
              <w:rPr>
                <w:rFonts w:hint="eastAsia" w:ascii="宋体" w:hAnsi="宋体" w:eastAsia="宋体" w:cs="宋体"/>
                <w:color w:val="auto"/>
                <w:kern w:val="0"/>
                <w:sz w:val="18"/>
                <w:szCs w:val="18"/>
                <w:highlight w:val="none"/>
              </w:rPr>
            </w:pPr>
          </w:p>
        </w:tc>
        <w:tc>
          <w:tcPr>
            <w:tcW w:w="417" w:type="pct"/>
            <w:vAlign w:val="center"/>
          </w:tcPr>
          <w:p w14:paraId="3AF502D4">
            <w:pPr>
              <w:keepNext/>
              <w:keepLines/>
              <w:spacing w:line="400" w:lineRule="exact"/>
              <w:jc w:val="center"/>
              <w:outlineLvl w:val="9"/>
              <w:rPr>
                <w:rFonts w:hint="eastAsia" w:ascii="宋体" w:hAnsi="宋体" w:eastAsia="宋体" w:cs="宋体"/>
                <w:color w:val="auto"/>
                <w:kern w:val="0"/>
                <w:sz w:val="18"/>
                <w:szCs w:val="18"/>
                <w:highlight w:val="none"/>
              </w:rPr>
            </w:pPr>
          </w:p>
        </w:tc>
        <w:tc>
          <w:tcPr>
            <w:tcW w:w="393" w:type="pct"/>
            <w:vAlign w:val="center"/>
          </w:tcPr>
          <w:p w14:paraId="6C29532C">
            <w:pPr>
              <w:keepNext/>
              <w:keepLines/>
              <w:spacing w:line="400" w:lineRule="exact"/>
              <w:jc w:val="center"/>
              <w:outlineLvl w:val="9"/>
              <w:rPr>
                <w:rFonts w:hint="eastAsia" w:ascii="宋体" w:hAnsi="宋体" w:eastAsia="宋体" w:cs="宋体"/>
                <w:color w:val="auto"/>
                <w:kern w:val="0"/>
                <w:sz w:val="18"/>
                <w:szCs w:val="18"/>
                <w:highlight w:val="none"/>
              </w:rPr>
            </w:pPr>
          </w:p>
        </w:tc>
      </w:tr>
      <w:tr w14:paraId="2DD1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14:paraId="43EEDA22">
            <w:pPr>
              <w:spacing w:line="400" w:lineRule="exact"/>
              <w:jc w:val="center"/>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17</w:t>
            </w:r>
          </w:p>
        </w:tc>
        <w:tc>
          <w:tcPr>
            <w:tcW w:w="616" w:type="pct"/>
            <w:vAlign w:val="center"/>
          </w:tcPr>
          <w:p w14:paraId="3400B0D5">
            <w:pPr>
              <w:spacing w:line="400" w:lineRule="exact"/>
              <w:jc w:val="center"/>
              <w:outlineLvl w:val="9"/>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五、（一）</w:t>
            </w:r>
          </w:p>
        </w:tc>
        <w:tc>
          <w:tcPr>
            <w:tcW w:w="2934" w:type="pct"/>
            <w:vAlign w:val="center"/>
          </w:tcPr>
          <w:p w14:paraId="3F477BC6">
            <w:pPr>
              <w:autoSpaceDE w:val="0"/>
              <w:autoSpaceDN w:val="0"/>
              <w:adjustRightInd w:val="0"/>
              <w:spacing w:line="400" w:lineRule="exact"/>
              <w:jc w:val="left"/>
              <w:outlineLvl w:val="9"/>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 xml:space="preserve">★所有的厨房工作人员必须持有有效健康证，并将原件和复印件交招标人查验后才能上岗（原件需在餐厅显眼位置公示，复印件招标人存档备案）。中标人承担工作人员工资、福利、社保、工衣和其他商业保险等一切的费用。工作人员每半年进行一次体检，体检结果报招标人备案，体检不合格的，须立即换人。工作人员保持良好个人卫生，生产经营食品时，应当将手洗净，穿戴清洁的工作衣、帽及口罩，配餐时戴手套操作；不得留长指甲、美甲、佩戴饰物等，手部有外伤、工作期间有感冒、发烧或患有传染性疾病的人员不得从事食品生产经营活动。 </w:t>
            </w:r>
          </w:p>
        </w:tc>
        <w:tc>
          <w:tcPr>
            <w:tcW w:w="346" w:type="pct"/>
            <w:vAlign w:val="center"/>
          </w:tcPr>
          <w:p w14:paraId="2D1E7F42">
            <w:pPr>
              <w:keepNext/>
              <w:keepLines/>
              <w:spacing w:line="400" w:lineRule="exact"/>
              <w:jc w:val="center"/>
              <w:outlineLvl w:val="9"/>
              <w:rPr>
                <w:rFonts w:hint="eastAsia" w:ascii="宋体" w:hAnsi="宋体" w:eastAsia="宋体" w:cs="宋体"/>
                <w:color w:val="auto"/>
                <w:kern w:val="0"/>
                <w:sz w:val="18"/>
                <w:szCs w:val="18"/>
                <w:highlight w:val="none"/>
              </w:rPr>
            </w:pPr>
          </w:p>
        </w:tc>
        <w:tc>
          <w:tcPr>
            <w:tcW w:w="417" w:type="pct"/>
            <w:vAlign w:val="center"/>
          </w:tcPr>
          <w:p w14:paraId="22A292EA">
            <w:pPr>
              <w:keepNext/>
              <w:keepLines/>
              <w:spacing w:line="400" w:lineRule="exact"/>
              <w:jc w:val="center"/>
              <w:outlineLvl w:val="9"/>
              <w:rPr>
                <w:rFonts w:hint="eastAsia" w:ascii="宋体" w:hAnsi="宋体" w:eastAsia="宋体" w:cs="宋体"/>
                <w:color w:val="auto"/>
                <w:kern w:val="0"/>
                <w:sz w:val="18"/>
                <w:szCs w:val="18"/>
                <w:highlight w:val="none"/>
              </w:rPr>
            </w:pPr>
          </w:p>
        </w:tc>
        <w:tc>
          <w:tcPr>
            <w:tcW w:w="393" w:type="pct"/>
            <w:vAlign w:val="center"/>
          </w:tcPr>
          <w:p w14:paraId="09FF4FCD">
            <w:pPr>
              <w:keepNext/>
              <w:keepLines/>
              <w:spacing w:line="400" w:lineRule="exact"/>
              <w:jc w:val="center"/>
              <w:outlineLvl w:val="9"/>
              <w:rPr>
                <w:rFonts w:hint="eastAsia" w:ascii="宋体" w:hAnsi="宋体" w:eastAsia="宋体" w:cs="宋体"/>
                <w:color w:val="auto"/>
                <w:kern w:val="0"/>
                <w:sz w:val="18"/>
                <w:szCs w:val="18"/>
                <w:highlight w:val="none"/>
              </w:rPr>
            </w:pPr>
          </w:p>
        </w:tc>
      </w:tr>
      <w:tr w14:paraId="2EB41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14:paraId="180A68BB">
            <w:pPr>
              <w:spacing w:line="400" w:lineRule="exact"/>
              <w:jc w:val="center"/>
              <w:outlineLvl w:val="9"/>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18</w:t>
            </w:r>
          </w:p>
        </w:tc>
        <w:tc>
          <w:tcPr>
            <w:tcW w:w="616" w:type="pct"/>
            <w:vAlign w:val="center"/>
          </w:tcPr>
          <w:p w14:paraId="2BC7A60E">
            <w:pPr>
              <w:spacing w:line="400" w:lineRule="exact"/>
              <w:jc w:val="center"/>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五、（十二）</w:t>
            </w:r>
          </w:p>
        </w:tc>
        <w:tc>
          <w:tcPr>
            <w:tcW w:w="2934" w:type="pct"/>
            <w:vAlign w:val="center"/>
          </w:tcPr>
          <w:p w14:paraId="0EB76515">
            <w:pPr>
              <w:autoSpaceDE w:val="0"/>
              <w:autoSpaceDN w:val="0"/>
              <w:adjustRightInd w:val="0"/>
              <w:spacing w:line="400" w:lineRule="exact"/>
              <w:jc w:val="left"/>
              <w:outlineLvl w:val="9"/>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★合同期内，中标人负责购买本餐饮食堂场所公众责任保险，保额不低于1000万元；中标人必须为招标人提供一份招标人为受益人的食品安全责任险，食品安全责任险不少于1亿元。</w:t>
            </w:r>
          </w:p>
        </w:tc>
        <w:tc>
          <w:tcPr>
            <w:tcW w:w="346" w:type="pct"/>
            <w:vAlign w:val="center"/>
          </w:tcPr>
          <w:p w14:paraId="6234585E">
            <w:pPr>
              <w:keepNext/>
              <w:keepLines/>
              <w:spacing w:line="400" w:lineRule="exact"/>
              <w:jc w:val="center"/>
              <w:outlineLvl w:val="9"/>
              <w:rPr>
                <w:rFonts w:hint="eastAsia" w:ascii="宋体" w:hAnsi="宋体" w:eastAsia="宋体" w:cs="宋体"/>
                <w:color w:val="auto"/>
                <w:kern w:val="0"/>
                <w:sz w:val="18"/>
                <w:szCs w:val="18"/>
                <w:highlight w:val="none"/>
              </w:rPr>
            </w:pPr>
          </w:p>
        </w:tc>
        <w:tc>
          <w:tcPr>
            <w:tcW w:w="417" w:type="pct"/>
            <w:vAlign w:val="center"/>
          </w:tcPr>
          <w:p w14:paraId="104D901A">
            <w:pPr>
              <w:keepNext/>
              <w:keepLines/>
              <w:spacing w:line="400" w:lineRule="exact"/>
              <w:jc w:val="center"/>
              <w:outlineLvl w:val="9"/>
              <w:rPr>
                <w:rFonts w:hint="eastAsia" w:ascii="宋体" w:hAnsi="宋体" w:eastAsia="宋体" w:cs="宋体"/>
                <w:color w:val="auto"/>
                <w:kern w:val="0"/>
                <w:sz w:val="18"/>
                <w:szCs w:val="18"/>
                <w:highlight w:val="none"/>
              </w:rPr>
            </w:pPr>
          </w:p>
        </w:tc>
        <w:tc>
          <w:tcPr>
            <w:tcW w:w="393" w:type="pct"/>
            <w:vAlign w:val="center"/>
          </w:tcPr>
          <w:p w14:paraId="1B7C0A9D">
            <w:pPr>
              <w:keepNext/>
              <w:keepLines/>
              <w:spacing w:line="400" w:lineRule="exact"/>
              <w:jc w:val="center"/>
              <w:outlineLvl w:val="9"/>
              <w:rPr>
                <w:rFonts w:hint="eastAsia" w:ascii="宋体" w:hAnsi="宋体" w:eastAsia="宋体" w:cs="宋体"/>
                <w:color w:val="auto"/>
                <w:kern w:val="0"/>
                <w:sz w:val="18"/>
                <w:szCs w:val="18"/>
                <w:highlight w:val="none"/>
              </w:rPr>
            </w:pPr>
          </w:p>
        </w:tc>
      </w:tr>
      <w:tr w14:paraId="510BF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14:paraId="56D1ADD3">
            <w:pPr>
              <w:spacing w:line="400" w:lineRule="exact"/>
              <w:jc w:val="center"/>
              <w:outlineLvl w:val="9"/>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19</w:t>
            </w:r>
          </w:p>
        </w:tc>
        <w:tc>
          <w:tcPr>
            <w:tcW w:w="616" w:type="pct"/>
            <w:vAlign w:val="center"/>
          </w:tcPr>
          <w:p w14:paraId="54B88F3D">
            <w:pPr>
              <w:spacing w:line="400" w:lineRule="exact"/>
              <w:jc w:val="center"/>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五、（十三）</w:t>
            </w:r>
          </w:p>
        </w:tc>
        <w:tc>
          <w:tcPr>
            <w:tcW w:w="2934" w:type="pct"/>
            <w:vAlign w:val="center"/>
          </w:tcPr>
          <w:p w14:paraId="6CBE14A9">
            <w:pPr>
              <w:autoSpaceDE w:val="0"/>
              <w:autoSpaceDN w:val="0"/>
              <w:adjustRightInd w:val="0"/>
              <w:spacing w:line="400" w:lineRule="exact"/>
              <w:jc w:val="left"/>
              <w:outlineLvl w:val="9"/>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★中标人负责为本项目服务人员购买不低于300万元的人身意外保险。</w:t>
            </w:r>
          </w:p>
        </w:tc>
        <w:tc>
          <w:tcPr>
            <w:tcW w:w="346" w:type="pct"/>
            <w:vAlign w:val="center"/>
          </w:tcPr>
          <w:p w14:paraId="06EBF4ED">
            <w:pPr>
              <w:keepNext/>
              <w:keepLines/>
              <w:spacing w:line="400" w:lineRule="exact"/>
              <w:jc w:val="center"/>
              <w:outlineLvl w:val="9"/>
              <w:rPr>
                <w:rFonts w:hint="eastAsia" w:ascii="宋体" w:hAnsi="宋体" w:eastAsia="宋体" w:cs="宋体"/>
                <w:color w:val="auto"/>
                <w:kern w:val="0"/>
                <w:sz w:val="18"/>
                <w:szCs w:val="18"/>
                <w:highlight w:val="none"/>
              </w:rPr>
            </w:pPr>
          </w:p>
        </w:tc>
        <w:tc>
          <w:tcPr>
            <w:tcW w:w="417" w:type="pct"/>
            <w:vAlign w:val="center"/>
          </w:tcPr>
          <w:p w14:paraId="171B5813">
            <w:pPr>
              <w:keepNext/>
              <w:keepLines/>
              <w:spacing w:line="400" w:lineRule="exact"/>
              <w:jc w:val="center"/>
              <w:outlineLvl w:val="9"/>
              <w:rPr>
                <w:rFonts w:hint="eastAsia" w:ascii="宋体" w:hAnsi="宋体" w:eastAsia="宋体" w:cs="宋体"/>
                <w:color w:val="auto"/>
                <w:kern w:val="0"/>
                <w:sz w:val="18"/>
                <w:szCs w:val="18"/>
                <w:highlight w:val="none"/>
              </w:rPr>
            </w:pPr>
          </w:p>
        </w:tc>
        <w:tc>
          <w:tcPr>
            <w:tcW w:w="393" w:type="pct"/>
            <w:vAlign w:val="center"/>
          </w:tcPr>
          <w:p w14:paraId="7267B135">
            <w:pPr>
              <w:keepNext/>
              <w:keepLines/>
              <w:spacing w:line="400" w:lineRule="exact"/>
              <w:jc w:val="center"/>
              <w:outlineLvl w:val="9"/>
              <w:rPr>
                <w:rFonts w:hint="eastAsia" w:ascii="宋体" w:hAnsi="宋体" w:eastAsia="宋体" w:cs="宋体"/>
                <w:color w:val="auto"/>
                <w:kern w:val="0"/>
                <w:sz w:val="18"/>
                <w:szCs w:val="18"/>
                <w:highlight w:val="none"/>
              </w:rPr>
            </w:pPr>
          </w:p>
        </w:tc>
      </w:tr>
      <w:tr w14:paraId="5A47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14:paraId="541539B9">
            <w:pPr>
              <w:spacing w:line="400" w:lineRule="exact"/>
              <w:jc w:val="center"/>
              <w:outlineLvl w:val="9"/>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20</w:t>
            </w:r>
          </w:p>
        </w:tc>
        <w:tc>
          <w:tcPr>
            <w:tcW w:w="616" w:type="pct"/>
            <w:vAlign w:val="center"/>
          </w:tcPr>
          <w:p w14:paraId="10D409A9">
            <w:pPr>
              <w:spacing w:line="400" w:lineRule="exact"/>
              <w:jc w:val="center"/>
              <w:outlineLvl w:val="9"/>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七、2</w:t>
            </w:r>
          </w:p>
        </w:tc>
        <w:tc>
          <w:tcPr>
            <w:tcW w:w="2934" w:type="pct"/>
            <w:vAlign w:val="center"/>
          </w:tcPr>
          <w:p w14:paraId="3155EBEC">
            <w:pPr>
              <w:autoSpaceDE w:val="0"/>
              <w:autoSpaceDN w:val="0"/>
              <w:adjustRightInd w:val="0"/>
              <w:spacing w:line="400" w:lineRule="exact"/>
              <w:jc w:val="left"/>
              <w:outlineLvl w:val="9"/>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★保证录用的人员无犯罪记录，健康状况良好、无传染性疾病和其他有碍食品安全的疾病，无精神病史，保证队伍良好素质和相对稳定。</w:t>
            </w:r>
          </w:p>
        </w:tc>
        <w:tc>
          <w:tcPr>
            <w:tcW w:w="346" w:type="pct"/>
            <w:vAlign w:val="center"/>
          </w:tcPr>
          <w:p w14:paraId="5D6BF19A">
            <w:pPr>
              <w:keepNext/>
              <w:keepLines/>
              <w:spacing w:line="400" w:lineRule="exact"/>
              <w:jc w:val="center"/>
              <w:outlineLvl w:val="9"/>
              <w:rPr>
                <w:rFonts w:hint="eastAsia" w:ascii="宋体" w:hAnsi="宋体" w:eastAsia="宋体" w:cs="宋体"/>
                <w:color w:val="auto"/>
                <w:kern w:val="0"/>
                <w:sz w:val="18"/>
                <w:szCs w:val="18"/>
                <w:highlight w:val="none"/>
              </w:rPr>
            </w:pPr>
          </w:p>
        </w:tc>
        <w:tc>
          <w:tcPr>
            <w:tcW w:w="417" w:type="pct"/>
            <w:vAlign w:val="center"/>
          </w:tcPr>
          <w:p w14:paraId="6BA4B420">
            <w:pPr>
              <w:keepNext/>
              <w:keepLines/>
              <w:spacing w:line="400" w:lineRule="exact"/>
              <w:jc w:val="center"/>
              <w:outlineLvl w:val="9"/>
              <w:rPr>
                <w:rFonts w:hint="eastAsia" w:ascii="宋体" w:hAnsi="宋体" w:eastAsia="宋体" w:cs="宋体"/>
                <w:color w:val="auto"/>
                <w:kern w:val="0"/>
                <w:sz w:val="18"/>
                <w:szCs w:val="18"/>
                <w:highlight w:val="none"/>
              </w:rPr>
            </w:pPr>
          </w:p>
        </w:tc>
        <w:tc>
          <w:tcPr>
            <w:tcW w:w="393" w:type="pct"/>
            <w:vAlign w:val="center"/>
          </w:tcPr>
          <w:p w14:paraId="3BF23CB5">
            <w:pPr>
              <w:keepNext/>
              <w:keepLines/>
              <w:spacing w:line="400" w:lineRule="exact"/>
              <w:jc w:val="center"/>
              <w:outlineLvl w:val="9"/>
              <w:rPr>
                <w:rFonts w:hint="eastAsia" w:ascii="宋体" w:hAnsi="宋体" w:eastAsia="宋体" w:cs="宋体"/>
                <w:color w:val="auto"/>
                <w:kern w:val="0"/>
                <w:sz w:val="18"/>
                <w:szCs w:val="18"/>
                <w:highlight w:val="none"/>
              </w:rPr>
            </w:pPr>
          </w:p>
        </w:tc>
      </w:tr>
      <w:bookmarkEnd w:id="916"/>
    </w:tbl>
    <w:p w14:paraId="3455C8F4">
      <w:pPr>
        <w:spacing w:line="360" w:lineRule="auto"/>
        <w:outlineLvl w:val="9"/>
        <w:rPr>
          <w:rFonts w:hint="eastAsia" w:ascii="宋体" w:hAnsi="宋体" w:eastAsia="宋体" w:cs="宋体"/>
          <w:color w:val="auto"/>
          <w:szCs w:val="21"/>
          <w:highlight w:val="none"/>
        </w:rPr>
      </w:pPr>
    </w:p>
    <w:p w14:paraId="107DBA0F">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384020C2">
      <w:pPr>
        <w:spacing w:line="360" w:lineRule="auto"/>
        <w:ind w:left="607" w:leftChars="18" w:hanging="569" w:hangingChars="270"/>
        <w:outlineLvl w:val="9"/>
        <w:rPr>
          <w:rFonts w:hint="eastAsia" w:ascii="宋体" w:hAnsi="宋体" w:eastAsia="宋体" w:cs="宋体"/>
          <w:b/>
          <w:bCs w:val="0"/>
          <w:color w:val="auto"/>
          <w:szCs w:val="21"/>
          <w:highlight w:val="none"/>
          <w:u w:val="single"/>
        </w:rPr>
      </w:pPr>
      <w:r>
        <w:rPr>
          <w:rFonts w:hint="eastAsia" w:ascii="宋体" w:hAnsi="宋体" w:eastAsia="宋体" w:cs="宋体"/>
          <w:b/>
          <w:bCs/>
          <w:color w:val="auto"/>
          <w:szCs w:val="21"/>
          <w:highlight w:val="none"/>
        </w:rPr>
        <w:t>（1）</w:t>
      </w:r>
      <w:r>
        <w:rPr>
          <w:rFonts w:hint="eastAsia" w:ascii="宋体" w:hAnsi="宋体" w:eastAsia="宋体" w:cs="宋体"/>
          <w:b/>
          <w:color w:val="auto"/>
          <w:szCs w:val="21"/>
          <w:highlight w:val="none"/>
          <w:u w:val="single"/>
        </w:rPr>
        <w:t>投标人应对照招标文件用户需求书的响应，逐条逐项、如实地填写“偏离情况”，</w:t>
      </w:r>
      <w:r>
        <w:rPr>
          <w:rFonts w:hint="eastAsia" w:ascii="宋体" w:hAnsi="宋体" w:eastAsia="宋体" w:cs="宋体"/>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1DC940E6">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4B9CFFC9">
      <w:pPr>
        <w:spacing w:line="360" w:lineRule="auto"/>
        <w:ind w:left="607" w:leftChars="18" w:hanging="569" w:hangingChars="270"/>
        <w:outlineLvl w:val="9"/>
        <w:rPr>
          <w:rFonts w:hint="eastAsia" w:ascii="宋体" w:hAnsi="宋体" w:eastAsia="宋体" w:cs="宋体"/>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宋体"/>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宋体"/>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宋体" w:hAnsi="宋体" w:eastAsia="宋体" w:cs="宋体"/>
          <w:b/>
          <w:color w:val="auto"/>
          <w:kern w:val="0"/>
          <w:szCs w:val="21"/>
          <w:highlight w:val="none"/>
          <w:u w:val="single"/>
          <w:lang w:val="en-US" w:eastAsia="zh-CN"/>
        </w:rPr>
        <w:t>服务能力</w:t>
      </w:r>
      <w:r>
        <w:rPr>
          <w:rFonts w:hint="eastAsia" w:ascii="宋体" w:hAnsi="宋体" w:eastAsia="宋体" w:cs="宋体"/>
          <w:b/>
          <w:color w:val="auto"/>
          <w:kern w:val="0"/>
          <w:szCs w:val="21"/>
          <w:highlight w:val="none"/>
          <w:u w:val="single"/>
        </w:rPr>
        <w:t>的技术支持资料作为本表的附件，并在本偏离表“对应证明材料页码”项内注明其在投标文件中的具体页码。</w:t>
      </w:r>
    </w:p>
    <w:p w14:paraId="6DB509A5">
      <w:pPr>
        <w:spacing w:line="360" w:lineRule="auto"/>
        <w:ind w:left="607" w:leftChars="18" w:hanging="569" w:hangingChars="270"/>
        <w:outlineLvl w:val="9"/>
        <w:rPr>
          <w:rFonts w:hint="eastAsia" w:ascii="宋体" w:hAnsi="宋体" w:eastAsia="宋体" w:cs="宋体"/>
          <w:b/>
          <w:color w:val="auto"/>
          <w:kern w:val="0"/>
          <w:szCs w:val="21"/>
          <w:highlight w:val="none"/>
          <w:u w:val="single"/>
        </w:rPr>
      </w:pPr>
      <w:r>
        <w:rPr>
          <w:rFonts w:hint="eastAsia" w:ascii="宋体" w:hAnsi="宋体" w:eastAsia="宋体" w:cs="宋体"/>
          <w:b/>
          <w:color w:val="auto"/>
          <w:szCs w:val="21"/>
          <w:highlight w:val="none"/>
        </w:rPr>
        <w:t>（4）</w:t>
      </w:r>
      <w:r>
        <w:rPr>
          <w:rFonts w:hint="eastAsia" w:ascii="宋体" w:hAnsi="宋体" w:eastAsia="宋体" w:cs="宋体"/>
          <w:b/>
          <w:color w:val="auto"/>
          <w:kern w:val="0"/>
          <w:szCs w:val="21"/>
          <w:highlight w:val="none"/>
          <w:u w:val="single"/>
        </w:rPr>
        <w:t>凡标有“★”的地方均被视为重要的技术指标要求或性能要求。投标人要特别加以注意，必须对此回答并完全满足这些要求，否则若有一项带“★”的指标未响应或不满足，将按无效投标处</w:t>
      </w:r>
      <w:r>
        <w:rPr>
          <w:rFonts w:hint="eastAsia" w:ascii="宋体" w:hAnsi="宋体" w:eastAsia="宋体" w:cs="宋体"/>
          <w:b/>
          <w:bCs w:val="0"/>
          <w:color w:val="auto"/>
          <w:kern w:val="0"/>
          <w:szCs w:val="21"/>
          <w:highlight w:val="none"/>
          <w:u w:val="single"/>
        </w:rPr>
        <w:t>理</w:t>
      </w:r>
      <w:r>
        <w:rPr>
          <w:rFonts w:hint="eastAsia" w:ascii="宋体" w:hAnsi="宋体" w:eastAsia="宋体" w:cs="宋体"/>
          <w:b/>
          <w:bCs w:val="0"/>
          <w:color w:val="auto"/>
          <w:kern w:val="0"/>
          <w:sz w:val="24"/>
          <w:szCs w:val="21"/>
          <w:highlight w:val="none"/>
          <w:u w:val="single"/>
          <w:lang w:val="zh-CN"/>
        </w:rPr>
        <w:t>。</w:t>
      </w:r>
    </w:p>
    <w:p w14:paraId="520D2A4F">
      <w:pPr>
        <w:spacing w:line="360" w:lineRule="auto"/>
        <w:outlineLvl w:val="9"/>
        <w:rPr>
          <w:rFonts w:hint="eastAsia" w:ascii="宋体" w:hAnsi="宋体" w:eastAsia="宋体" w:cs="宋体"/>
          <w:color w:val="auto"/>
          <w:szCs w:val="21"/>
          <w:highlight w:val="none"/>
        </w:rPr>
      </w:pPr>
    </w:p>
    <w:p w14:paraId="2FB0D839">
      <w:pPr>
        <w:autoSpaceDE w:val="0"/>
        <w:autoSpaceDN w:val="0"/>
        <w:adjustRightInd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14:paraId="47CC5C3C">
      <w:pPr>
        <w:autoSpaceDE w:val="0"/>
        <w:autoSpaceDN w:val="0"/>
        <w:adjustRightInd w:val="0"/>
        <w:ind w:left="15" w:leftChars="-50" w:hanging="1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日  期：   年  月  日</w:t>
      </w:r>
    </w:p>
    <w:p w14:paraId="3F9E2074">
      <w:pPr>
        <w:tabs>
          <w:tab w:val="left" w:pos="567"/>
        </w:tabs>
        <w:autoSpaceDE w:val="0"/>
        <w:autoSpaceDN w:val="0"/>
        <w:adjustRightInd w:val="0"/>
        <w:spacing w:line="360" w:lineRule="auto"/>
        <w:jc w:val="left"/>
        <w:outlineLvl w:val="9"/>
        <w:rPr>
          <w:rFonts w:hint="eastAsia" w:ascii="宋体" w:hAnsi="宋体" w:eastAsia="宋体" w:cs="宋体"/>
          <w:color w:val="auto"/>
          <w:highlight w:val="none"/>
        </w:rPr>
      </w:pPr>
      <w:r>
        <w:rPr>
          <w:rFonts w:hint="eastAsia" w:ascii="宋体" w:hAnsi="宋体" w:eastAsia="宋体" w:cs="宋体"/>
          <w:b/>
          <w:color w:val="auto"/>
          <w:kern w:val="0"/>
          <w:sz w:val="30"/>
          <w:szCs w:val="30"/>
          <w:highlight w:val="none"/>
        </w:rPr>
        <w:br w:type="page"/>
      </w:r>
      <w:bookmarkStart w:id="917" w:name="_Toc5046"/>
      <w:bookmarkStart w:id="918" w:name="_Toc140596942"/>
      <w:bookmarkStart w:id="919" w:name="_Toc3593"/>
      <w:bookmarkStart w:id="920" w:name="_Toc23150"/>
      <w:bookmarkStart w:id="921" w:name="_Toc94107224"/>
      <w:bookmarkStart w:id="922" w:name="_Toc142508382"/>
      <w:bookmarkStart w:id="923" w:name="_Toc102860431"/>
      <w:bookmarkStart w:id="924" w:name="_Toc104991889"/>
      <w:bookmarkStart w:id="925" w:name="_Toc102860087"/>
      <w:bookmarkStart w:id="926" w:name="_Toc27955"/>
      <w:bookmarkStart w:id="927" w:name="_Toc18293"/>
      <w:bookmarkStart w:id="928" w:name="_Toc1581"/>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 xml:space="preserve">.2 </w:t>
      </w:r>
      <w:bookmarkEnd w:id="917"/>
      <w:bookmarkEnd w:id="918"/>
      <w:bookmarkEnd w:id="919"/>
      <w:bookmarkEnd w:id="920"/>
      <w:bookmarkEnd w:id="921"/>
      <w:bookmarkEnd w:id="922"/>
      <w:bookmarkEnd w:id="923"/>
      <w:bookmarkEnd w:id="924"/>
      <w:bookmarkEnd w:id="925"/>
      <w:r>
        <w:rPr>
          <w:rFonts w:hint="eastAsia" w:ascii="宋体" w:hAnsi="宋体" w:eastAsia="宋体" w:cs="宋体"/>
          <w:b/>
          <w:color w:val="auto"/>
          <w:kern w:val="0"/>
          <w:sz w:val="30"/>
          <w:szCs w:val="30"/>
          <w:highlight w:val="none"/>
          <w:lang w:val="en-US" w:eastAsia="zh-CN"/>
        </w:rPr>
        <w:t>食堂</w:t>
      </w:r>
      <w:r>
        <w:rPr>
          <w:rFonts w:hint="eastAsia" w:ascii="宋体" w:hAnsi="宋体" w:eastAsia="宋体" w:cs="宋体"/>
          <w:b/>
          <w:color w:val="auto"/>
          <w:kern w:val="0"/>
          <w:sz w:val="30"/>
          <w:szCs w:val="30"/>
          <w:highlight w:val="none"/>
          <w:lang w:eastAsia="zh-CN"/>
        </w:rPr>
        <w:t>总体</w:t>
      </w:r>
      <w:r>
        <w:rPr>
          <w:rFonts w:hint="eastAsia" w:ascii="宋体" w:hAnsi="宋体" w:eastAsia="宋体" w:cs="宋体"/>
          <w:b/>
          <w:color w:val="auto"/>
          <w:kern w:val="0"/>
          <w:sz w:val="30"/>
          <w:szCs w:val="30"/>
          <w:highlight w:val="none"/>
          <w:lang w:val="en-US" w:eastAsia="zh-CN"/>
        </w:rPr>
        <w:t>运营</w:t>
      </w:r>
      <w:r>
        <w:rPr>
          <w:rFonts w:hint="eastAsia" w:ascii="宋体" w:hAnsi="宋体" w:eastAsia="宋体" w:cs="宋体"/>
          <w:b/>
          <w:color w:val="auto"/>
          <w:kern w:val="0"/>
          <w:sz w:val="30"/>
          <w:szCs w:val="30"/>
          <w:highlight w:val="none"/>
          <w:lang w:eastAsia="zh-CN"/>
        </w:rPr>
        <w:t>服务方案</w:t>
      </w:r>
      <w:bookmarkEnd w:id="926"/>
      <w:bookmarkEnd w:id="927"/>
      <w:bookmarkEnd w:id="928"/>
    </w:p>
    <w:p w14:paraId="58BF3412">
      <w:pPr>
        <w:spacing w:before="120" w:beforeLines="50"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说明：投标人应根据本项目采购内容和评标工作大纲技术评审细则的要求，自行编制，</w:t>
      </w:r>
      <w:r>
        <w:rPr>
          <w:rFonts w:hint="eastAsia" w:ascii="宋体" w:hAnsi="宋体" w:eastAsia="宋体" w:cs="宋体"/>
          <w:color w:val="auto"/>
          <w:szCs w:val="21"/>
          <w:highlight w:val="none"/>
          <w:lang w:val="en-US" w:eastAsia="zh-CN"/>
        </w:rPr>
        <w:t>食堂</w:t>
      </w:r>
      <w:r>
        <w:rPr>
          <w:rFonts w:hint="eastAsia" w:ascii="宋体" w:hAnsi="宋体" w:eastAsia="宋体" w:cs="宋体"/>
          <w:color w:val="auto"/>
          <w:szCs w:val="21"/>
          <w:highlight w:val="none"/>
        </w:rPr>
        <w:t>总体</w:t>
      </w:r>
      <w:r>
        <w:rPr>
          <w:rFonts w:hint="eastAsia" w:ascii="宋体" w:hAnsi="宋体" w:eastAsia="宋体" w:cs="宋体"/>
          <w:color w:val="auto"/>
          <w:szCs w:val="21"/>
          <w:highlight w:val="none"/>
          <w:lang w:val="en-US" w:eastAsia="zh-CN"/>
        </w:rPr>
        <w:t>运营服务方案</w:t>
      </w:r>
      <w:r>
        <w:rPr>
          <w:rFonts w:hint="eastAsia" w:ascii="宋体" w:hAnsi="宋体" w:eastAsia="宋体" w:cs="宋体"/>
          <w:color w:val="auto"/>
          <w:szCs w:val="21"/>
          <w:highlight w:val="none"/>
        </w:rPr>
        <w:t>主要包括但不限于以下内容：</w:t>
      </w:r>
    </w:p>
    <w:p w14:paraId="6E1569A0">
      <w:pPr>
        <w:spacing w:before="120" w:beforeLines="50"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val="en-US" w:eastAsia="zh-CN"/>
        </w:rPr>
        <w:t>投标人基本情况</w:t>
      </w:r>
      <w:r>
        <w:rPr>
          <w:rFonts w:hint="eastAsia" w:ascii="宋体" w:hAnsi="宋体" w:eastAsia="宋体" w:cs="宋体"/>
          <w:b/>
          <w:bCs/>
          <w:color w:val="auto"/>
          <w:szCs w:val="21"/>
          <w:highlight w:val="none"/>
        </w:rPr>
        <w:t>；</w:t>
      </w:r>
    </w:p>
    <w:p w14:paraId="6595532C">
      <w:pPr>
        <w:spacing w:before="120" w:beforeLines="50"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智慧食堂成功案例情况</w:t>
      </w:r>
      <w:r>
        <w:rPr>
          <w:rFonts w:hint="eastAsia" w:ascii="宋体" w:hAnsi="宋体" w:eastAsia="宋体" w:cs="宋体"/>
          <w:b/>
          <w:bCs/>
          <w:color w:val="auto"/>
          <w:szCs w:val="21"/>
          <w:highlight w:val="none"/>
        </w:rPr>
        <w:t>；</w:t>
      </w:r>
    </w:p>
    <w:p w14:paraId="7CFCF7A5">
      <w:pPr>
        <w:spacing w:before="120" w:beforeLines="50" w:line="360" w:lineRule="auto"/>
        <w:outlineLvl w:val="9"/>
        <w:rPr>
          <w:rFonts w:hint="eastAsia" w:ascii="宋体" w:hAnsi="宋体" w:eastAsia="宋体" w:cs="宋体"/>
          <w:b/>
          <w:bCs/>
          <w:color w:val="auto"/>
          <w:szCs w:val="21"/>
          <w:highlight w:val="none"/>
          <w:lang w:val="en-US" w:eastAsia="zh-CN"/>
        </w:rPr>
      </w:pPr>
      <w:bookmarkStart w:id="929" w:name="_Toc94107225"/>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运营服务工作计划；</w:t>
      </w:r>
    </w:p>
    <w:p w14:paraId="41189C62">
      <w:pPr>
        <w:spacing w:before="120" w:beforeLines="50" w:line="360" w:lineRule="auto"/>
        <w:outlineLvl w:val="9"/>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（4）运营服务人员配置及安排；</w:t>
      </w:r>
    </w:p>
    <w:p w14:paraId="51993E7E">
      <w:pPr>
        <w:spacing w:before="120" w:beforeLines="50" w:line="360" w:lineRule="auto"/>
        <w:outlineLvl w:val="9"/>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（5）食堂平面布置及装修效果展示[需提供相关图纸（含相关图纸及彩色效果图）]；</w:t>
      </w:r>
    </w:p>
    <w:p w14:paraId="0011615D">
      <w:pPr>
        <w:spacing w:before="120" w:beforeLines="50" w:line="360" w:lineRule="auto"/>
        <w:outlineLvl w:val="9"/>
        <w:rPr>
          <w:rFonts w:hint="eastAsia" w:ascii="宋体" w:hAnsi="宋体" w:eastAsia="宋体" w:cs="宋体"/>
          <w:color w:val="auto"/>
          <w:kern w:val="0"/>
          <w:szCs w:val="21"/>
          <w:highlight w:val="none"/>
        </w:rPr>
      </w:pPr>
      <w:r>
        <w:rPr>
          <w:rFonts w:hint="eastAsia" w:ascii="宋体" w:hAnsi="宋体" w:eastAsia="宋体" w:cs="宋体"/>
          <w:b/>
          <w:bCs/>
          <w:color w:val="auto"/>
          <w:szCs w:val="21"/>
          <w:highlight w:val="none"/>
          <w:lang w:val="en-US" w:eastAsia="zh-CN"/>
        </w:rPr>
        <w:t>（6）食堂实施方案；</w:t>
      </w:r>
      <w:r>
        <w:rPr>
          <w:rFonts w:hint="eastAsia" w:ascii="宋体" w:hAnsi="宋体" w:eastAsia="宋体" w:cs="宋体"/>
          <w:color w:val="auto"/>
          <w:kern w:val="0"/>
          <w:szCs w:val="21"/>
          <w:highlight w:val="none"/>
        </w:rPr>
        <w:br w:type="page"/>
      </w:r>
    </w:p>
    <w:bookmarkEnd w:id="929"/>
    <w:p w14:paraId="63E5F437">
      <w:pPr>
        <w:tabs>
          <w:tab w:val="left" w:pos="567"/>
        </w:tabs>
        <w:autoSpaceDE w:val="0"/>
        <w:autoSpaceDN w:val="0"/>
        <w:adjustRightInd w:val="0"/>
        <w:spacing w:line="360" w:lineRule="auto"/>
        <w:jc w:val="left"/>
        <w:outlineLvl w:val="9"/>
        <w:rPr>
          <w:rFonts w:hint="eastAsia" w:ascii="宋体" w:hAnsi="宋体" w:eastAsia="宋体" w:cs="宋体"/>
          <w:color w:val="auto"/>
          <w:highlight w:val="none"/>
        </w:rPr>
      </w:pPr>
      <w:bookmarkStart w:id="930" w:name="_Toc1946"/>
      <w:bookmarkStart w:id="931" w:name="_Toc140596949"/>
      <w:bookmarkStart w:id="932" w:name="_Toc142508389"/>
      <w:bookmarkStart w:id="933" w:name="_Toc104991896"/>
      <w:bookmarkStart w:id="934" w:name="_Toc102860438"/>
      <w:bookmarkStart w:id="935" w:name="_Toc102860094"/>
      <w:bookmarkStart w:id="936" w:name="_Toc533708139"/>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val="en-US" w:eastAsia="zh-CN"/>
        </w:rPr>
        <w:t>3</w:t>
      </w:r>
      <w:r>
        <w:rPr>
          <w:rFonts w:hint="eastAsia"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lang w:val="en-US" w:eastAsia="zh-CN"/>
        </w:rPr>
        <w:t>供餐</w:t>
      </w:r>
      <w:r>
        <w:rPr>
          <w:rFonts w:hint="eastAsia" w:ascii="宋体" w:hAnsi="宋体" w:eastAsia="宋体" w:cs="宋体"/>
          <w:b/>
          <w:color w:val="auto"/>
          <w:kern w:val="0"/>
          <w:sz w:val="30"/>
          <w:szCs w:val="30"/>
          <w:highlight w:val="none"/>
          <w:lang w:eastAsia="zh-CN"/>
        </w:rPr>
        <w:t>服务方案</w:t>
      </w:r>
      <w:bookmarkEnd w:id="930"/>
    </w:p>
    <w:p w14:paraId="6F9E1808">
      <w:pPr>
        <w:tabs>
          <w:tab w:val="left" w:pos="567"/>
        </w:tabs>
        <w:autoSpaceDE w:val="0"/>
        <w:autoSpaceDN w:val="0"/>
        <w:adjustRightInd w:val="0"/>
        <w:spacing w:line="360" w:lineRule="auto"/>
        <w:jc w:val="left"/>
        <w:outlineLvl w:val="9"/>
        <w:rPr>
          <w:rFonts w:hint="eastAsia" w:ascii="宋体" w:hAnsi="宋体" w:eastAsia="宋体" w:cs="宋体"/>
          <w:color w:val="auto"/>
          <w:highlight w:val="none"/>
        </w:rPr>
      </w:pPr>
      <w:bookmarkStart w:id="937" w:name="_Toc23997"/>
      <w:r>
        <w:rPr>
          <w:rFonts w:hint="eastAsia" w:ascii="宋体" w:hAnsi="宋体" w:eastAsia="宋体" w:cs="宋体"/>
          <w:color w:val="auto"/>
          <w:szCs w:val="21"/>
          <w:highlight w:val="none"/>
        </w:rPr>
        <w:t>说明：投标人应根据本项目采购内容和评标工作大纲技术评审细则的要求，自行编制，</w:t>
      </w:r>
      <w:r>
        <w:rPr>
          <w:rFonts w:hint="eastAsia" w:ascii="宋体" w:hAnsi="宋体" w:eastAsia="宋体" w:cs="宋体"/>
          <w:color w:val="auto"/>
          <w:szCs w:val="21"/>
          <w:highlight w:val="none"/>
          <w:lang w:val="en-US" w:eastAsia="zh-CN"/>
        </w:rPr>
        <w:t>供餐服务方案</w:t>
      </w:r>
      <w:r>
        <w:rPr>
          <w:rFonts w:hint="eastAsia" w:ascii="宋体" w:hAnsi="宋体" w:eastAsia="宋体" w:cs="宋体"/>
          <w:color w:val="auto"/>
          <w:szCs w:val="21"/>
          <w:highlight w:val="none"/>
        </w:rPr>
        <w:t>主要包括但不限于以下内容：</w:t>
      </w:r>
      <w:r>
        <w:rPr>
          <w:rFonts w:hint="eastAsia" w:ascii="宋体" w:hAnsi="宋体" w:eastAsia="宋体" w:cs="宋体"/>
          <w:color w:val="auto"/>
          <w:szCs w:val="21"/>
          <w:highlight w:val="none"/>
          <w:lang w:val="en-US" w:eastAsia="zh-CN"/>
        </w:rPr>
        <w:t>菜式品种</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就餐模式、营养搭配方案等内容。</w:t>
      </w:r>
      <w:r>
        <w:rPr>
          <w:rFonts w:hint="eastAsia" w:ascii="宋体" w:hAnsi="宋体" w:eastAsia="宋体" w:cs="宋体"/>
          <w:color w:val="auto"/>
          <w:kern w:val="0"/>
          <w:szCs w:val="21"/>
          <w:highlight w:val="none"/>
        </w:rPr>
        <w:br w:type="page"/>
      </w:r>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lang w:val="en-US" w:eastAsia="zh-CN"/>
        </w:rPr>
        <w:t>食材配送</w:t>
      </w:r>
      <w:r>
        <w:rPr>
          <w:rFonts w:hint="eastAsia" w:ascii="宋体" w:hAnsi="宋体" w:eastAsia="宋体" w:cs="宋体"/>
          <w:b/>
          <w:color w:val="auto"/>
          <w:kern w:val="0"/>
          <w:sz w:val="30"/>
          <w:szCs w:val="30"/>
          <w:highlight w:val="none"/>
          <w:lang w:eastAsia="zh-CN"/>
        </w:rPr>
        <w:t>方案</w:t>
      </w:r>
      <w:bookmarkEnd w:id="937"/>
    </w:p>
    <w:p w14:paraId="4475DF22">
      <w:pPr>
        <w:spacing w:before="120" w:beforeLines="50" w:line="360" w:lineRule="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说明：投标人应根据本项目采购内容和评标工作大纲技术评审细则的要求，自行编制，</w:t>
      </w:r>
      <w:r>
        <w:rPr>
          <w:rFonts w:hint="eastAsia" w:ascii="宋体" w:hAnsi="宋体" w:eastAsia="宋体" w:cs="宋体"/>
          <w:color w:val="auto"/>
          <w:szCs w:val="21"/>
          <w:highlight w:val="none"/>
          <w:lang w:val="en-US" w:eastAsia="zh-CN"/>
        </w:rPr>
        <w:t>食材配送方案</w:t>
      </w:r>
      <w:r>
        <w:rPr>
          <w:rFonts w:hint="eastAsia" w:ascii="宋体" w:hAnsi="宋体" w:eastAsia="宋体" w:cs="宋体"/>
          <w:color w:val="auto"/>
          <w:szCs w:val="21"/>
          <w:highlight w:val="none"/>
        </w:rPr>
        <w:t>主要包括但不限于以下内容：</w:t>
      </w:r>
      <w:r>
        <w:rPr>
          <w:rFonts w:hint="eastAsia" w:ascii="宋体" w:hAnsi="宋体" w:eastAsia="宋体" w:cs="宋体"/>
          <w:color w:val="auto"/>
          <w:szCs w:val="21"/>
          <w:highlight w:val="none"/>
          <w:lang w:val="en-US" w:eastAsia="zh-CN"/>
        </w:rPr>
        <w:t>食材采购、包装、运输、装卸、供货时限、派发及善后处理等安排计划、专人服务，专人跟踪等内容。</w:t>
      </w:r>
    </w:p>
    <w:p w14:paraId="699112A4">
      <w:pPr>
        <w:keepNext w:val="0"/>
        <w:keepLines w:val="0"/>
        <w:pageBreakBefore/>
        <w:widowControl w:val="0"/>
        <w:tabs>
          <w:tab w:val="left" w:pos="567"/>
        </w:tabs>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color w:val="auto"/>
          <w:highlight w:val="none"/>
        </w:rPr>
      </w:pPr>
      <w:bookmarkStart w:id="938" w:name="_Toc1042"/>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lang w:val="en-US" w:eastAsia="zh-CN"/>
        </w:rPr>
        <w:t>食品安全卫生与安全生产管理措施</w:t>
      </w:r>
      <w:bookmarkEnd w:id="938"/>
    </w:p>
    <w:p w14:paraId="2C772D59">
      <w:pPr>
        <w:spacing w:before="120" w:beforeLines="50" w:line="360" w:lineRule="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说明：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投标人应根据本项目采购内容和评标工作大纲技术评审细则的要求，自行编制，</w:t>
      </w:r>
      <w:r>
        <w:rPr>
          <w:rFonts w:hint="eastAsia" w:ascii="宋体" w:hAnsi="宋体" w:eastAsia="宋体" w:cs="宋体"/>
          <w:color w:val="auto"/>
          <w:szCs w:val="21"/>
          <w:highlight w:val="none"/>
          <w:lang w:val="en-US" w:eastAsia="zh-CN"/>
        </w:rPr>
        <w:t>食品安全卫生与安全生产管理措施</w:t>
      </w:r>
      <w:r>
        <w:rPr>
          <w:rFonts w:hint="eastAsia" w:ascii="宋体" w:hAnsi="宋体" w:eastAsia="宋体" w:cs="宋体"/>
          <w:color w:val="auto"/>
          <w:szCs w:val="21"/>
          <w:highlight w:val="none"/>
        </w:rPr>
        <w:t>主要包括但不限于以下内容：</w:t>
      </w:r>
      <w:r>
        <w:rPr>
          <w:rFonts w:hint="eastAsia" w:ascii="宋体" w:hAnsi="宋体" w:eastAsia="宋体" w:cs="宋体"/>
          <w:color w:val="auto"/>
          <w:szCs w:val="21"/>
          <w:highlight w:val="none"/>
          <w:lang w:val="en-US" w:eastAsia="zh-CN"/>
        </w:rPr>
        <w:t>食堂采购食品及原料、食品添加剂的进货渠道管理、验收管理和采购台账管理制度、查验记录制度、食品留样制度、卫生管理制度、索证索票制度、安全生产管理措施等内容。（2）食材合格检测报告。</w:t>
      </w:r>
    </w:p>
    <w:p w14:paraId="7BFA4D91">
      <w:pPr>
        <w:keepNext w:val="0"/>
        <w:keepLines w:val="0"/>
        <w:pageBreakBefore/>
        <w:widowControl w:val="0"/>
        <w:kinsoku/>
        <w:wordWrap/>
        <w:overflowPunct/>
        <w:topLinePunct w:val="0"/>
        <w:autoSpaceDE/>
        <w:autoSpaceDN/>
        <w:bidi w:val="0"/>
        <w:adjustRightInd/>
        <w:snapToGrid/>
        <w:spacing w:before="120" w:beforeLines="50" w:line="360" w:lineRule="auto"/>
        <w:textAlignment w:val="auto"/>
        <w:outlineLvl w:val="9"/>
        <w:rPr>
          <w:rFonts w:hint="eastAsia" w:ascii="宋体" w:hAnsi="宋体" w:eastAsia="宋体" w:cs="宋体"/>
          <w:b/>
          <w:color w:val="auto"/>
          <w:kern w:val="0"/>
          <w:sz w:val="30"/>
          <w:szCs w:val="30"/>
          <w:highlight w:val="none"/>
          <w:lang w:eastAsia="zh-CN"/>
        </w:rPr>
      </w:pPr>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 xml:space="preserve"> </w:t>
      </w:r>
      <w:r>
        <w:rPr>
          <w:rFonts w:hint="eastAsia" w:ascii="宋体" w:hAnsi="宋体" w:eastAsia="宋体" w:cs="宋体"/>
          <w:b/>
          <w:bCs/>
          <w:color w:val="auto"/>
          <w:sz w:val="30"/>
          <w:szCs w:val="30"/>
          <w:highlight w:val="none"/>
        </w:rPr>
        <w:t>拟投入的</w:t>
      </w:r>
      <w:r>
        <w:rPr>
          <w:rFonts w:hint="eastAsia" w:ascii="宋体" w:hAnsi="宋体" w:eastAsia="宋体" w:cs="宋体"/>
          <w:b/>
          <w:bCs/>
          <w:color w:val="auto"/>
          <w:sz w:val="30"/>
          <w:szCs w:val="30"/>
          <w:highlight w:val="none"/>
          <w:lang w:val="en-US" w:eastAsia="zh-CN"/>
        </w:rPr>
        <w:t>经营团队</w:t>
      </w:r>
      <w:r>
        <w:rPr>
          <w:rFonts w:hint="eastAsia" w:ascii="宋体" w:hAnsi="宋体" w:eastAsia="宋体" w:cs="宋体"/>
          <w:b/>
          <w:bCs/>
          <w:color w:val="auto"/>
          <w:sz w:val="30"/>
          <w:szCs w:val="30"/>
          <w:highlight w:val="none"/>
        </w:rPr>
        <w:t>情况</w:t>
      </w:r>
    </w:p>
    <w:p w14:paraId="2CFAFD28">
      <w:pPr>
        <w:autoSpaceDE w:val="0"/>
        <w:autoSpaceDN w:val="0"/>
        <w:adjustRightInd w:val="0"/>
        <w:spacing w:before="120" w:beforeLines="50" w:line="360" w:lineRule="auto"/>
        <w:jc w:val="cente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拟投入本项目的</w:t>
      </w:r>
      <w:r>
        <w:rPr>
          <w:rFonts w:hint="eastAsia" w:ascii="宋体" w:hAnsi="宋体" w:eastAsia="宋体" w:cs="宋体"/>
          <w:b/>
          <w:color w:val="auto"/>
          <w:kern w:val="0"/>
          <w:sz w:val="30"/>
          <w:szCs w:val="30"/>
          <w:highlight w:val="none"/>
          <w:lang w:val="en-US" w:eastAsia="zh-CN"/>
        </w:rPr>
        <w:t>经营团队</w:t>
      </w:r>
      <w:r>
        <w:rPr>
          <w:rFonts w:hint="eastAsia" w:ascii="宋体" w:hAnsi="宋体" w:eastAsia="宋体" w:cs="宋体"/>
          <w:b/>
          <w:color w:val="auto"/>
          <w:kern w:val="0"/>
          <w:sz w:val="30"/>
          <w:szCs w:val="30"/>
          <w:highlight w:val="none"/>
        </w:rPr>
        <w:t>情况一览表</w:t>
      </w:r>
    </w:p>
    <w:tbl>
      <w:tblPr>
        <w:tblStyle w:val="38"/>
        <w:tblW w:w="49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003"/>
        <w:gridCol w:w="879"/>
        <w:gridCol w:w="748"/>
        <w:gridCol w:w="900"/>
        <w:gridCol w:w="1615"/>
        <w:gridCol w:w="1061"/>
        <w:gridCol w:w="1722"/>
        <w:gridCol w:w="659"/>
      </w:tblGrid>
      <w:tr w14:paraId="0E786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407" w:type="pct"/>
            <w:noWrap w:val="0"/>
            <w:vAlign w:val="center"/>
          </w:tcPr>
          <w:p w14:paraId="545E7208">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536" w:type="pct"/>
            <w:noWrap w:val="0"/>
            <w:vAlign w:val="center"/>
          </w:tcPr>
          <w:p w14:paraId="184073B2">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p>
        </w:tc>
        <w:tc>
          <w:tcPr>
            <w:tcW w:w="470" w:type="pct"/>
            <w:noWrap w:val="0"/>
            <w:vAlign w:val="center"/>
          </w:tcPr>
          <w:p w14:paraId="7DBA68E2">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性别</w:t>
            </w:r>
          </w:p>
        </w:tc>
        <w:tc>
          <w:tcPr>
            <w:tcW w:w="400" w:type="pct"/>
            <w:noWrap w:val="0"/>
            <w:vAlign w:val="center"/>
          </w:tcPr>
          <w:p w14:paraId="16A28516">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年龄</w:t>
            </w:r>
          </w:p>
        </w:tc>
        <w:tc>
          <w:tcPr>
            <w:tcW w:w="481" w:type="pct"/>
            <w:noWrap w:val="0"/>
            <w:vAlign w:val="center"/>
          </w:tcPr>
          <w:p w14:paraId="43AB3020">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学历</w:t>
            </w:r>
          </w:p>
        </w:tc>
        <w:tc>
          <w:tcPr>
            <w:tcW w:w="863" w:type="pct"/>
            <w:noWrap w:val="0"/>
            <w:vAlign w:val="center"/>
          </w:tcPr>
          <w:p w14:paraId="7AF465C5">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资格/职称证书</w:t>
            </w:r>
          </w:p>
        </w:tc>
        <w:tc>
          <w:tcPr>
            <w:tcW w:w="567" w:type="pct"/>
            <w:noWrap w:val="0"/>
            <w:vAlign w:val="center"/>
          </w:tcPr>
          <w:p w14:paraId="310A0E81">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拟任职务</w:t>
            </w:r>
          </w:p>
        </w:tc>
        <w:tc>
          <w:tcPr>
            <w:tcW w:w="920" w:type="pct"/>
            <w:noWrap w:val="0"/>
            <w:vAlign w:val="center"/>
          </w:tcPr>
          <w:p w14:paraId="4C6164C0">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从事本行业年限</w:t>
            </w:r>
          </w:p>
        </w:tc>
        <w:tc>
          <w:tcPr>
            <w:tcW w:w="352" w:type="pct"/>
            <w:noWrap w:val="0"/>
            <w:vAlign w:val="center"/>
          </w:tcPr>
          <w:p w14:paraId="48120A21">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14:paraId="4BA0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07" w:type="pct"/>
            <w:noWrap w:val="0"/>
            <w:vAlign w:val="center"/>
          </w:tcPr>
          <w:p w14:paraId="52FC04BD">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536" w:type="pct"/>
            <w:noWrap w:val="0"/>
            <w:vAlign w:val="center"/>
          </w:tcPr>
          <w:p w14:paraId="75B2B304">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470" w:type="pct"/>
            <w:noWrap w:val="0"/>
            <w:vAlign w:val="center"/>
          </w:tcPr>
          <w:p w14:paraId="54EAC405">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400" w:type="pct"/>
            <w:noWrap w:val="0"/>
            <w:vAlign w:val="center"/>
          </w:tcPr>
          <w:p w14:paraId="6D0B3AC1">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481" w:type="pct"/>
            <w:noWrap w:val="0"/>
            <w:vAlign w:val="center"/>
          </w:tcPr>
          <w:p w14:paraId="6BDEB560">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863" w:type="pct"/>
            <w:noWrap w:val="0"/>
            <w:vAlign w:val="center"/>
          </w:tcPr>
          <w:p w14:paraId="5B4CF8EC">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567" w:type="pct"/>
            <w:noWrap w:val="0"/>
            <w:vAlign w:val="center"/>
          </w:tcPr>
          <w:p w14:paraId="43062DE7">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920" w:type="pct"/>
            <w:noWrap w:val="0"/>
            <w:vAlign w:val="center"/>
          </w:tcPr>
          <w:p w14:paraId="20F39DC3">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352" w:type="pct"/>
            <w:noWrap w:val="0"/>
            <w:vAlign w:val="center"/>
          </w:tcPr>
          <w:p w14:paraId="76FEC14F">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r>
      <w:tr w14:paraId="346D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07" w:type="pct"/>
            <w:noWrap w:val="0"/>
            <w:vAlign w:val="center"/>
          </w:tcPr>
          <w:p w14:paraId="107D6344">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536" w:type="pct"/>
            <w:noWrap w:val="0"/>
            <w:vAlign w:val="center"/>
          </w:tcPr>
          <w:p w14:paraId="4DFD0E40">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470" w:type="pct"/>
            <w:noWrap w:val="0"/>
            <w:vAlign w:val="center"/>
          </w:tcPr>
          <w:p w14:paraId="17202A77">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400" w:type="pct"/>
            <w:noWrap w:val="0"/>
            <w:vAlign w:val="center"/>
          </w:tcPr>
          <w:p w14:paraId="66B90E9A">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481" w:type="pct"/>
            <w:noWrap w:val="0"/>
            <w:vAlign w:val="center"/>
          </w:tcPr>
          <w:p w14:paraId="7B15BFBC">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863" w:type="pct"/>
            <w:noWrap w:val="0"/>
            <w:vAlign w:val="center"/>
          </w:tcPr>
          <w:p w14:paraId="0ADE24CE">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567" w:type="pct"/>
            <w:noWrap w:val="0"/>
            <w:vAlign w:val="center"/>
          </w:tcPr>
          <w:p w14:paraId="056D6C55">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920" w:type="pct"/>
            <w:noWrap w:val="0"/>
            <w:vAlign w:val="center"/>
          </w:tcPr>
          <w:p w14:paraId="53E7D387">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352" w:type="pct"/>
            <w:noWrap w:val="0"/>
            <w:vAlign w:val="center"/>
          </w:tcPr>
          <w:p w14:paraId="396FA7BD">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r>
      <w:tr w14:paraId="14D5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07" w:type="pct"/>
            <w:noWrap w:val="0"/>
            <w:vAlign w:val="center"/>
          </w:tcPr>
          <w:p w14:paraId="344BD28D">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536" w:type="pct"/>
            <w:noWrap w:val="0"/>
            <w:vAlign w:val="center"/>
          </w:tcPr>
          <w:p w14:paraId="3CBF50C2">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470" w:type="pct"/>
            <w:noWrap w:val="0"/>
            <w:vAlign w:val="center"/>
          </w:tcPr>
          <w:p w14:paraId="6B5E3973">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400" w:type="pct"/>
            <w:noWrap w:val="0"/>
            <w:vAlign w:val="center"/>
          </w:tcPr>
          <w:p w14:paraId="391661A0">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481" w:type="pct"/>
            <w:noWrap w:val="0"/>
            <w:vAlign w:val="center"/>
          </w:tcPr>
          <w:p w14:paraId="4ABE76E6">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863" w:type="pct"/>
            <w:noWrap w:val="0"/>
            <w:vAlign w:val="center"/>
          </w:tcPr>
          <w:p w14:paraId="0339A277">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567" w:type="pct"/>
            <w:noWrap w:val="0"/>
            <w:vAlign w:val="center"/>
          </w:tcPr>
          <w:p w14:paraId="65B6B70E">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920" w:type="pct"/>
            <w:noWrap w:val="0"/>
            <w:vAlign w:val="center"/>
          </w:tcPr>
          <w:p w14:paraId="205F3A53">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352" w:type="pct"/>
            <w:noWrap w:val="0"/>
            <w:vAlign w:val="center"/>
          </w:tcPr>
          <w:p w14:paraId="1ADECBD0">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r>
      <w:tr w14:paraId="17FF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07" w:type="pct"/>
            <w:noWrap w:val="0"/>
            <w:vAlign w:val="center"/>
          </w:tcPr>
          <w:p w14:paraId="4AA49C9D">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536" w:type="pct"/>
            <w:noWrap w:val="0"/>
            <w:vAlign w:val="center"/>
          </w:tcPr>
          <w:p w14:paraId="1FDBDA0F">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470" w:type="pct"/>
            <w:noWrap w:val="0"/>
            <w:vAlign w:val="center"/>
          </w:tcPr>
          <w:p w14:paraId="021CF5C5">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400" w:type="pct"/>
            <w:noWrap w:val="0"/>
            <w:vAlign w:val="center"/>
          </w:tcPr>
          <w:p w14:paraId="7BC66FFD">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481" w:type="pct"/>
            <w:noWrap w:val="0"/>
            <w:vAlign w:val="center"/>
          </w:tcPr>
          <w:p w14:paraId="0E46E962">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863" w:type="pct"/>
            <w:noWrap w:val="0"/>
            <w:vAlign w:val="center"/>
          </w:tcPr>
          <w:p w14:paraId="7E4055E5">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567" w:type="pct"/>
            <w:noWrap w:val="0"/>
            <w:vAlign w:val="center"/>
          </w:tcPr>
          <w:p w14:paraId="46E15F4C">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920" w:type="pct"/>
            <w:noWrap w:val="0"/>
            <w:vAlign w:val="center"/>
          </w:tcPr>
          <w:p w14:paraId="1C3B4BC4">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352" w:type="pct"/>
            <w:noWrap w:val="0"/>
            <w:vAlign w:val="center"/>
          </w:tcPr>
          <w:p w14:paraId="48B1874E">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r>
      <w:tr w14:paraId="3948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07" w:type="pct"/>
            <w:noWrap w:val="0"/>
            <w:vAlign w:val="center"/>
          </w:tcPr>
          <w:p w14:paraId="44A920FE">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536" w:type="pct"/>
            <w:noWrap w:val="0"/>
            <w:vAlign w:val="center"/>
          </w:tcPr>
          <w:p w14:paraId="27C18809">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470" w:type="pct"/>
            <w:noWrap w:val="0"/>
            <w:vAlign w:val="center"/>
          </w:tcPr>
          <w:p w14:paraId="349F6128">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400" w:type="pct"/>
            <w:noWrap w:val="0"/>
            <w:vAlign w:val="center"/>
          </w:tcPr>
          <w:p w14:paraId="6E0AB69C">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481" w:type="pct"/>
            <w:noWrap w:val="0"/>
            <w:vAlign w:val="center"/>
          </w:tcPr>
          <w:p w14:paraId="6D2264FC">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863" w:type="pct"/>
            <w:noWrap w:val="0"/>
            <w:vAlign w:val="center"/>
          </w:tcPr>
          <w:p w14:paraId="12F57934">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567" w:type="pct"/>
            <w:noWrap w:val="0"/>
            <w:vAlign w:val="center"/>
          </w:tcPr>
          <w:p w14:paraId="1F1BD30A">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920" w:type="pct"/>
            <w:noWrap w:val="0"/>
            <w:vAlign w:val="center"/>
          </w:tcPr>
          <w:p w14:paraId="1A9FA1D8">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352" w:type="pct"/>
            <w:noWrap w:val="0"/>
            <w:vAlign w:val="center"/>
          </w:tcPr>
          <w:p w14:paraId="44E44378">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r>
      <w:tr w14:paraId="2BA32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07" w:type="pct"/>
            <w:noWrap w:val="0"/>
            <w:vAlign w:val="center"/>
          </w:tcPr>
          <w:p w14:paraId="349EAA89">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536" w:type="pct"/>
            <w:noWrap w:val="0"/>
            <w:vAlign w:val="center"/>
          </w:tcPr>
          <w:p w14:paraId="4BA54781">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470" w:type="pct"/>
            <w:noWrap w:val="0"/>
            <w:vAlign w:val="center"/>
          </w:tcPr>
          <w:p w14:paraId="663DE8EA">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400" w:type="pct"/>
            <w:noWrap w:val="0"/>
            <w:vAlign w:val="center"/>
          </w:tcPr>
          <w:p w14:paraId="3B5796FE">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481" w:type="pct"/>
            <w:noWrap w:val="0"/>
            <w:vAlign w:val="center"/>
          </w:tcPr>
          <w:p w14:paraId="29381D77">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863" w:type="pct"/>
            <w:noWrap w:val="0"/>
            <w:vAlign w:val="center"/>
          </w:tcPr>
          <w:p w14:paraId="5BCB9835">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567" w:type="pct"/>
            <w:noWrap w:val="0"/>
            <w:vAlign w:val="center"/>
          </w:tcPr>
          <w:p w14:paraId="76FA6F08">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920" w:type="pct"/>
            <w:noWrap w:val="0"/>
            <w:vAlign w:val="center"/>
          </w:tcPr>
          <w:p w14:paraId="1191D7E8">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352" w:type="pct"/>
            <w:noWrap w:val="0"/>
            <w:vAlign w:val="center"/>
          </w:tcPr>
          <w:p w14:paraId="2258A168">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r>
      <w:tr w14:paraId="6DB8D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07" w:type="pct"/>
            <w:noWrap w:val="0"/>
            <w:vAlign w:val="center"/>
          </w:tcPr>
          <w:p w14:paraId="464B4B6A">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536" w:type="pct"/>
            <w:noWrap w:val="0"/>
            <w:vAlign w:val="center"/>
          </w:tcPr>
          <w:p w14:paraId="6C3C6ADF">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470" w:type="pct"/>
            <w:noWrap w:val="0"/>
            <w:vAlign w:val="center"/>
          </w:tcPr>
          <w:p w14:paraId="08A1B856">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400" w:type="pct"/>
            <w:noWrap w:val="0"/>
            <w:vAlign w:val="center"/>
          </w:tcPr>
          <w:p w14:paraId="5427C307">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481" w:type="pct"/>
            <w:noWrap w:val="0"/>
            <w:vAlign w:val="center"/>
          </w:tcPr>
          <w:p w14:paraId="10B4FF94">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863" w:type="pct"/>
            <w:noWrap w:val="0"/>
            <w:vAlign w:val="center"/>
          </w:tcPr>
          <w:p w14:paraId="04D8F2D3">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567" w:type="pct"/>
            <w:noWrap w:val="0"/>
            <w:vAlign w:val="center"/>
          </w:tcPr>
          <w:p w14:paraId="70B13370">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920" w:type="pct"/>
            <w:noWrap w:val="0"/>
            <w:vAlign w:val="center"/>
          </w:tcPr>
          <w:p w14:paraId="7E887756">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352" w:type="pct"/>
            <w:noWrap w:val="0"/>
            <w:vAlign w:val="center"/>
          </w:tcPr>
          <w:p w14:paraId="4B0F0A0C">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r>
      <w:tr w14:paraId="36F9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07" w:type="pct"/>
            <w:noWrap w:val="0"/>
            <w:vAlign w:val="center"/>
          </w:tcPr>
          <w:p w14:paraId="25C27BD8">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536" w:type="pct"/>
            <w:noWrap w:val="0"/>
            <w:vAlign w:val="center"/>
          </w:tcPr>
          <w:p w14:paraId="1D7B666B">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470" w:type="pct"/>
            <w:noWrap w:val="0"/>
            <w:vAlign w:val="center"/>
          </w:tcPr>
          <w:p w14:paraId="45F23D8F">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400" w:type="pct"/>
            <w:noWrap w:val="0"/>
            <w:vAlign w:val="center"/>
          </w:tcPr>
          <w:p w14:paraId="373A90B1">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481" w:type="pct"/>
            <w:noWrap w:val="0"/>
            <w:vAlign w:val="center"/>
          </w:tcPr>
          <w:p w14:paraId="1AFE685B">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863" w:type="pct"/>
            <w:noWrap w:val="0"/>
            <w:vAlign w:val="center"/>
          </w:tcPr>
          <w:p w14:paraId="3C9B0205">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567" w:type="pct"/>
            <w:noWrap w:val="0"/>
            <w:vAlign w:val="center"/>
          </w:tcPr>
          <w:p w14:paraId="7899157D">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920" w:type="pct"/>
            <w:noWrap w:val="0"/>
            <w:vAlign w:val="center"/>
          </w:tcPr>
          <w:p w14:paraId="53881D47">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352" w:type="pct"/>
            <w:noWrap w:val="0"/>
            <w:vAlign w:val="center"/>
          </w:tcPr>
          <w:p w14:paraId="29E41B7A">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r>
      <w:tr w14:paraId="2B068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07" w:type="pct"/>
            <w:noWrap w:val="0"/>
            <w:vAlign w:val="center"/>
          </w:tcPr>
          <w:p w14:paraId="262581FF">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536" w:type="pct"/>
            <w:noWrap w:val="0"/>
            <w:vAlign w:val="center"/>
          </w:tcPr>
          <w:p w14:paraId="2B2702AE">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470" w:type="pct"/>
            <w:noWrap w:val="0"/>
            <w:vAlign w:val="center"/>
          </w:tcPr>
          <w:p w14:paraId="260DDC05">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400" w:type="pct"/>
            <w:noWrap w:val="0"/>
            <w:vAlign w:val="center"/>
          </w:tcPr>
          <w:p w14:paraId="6FFE94E3">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481" w:type="pct"/>
            <w:noWrap w:val="0"/>
            <w:vAlign w:val="center"/>
          </w:tcPr>
          <w:p w14:paraId="3AF1CC2D">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863" w:type="pct"/>
            <w:noWrap w:val="0"/>
            <w:vAlign w:val="center"/>
          </w:tcPr>
          <w:p w14:paraId="3DA63880">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567" w:type="pct"/>
            <w:noWrap w:val="0"/>
            <w:vAlign w:val="center"/>
          </w:tcPr>
          <w:p w14:paraId="7505E411">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920" w:type="pct"/>
            <w:noWrap w:val="0"/>
            <w:vAlign w:val="center"/>
          </w:tcPr>
          <w:p w14:paraId="1384D35D">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c>
          <w:tcPr>
            <w:tcW w:w="352" w:type="pct"/>
            <w:noWrap w:val="0"/>
            <w:vAlign w:val="center"/>
          </w:tcPr>
          <w:p w14:paraId="6C821152">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tc>
      </w:tr>
    </w:tbl>
    <w:p w14:paraId="184E8983">
      <w:pPr>
        <w:overflowPunct w:val="0"/>
        <w:autoSpaceDE/>
        <w:autoSpaceDN/>
        <w:adjustRightInd/>
        <w:spacing w:before="120" w:line="360" w:lineRule="auto"/>
        <w:ind w:left="267" w:leftChars="-73" w:hanging="420" w:hangingChars="200"/>
        <w:jc w:val="left"/>
        <w:outlineLvl w:val="9"/>
        <w:rPr>
          <w:rFonts w:hint="eastAsia" w:ascii="宋体" w:hAnsi="宋体" w:eastAsia="宋体" w:cs="宋体"/>
          <w:color w:val="auto"/>
          <w:kern w:val="2"/>
          <w:sz w:val="21"/>
          <w:szCs w:val="21"/>
          <w:highlight w:val="none"/>
        </w:rPr>
      </w:pPr>
    </w:p>
    <w:p w14:paraId="057DBCDF">
      <w:pPr>
        <w:overflowPunct w:val="0"/>
        <w:autoSpaceDE/>
        <w:autoSpaceDN/>
        <w:adjustRightInd/>
        <w:spacing w:before="120" w:line="360" w:lineRule="auto"/>
        <w:ind w:left="267" w:leftChars="-73" w:hanging="420" w:hangingChars="200"/>
        <w:jc w:val="left"/>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p w14:paraId="27E6385C">
      <w:pPr>
        <w:numPr>
          <w:ilvl w:val="0"/>
          <w:numId w:val="5"/>
        </w:numPr>
        <w:overflowPunct w:val="0"/>
        <w:autoSpaceDE/>
        <w:autoSpaceDN/>
        <w:adjustRightInd/>
        <w:spacing w:before="120" w:line="360" w:lineRule="auto"/>
        <w:ind w:left="267" w:leftChars="-73" w:hanging="420" w:hangingChars="200"/>
        <w:jc w:val="left"/>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此表格式供参照，投标人可以根据本表格式内容自行划表填写。</w:t>
      </w:r>
    </w:p>
    <w:p w14:paraId="1784065C">
      <w:pPr>
        <w:numPr>
          <w:ilvl w:val="0"/>
          <w:numId w:val="5"/>
        </w:numPr>
        <w:overflowPunct w:val="0"/>
        <w:autoSpaceDE/>
        <w:autoSpaceDN/>
        <w:adjustRightInd/>
        <w:spacing w:before="120" w:line="360" w:lineRule="auto"/>
        <w:ind w:left="269" w:leftChars="-73" w:hanging="422" w:hangingChars="200"/>
        <w:jc w:val="left"/>
        <w:outlineLvl w:val="9"/>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u w:val="single"/>
        </w:rPr>
        <w:t>上述人员需提供上述人员的身份证、</w:t>
      </w:r>
      <w:r>
        <w:rPr>
          <w:rFonts w:hint="eastAsia" w:ascii="宋体" w:hAnsi="宋体" w:eastAsia="宋体" w:cs="宋体"/>
          <w:b/>
          <w:bCs/>
          <w:color w:val="auto"/>
          <w:kern w:val="2"/>
          <w:sz w:val="21"/>
          <w:szCs w:val="21"/>
          <w:highlight w:val="none"/>
          <w:u w:val="single"/>
          <w:lang w:val="en-US" w:eastAsia="zh-CN"/>
        </w:rPr>
        <w:t>劳动合同的复印件、资</w:t>
      </w:r>
      <w:r>
        <w:rPr>
          <w:rFonts w:hint="eastAsia" w:ascii="宋体" w:hAnsi="宋体" w:eastAsia="宋体" w:cs="宋体"/>
          <w:b/>
          <w:bCs/>
          <w:color w:val="auto"/>
          <w:kern w:val="2"/>
          <w:sz w:val="21"/>
          <w:szCs w:val="21"/>
          <w:highlight w:val="none"/>
          <w:u w:val="single"/>
        </w:rPr>
        <w:t>格证书</w:t>
      </w:r>
      <w:r>
        <w:rPr>
          <w:rFonts w:hint="eastAsia" w:ascii="宋体" w:hAnsi="宋体" w:eastAsia="宋体" w:cs="宋体"/>
          <w:b/>
          <w:bCs/>
          <w:color w:val="auto"/>
          <w:kern w:val="2"/>
          <w:sz w:val="21"/>
          <w:szCs w:val="21"/>
          <w:highlight w:val="none"/>
          <w:u w:val="single"/>
          <w:lang w:val="en-US" w:eastAsia="zh-CN"/>
        </w:rPr>
        <w:t>[</w:t>
      </w:r>
      <w:r>
        <w:rPr>
          <w:rFonts w:hint="eastAsia" w:ascii="宋体" w:hAnsi="宋体" w:eastAsia="宋体" w:cs="宋体"/>
          <w:b/>
          <w:bCs/>
          <w:color w:val="auto"/>
          <w:kern w:val="2"/>
          <w:sz w:val="21"/>
          <w:szCs w:val="21"/>
          <w:highlight w:val="none"/>
          <w:u w:val="single"/>
        </w:rPr>
        <w:t>注册/执业/岗位证书/</w:t>
      </w:r>
      <w:r>
        <w:rPr>
          <w:rFonts w:hint="eastAsia" w:ascii="宋体" w:hAnsi="宋体" w:eastAsia="宋体" w:cs="宋体"/>
          <w:b/>
          <w:bCs/>
          <w:color w:val="auto"/>
          <w:kern w:val="2"/>
          <w:sz w:val="21"/>
          <w:szCs w:val="21"/>
          <w:highlight w:val="none"/>
          <w:u w:val="single"/>
          <w:lang w:val="en-US" w:eastAsia="zh-CN"/>
        </w:rPr>
        <w:t>职业资格证</w:t>
      </w:r>
      <w:r>
        <w:rPr>
          <w:rFonts w:hint="eastAsia" w:ascii="宋体" w:hAnsi="宋体" w:eastAsia="宋体" w:cs="宋体"/>
          <w:b/>
          <w:bCs/>
          <w:color w:val="auto"/>
          <w:kern w:val="2"/>
          <w:sz w:val="21"/>
          <w:szCs w:val="21"/>
          <w:highlight w:val="none"/>
          <w:u w:val="single"/>
        </w:rPr>
        <w:t>/技术职称</w:t>
      </w:r>
      <w:r>
        <w:rPr>
          <w:rFonts w:hint="eastAsia" w:ascii="宋体" w:hAnsi="宋体" w:eastAsia="宋体" w:cs="宋体"/>
          <w:b/>
          <w:bCs/>
          <w:color w:val="auto"/>
          <w:kern w:val="2"/>
          <w:sz w:val="21"/>
          <w:szCs w:val="21"/>
          <w:highlight w:val="none"/>
          <w:u w:val="single"/>
          <w:lang w:val="en-US" w:eastAsia="zh-CN"/>
        </w:rPr>
        <w:t>]</w:t>
      </w:r>
      <w:r>
        <w:rPr>
          <w:rFonts w:hint="eastAsia" w:ascii="宋体" w:hAnsi="宋体" w:eastAsia="宋体" w:cs="宋体"/>
          <w:b/>
          <w:bCs/>
          <w:color w:val="auto"/>
          <w:kern w:val="2"/>
          <w:sz w:val="21"/>
          <w:szCs w:val="21"/>
          <w:highlight w:val="none"/>
          <w:u w:val="single"/>
        </w:rPr>
        <w:t>以及人力资源和社会保障部门（或税务部门）出具的</w:t>
      </w:r>
      <w:r>
        <w:rPr>
          <w:rFonts w:hint="eastAsia" w:ascii="宋体" w:hAnsi="宋体" w:eastAsia="宋体" w:cs="宋体"/>
          <w:b/>
          <w:bCs/>
          <w:color w:val="auto"/>
          <w:kern w:val="2"/>
          <w:sz w:val="21"/>
          <w:szCs w:val="21"/>
          <w:highlight w:val="none"/>
          <w:u w:val="single"/>
          <w:lang w:val="en-US" w:eastAsia="zh-CN"/>
        </w:rPr>
        <w:t>近六个月（2024年8月、2024年9月、2024年10月、2024年11月、2024年12月、2025年1月）投标人</w:t>
      </w:r>
      <w:r>
        <w:rPr>
          <w:rFonts w:hint="eastAsia" w:ascii="宋体" w:hAnsi="宋体" w:eastAsia="宋体" w:cs="宋体"/>
          <w:b/>
          <w:bCs/>
          <w:color w:val="auto"/>
          <w:kern w:val="2"/>
          <w:sz w:val="21"/>
          <w:szCs w:val="21"/>
          <w:highlight w:val="none"/>
          <w:u w:val="single"/>
        </w:rPr>
        <w:t>为其缴纳的社保证明复印件</w:t>
      </w:r>
      <w:r>
        <w:rPr>
          <w:rFonts w:hint="eastAsia" w:ascii="宋体" w:hAnsi="宋体" w:eastAsia="宋体" w:cs="宋体"/>
          <w:b/>
          <w:bCs/>
          <w:color w:val="auto"/>
          <w:kern w:val="2"/>
          <w:sz w:val="21"/>
          <w:szCs w:val="21"/>
          <w:highlight w:val="none"/>
          <w:u w:val="single"/>
          <w:lang w:eastAsia="zh-CN"/>
        </w:rPr>
        <w:t>，</w:t>
      </w:r>
      <w:r>
        <w:rPr>
          <w:rFonts w:hint="eastAsia" w:ascii="宋体" w:hAnsi="宋体" w:eastAsia="宋体" w:cs="宋体"/>
          <w:b/>
          <w:bCs/>
          <w:color w:val="auto"/>
          <w:kern w:val="2"/>
          <w:sz w:val="21"/>
          <w:szCs w:val="21"/>
          <w:highlight w:val="none"/>
          <w:u w:val="single"/>
          <w:lang w:val="en-US" w:eastAsia="zh-CN"/>
        </w:rPr>
        <w:t>身份证、劳动合同、资</w:t>
      </w:r>
      <w:r>
        <w:rPr>
          <w:rFonts w:hint="eastAsia" w:ascii="宋体" w:hAnsi="宋体" w:eastAsia="宋体" w:cs="宋体"/>
          <w:b/>
          <w:bCs/>
          <w:color w:val="auto"/>
          <w:kern w:val="2"/>
          <w:sz w:val="21"/>
          <w:szCs w:val="21"/>
          <w:highlight w:val="none"/>
          <w:u w:val="single"/>
        </w:rPr>
        <w:t>格证书</w:t>
      </w:r>
      <w:r>
        <w:rPr>
          <w:rFonts w:hint="eastAsia" w:ascii="宋体" w:hAnsi="宋体" w:eastAsia="宋体" w:cs="宋体"/>
          <w:b/>
          <w:bCs/>
          <w:color w:val="auto"/>
          <w:kern w:val="2"/>
          <w:sz w:val="21"/>
          <w:szCs w:val="21"/>
          <w:highlight w:val="none"/>
          <w:u w:val="single"/>
          <w:lang w:val="en-US" w:eastAsia="zh-CN"/>
        </w:rPr>
        <w:t>[</w:t>
      </w:r>
      <w:r>
        <w:rPr>
          <w:rFonts w:hint="eastAsia" w:ascii="宋体" w:hAnsi="宋体" w:eastAsia="宋体" w:cs="宋体"/>
          <w:b/>
          <w:bCs/>
          <w:color w:val="auto"/>
          <w:kern w:val="2"/>
          <w:sz w:val="21"/>
          <w:szCs w:val="21"/>
          <w:highlight w:val="none"/>
          <w:u w:val="single"/>
        </w:rPr>
        <w:t>注册/执业/岗位证书/</w:t>
      </w:r>
      <w:r>
        <w:rPr>
          <w:rFonts w:hint="eastAsia" w:ascii="宋体" w:hAnsi="宋体" w:eastAsia="宋体" w:cs="宋体"/>
          <w:b/>
          <w:bCs/>
          <w:color w:val="auto"/>
          <w:kern w:val="2"/>
          <w:sz w:val="21"/>
          <w:szCs w:val="21"/>
          <w:highlight w:val="none"/>
          <w:u w:val="single"/>
          <w:lang w:val="en-US" w:eastAsia="zh-CN"/>
        </w:rPr>
        <w:t>职业资格证</w:t>
      </w:r>
      <w:r>
        <w:rPr>
          <w:rFonts w:hint="eastAsia" w:ascii="宋体" w:hAnsi="宋体" w:eastAsia="宋体" w:cs="宋体"/>
          <w:b/>
          <w:bCs/>
          <w:color w:val="auto"/>
          <w:kern w:val="2"/>
          <w:sz w:val="21"/>
          <w:szCs w:val="21"/>
          <w:highlight w:val="none"/>
          <w:u w:val="single"/>
        </w:rPr>
        <w:t>/技术职称</w:t>
      </w:r>
      <w:r>
        <w:rPr>
          <w:rFonts w:hint="eastAsia" w:ascii="宋体" w:hAnsi="宋体" w:eastAsia="宋体" w:cs="宋体"/>
          <w:b/>
          <w:bCs/>
          <w:color w:val="auto"/>
          <w:kern w:val="2"/>
          <w:sz w:val="21"/>
          <w:szCs w:val="21"/>
          <w:highlight w:val="none"/>
          <w:u w:val="single"/>
          <w:lang w:val="en-US" w:eastAsia="zh-CN"/>
        </w:rPr>
        <w:t>]、社保证明的人员名称需一致时才统计得分，不提供或人员名称不一致不得分</w:t>
      </w:r>
      <w:r>
        <w:rPr>
          <w:rFonts w:hint="eastAsia" w:ascii="宋体" w:hAnsi="宋体" w:eastAsia="宋体" w:cs="宋体"/>
          <w:color w:val="auto"/>
          <w:kern w:val="2"/>
          <w:sz w:val="21"/>
          <w:szCs w:val="21"/>
          <w:highlight w:val="none"/>
        </w:rPr>
        <w:t>。</w:t>
      </w:r>
    </w:p>
    <w:p w14:paraId="67D22A7D">
      <w:pPr>
        <w:autoSpaceDE/>
        <w:autoSpaceDN/>
        <w:adjustRightInd/>
        <w:spacing w:line="360" w:lineRule="auto"/>
        <w:ind w:right="420" w:firstLine="4935" w:firstLineChars="2350"/>
        <w:jc w:val="left"/>
        <w:outlineLvl w:val="9"/>
        <w:rPr>
          <w:rFonts w:hint="eastAsia" w:ascii="宋体" w:hAnsi="宋体" w:eastAsia="宋体" w:cs="宋体"/>
          <w:color w:val="auto"/>
          <w:kern w:val="2"/>
          <w:sz w:val="21"/>
          <w:szCs w:val="21"/>
          <w:highlight w:val="none"/>
          <w:lang w:val="zh-CN"/>
        </w:rPr>
      </w:pPr>
    </w:p>
    <w:p w14:paraId="323748FC">
      <w:pPr>
        <w:autoSpaceDE/>
        <w:autoSpaceDN/>
        <w:adjustRightInd/>
        <w:spacing w:line="360" w:lineRule="auto"/>
        <w:ind w:right="420" w:firstLine="4935" w:firstLineChars="2350"/>
        <w:jc w:val="left"/>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投标人：</w:t>
      </w:r>
      <w:r>
        <w:rPr>
          <w:rFonts w:hint="eastAsia" w:ascii="宋体" w:hAnsi="宋体" w:eastAsia="宋体" w:cs="宋体"/>
          <w:color w:val="auto"/>
          <w:kern w:val="0"/>
          <w:sz w:val="21"/>
          <w:szCs w:val="21"/>
          <w:highlight w:val="none"/>
          <w:lang w:val="zh-CN"/>
        </w:rPr>
        <w:t>（加盖投标人法人公章）</w:t>
      </w:r>
    </w:p>
    <w:p w14:paraId="18CE9EA4">
      <w:pPr>
        <w:autoSpaceDE w:val="0"/>
        <w:autoSpaceDN w:val="0"/>
        <w:adjustRightInd w:val="0"/>
        <w:spacing w:line="360" w:lineRule="auto"/>
        <w:ind w:firstLine="4935" w:firstLineChars="2350"/>
        <w:jc w:val="both"/>
        <w:outlineLvl w:val="9"/>
        <w:rPr>
          <w:rFonts w:hint="eastAsia" w:ascii="宋体" w:hAnsi="宋体" w:eastAsia="宋体" w:cs="宋体"/>
          <w:color w:val="auto"/>
          <w:kern w:val="2"/>
          <w:sz w:val="21"/>
          <w:szCs w:val="24"/>
          <w:highlight w:val="none"/>
          <w:lang w:val="zh-CN"/>
        </w:rPr>
      </w:pPr>
      <w:r>
        <w:rPr>
          <w:rFonts w:hint="eastAsia" w:ascii="宋体" w:hAnsi="宋体" w:eastAsia="宋体" w:cs="宋体"/>
          <w:color w:val="auto"/>
          <w:kern w:val="0"/>
          <w:sz w:val="21"/>
          <w:szCs w:val="21"/>
          <w:highlight w:val="none"/>
        </w:rPr>
        <w:t xml:space="preserve">日  期：  </w:t>
      </w:r>
      <w:r>
        <w:rPr>
          <w:rFonts w:hint="eastAsia" w:ascii="宋体" w:hAnsi="宋体" w:eastAsia="宋体" w:cs="宋体"/>
          <w:color w:val="auto"/>
          <w:kern w:val="2"/>
          <w:sz w:val="21"/>
          <w:szCs w:val="24"/>
          <w:highlight w:val="none"/>
          <w:lang w:val="zh-CN"/>
        </w:rPr>
        <w:t>年  月  日</w:t>
      </w:r>
    </w:p>
    <w:p w14:paraId="2B51C449">
      <w:pPr>
        <w:outlineLvl w:val="9"/>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27851B50">
      <w:pPr>
        <w:keepNext w:val="0"/>
        <w:keepLines w:val="0"/>
        <w:pageBreakBefore/>
        <w:widowControl w:val="0"/>
        <w:tabs>
          <w:tab w:val="left" w:pos="567"/>
        </w:tabs>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color w:val="auto"/>
          <w:highlight w:val="none"/>
        </w:rPr>
      </w:pPr>
      <w:bookmarkStart w:id="939" w:name="_Toc4487"/>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val="en-US" w:eastAsia="zh-CN"/>
        </w:rPr>
        <w:t>7</w:t>
      </w:r>
      <w:r>
        <w:rPr>
          <w:rFonts w:hint="eastAsia"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lang w:val="en-US" w:eastAsia="zh-CN"/>
        </w:rPr>
        <w:t>食堂智能支付系统及称重设备</w:t>
      </w:r>
      <w:bookmarkEnd w:id="939"/>
    </w:p>
    <w:p w14:paraId="79FA3FF5">
      <w:pPr>
        <w:spacing w:before="120" w:beforeLines="50" w:line="360" w:lineRule="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说明：投标人应根据本项目采购内容和评标工作大纲技术评审细则的要求，自行编制</w:t>
      </w:r>
      <w:r>
        <w:rPr>
          <w:rFonts w:hint="eastAsia" w:ascii="宋体" w:hAnsi="宋体" w:eastAsia="宋体" w:cs="宋体"/>
          <w:b w:val="0"/>
          <w:color w:val="auto"/>
          <w:szCs w:val="21"/>
          <w:highlight w:val="none"/>
        </w:rPr>
        <w:t>。</w:t>
      </w:r>
      <w:r>
        <w:rPr>
          <w:rFonts w:hint="eastAsia" w:ascii="宋体" w:hAnsi="宋体" w:eastAsia="宋体" w:cs="宋体"/>
          <w:color w:val="auto"/>
          <w:szCs w:val="21"/>
          <w:highlight w:val="none"/>
          <w:lang w:val="en-US" w:eastAsia="zh-CN"/>
        </w:rPr>
        <w:t>介绍拟投入本项目的</w:t>
      </w:r>
      <w:r>
        <w:rPr>
          <w:rFonts w:hint="eastAsia" w:ascii="宋体" w:hAnsi="宋体" w:eastAsia="宋体" w:cs="宋体"/>
          <w:color w:val="auto"/>
          <w:sz w:val="21"/>
          <w:szCs w:val="21"/>
          <w:highlight w:val="none"/>
          <w:lang w:val="en-US" w:eastAsia="zh-CN"/>
        </w:rPr>
        <w:t>的食堂智能支付系统及称重设备功能情况</w:t>
      </w:r>
      <w:r>
        <w:rPr>
          <w:rFonts w:hint="eastAsia" w:ascii="宋体" w:hAnsi="宋体" w:eastAsia="宋体" w:cs="宋体"/>
          <w:color w:val="auto"/>
          <w:szCs w:val="21"/>
          <w:highlight w:val="none"/>
          <w:lang w:val="en-US" w:eastAsia="zh-CN"/>
        </w:rPr>
        <w:t>。</w:t>
      </w:r>
    </w:p>
    <w:p w14:paraId="3F191EA4">
      <w:pPr>
        <w:spacing w:line="360" w:lineRule="auto"/>
        <w:ind w:firstLine="602" w:firstLineChars="200"/>
        <w:outlineLvl w:val="9"/>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7B9EA0C7">
      <w:pPr>
        <w:outlineLvl w:val="9"/>
        <w:rPr>
          <w:rFonts w:hint="eastAsia" w:ascii="宋体" w:hAnsi="宋体" w:eastAsia="宋体" w:cs="宋体"/>
          <w:color w:val="auto"/>
          <w:highlight w:val="none"/>
        </w:rPr>
      </w:pPr>
      <w:r>
        <w:rPr>
          <w:rFonts w:hint="eastAsia" w:ascii="宋体" w:hAnsi="宋体" w:eastAsia="宋体" w:cs="宋体"/>
          <w:b/>
          <w:color w:val="auto"/>
          <w:kern w:val="0"/>
          <w:sz w:val="30"/>
          <w:szCs w:val="30"/>
          <w:highlight w:val="none"/>
          <w:lang w:val="en-US" w:eastAsia="zh-CN"/>
        </w:rPr>
        <w:t xml:space="preserve">14.8 </w:t>
      </w:r>
      <w:r>
        <w:rPr>
          <w:rFonts w:hint="eastAsia" w:ascii="宋体" w:hAnsi="宋体" w:eastAsia="宋体" w:cs="宋体"/>
          <w:b/>
          <w:bCs/>
          <w:color w:val="auto"/>
          <w:sz w:val="32"/>
          <w:szCs w:val="32"/>
          <w:highlight w:val="none"/>
          <w:lang w:val="en-US" w:eastAsia="zh-CN"/>
        </w:rPr>
        <w:t>食堂</w:t>
      </w:r>
      <w:r>
        <w:rPr>
          <w:rFonts w:hint="eastAsia" w:ascii="宋体" w:hAnsi="宋体" w:eastAsia="宋体" w:cs="宋体"/>
          <w:b/>
          <w:bCs/>
          <w:color w:val="auto"/>
          <w:sz w:val="32"/>
          <w:szCs w:val="32"/>
          <w:highlight w:val="none"/>
        </w:rPr>
        <w:t>应急预案和保障措施</w:t>
      </w:r>
    </w:p>
    <w:p w14:paraId="2D6E80A1">
      <w:pPr>
        <w:pStyle w:val="47"/>
        <w:spacing w:before="240" w:beforeLines="100" w:line="360" w:lineRule="auto"/>
        <w:ind w:firstLine="420" w:firstLineChars="200"/>
        <w:jc w:val="left"/>
        <w:outlineLvl w:val="9"/>
        <w:rPr>
          <w:rFonts w:hint="eastAsia" w:ascii="宋体" w:hAnsi="宋体" w:eastAsia="宋体" w:cs="宋体"/>
          <w:color w:val="auto"/>
          <w:szCs w:val="21"/>
          <w:highlight w:val="none"/>
          <w:lang w:val="zh-CN"/>
        </w:rPr>
        <w:sectPr>
          <w:pgSz w:w="11907" w:h="16839"/>
          <w:pgMar w:top="1417" w:right="1276" w:bottom="1417" w:left="1417" w:header="720" w:footer="1003" w:gutter="0"/>
          <w:cols w:space="720" w:num="1"/>
          <w:titlePg/>
          <w:docGrid w:linePitch="326" w:charSpace="0"/>
        </w:sectPr>
      </w:pPr>
      <w:r>
        <w:rPr>
          <w:rFonts w:hint="eastAsia" w:ascii="宋体" w:hAnsi="宋体" w:eastAsia="宋体" w:cs="宋体"/>
          <w:b w:val="0"/>
          <w:color w:val="auto"/>
          <w:szCs w:val="21"/>
          <w:highlight w:val="none"/>
        </w:rPr>
        <w:t>说明：投标人自行编制，格式不限。内容</w:t>
      </w:r>
      <w:r>
        <w:rPr>
          <w:rFonts w:hint="eastAsia" w:ascii="宋体" w:hAnsi="宋体" w:eastAsia="宋体" w:cs="宋体"/>
          <w:b w:val="0"/>
          <w:color w:val="auto"/>
          <w:szCs w:val="21"/>
          <w:highlight w:val="none"/>
          <w:lang w:val="en-US" w:eastAsia="zh-CN"/>
        </w:rPr>
        <w:t>包括但不限于项目实施过程可能发生的各类突发紧急情况预算（如：食物中毒意外伤害事件、突发疫情、恶劣天气、配送途中交通事故、紧急餐食供应、突然停水停电、设备故障、大型活动等内容）、各类突发紧急情况相应的保障措施（包括事件处理原则、流程、方法、紧急情况报告机制等内容）</w:t>
      </w:r>
      <w:r>
        <w:rPr>
          <w:rFonts w:hint="eastAsia" w:ascii="宋体" w:hAnsi="宋体" w:eastAsia="宋体" w:cs="宋体"/>
          <w:b w:val="0"/>
          <w:color w:val="auto"/>
          <w:szCs w:val="21"/>
          <w:highlight w:val="none"/>
        </w:rPr>
        <w:t>。</w:t>
      </w:r>
    </w:p>
    <w:p w14:paraId="671CD1DA">
      <w:pPr>
        <w:autoSpaceDE w:val="0"/>
        <w:autoSpaceDN w:val="0"/>
        <w:adjustRightInd w:val="0"/>
        <w:spacing w:line="360" w:lineRule="auto"/>
        <w:jc w:val="left"/>
        <w:outlineLvl w:val="9"/>
        <w:rPr>
          <w:rFonts w:hint="eastAsia" w:ascii="宋体" w:hAnsi="宋体" w:eastAsia="宋体" w:cs="宋体"/>
          <w:b/>
          <w:color w:val="auto"/>
          <w:kern w:val="0"/>
          <w:sz w:val="30"/>
          <w:szCs w:val="30"/>
          <w:highlight w:val="none"/>
        </w:rPr>
      </w:pPr>
      <w:bookmarkStart w:id="940" w:name="_Toc14270"/>
      <w:bookmarkStart w:id="941" w:name="_Toc18180"/>
      <w:bookmarkStart w:id="942" w:name="_Toc28973"/>
      <w:bookmarkStart w:id="943" w:name="_Toc3750"/>
      <w:bookmarkStart w:id="944" w:name="_Toc30794"/>
      <w:bookmarkStart w:id="945" w:name="_Toc30545"/>
      <w:r>
        <w:rPr>
          <w:rFonts w:hint="eastAsia" w:ascii="宋体" w:hAnsi="宋体" w:eastAsia="宋体" w:cs="宋体"/>
          <w:b/>
          <w:color w:val="auto"/>
          <w:kern w:val="0"/>
          <w:sz w:val="30"/>
          <w:szCs w:val="30"/>
          <w:highlight w:val="none"/>
          <w:lang w:val="en-US" w:eastAsia="zh-CN"/>
        </w:rPr>
        <w:t xml:space="preserve">14.9 </w:t>
      </w:r>
      <w:r>
        <w:rPr>
          <w:rFonts w:hint="eastAsia" w:ascii="宋体" w:hAnsi="宋体" w:eastAsia="宋体" w:cs="宋体"/>
          <w:b/>
          <w:color w:val="auto"/>
          <w:kern w:val="0"/>
          <w:sz w:val="30"/>
          <w:szCs w:val="30"/>
          <w:highlight w:val="none"/>
        </w:rPr>
        <w:t>投标人认为有必要提供的其它材料（不做强制要求）</w:t>
      </w:r>
      <w:bookmarkEnd w:id="931"/>
      <w:bookmarkEnd w:id="932"/>
      <w:bookmarkEnd w:id="933"/>
      <w:bookmarkEnd w:id="934"/>
      <w:bookmarkEnd w:id="935"/>
      <w:bookmarkEnd w:id="940"/>
      <w:bookmarkEnd w:id="941"/>
      <w:bookmarkEnd w:id="942"/>
      <w:bookmarkEnd w:id="943"/>
      <w:bookmarkEnd w:id="944"/>
      <w:bookmarkEnd w:id="945"/>
    </w:p>
    <w:p w14:paraId="6997FC74">
      <w:pPr>
        <w:autoSpaceDE w:val="0"/>
        <w:autoSpaceDN w:val="0"/>
        <w:adjustRightInd w:val="0"/>
        <w:jc w:val="left"/>
        <w:outlineLvl w:val="9"/>
        <w:rPr>
          <w:rFonts w:hint="eastAsia" w:ascii="宋体" w:hAnsi="宋体" w:eastAsia="宋体" w:cs="宋体"/>
          <w:color w:val="auto"/>
          <w:kern w:val="0"/>
          <w:sz w:val="24"/>
          <w:szCs w:val="24"/>
          <w:highlight w:val="none"/>
        </w:rPr>
      </w:pPr>
    </w:p>
    <w:p w14:paraId="58E30720">
      <w:pPr>
        <w:autoSpaceDE w:val="0"/>
        <w:autoSpaceDN w:val="0"/>
        <w:adjustRightInd w:val="0"/>
        <w:jc w:val="left"/>
        <w:outlineLvl w:val="9"/>
        <w:rPr>
          <w:rFonts w:hint="eastAsia" w:ascii="宋体" w:hAnsi="宋体" w:eastAsia="宋体" w:cs="宋体"/>
          <w:color w:val="auto"/>
          <w:kern w:val="0"/>
          <w:sz w:val="24"/>
          <w:szCs w:val="24"/>
          <w:highlight w:val="none"/>
        </w:rPr>
      </w:pPr>
    </w:p>
    <w:p w14:paraId="5F494EA4">
      <w:pPr>
        <w:autoSpaceDE w:val="0"/>
        <w:autoSpaceDN w:val="0"/>
        <w:adjustRightInd w:val="0"/>
        <w:jc w:val="left"/>
        <w:outlineLvl w:val="9"/>
        <w:rPr>
          <w:rFonts w:hint="eastAsia" w:ascii="宋体" w:hAnsi="宋体" w:eastAsia="宋体" w:cs="宋体"/>
          <w:color w:val="auto"/>
          <w:kern w:val="0"/>
          <w:sz w:val="24"/>
          <w:szCs w:val="24"/>
          <w:highlight w:val="none"/>
        </w:rPr>
      </w:pPr>
    </w:p>
    <w:p w14:paraId="699185E3">
      <w:pPr>
        <w:autoSpaceDE w:val="0"/>
        <w:autoSpaceDN w:val="0"/>
        <w:adjustRightInd w:val="0"/>
        <w:jc w:val="left"/>
        <w:outlineLvl w:val="9"/>
        <w:rPr>
          <w:rFonts w:hint="eastAsia" w:ascii="宋体" w:hAnsi="宋体" w:eastAsia="宋体" w:cs="宋体"/>
          <w:color w:val="auto"/>
          <w:kern w:val="0"/>
          <w:sz w:val="24"/>
          <w:szCs w:val="24"/>
          <w:highlight w:val="none"/>
        </w:rPr>
      </w:pPr>
    </w:p>
    <w:p w14:paraId="3E654672">
      <w:pPr>
        <w:autoSpaceDE w:val="0"/>
        <w:autoSpaceDN w:val="0"/>
        <w:adjustRightInd w:val="0"/>
        <w:jc w:val="left"/>
        <w:rPr>
          <w:rFonts w:hint="eastAsia" w:ascii="宋体" w:hAnsi="宋体" w:eastAsia="宋体" w:cs="宋体"/>
          <w:color w:val="auto"/>
          <w:kern w:val="0"/>
          <w:sz w:val="24"/>
          <w:szCs w:val="24"/>
          <w:highlight w:val="none"/>
        </w:rPr>
      </w:pPr>
    </w:p>
    <w:p w14:paraId="0F20C9FC">
      <w:pPr>
        <w:autoSpaceDE w:val="0"/>
        <w:autoSpaceDN w:val="0"/>
        <w:adjustRightInd w:val="0"/>
        <w:jc w:val="left"/>
        <w:rPr>
          <w:rFonts w:hint="eastAsia" w:ascii="宋体" w:hAnsi="宋体" w:eastAsia="宋体" w:cs="宋体"/>
          <w:color w:val="auto"/>
          <w:kern w:val="0"/>
          <w:sz w:val="24"/>
          <w:szCs w:val="24"/>
          <w:highlight w:val="none"/>
        </w:rPr>
      </w:pPr>
    </w:p>
    <w:p w14:paraId="7111EF4D">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14:paraId="2E668DA9">
      <w:pPr>
        <w:autoSpaceDE w:val="0"/>
        <w:autoSpaceDN w:val="0"/>
        <w:adjustRightInd w:val="0"/>
        <w:jc w:val="left"/>
        <w:rPr>
          <w:rFonts w:hint="eastAsia" w:ascii="宋体" w:hAnsi="宋体" w:eastAsia="宋体" w:cs="宋体"/>
          <w:color w:val="auto"/>
          <w:kern w:val="0"/>
          <w:sz w:val="24"/>
          <w:szCs w:val="24"/>
          <w:highlight w:val="none"/>
        </w:rPr>
      </w:pPr>
    </w:p>
    <w:p w14:paraId="041482F5">
      <w:pPr>
        <w:tabs>
          <w:tab w:val="left" w:pos="1080"/>
        </w:tabs>
        <w:autoSpaceDE w:val="0"/>
        <w:autoSpaceDN w:val="0"/>
        <w:adjustRightInd w:val="0"/>
        <w:spacing w:line="360" w:lineRule="auto"/>
        <w:jc w:val="left"/>
        <w:outlineLvl w:val="0"/>
        <w:rPr>
          <w:rFonts w:hint="eastAsia" w:ascii="宋体" w:hAnsi="宋体" w:eastAsia="宋体" w:cs="宋体"/>
          <w:b/>
          <w:bCs/>
          <w:color w:val="auto"/>
          <w:kern w:val="44"/>
          <w:sz w:val="32"/>
          <w:szCs w:val="32"/>
          <w:highlight w:val="none"/>
          <w:lang w:val="zh-CN"/>
        </w:rPr>
      </w:pPr>
      <w:bookmarkStart w:id="946" w:name="_Toc30548"/>
      <w:bookmarkStart w:id="947" w:name="_Toc3013"/>
      <w:bookmarkStart w:id="948" w:name="_Toc30605"/>
      <w:bookmarkStart w:id="949" w:name="_Toc10631"/>
      <w:bookmarkStart w:id="950" w:name="_Toc26966"/>
      <w:bookmarkStart w:id="951" w:name="_Toc19877"/>
      <w:bookmarkStart w:id="952" w:name="_Toc14977"/>
      <w:bookmarkStart w:id="953" w:name="_Toc21059"/>
      <w:bookmarkStart w:id="954" w:name="_Toc142508390"/>
      <w:bookmarkStart w:id="955" w:name="_Toc22601_WPSOffice_Level1"/>
      <w:bookmarkStart w:id="956" w:name="_Toc521918141"/>
      <w:bookmarkStart w:id="957" w:name="_Toc522047402"/>
      <w:r>
        <w:rPr>
          <w:rFonts w:hint="eastAsia" w:ascii="宋体" w:hAnsi="宋体" w:eastAsia="宋体" w:cs="宋体"/>
          <w:b/>
          <w:bCs/>
          <w:color w:val="auto"/>
          <w:kern w:val="44"/>
          <w:sz w:val="32"/>
          <w:szCs w:val="32"/>
          <w:highlight w:val="none"/>
          <w:lang w:val="zh-CN"/>
        </w:rPr>
        <w:t>附件一：评标工作大纲</w:t>
      </w:r>
      <w:bookmarkEnd w:id="946"/>
      <w:bookmarkEnd w:id="947"/>
      <w:bookmarkEnd w:id="948"/>
      <w:bookmarkEnd w:id="949"/>
      <w:bookmarkEnd w:id="950"/>
      <w:bookmarkEnd w:id="951"/>
      <w:bookmarkEnd w:id="952"/>
      <w:bookmarkEnd w:id="953"/>
      <w:bookmarkEnd w:id="954"/>
    </w:p>
    <w:p w14:paraId="333E6467">
      <w:pPr>
        <w:autoSpaceDE w:val="0"/>
        <w:autoSpaceDN w:val="0"/>
        <w:adjustRightInd w:val="0"/>
        <w:spacing w:line="400" w:lineRule="atLeast"/>
        <w:jc w:val="center"/>
        <w:rPr>
          <w:rFonts w:hint="eastAsia" w:ascii="宋体" w:hAnsi="宋体" w:eastAsia="宋体" w:cs="宋体"/>
          <w:b/>
          <w:bCs/>
          <w:color w:val="auto"/>
          <w:szCs w:val="21"/>
          <w:highlight w:val="none"/>
        </w:rPr>
      </w:pPr>
    </w:p>
    <w:p w14:paraId="533A423A">
      <w:pPr>
        <w:autoSpaceDE w:val="0"/>
        <w:autoSpaceDN w:val="0"/>
        <w:adjustRightInd w:val="0"/>
        <w:spacing w:line="400" w:lineRule="atLeast"/>
        <w:jc w:val="center"/>
        <w:rPr>
          <w:rFonts w:hint="eastAsia" w:ascii="宋体" w:hAnsi="宋体" w:eastAsia="宋体" w:cs="宋体"/>
          <w:b/>
          <w:bCs/>
          <w:color w:val="auto"/>
          <w:szCs w:val="21"/>
          <w:highlight w:val="none"/>
        </w:rPr>
      </w:pPr>
    </w:p>
    <w:p w14:paraId="3677F079">
      <w:pPr>
        <w:autoSpaceDE w:val="0"/>
        <w:autoSpaceDN w:val="0"/>
        <w:adjustRightInd w:val="0"/>
        <w:spacing w:line="400" w:lineRule="atLeast"/>
        <w:jc w:val="center"/>
        <w:outlineLvl w:val="9"/>
        <w:rPr>
          <w:rFonts w:hint="eastAsia" w:ascii="宋体" w:hAnsi="宋体" w:eastAsia="宋体" w:cs="宋体"/>
          <w:b/>
          <w:bCs/>
          <w:color w:val="auto"/>
          <w:szCs w:val="21"/>
          <w:highlight w:val="none"/>
        </w:rPr>
      </w:pPr>
    </w:p>
    <w:p w14:paraId="22E4E41E">
      <w:pPr>
        <w:autoSpaceDE w:val="0"/>
        <w:autoSpaceDN w:val="0"/>
        <w:adjustRightInd w:val="0"/>
        <w:spacing w:line="400" w:lineRule="atLeast"/>
        <w:jc w:val="center"/>
        <w:outlineLvl w:val="9"/>
        <w:rPr>
          <w:rFonts w:hint="eastAsia" w:ascii="宋体" w:hAnsi="宋体" w:eastAsia="宋体" w:cs="宋体"/>
          <w:b/>
          <w:bCs/>
          <w:color w:val="auto"/>
          <w:szCs w:val="21"/>
          <w:highlight w:val="none"/>
        </w:rPr>
      </w:pPr>
    </w:p>
    <w:p w14:paraId="352E7BDF">
      <w:pPr>
        <w:autoSpaceDE w:val="0"/>
        <w:autoSpaceDN w:val="0"/>
        <w:adjustRightInd w:val="0"/>
        <w:spacing w:line="360" w:lineRule="auto"/>
        <w:jc w:val="center"/>
        <w:outlineLvl w:val="9"/>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w:t>
      </w:r>
      <w:r>
        <w:rPr>
          <w:rFonts w:hint="eastAsia" w:ascii="宋体" w:hAnsi="宋体" w:eastAsia="宋体" w:cs="宋体"/>
          <w:b/>
          <w:bCs/>
          <w:color w:val="auto"/>
          <w:sz w:val="40"/>
          <w:szCs w:val="36"/>
          <w:highlight w:val="none"/>
          <w:lang w:val="en-US" w:eastAsia="zh-CN"/>
        </w:rPr>
        <w:t>置拓投资</w:t>
      </w:r>
      <w:r>
        <w:rPr>
          <w:rFonts w:hint="eastAsia" w:ascii="宋体" w:hAnsi="宋体" w:eastAsia="宋体" w:cs="宋体"/>
          <w:b/>
          <w:bCs/>
          <w:color w:val="auto"/>
          <w:sz w:val="40"/>
          <w:szCs w:val="36"/>
          <w:highlight w:val="none"/>
          <w:lang w:eastAsia="zh-CN"/>
        </w:rPr>
        <w:t>有限公司</w:t>
      </w:r>
      <w:r>
        <w:rPr>
          <w:rFonts w:hint="eastAsia" w:ascii="宋体" w:hAnsi="宋体" w:eastAsia="宋体" w:cs="宋体"/>
          <w:b/>
          <w:bCs/>
          <w:color w:val="auto"/>
          <w:sz w:val="40"/>
          <w:szCs w:val="36"/>
          <w:highlight w:val="none"/>
          <w:lang w:val="en-US" w:eastAsia="zh-CN"/>
        </w:rPr>
        <w:t>水业大厦食堂经营</w:t>
      </w:r>
      <w:r>
        <w:rPr>
          <w:rFonts w:hint="eastAsia" w:ascii="宋体" w:hAnsi="宋体" w:eastAsia="宋体" w:cs="宋体"/>
          <w:b/>
          <w:bCs/>
          <w:color w:val="auto"/>
          <w:sz w:val="40"/>
          <w:szCs w:val="36"/>
          <w:highlight w:val="none"/>
          <w:lang w:eastAsia="zh-CN"/>
        </w:rPr>
        <w:t>服务采购项目</w:t>
      </w:r>
    </w:p>
    <w:p w14:paraId="1E71DDF3">
      <w:pPr>
        <w:autoSpaceDE w:val="0"/>
        <w:autoSpaceDN w:val="0"/>
        <w:adjustRightInd w:val="0"/>
        <w:spacing w:line="360" w:lineRule="auto"/>
        <w:jc w:val="center"/>
        <w:outlineLvl w:val="9"/>
        <w:rPr>
          <w:rFonts w:hint="eastAsia" w:ascii="宋体" w:hAnsi="宋体" w:eastAsia="宋体" w:cs="宋体"/>
          <w:b/>
          <w:bCs/>
          <w:color w:val="auto"/>
          <w:sz w:val="36"/>
          <w:szCs w:val="36"/>
          <w:highlight w:val="none"/>
        </w:rPr>
      </w:pPr>
      <w:bookmarkStart w:id="958" w:name="_Toc14752_WPSOffice_Level1"/>
      <w:r>
        <w:rPr>
          <w:rFonts w:hint="eastAsia" w:ascii="宋体" w:hAnsi="宋体" w:eastAsia="宋体" w:cs="宋体"/>
          <w:b/>
          <w:bCs/>
          <w:color w:val="auto"/>
          <w:sz w:val="36"/>
          <w:szCs w:val="36"/>
          <w:highlight w:val="none"/>
          <w:lang w:val="zh-CN"/>
        </w:rPr>
        <w:t>（招标编号：</w:t>
      </w:r>
      <w:r>
        <w:rPr>
          <w:rFonts w:hint="default" w:ascii="宋体" w:hAnsi="宋体" w:eastAsia="宋体" w:cs="宋体"/>
          <w:b/>
          <w:bCs/>
          <w:color w:val="auto"/>
          <w:sz w:val="36"/>
          <w:szCs w:val="36"/>
          <w:highlight w:val="none"/>
        </w:rPr>
        <w:t>广建咨询（东招）2025-0020号</w:t>
      </w:r>
      <w:r>
        <w:rPr>
          <w:rFonts w:hint="eastAsia" w:ascii="宋体" w:hAnsi="宋体" w:eastAsia="宋体" w:cs="宋体"/>
          <w:b/>
          <w:bCs/>
          <w:color w:val="auto"/>
          <w:sz w:val="36"/>
          <w:szCs w:val="36"/>
          <w:highlight w:val="none"/>
          <w:lang w:val="zh-CN"/>
        </w:rPr>
        <w:t>）</w:t>
      </w:r>
      <w:bookmarkEnd w:id="958"/>
    </w:p>
    <w:p w14:paraId="16990F63">
      <w:pPr>
        <w:autoSpaceDE w:val="0"/>
        <w:autoSpaceDN w:val="0"/>
        <w:adjustRightInd w:val="0"/>
        <w:spacing w:line="400" w:lineRule="atLeast"/>
        <w:jc w:val="center"/>
        <w:outlineLvl w:val="9"/>
        <w:rPr>
          <w:rFonts w:hint="eastAsia" w:ascii="宋体" w:hAnsi="宋体" w:eastAsia="宋体" w:cs="宋体"/>
          <w:b/>
          <w:bCs/>
          <w:color w:val="auto"/>
          <w:sz w:val="36"/>
          <w:szCs w:val="36"/>
          <w:highlight w:val="none"/>
        </w:rPr>
      </w:pPr>
    </w:p>
    <w:p w14:paraId="4C451B6B">
      <w:pPr>
        <w:autoSpaceDE w:val="0"/>
        <w:autoSpaceDN w:val="0"/>
        <w:adjustRightInd w:val="0"/>
        <w:spacing w:line="400" w:lineRule="atLeast"/>
        <w:jc w:val="center"/>
        <w:outlineLvl w:val="9"/>
        <w:rPr>
          <w:rFonts w:hint="eastAsia" w:ascii="宋体" w:hAnsi="宋体" w:eastAsia="宋体" w:cs="宋体"/>
          <w:b/>
          <w:bCs/>
          <w:color w:val="auto"/>
          <w:sz w:val="36"/>
          <w:szCs w:val="36"/>
          <w:highlight w:val="none"/>
        </w:rPr>
      </w:pPr>
    </w:p>
    <w:p w14:paraId="4F18AB83">
      <w:pPr>
        <w:autoSpaceDE w:val="0"/>
        <w:autoSpaceDN w:val="0"/>
        <w:adjustRightInd w:val="0"/>
        <w:spacing w:line="400" w:lineRule="atLeast"/>
        <w:jc w:val="center"/>
        <w:outlineLvl w:val="9"/>
        <w:rPr>
          <w:rFonts w:hint="eastAsia" w:ascii="宋体" w:hAnsi="宋体" w:eastAsia="宋体" w:cs="宋体"/>
          <w:b/>
          <w:bCs/>
          <w:color w:val="auto"/>
          <w:sz w:val="36"/>
          <w:szCs w:val="36"/>
          <w:highlight w:val="none"/>
        </w:rPr>
      </w:pPr>
    </w:p>
    <w:p w14:paraId="0F05A902">
      <w:pPr>
        <w:autoSpaceDE w:val="0"/>
        <w:autoSpaceDN w:val="0"/>
        <w:adjustRightInd w:val="0"/>
        <w:spacing w:line="400" w:lineRule="atLeast"/>
        <w:jc w:val="center"/>
        <w:outlineLvl w:val="9"/>
        <w:rPr>
          <w:rFonts w:hint="eastAsia" w:ascii="宋体" w:hAnsi="宋体" w:eastAsia="宋体" w:cs="宋体"/>
          <w:b/>
          <w:bCs/>
          <w:color w:val="auto"/>
          <w:sz w:val="36"/>
          <w:szCs w:val="36"/>
          <w:highlight w:val="none"/>
        </w:rPr>
      </w:pPr>
    </w:p>
    <w:p w14:paraId="613B9F5B">
      <w:pPr>
        <w:autoSpaceDE w:val="0"/>
        <w:autoSpaceDN w:val="0"/>
        <w:adjustRightInd w:val="0"/>
        <w:spacing w:line="400" w:lineRule="atLeast"/>
        <w:jc w:val="center"/>
        <w:outlineLvl w:val="9"/>
        <w:rPr>
          <w:rFonts w:hint="eastAsia" w:ascii="宋体" w:hAnsi="宋体" w:eastAsia="宋体" w:cs="宋体"/>
          <w:b/>
          <w:bCs/>
          <w:color w:val="auto"/>
          <w:sz w:val="72"/>
          <w:szCs w:val="72"/>
          <w:highlight w:val="none"/>
          <w:lang w:val="zh-CN"/>
        </w:rPr>
      </w:pPr>
      <w:bookmarkStart w:id="959" w:name="_Toc18947_WPSOffice_Level2"/>
      <w:r>
        <w:rPr>
          <w:rFonts w:hint="eastAsia" w:ascii="宋体" w:hAnsi="宋体" w:eastAsia="宋体" w:cs="宋体"/>
          <w:b/>
          <w:bCs/>
          <w:color w:val="auto"/>
          <w:sz w:val="72"/>
          <w:szCs w:val="72"/>
          <w:highlight w:val="none"/>
          <w:lang w:val="zh-CN"/>
        </w:rPr>
        <w:t>评标工作大纲</w:t>
      </w:r>
      <w:bookmarkEnd w:id="959"/>
    </w:p>
    <w:p w14:paraId="5812E132">
      <w:pPr>
        <w:autoSpaceDE w:val="0"/>
        <w:autoSpaceDN w:val="0"/>
        <w:adjustRightInd w:val="0"/>
        <w:spacing w:line="400" w:lineRule="atLeast"/>
        <w:jc w:val="center"/>
        <w:outlineLvl w:val="9"/>
        <w:rPr>
          <w:rFonts w:hint="eastAsia" w:ascii="宋体" w:hAnsi="宋体" w:eastAsia="宋体" w:cs="宋体"/>
          <w:b/>
          <w:bCs/>
          <w:color w:val="auto"/>
          <w:sz w:val="36"/>
          <w:szCs w:val="36"/>
          <w:highlight w:val="none"/>
        </w:rPr>
      </w:pPr>
    </w:p>
    <w:p w14:paraId="35E89951">
      <w:pPr>
        <w:autoSpaceDE w:val="0"/>
        <w:autoSpaceDN w:val="0"/>
        <w:adjustRightInd w:val="0"/>
        <w:spacing w:line="400" w:lineRule="atLeast"/>
        <w:outlineLvl w:val="9"/>
        <w:rPr>
          <w:rFonts w:hint="eastAsia" w:ascii="宋体" w:hAnsi="宋体" w:eastAsia="宋体" w:cs="宋体"/>
          <w:b/>
          <w:bCs/>
          <w:color w:val="auto"/>
          <w:sz w:val="36"/>
          <w:szCs w:val="36"/>
          <w:highlight w:val="none"/>
        </w:rPr>
      </w:pPr>
    </w:p>
    <w:p w14:paraId="26641977">
      <w:pPr>
        <w:autoSpaceDE w:val="0"/>
        <w:autoSpaceDN w:val="0"/>
        <w:adjustRightInd w:val="0"/>
        <w:spacing w:line="400" w:lineRule="atLeast"/>
        <w:jc w:val="center"/>
        <w:outlineLvl w:val="9"/>
        <w:rPr>
          <w:rFonts w:hint="eastAsia" w:ascii="宋体" w:hAnsi="宋体" w:eastAsia="宋体" w:cs="宋体"/>
          <w:b/>
          <w:bCs/>
          <w:color w:val="auto"/>
          <w:sz w:val="36"/>
          <w:szCs w:val="36"/>
          <w:highlight w:val="none"/>
        </w:rPr>
      </w:pPr>
    </w:p>
    <w:p w14:paraId="0ABC3882">
      <w:pPr>
        <w:autoSpaceDE w:val="0"/>
        <w:autoSpaceDN w:val="0"/>
        <w:adjustRightInd w:val="0"/>
        <w:spacing w:line="400" w:lineRule="atLeast"/>
        <w:jc w:val="center"/>
        <w:outlineLvl w:val="9"/>
        <w:rPr>
          <w:rFonts w:hint="eastAsia" w:ascii="宋体" w:hAnsi="宋体" w:eastAsia="宋体" w:cs="宋体"/>
          <w:b/>
          <w:bCs/>
          <w:color w:val="auto"/>
          <w:sz w:val="36"/>
          <w:szCs w:val="36"/>
          <w:highlight w:val="none"/>
        </w:rPr>
      </w:pPr>
    </w:p>
    <w:p w14:paraId="242549D6">
      <w:pPr>
        <w:autoSpaceDE w:val="0"/>
        <w:autoSpaceDN w:val="0"/>
        <w:adjustRightInd w:val="0"/>
        <w:spacing w:line="400" w:lineRule="atLeast"/>
        <w:jc w:val="center"/>
        <w:outlineLvl w:val="9"/>
        <w:rPr>
          <w:rFonts w:hint="eastAsia" w:ascii="宋体" w:hAnsi="宋体" w:eastAsia="宋体" w:cs="宋体"/>
          <w:b/>
          <w:bCs/>
          <w:color w:val="auto"/>
          <w:sz w:val="36"/>
          <w:szCs w:val="36"/>
          <w:highlight w:val="none"/>
        </w:rPr>
      </w:pPr>
    </w:p>
    <w:p w14:paraId="276BC819">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建成工程咨询股份有限公司</w:t>
      </w:r>
    </w:p>
    <w:p w14:paraId="30163DF9">
      <w:pPr>
        <w:autoSpaceDE w:val="0"/>
        <w:autoSpaceDN w:val="0"/>
        <w:adjustRightInd w:val="0"/>
        <w:spacing w:line="400" w:lineRule="atLeast"/>
        <w:jc w:val="center"/>
        <w:outlineLvl w:val="9"/>
        <w:rPr>
          <w:rFonts w:hint="eastAsia" w:ascii="宋体" w:hAnsi="宋体" w:eastAsia="宋体" w:cs="宋体"/>
          <w:b/>
          <w:bCs/>
          <w:color w:val="auto"/>
          <w:sz w:val="36"/>
          <w:szCs w:val="36"/>
          <w:highlight w:val="none"/>
          <w:lang w:val="en-US" w:eastAsia="zh-CN"/>
        </w:rPr>
      </w:pPr>
    </w:p>
    <w:p w14:paraId="651A3F82">
      <w:pPr>
        <w:autoSpaceDE w:val="0"/>
        <w:autoSpaceDN w:val="0"/>
        <w:adjustRightInd w:val="0"/>
        <w:spacing w:line="400" w:lineRule="atLeast"/>
        <w:jc w:val="center"/>
        <w:outlineLvl w:val="9"/>
        <w:rPr>
          <w:rFonts w:hint="eastAsia"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960" w:name="_Toc32395_WPSOffice_Level1"/>
      <w:r>
        <w:rPr>
          <w:rFonts w:hint="eastAsia" w:ascii="宋体" w:hAnsi="宋体" w:eastAsia="宋体" w:cs="宋体"/>
          <w:b/>
          <w:bCs/>
          <w:color w:val="auto"/>
          <w:sz w:val="36"/>
          <w:szCs w:val="36"/>
          <w:highlight w:val="none"/>
          <w:lang w:val="zh-CN"/>
        </w:rPr>
        <w:t>目录</w:t>
      </w:r>
      <w:bookmarkEnd w:id="960"/>
    </w:p>
    <w:p w14:paraId="4ADE65BE">
      <w:pPr>
        <w:autoSpaceDE w:val="0"/>
        <w:autoSpaceDN w:val="0"/>
        <w:adjustRightInd w:val="0"/>
        <w:spacing w:line="400" w:lineRule="atLeast"/>
        <w:jc w:val="center"/>
        <w:outlineLvl w:val="9"/>
        <w:rPr>
          <w:rFonts w:hint="eastAsia" w:ascii="宋体" w:hAnsi="宋体" w:eastAsia="宋体" w:cs="宋体"/>
          <w:color w:val="auto"/>
          <w:sz w:val="44"/>
          <w:szCs w:val="44"/>
          <w:highlight w:val="none"/>
        </w:rPr>
      </w:pPr>
    </w:p>
    <w:p w14:paraId="6EE4E9F1">
      <w:pPr>
        <w:autoSpaceDE w:val="0"/>
        <w:autoSpaceDN w:val="0"/>
        <w:adjustRightInd w:val="0"/>
        <w:spacing w:line="360" w:lineRule="auto"/>
        <w:ind w:left="567" w:hanging="567"/>
        <w:outlineLvl w:val="9"/>
        <w:rPr>
          <w:rFonts w:hint="eastAsia" w:ascii="宋体" w:hAnsi="宋体" w:eastAsia="宋体" w:cs="宋体"/>
          <w:color w:val="auto"/>
          <w:szCs w:val="30"/>
          <w:highlight w:val="none"/>
        </w:rPr>
      </w:pPr>
      <w:bookmarkStart w:id="961"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961"/>
    </w:p>
    <w:p w14:paraId="05ECA27B">
      <w:pPr>
        <w:autoSpaceDE w:val="0"/>
        <w:autoSpaceDN w:val="0"/>
        <w:adjustRightInd w:val="0"/>
        <w:spacing w:line="360" w:lineRule="auto"/>
        <w:ind w:left="567" w:hanging="567"/>
        <w:outlineLvl w:val="9"/>
        <w:rPr>
          <w:rFonts w:hint="eastAsia" w:ascii="宋体" w:hAnsi="宋体" w:eastAsia="宋体" w:cs="宋体"/>
          <w:color w:val="auto"/>
          <w:szCs w:val="30"/>
          <w:highlight w:val="none"/>
        </w:rPr>
      </w:pPr>
      <w:bookmarkStart w:id="962"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962"/>
    </w:p>
    <w:p w14:paraId="32CC7E8C">
      <w:pPr>
        <w:autoSpaceDE w:val="0"/>
        <w:autoSpaceDN w:val="0"/>
        <w:adjustRightInd w:val="0"/>
        <w:spacing w:line="360" w:lineRule="auto"/>
        <w:ind w:left="567" w:hanging="567"/>
        <w:outlineLvl w:val="9"/>
        <w:rPr>
          <w:rFonts w:hint="eastAsia" w:ascii="宋体" w:hAnsi="宋体" w:eastAsia="宋体" w:cs="宋体"/>
          <w:color w:val="auto"/>
          <w:szCs w:val="30"/>
          <w:highlight w:val="none"/>
        </w:rPr>
      </w:pPr>
      <w:bookmarkStart w:id="963"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963"/>
    </w:p>
    <w:p w14:paraId="599C8F1C">
      <w:pPr>
        <w:autoSpaceDE w:val="0"/>
        <w:autoSpaceDN w:val="0"/>
        <w:adjustRightInd w:val="0"/>
        <w:spacing w:line="360" w:lineRule="auto"/>
        <w:ind w:left="567" w:hanging="567"/>
        <w:outlineLvl w:val="9"/>
        <w:rPr>
          <w:rFonts w:hint="eastAsia" w:ascii="宋体" w:hAnsi="宋体" w:eastAsia="宋体" w:cs="宋体"/>
          <w:color w:val="auto"/>
          <w:szCs w:val="30"/>
          <w:highlight w:val="none"/>
        </w:rPr>
      </w:pPr>
      <w:bookmarkStart w:id="964" w:name="_Toc1206_WPSOffice_Level1"/>
      <w:r>
        <w:rPr>
          <w:rFonts w:hint="eastAsia" w:ascii="宋体" w:hAnsi="宋体" w:eastAsia="宋体" w:cs="宋体"/>
          <w:color w:val="auto"/>
          <w:szCs w:val="30"/>
          <w:highlight w:val="none"/>
        </w:rPr>
        <w:t>四、 比较和评价</w:t>
      </w:r>
      <w:bookmarkEnd w:id="964"/>
    </w:p>
    <w:p w14:paraId="11615DB4">
      <w:pPr>
        <w:autoSpaceDE w:val="0"/>
        <w:autoSpaceDN w:val="0"/>
        <w:adjustRightInd w:val="0"/>
        <w:spacing w:line="360" w:lineRule="auto"/>
        <w:ind w:left="567" w:hanging="567"/>
        <w:outlineLvl w:val="9"/>
        <w:rPr>
          <w:rFonts w:hint="eastAsia" w:ascii="宋体" w:hAnsi="宋体" w:eastAsia="宋体" w:cs="宋体"/>
          <w:color w:val="auto"/>
          <w:szCs w:val="30"/>
          <w:highlight w:val="none"/>
        </w:rPr>
      </w:pPr>
      <w:bookmarkStart w:id="965"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965"/>
    </w:p>
    <w:p w14:paraId="792FCFC0">
      <w:pPr>
        <w:autoSpaceDE w:val="0"/>
        <w:autoSpaceDN w:val="0"/>
        <w:adjustRightInd w:val="0"/>
        <w:spacing w:line="360" w:lineRule="auto"/>
        <w:ind w:left="567" w:hanging="567"/>
        <w:outlineLvl w:val="9"/>
        <w:rPr>
          <w:rFonts w:hint="eastAsia" w:ascii="宋体" w:hAnsi="宋体" w:eastAsia="宋体" w:cs="宋体"/>
          <w:color w:val="auto"/>
          <w:szCs w:val="30"/>
          <w:highlight w:val="none"/>
        </w:rPr>
      </w:pPr>
      <w:bookmarkStart w:id="966"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966"/>
    </w:p>
    <w:p w14:paraId="38113623">
      <w:pPr>
        <w:autoSpaceDE w:val="0"/>
        <w:autoSpaceDN w:val="0"/>
        <w:adjustRightInd w:val="0"/>
        <w:spacing w:line="360" w:lineRule="auto"/>
        <w:ind w:left="567" w:hanging="567"/>
        <w:outlineLvl w:val="9"/>
        <w:rPr>
          <w:rFonts w:hint="eastAsia" w:ascii="宋体" w:hAnsi="宋体" w:eastAsia="宋体" w:cs="宋体"/>
          <w:color w:val="auto"/>
          <w:szCs w:val="30"/>
          <w:highlight w:val="none"/>
        </w:rPr>
      </w:pPr>
      <w:bookmarkStart w:id="967"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967"/>
    </w:p>
    <w:p w14:paraId="44005501">
      <w:pPr>
        <w:tabs>
          <w:tab w:val="right" w:pos="7320"/>
        </w:tabs>
        <w:autoSpaceDE w:val="0"/>
        <w:autoSpaceDN w:val="0"/>
        <w:adjustRightInd w:val="0"/>
        <w:spacing w:line="360" w:lineRule="auto"/>
        <w:ind w:left="720" w:hanging="720"/>
        <w:outlineLvl w:val="9"/>
        <w:rPr>
          <w:rFonts w:hint="eastAsia" w:ascii="宋体" w:hAnsi="宋体" w:eastAsia="宋体" w:cs="宋体"/>
          <w:color w:val="auto"/>
          <w:szCs w:val="30"/>
          <w:highlight w:val="none"/>
        </w:rPr>
      </w:pPr>
    </w:p>
    <w:p w14:paraId="75EC6698">
      <w:pPr>
        <w:tabs>
          <w:tab w:val="right" w:pos="7320"/>
        </w:tabs>
        <w:autoSpaceDE w:val="0"/>
        <w:autoSpaceDN w:val="0"/>
        <w:adjustRightInd w:val="0"/>
        <w:spacing w:line="360" w:lineRule="auto"/>
        <w:ind w:left="720" w:hanging="720"/>
        <w:outlineLvl w:val="9"/>
        <w:rPr>
          <w:rFonts w:hint="eastAsia" w:ascii="宋体" w:hAnsi="宋体" w:eastAsia="宋体" w:cs="宋体"/>
          <w:color w:val="auto"/>
          <w:szCs w:val="30"/>
          <w:highlight w:val="none"/>
        </w:rPr>
      </w:pPr>
    </w:p>
    <w:p w14:paraId="5C863662">
      <w:pPr>
        <w:tabs>
          <w:tab w:val="left" w:pos="1080"/>
          <w:tab w:val="right" w:pos="7320"/>
        </w:tabs>
        <w:autoSpaceDE w:val="0"/>
        <w:autoSpaceDN w:val="0"/>
        <w:adjustRightInd w:val="0"/>
        <w:spacing w:line="400" w:lineRule="atLeast"/>
        <w:ind w:left="720" w:hanging="720"/>
        <w:outlineLvl w:val="9"/>
        <w:rPr>
          <w:rFonts w:hint="eastAsia" w:ascii="宋体" w:hAnsi="宋体" w:eastAsia="宋体" w:cs="宋体"/>
          <w:color w:val="auto"/>
          <w:szCs w:val="30"/>
          <w:highlight w:val="none"/>
        </w:rPr>
      </w:pPr>
    </w:p>
    <w:p w14:paraId="02F881DA">
      <w:pPr>
        <w:tabs>
          <w:tab w:val="left" w:pos="1140"/>
        </w:tabs>
        <w:autoSpaceDE w:val="0"/>
        <w:autoSpaceDN w:val="0"/>
        <w:adjustRightInd w:val="0"/>
        <w:spacing w:line="360" w:lineRule="auto"/>
        <w:jc w:val="center"/>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968"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968"/>
    </w:p>
    <w:p w14:paraId="4BC51E8B">
      <w:pPr>
        <w:tabs>
          <w:tab w:val="left" w:pos="567"/>
          <w:tab w:val="left" w:pos="600"/>
        </w:tabs>
        <w:autoSpaceDE w:val="0"/>
        <w:autoSpaceDN w:val="0"/>
        <w:adjustRightInd w:val="0"/>
        <w:spacing w:line="360" w:lineRule="auto"/>
        <w:ind w:left="600" w:hanging="600"/>
        <w:outlineLvl w:val="9"/>
        <w:rPr>
          <w:rFonts w:hint="eastAsia"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14:paraId="6DAD56FC">
      <w:pPr>
        <w:autoSpaceDE w:val="0"/>
        <w:autoSpaceDN w:val="0"/>
        <w:adjustRightInd w:val="0"/>
        <w:spacing w:line="360" w:lineRule="auto"/>
        <w:ind w:left="567" w:hanging="567"/>
        <w:outlineLvl w:val="9"/>
        <w:rPr>
          <w:rFonts w:hint="eastAsia"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w:t>
      </w:r>
      <w:r>
        <w:rPr>
          <w:rFonts w:hint="eastAsia" w:ascii="宋体" w:hAnsi="宋体" w:eastAsia="宋体" w:cs="宋体"/>
          <w:color w:val="auto"/>
          <w:kern w:val="0"/>
          <w:szCs w:val="21"/>
          <w:highlight w:val="none"/>
          <w:lang w:val="en-US" w:eastAsia="zh-CN"/>
        </w:rPr>
        <w:t>置拓投资</w:t>
      </w:r>
      <w:r>
        <w:rPr>
          <w:rFonts w:hint="eastAsia" w:ascii="宋体" w:hAnsi="宋体" w:eastAsia="宋体" w:cs="宋体"/>
          <w:color w:val="auto"/>
          <w:kern w:val="0"/>
          <w:szCs w:val="21"/>
          <w:highlight w:val="none"/>
          <w:lang w:eastAsia="zh-CN"/>
        </w:rPr>
        <w:t>有限公司</w:t>
      </w:r>
      <w:r>
        <w:rPr>
          <w:rFonts w:hint="eastAsia" w:ascii="宋体" w:hAnsi="宋体" w:eastAsia="宋体" w:cs="宋体"/>
          <w:color w:val="auto"/>
          <w:kern w:val="0"/>
          <w:szCs w:val="21"/>
          <w:highlight w:val="none"/>
          <w:lang w:val="en-US" w:eastAsia="zh-CN"/>
        </w:rPr>
        <w:t>水业大厦食堂经营</w:t>
      </w:r>
      <w:r>
        <w:rPr>
          <w:rFonts w:hint="eastAsia" w:ascii="宋体" w:hAnsi="宋体" w:eastAsia="宋体" w:cs="宋体"/>
          <w:color w:val="auto"/>
          <w:kern w:val="0"/>
          <w:szCs w:val="21"/>
          <w:highlight w:val="none"/>
          <w:lang w:eastAsia="zh-CN"/>
        </w:rPr>
        <w:t>服务采购项目</w:t>
      </w:r>
      <w:r>
        <w:rPr>
          <w:rFonts w:hint="eastAsia" w:ascii="宋体" w:hAnsi="宋体" w:eastAsia="宋体" w:cs="宋体"/>
          <w:color w:val="auto"/>
          <w:szCs w:val="21"/>
          <w:highlight w:val="none"/>
          <w:lang w:val="zh-CN"/>
        </w:rPr>
        <w:t>(招标编号：</w:t>
      </w:r>
      <w:r>
        <w:rPr>
          <w:rFonts w:hint="default" w:ascii="宋体" w:hAnsi="宋体" w:eastAsia="宋体" w:cs="宋体"/>
          <w:color w:val="auto"/>
          <w:szCs w:val="21"/>
          <w:highlight w:val="none"/>
        </w:rPr>
        <w:t>广建咨询（东招）2025-0020号</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78FEACF6">
      <w:pPr>
        <w:autoSpaceDE w:val="0"/>
        <w:autoSpaceDN w:val="0"/>
        <w:adjustRightInd w:val="0"/>
        <w:spacing w:line="360" w:lineRule="auto"/>
        <w:ind w:left="567" w:hanging="5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14:paraId="08F5F79D">
      <w:pPr>
        <w:autoSpaceDE w:val="0"/>
        <w:autoSpaceDN w:val="0"/>
        <w:adjustRightInd w:val="0"/>
        <w:spacing w:line="360" w:lineRule="auto"/>
        <w:ind w:left="567" w:hanging="5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val="en-US" w:eastAsia="zh-CN"/>
        </w:rPr>
        <w:t>建成工程咨询股份有限公司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14:paraId="190FE864">
      <w:pPr>
        <w:autoSpaceDE w:val="0"/>
        <w:autoSpaceDN w:val="0"/>
        <w:adjustRightInd w:val="0"/>
        <w:spacing w:line="360" w:lineRule="auto"/>
        <w:ind w:left="567" w:hanging="5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6B9570BF">
      <w:pPr>
        <w:numPr>
          <w:ilvl w:val="1"/>
          <w:numId w:val="6"/>
        </w:numPr>
        <w:autoSpaceDE w:val="0"/>
        <w:autoSpaceDN w:val="0"/>
        <w:adjustRightInd w:val="0"/>
        <w:spacing w:line="360" w:lineRule="auto"/>
        <w:ind w:left="565" w:hanging="564" w:hangingChars="269"/>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1948FCD6">
      <w:pPr>
        <w:autoSpaceDE w:val="0"/>
        <w:autoSpaceDN w:val="0"/>
        <w:adjustRightInd w:val="0"/>
        <w:spacing w:line="360" w:lineRule="auto"/>
        <w:outlineLvl w:val="9"/>
        <w:rPr>
          <w:rFonts w:hint="eastAsia" w:ascii="宋体" w:hAnsi="宋体" w:eastAsia="宋体" w:cs="宋体"/>
          <w:color w:val="auto"/>
          <w:sz w:val="24"/>
          <w:szCs w:val="24"/>
          <w:highlight w:val="none"/>
          <w:lang w:val="zh-CN"/>
        </w:rPr>
      </w:pPr>
    </w:p>
    <w:p w14:paraId="1776022B">
      <w:pPr>
        <w:tabs>
          <w:tab w:val="left" w:pos="360"/>
          <w:tab w:val="left" w:pos="600"/>
        </w:tabs>
        <w:autoSpaceDE w:val="0"/>
        <w:autoSpaceDN w:val="0"/>
        <w:adjustRightInd w:val="0"/>
        <w:spacing w:line="360" w:lineRule="auto"/>
        <w:ind w:left="600" w:hanging="600"/>
        <w:outlineLvl w:val="9"/>
        <w:rPr>
          <w:rFonts w:hint="eastAsia"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14:paraId="6840BA42">
      <w:pPr>
        <w:tabs>
          <w:tab w:val="left" w:pos="567"/>
          <w:tab w:val="left" w:pos="1145"/>
        </w:tabs>
        <w:autoSpaceDE w:val="0"/>
        <w:autoSpaceDN w:val="0"/>
        <w:adjustRightInd w:val="0"/>
        <w:spacing w:line="360" w:lineRule="auto"/>
        <w:ind w:left="600" w:hanging="6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w:t>
      </w:r>
      <w:r>
        <w:rPr>
          <w:rFonts w:hint="eastAsia" w:ascii="宋体" w:hAnsi="宋体" w:eastAsia="宋体" w:cs="宋体"/>
          <w:color w:val="auto"/>
          <w:kern w:val="0"/>
          <w:szCs w:val="24"/>
          <w:highlight w:val="none"/>
          <w:lang w:val="en-US" w:eastAsia="zh-CN"/>
        </w:rPr>
        <w:t>自行组建</w:t>
      </w:r>
      <w:r>
        <w:rPr>
          <w:rFonts w:hint="eastAsia" w:ascii="宋体" w:hAnsi="宋体" w:eastAsia="宋体" w:cs="宋体"/>
          <w:color w:val="auto"/>
          <w:kern w:val="0"/>
          <w:szCs w:val="24"/>
          <w:highlight w:val="none"/>
        </w:rPr>
        <w:t>，成员</w:t>
      </w:r>
      <w:r>
        <w:rPr>
          <w:rFonts w:hint="eastAsia" w:ascii="宋体" w:hAnsi="宋体" w:eastAsia="宋体" w:cs="宋体"/>
          <w:b w:val="0"/>
          <w:bCs w:val="0"/>
          <w:color w:val="auto"/>
          <w:kern w:val="0"/>
          <w:szCs w:val="24"/>
          <w:highlight w:val="none"/>
        </w:rPr>
        <w:t>为</w:t>
      </w:r>
      <w:r>
        <w:rPr>
          <w:rFonts w:hint="eastAsia" w:ascii="宋体" w:hAnsi="宋体" w:eastAsia="宋体" w:cs="宋体"/>
          <w:b w:val="0"/>
          <w:bCs w:val="0"/>
          <w:color w:val="auto"/>
          <w:kern w:val="0"/>
          <w:szCs w:val="24"/>
          <w:highlight w:val="none"/>
          <w:lang w:val="en-US" w:eastAsia="zh-CN"/>
        </w:rPr>
        <w:t>7</w:t>
      </w:r>
      <w:r>
        <w:rPr>
          <w:rFonts w:hint="eastAsia" w:ascii="宋体" w:hAnsi="宋体" w:eastAsia="宋体" w:cs="宋体"/>
          <w:b w:val="0"/>
          <w:bCs w:val="0"/>
          <w:color w:val="auto"/>
          <w:kern w:val="0"/>
          <w:szCs w:val="24"/>
          <w:highlight w:val="none"/>
        </w:rPr>
        <w:t>人以上（含</w:t>
      </w:r>
      <w:r>
        <w:rPr>
          <w:rFonts w:hint="eastAsia" w:ascii="宋体" w:hAnsi="宋体" w:eastAsia="宋体" w:cs="宋体"/>
          <w:b w:val="0"/>
          <w:bCs w:val="0"/>
          <w:color w:val="auto"/>
          <w:kern w:val="0"/>
          <w:szCs w:val="24"/>
          <w:highlight w:val="none"/>
          <w:lang w:val="en-US" w:eastAsia="zh-CN"/>
        </w:rPr>
        <w:t>7</w:t>
      </w:r>
      <w:r>
        <w:rPr>
          <w:rFonts w:hint="eastAsia" w:ascii="宋体" w:hAnsi="宋体" w:eastAsia="宋体" w:cs="宋体"/>
          <w:b w:val="0"/>
          <w:bCs w:val="0"/>
          <w:color w:val="auto"/>
          <w:kern w:val="0"/>
          <w:szCs w:val="24"/>
          <w:highlight w:val="none"/>
        </w:rPr>
        <w:t>人）单数</w:t>
      </w:r>
      <w:r>
        <w:rPr>
          <w:rFonts w:hint="eastAsia" w:ascii="宋体" w:hAnsi="宋体" w:eastAsia="宋体" w:cs="宋体"/>
          <w:color w:val="auto"/>
          <w:kern w:val="0"/>
          <w:szCs w:val="24"/>
          <w:highlight w:val="none"/>
        </w:rPr>
        <w:t>。</w:t>
      </w:r>
    </w:p>
    <w:p w14:paraId="5779D442">
      <w:pPr>
        <w:tabs>
          <w:tab w:val="left" w:pos="567"/>
          <w:tab w:val="left" w:pos="1145"/>
        </w:tabs>
        <w:autoSpaceDE w:val="0"/>
        <w:autoSpaceDN w:val="0"/>
        <w:adjustRightInd w:val="0"/>
        <w:spacing w:line="360" w:lineRule="auto"/>
        <w:ind w:left="600" w:hanging="6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616FC7D3">
      <w:pPr>
        <w:autoSpaceDE w:val="0"/>
        <w:autoSpaceDN w:val="0"/>
        <w:adjustRightInd w:val="0"/>
        <w:spacing w:line="360" w:lineRule="auto"/>
        <w:ind w:left="600" w:hanging="6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14:paraId="1EB91AA6">
      <w:pPr>
        <w:autoSpaceDE w:val="0"/>
        <w:autoSpaceDN w:val="0"/>
        <w:adjustRightInd w:val="0"/>
        <w:spacing w:line="360" w:lineRule="auto"/>
        <w:ind w:left="600" w:hanging="6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4591A6DA">
      <w:pPr>
        <w:autoSpaceDE w:val="0"/>
        <w:autoSpaceDN w:val="0"/>
        <w:adjustRightInd w:val="0"/>
        <w:spacing w:line="360" w:lineRule="auto"/>
        <w:outlineLvl w:val="9"/>
        <w:rPr>
          <w:rFonts w:hint="eastAsia" w:ascii="宋体" w:hAnsi="宋体" w:eastAsia="宋体" w:cs="宋体"/>
          <w:color w:val="auto"/>
          <w:sz w:val="24"/>
          <w:szCs w:val="24"/>
          <w:highlight w:val="none"/>
          <w:lang w:val="zh-CN"/>
        </w:rPr>
      </w:pPr>
    </w:p>
    <w:p w14:paraId="6580CDA9">
      <w:pPr>
        <w:autoSpaceDE w:val="0"/>
        <w:autoSpaceDN w:val="0"/>
        <w:adjustRightInd w:val="0"/>
        <w:spacing w:line="360" w:lineRule="auto"/>
        <w:outlineLvl w:val="9"/>
        <w:rPr>
          <w:rFonts w:hint="eastAsia"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14:paraId="0C5CF290">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033F5940">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622522CB">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0DD0963F">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629A2331">
      <w:pPr>
        <w:autoSpaceDE w:val="0"/>
        <w:autoSpaceDN w:val="0"/>
        <w:adjustRightInd w:val="0"/>
        <w:spacing w:line="360" w:lineRule="auto"/>
        <w:jc w:val="left"/>
        <w:outlineLvl w:val="9"/>
        <w:rPr>
          <w:rFonts w:hint="eastAsia" w:ascii="宋体" w:hAnsi="宋体" w:eastAsia="宋体" w:cs="宋体"/>
          <w:color w:val="auto"/>
          <w:kern w:val="0"/>
          <w:sz w:val="24"/>
          <w:szCs w:val="24"/>
          <w:highlight w:val="none"/>
          <w:lang w:val="zh-CN"/>
        </w:rPr>
      </w:pPr>
    </w:p>
    <w:p w14:paraId="1DF27686">
      <w:pPr>
        <w:tabs>
          <w:tab w:val="left" w:pos="720"/>
        </w:tabs>
        <w:autoSpaceDE w:val="0"/>
        <w:autoSpaceDN w:val="0"/>
        <w:adjustRightInd w:val="0"/>
        <w:spacing w:line="360" w:lineRule="auto"/>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14:paraId="0FBCE76E">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14:paraId="13CBCFF7">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679C94CC">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6D61926E">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67D0EC5E">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23597759">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57517235">
      <w:pPr>
        <w:tabs>
          <w:tab w:val="left" w:pos="720"/>
        </w:tabs>
        <w:autoSpaceDE w:val="0"/>
        <w:autoSpaceDN w:val="0"/>
        <w:adjustRightInd w:val="0"/>
        <w:spacing w:line="360" w:lineRule="auto"/>
        <w:outlineLvl w:val="9"/>
        <w:rPr>
          <w:rFonts w:hint="eastAsia" w:ascii="宋体" w:hAnsi="宋体" w:eastAsia="宋体" w:cs="宋体"/>
          <w:color w:val="auto"/>
          <w:sz w:val="24"/>
          <w:szCs w:val="24"/>
          <w:highlight w:val="none"/>
          <w:lang w:val="zh-CN"/>
        </w:rPr>
      </w:pPr>
    </w:p>
    <w:p w14:paraId="681428E2">
      <w:pPr>
        <w:tabs>
          <w:tab w:val="left" w:pos="1547"/>
        </w:tabs>
        <w:autoSpaceDE w:val="0"/>
        <w:autoSpaceDN w:val="0"/>
        <w:adjustRightInd w:val="0"/>
        <w:spacing w:line="360" w:lineRule="auto"/>
        <w:outlineLvl w:val="9"/>
        <w:rPr>
          <w:rFonts w:hint="eastAsia" w:ascii="宋体" w:hAnsi="宋体" w:eastAsia="宋体" w:cs="宋体"/>
          <w:b/>
          <w:color w:val="auto"/>
          <w:szCs w:val="24"/>
          <w:highlight w:val="none"/>
          <w:lang w:val="zh-CN"/>
        </w:rPr>
      </w:pPr>
      <w:r>
        <w:rPr>
          <w:rFonts w:hint="eastAsia" w:ascii="宋体" w:hAnsi="宋体" w:eastAsia="宋体" w:cs="宋体"/>
          <w:b/>
          <w:bCs/>
          <w:color w:val="auto"/>
          <w:szCs w:val="21"/>
          <w:highlight w:val="none"/>
          <w:lang w:val="zh-CN"/>
        </w:rPr>
        <w:t>5、评审程序</w:t>
      </w:r>
    </w:p>
    <w:p w14:paraId="3BDC3839">
      <w:pPr>
        <w:autoSpaceDE w:val="0"/>
        <w:autoSpaceDN w:val="0"/>
        <w:adjustRightInd w:val="0"/>
        <w:spacing w:line="360" w:lineRule="auto"/>
        <w:ind w:left="567" w:hanging="567"/>
        <w:outlineLvl w:val="9"/>
        <w:rPr>
          <w:rFonts w:hint="eastAsia" w:ascii="宋体" w:hAnsi="宋体" w:eastAsia="宋体" w:cs="宋体"/>
          <w:bCs/>
          <w:color w:val="auto"/>
          <w:szCs w:val="24"/>
          <w:highlight w:val="none"/>
          <w:lang w:val="zh-CN"/>
        </w:rPr>
      </w:pPr>
      <w:r>
        <w:rPr>
          <w:rFonts w:hint="eastAsia" w:ascii="宋体" w:hAnsi="宋体" w:eastAsia="宋体" w:cs="宋体"/>
          <w:color w:val="auto"/>
          <w:szCs w:val="24"/>
          <w:highlight w:val="none"/>
          <w:lang w:val="zh-CN"/>
        </w:rPr>
        <w:t>5.1</w:t>
      </w:r>
      <w:r>
        <w:rPr>
          <w:rFonts w:hint="eastAsia" w:ascii="宋体" w:hAnsi="宋体" w:eastAsia="宋体" w:cs="宋体"/>
          <w:color w:val="auto"/>
          <w:szCs w:val="24"/>
          <w:highlight w:val="none"/>
          <w:lang w:val="zh-CN"/>
        </w:rPr>
        <w:tab/>
      </w:r>
      <w:r>
        <w:rPr>
          <w:rFonts w:hint="eastAsia" w:ascii="宋体" w:hAnsi="宋体" w:eastAsia="宋体" w:cs="宋体"/>
          <w:bCs/>
          <w:color w:val="auto"/>
          <w:szCs w:val="24"/>
          <w:highlight w:val="none"/>
          <w:lang w:val="zh-CN"/>
        </w:rPr>
        <w:t>评审首先由评标委员会对投标人的</w:t>
      </w:r>
      <w:r>
        <w:rPr>
          <w:rFonts w:hint="eastAsia" w:ascii="宋体" w:hAnsi="宋体" w:eastAsia="宋体" w:cs="宋体"/>
          <w:color w:val="auto"/>
          <w:szCs w:val="24"/>
          <w:highlight w:val="none"/>
          <w:lang w:val="zh-CN"/>
        </w:rPr>
        <w:t>投标</w:t>
      </w:r>
      <w:r>
        <w:rPr>
          <w:rFonts w:hint="eastAsia" w:ascii="宋体" w:hAnsi="宋体" w:eastAsia="宋体" w:cs="宋体"/>
          <w:bCs/>
          <w:color w:val="auto"/>
          <w:szCs w:val="24"/>
          <w:highlight w:val="none"/>
          <w:lang w:val="zh-CN"/>
        </w:rPr>
        <w:t>文件做初审，对未能通过初审的投标文件不再进入下一阶段评审。</w:t>
      </w:r>
    </w:p>
    <w:p w14:paraId="5CD05727">
      <w:pPr>
        <w:autoSpaceDE w:val="0"/>
        <w:autoSpaceDN w:val="0"/>
        <w:adjustRightInd w:val="0"/>
        <w:spacing w:line="360" w:lineRule="auto"/>
        <w:ind w:left="567" w:hanging="5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5.2</w:t>
      </w:r>
      <w:r>
        <w:rPr>
          <w:rFonts w:hint="eastAsia" w:ascii="宋体" w:hAnsi="宋体" w:eastAsia="宋体" w:cs="宋体"/>
          <w:color w:val="auto"/>
          <w:szCs w:val="24"/>
          <w:highlight w:val="none"/>
          <w:lang w:val="zh-CN"/>
        </w:rPr>
        <w:tab/>
      </w:r>
      <w:r>
        <w:rPr>
          <w:rFonts w:hint="eastAsia" w:ascii="宋体" w:hAnsi="宋体" w:eastAsia="宋体" w:cs="宋体"/>
          <w:bCs/>
          <w:color w:val="auto"/>
          <w:szCs w:val="24"/>
          <w:highlight w:val="none"/>
          <w:lang w:val="zh-CN"/>
        </w:rPr>
        <w:t>评标</w:t>
      </w:r>
      <w:r>
        <w:rPr>
          <w:rFonts w:hint="eastAsia" w:ascii="宋体" w:hAnsi="宋体" w:eastAsia="宋体" w:cs="宋体"/>
          <w:color w:val="auto"/>
          <w:szCs w:val="24"/>
          <w:highlight w:val="none"/>
          <w:lang w:val="zh-CN"/>
        </w:rPr>
        <w:t>委员会对通过初审的投标人的投标文件进行详细的比较和评价。如需要，进行必要的澄清工作。</w:t>
      </w:r>
    </w:p>
    <w:p w14:paraId="71E41B00">
      <w:pPr>
        <w:autoSpaceDE w:val="0"/>
        <w:autoSpaceDN w:val="0"/>
        <w:adjustRightInd w:val="0"/>
        <w:spacing w:line="360" w:lineRule="auto"/>
        <w:ind w:left="567" w:hanging="5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5.3  依据评分标准以及各项权重，各位评标委员会成员单独就每个投标人的商务状况、技术状况进行比较和评价，分别评出其商务得分和技术得分。</w:t>
      </w:r>
    </w:p>
    <w:p w14:paraId="1FEA558F">
      <w:pPr>
        <w:autoSpaceDE w:val="0"/>
        <w:autoSpaceDN w:val="0"/>
        <w:adjustRightInd w:val="0"/>
        <w:spacing w:line="360" w:lineRule="auto"/>
        <w:ind w:left="567" w:hanging="567"/>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w:t>
      </w:r>
      <w:r>
        <w:rPr>
          <w:rFonts w:hint="eastAsia" w:ascii="宋体" w:hAnsi="宋体" w:eastAsia="宋体" w:cs="宋体"/>
          <w:color w:val="auto"/>
          <w:kern w:val="0"/>
          <w:szCs w:val="24"/>
          <w:highlight w:val="none"/>
          <w:lang w:val="en-US" w:eastAsia="zh-CN"/>
        </w:rPr>
        <w:t>4</w:t>
      </w:r>
      <w:r>
        <w:rPr>
          <w:rFonts w:hint="eastAsia" w:ascii="宋体" w:hAnsi="宋体" w:eastAsia="宋体" w:cs="宋体"/>
          <w:color w:val="auto"/>
          <w:kern w:val="0"/>
          <w:szCs w:val="24"/>
          <w:highlight w:val="none"/>
          <w:lang w:val="zh-CN"/>
        </w:rPr>
        <w:t xml:space="preserve">  将各</w:t>
      </w:r>
      <w:r>
        <w:rPr>
          <w:rFonts w:hint="eastAsia" w:ascii="宋体" w:hAnsi="宋体" w:eastAsia="宋体" w:cs="宋体"/>
          <w:color w:val="auto"/>
          <w:szCs w:val="24"/>
          <w:highlight w:val="none"/>
          <w:lang w:val="zh-CN"/>
        </w:rPr>
        <w:t>评委对</w:t>
      </w:r>
      <w:r>
        <w:rPr>
          <w:rFonts w:hint="eastAsia" w:ascii="宋体" w:hAnsi="宋体" w:eastAsia="宋体" w:cs="宋体"/>
          <w:color w:val="auto"/>
          <w:kern w:val="0"/>
          <w:szCs w:val="24"/>
          <w:highlight w:val="none"/>
          <w:lang w:val="zh-CN"/>
        </w:rPr>
        <w:t>投标人的技术打分的最终综合得分</w:t>
      </w:r>
      <w:r>
        <w:rPr>
          <w:rFonts w:hint="eastAsia" w:ascii="宋体" w:hAnsi="宋体" w:eastAsia="宋体" w:cs="宋体"/>
          <w:color w:val="auto"/>
          <w:kern w:val="0"/>
          <w:szCs w:val="24"/>
          <w:highlight w:val="none"/>
          <w:lang w:val="en-US" w:eastAsia="zh-CN"/>
        </w:rPr>
        <w:t>和</w:t>
      </w:r>
      <w:r>
        <w:rPr>
          <w:rFonts w:hint="eastAsia" w:ascii="宋体" w:hAnsi="宋体" w:eastAsia="宋体" w:cs="宋体"/>
          <w:color w:val="auto"/>
          <w:kern w:val="0"/>
          <w:szCs w:val="24"/>
          <w:highlight w:val="none"/>
          <w:lang w:val="zh-CN"/>
        </w:rPr>
        <w:t>商务打分的算术平均值相加得出投标人的总分。</w:t>
      </w:r>
    </w:p>
    <w:p w14:paraId="729500B2">
      <w:pPr>
        <w:autoSpaceDE w:val="0"/>
        <w:autoSpaceDN w:val="0"/>
        <w:adjustRightInd w:val="0"/>
        <w:spacing w:line="360" w:lineRule="auto"/>
        <w:ind w:left="567" w:hanging="567"/>
        <w:outlineLvl w:val="9"/>
        <w:rPr>
          <w:rFonts w:hint="eastAsia" w:ascii="宋体" w:hAnsi="宋体" w:eastAsia="宋体" w:cs="宋体"/>
          <w:color w:val="auto"/>
          <w:kern w:val="0"/>
          <w:szCs w:val="21"/>
          <w:highlight w:val="none"/>
        </w:rPr>
      </w:pPr>
      <w:r>
        <w:rPr>
          <w:rFonts w:hint="eastAsia" w:ascii="宋体" w:hAnsi="宋体" w:eastAsia="宋体" w:cs="宋体"/>
          <w:bCs/>
          <w:color w:val="auto"/>
          <w:kern w:val="0"/>
          <w:szCs w:val="24"/>
          <w:highlight w:val="none"/>
        </w:rPr>
        <w:t>5.</w:t>
      </w:r>
      <w:r>
        <w:rPr>
          <w:rFonts w:hint="eastAsia" w:ascii="宋体" w:hAnsi="宋体" w:eastAsia="宋体" w:cs="宋体"/>
          <w:bCs/>
          <w:color w:val="auto"/>
          <w:kern w:val="0"/>
          <w:szCs w:val="24"/>
          <w:highlight w:val="none"/>
          <w:lang w:val="en-US" w:eastAsia="zh-CN"/>
        </w:rPr>
        <w:t>5</w:t>
      </w:r>
      <w:r>
        <w:rPr>
          <w:rFonts w:hint="eastAsia" w:ascii="宋体" w:hAnsi="宋体" w:eastAsia="宋体" w:cs="宋体"/>
          <w:bCs/>
          <w:color w:val="auto"/>
          <w:kern w:val="0"/>
          <w:szCs w:val="24"/>
          <w:highlight w:val="none"/>
        </w:rPr>
        <w:t xml:space="preserve">  </w:t>
      </w:r>
      <w:r>
        <w:rPr>
          <w:rFonts w:hint="eastAsia" w:ascii="宋体" w:hAnsi="宋体" w:eastAsia="宋体" w:cs="宋体"/>
          <w:color w:val="auto"/>
          <w:kern w:val="0"/>
          <w:szCs w:val="21"/>
          <w:highlight w:val="none"/>
        </w:rPr>
        <w:t>评标委员会将向招标人推荐评标最后综合得分最高的前二名投标人为中标候选人，并标明排列顺序。</w:t>
      </w:r>
    </w:p>
    <w:p w14:paraId="1335FD54">
      <w:pPr>
        <w:autoSpaceDE w:val="0"/>
        <w:autoSpaceDN w:val="0"/>
        <w:adjustRightInd w:val="0"/>
        <w:spacing w:line="360" w:lineRule="auto"/>
        <w:ind w:left="525" w:hanging="525" w:hangingChars="25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5.</w:t>
      </w: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lang w:val="zh-CN"/>
        </w:rPr>
        <w:tab/>
      </w:r>
      <w:r>
        <w:rPr>
          <w:rFonts w:hint="eastAsia" w:ascii="宋体" w:hAnsi="宋体" w:eastAsia="宋体" w:cs="宋体"/>
          <w:color w:val="auto"/>
          <w:kern w:val="0"/>
          <w:szCs w:val="24"/>
          <w:highlight w:val="none"/>
          <w:lang w:val="zh-CN"/>
        </w:rPr>
        <w:t>评标委员会</w:t>
      </w:r>
      <w:r>
        <w:rPr>
          <w:rFonts w:hint="eastAsia" w:ascii="宋体" w:hAnsi="宋体" w:eastAsia="宋体" w:cs="宋体"/>
          <w:color w:val="auto"/>
          <w:szCs w:val="24"/>
          <w:highlight w:val="none"/>
          <w:lang w:val="zh-CN"/>
        </w:rPr>
        <w:t>根据评审结果编写评标报告。</w:t>
      </w:r>
    </w:p>
    <w:p w14:paraId="3AD0D4E2">
      <w:pPr>
        <w:autoSpaceDE w:val="0"/>
        <w:autoSpaceDN w:val="0"/>
        <w:adjustRightInd w:val="0"/>
        <w:spacing w:line="360" w:lineRule="auto"/>
        <w:ind w:left="525" w:hanging="525" w:hangingChars="250"/>
        <w:jc w:val="left"/>
        <w:outlineLvl w:val="9"/>
        <w:rPr>
          <w:rFonts w:hint="eastAsia" w:ascii="宋体" w:hAnsi="宋体" w:eastAsia="宋体" w:cs="宋体"/>
          <w:color w:val="auto"/>
          <w:szCs w:val="24"/>
          <w:highlight w:val="none"/>
          <w:lang w:val="zh-CN"/>
        </w:rPr>
      </w:pPr>
    </w:p>
    <w:p w14:paraId="36056328">
      <w:pPr>
        <w:tabs>
          <w:tab w:val="left" w:pos="1140"/>
        </w:tabs>
        <w:autoSpaceDE w:val="0"/>
        <w:autoSpaceDN w:val="0"/>
        <w:adjustRightInd w:val="0"/>
        <w:spacing w:line="360" w:lineRule="auto"/>
        <w:jc w:val="center"/>
        <w:outlineLvl w:val="9"/>
        <w:rPr>
          <w:rFonts w:hint="eastAsia" w:ascii="宋体" w:hAnsi="宋体" w:eastAsia="宋体" w:cs="宋体"/>
          <w:b/>
          <w:bCs/>
          <w:color w:val="auto"/>
          <w:sz w:val="28"/>
          <w:szCs w:val="28"/>
          <w:highlight w:val="none"/>
        </w:rPr>
      </w:pPr>
      <w:bookmarkStart w:id="969" w:name="_Toc19435_WPSOffice_Level1"/>
      <w:r>
        <w:rPr>
          <w:rFonts w:hint="eastAsia" w:ascii="宋体" w:hAnsi="宋体" w:eastAsia="宋体" w:cs="宋体"/>
          <w:b/>
          <w:bCs/>
          <w:color w:val="auto"/>
          <w:sz w:val="28"/>
          <w:szCs w:val="28"/>
          <w:highlight w:val="none"/>
          <w:lang w:val="zh-CN"/>
        </w:rPr>
        <w:t>二、投标文件的初审</w:t>
      </w:r>
      <w:bookmarkEnd w:id="969"/>
    </w:p>
    <w:p w14:paraId="080B3118">
      <w:pPr>
        <w:autoSpaceDE w:val="0"/>
        <w:autoSpaceDN w:val="0"/>
        <w:adjustRightInd w:val="0"/>
        <w:spacing w:line="360" w:lineRule="auto"/>
        <w:outlineLvl w:val="9"/>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14:paraId="41C4345A">
      <w:pPr>
        <w:autoSpaceDE w:val="0"/>
        <w:autoSpaceDN w:val="0"/>
        <w:adjustRightInd w:val="0"/>
        <w:spacing w:line="360" w:lineRule="auto"/>
        <w:ind w:left="529" w:hanging="529" w:hangingChars="252"/>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064F087B">
      <w:pPr>
        <w:autoSpaceDE w:val="0"/>
        <w:autoSpaceDN w:val="0"/>
        <w:adjustRightInd w:val="0"/>
        <w:spacing w:line="360" w:lineRule="auto"/>
        <w:ind w:left="529" w:hanging="529" w:hangingChars="252"/>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75C06B9C">
      <w:pPr>
        <w:autoSpaceDE w:val="0"/>
        <w:autoSpaceDN w:val="0"/>
        <w:adjustRightInd w:val="0"/>
        <w:spacing w:line="360" w:lineRule="auto"/>
        <w:ind w:left="420" w:leftChars="200" w:firstLine="420" w:firstLineChars="2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14:paraId="17039B1F">
      <w:pPr>
        <w:autoSpaceDE w:val="0"/>
        <w:autoSpaceDN w:val="0"/>
        <w:adjustRightInd w:val="0"/>
        <w:spacing w:line="360" w:lineRule="auto"/>
        <w:ind w:firstLine="840" w:firstLineChars="4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5C08A3AD">
      <w:pPr>
        <w:autoSpaceDE w:val="0"/>
        <w:autoSpaceDN w:val="0"/>
        <w:adjustRightInd w:val="0"/>
        <w:spacing w:line="360" w:lineRule="auto"/>
        <w:ind w:left="420" w:leftChars="200" w:firstLine="422" w:firstLineChars="200"/>
        <w:outlineLvl w:val="9"/>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u w:val="singl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u w:val="single"/>
          <w:lang w:val="en-US" w:eastAsia="zh-CN"/>
        </w:rPr>
        <w:t>从</w:t>
      </w:r>
      <w:r>
        <w:rPr>
          <w:rFonts w:hint="eastAsia" w:ascii="宋体" w:hAnsi="宋体" w:eastAsia="宋体" w:cs="宋体"/>
          <w:b/>
          <w:color w:val="auto"/>
          <w:szCs w:val="24"/>
          <w:highlight w:val="none"/>
          <w:u w:val="single"/>
          <w:lang w:val="zh-CN"/>
        </w:rPr>
        <w:t>多数的原则，获多数表决通过的投标人才有资格进入下一阶段的评审,否则将被认定为无效投标文件</w:t>
      </w:r>
      <w:r>
        <w:rPr>
          <w:rFonts w:hint="eastAsia" w:ascii="宋体" w:hAnsi="宋体" w:eastAsia="宋体" w:cs="宋体"/>
          <w:b/>
          <w:color w:val="auto"/>
          <w:szCs w:val="24"/>
          <w:highlight w:val="none"/>
          <w:lang w:val="zh-CN"/>
        </w:rPr>
        <w:t>。</w:t>
      </w:r>
    </w:p>
    <w:p w14:paraId="108683A4">
      <w:pPr>
        <w:autoSpaceDE w:val="0"/>
        <w:autoSpaceDN w:val="0"/>
        <w:adjustRightInd w:val="0"/>
        <w:spacing w:line="360" w:lineRule="auto"/>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14:paraId="63335B62">
      <w:pPr>
        <w:autoSpaceDE w:val="0"/>
        <w:autoSpaceDN w:val="0"/>
        <w:adjustRightInd w:val="0"/>
        <w:spacing w:line="360" w:lineRule="auto"/>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 xml:space="preserve">7.1  </w:t>
      </w:r>
      <w:r>
        <w:rPr>
          <w:rFonts w:hint="eastAsia" w:ascii="宋体" w:hAnsi="宋体" w:eastAsia="宋体" w:cs="宋体"/>
          <w:b/>
          <w:bCs/>
          <w:color w:val="auto"/>
          <w:kern w:val="0"/>
          <w:szCs w:val="21"/>
          <w:highlight w:val="none"/>
          <w:u w:val="single"/>
        </w:rPr>
        <w:t>投标人未按招标文件要求交纳投标保证金的</w:t>
      </w:r>
      <w:r>
        <w:rPr>
          <w:rFonts w:hint="eastAsia" w:ascii="宋体" w:hAnsi="宋体" w:eastAsia="宋体" w:cs="宋体"/>
          <w:b/>
          <w:bCs/>
          <w:color w:val="auto"/>
          <w:kern w:val="0"/>
          <w:szCs w:val="21"/>
          <w:highlight w:val="none"/>
        </w:rPr>
        <w:t>；</w:t>
      </w:r>
    </w:p>
    <w:p w14:paraId="5BCB3D8F">
      <w:pPr>
        <w:tabs>
          <w:tab w:val="left" w:pos="567"/>
        </w:tabs>
        <w:spacing w:line="360" w:lineRule="auto"/>
        <w:ind w:left="632" w:hanging="632" w:hangingChars="30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hAnsi="宋体" w:eastAsia="宋体" w:cs="宋体"/>
          <w:b/>
          <w:color w:val="auto"/>
          <w:kern w:val="0"/>
          <w:szCs w:val="21"/>
          <w:highlight w:val="none"/>
          <w:u w:val="single"/>
        </w:rPr>
        <w:t>投标</w:t>
      </w:r>
      <w:r>
        <w:rPr>
          <w:rFonts w:hint="eastAsia" w:ascii="宋体" w:hAnsi="宋体" w:eastAsia="宋体" w:cs="宋体"/>
          <w:b/>
          <w:color w:val="auto"/>
          <w:kern w:val="0"/>
          <w:szCs w:val="21"/>
          <w:highlight w:val="none"/>
          <w:u w:val="single"/>
          <w:lang w:val="en-US" w:eastAsia="zh-CN"/>
        </w:rPr>
        <w:t>报价响应表未按照招标</w:t>
      </w:r>
      <w:r>
        <w:rPr>
          <w:rFonts w:hint="eastAsia" w:ascii="宋体" w:hAnsi="宋体" w:eastAsia="宋体" w:cs="宋体"/>
          <w:b/>
          <w:color w:val="auto"/>
          <w:kern w:val="0"/>
          <w:szCs w:val="21"/>
          <w:highlight w:val="none"/>
          <w:u w:val="single"/>
        </w:rPr>
        <w:t>文件</w:t>
      </w:r>
      <w:r>
        <w:rPr>
          <w:rFonts w:hint="eastAsia" w:ascii="宋体" w:hAnsi="宋体" w:eastAsia="宋体" w:cs="宋体"/>
          <w:b/>
          <w:color w:val="auto"/>
          <w:kern w:val="0"/>
          <w:szCs w:val="21"/>
          <w:highlight w:val="none"/>
          <w:u w:val="single"/>
          <w:lang w:val="en-US" w:eastAsia="zh-CN"/>
        </w:rPr>
        <w:t>要求填写</w:t>
      </w:r>
      <w:r>
        <w:rPr>
          <w:rFonts w:hint="eastAsia" w:ascii="宋体" w:hAnsi="宋体" w:eastAsia="宋体" w:cs="宋体"/>
          <w:b/>
          <w:color w:val="auto"/>
          <w:kern w:val="0"/>
          <w:szCs w:val="21"/>
          <w:highlight w:val="none"/>
          <w:u w:val="single"/>
        </w:rPr>
        <w:t>的</w:t>
      </w:r>
      <w:r>
        <w:rPr>
          <w:rFonts w:hint="eastAsia" w:ascii="宋体" w:hAnsi="宋体" w:eastAsia="宋体" w:cs="宋体"/>
          <w:b/>
          <w:bCs/>
          <w:color w:val="auto"/>
          <w:kern w:val="0"/>
          <w:szCs w:val="21"/>
          <w:highlight w:val="none"/>
        </w:rPr>
        <w:t>；</w:t>
      </w:r>
    </w:p>
    <w:p w14:paraId="580E8D84">
      <w:pPr>
        <w:tabs>
          <w:tab w:val="left" w:pos="567"/>
        </w:tabs>
        <w:spacing w:line="360" w:lineRule="auto"/>
        <w:ind w:left="632" w:hanging="632" w:hangingChars="300"/>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w:t>
      </w:r>
      <w:r>
        <w:rPr>
          <w:rFonts w:hint="eastAsia" w:ascii="宋体" w:hAnsi="宋体" w:eastAsia="宋体" w:cs="宋体"/>
          <w:b/>
          <w:color w:val="auto"/>
          <w:kern w:val="0"/>
          <w:szCs w:val="21"/>
          <w:highlight w:val="none"/>
          <w:lang w:val="en-US" w:eastAsia="zh-CN"/>
        </w:rPr>
        <w:t>3</w:t>
      </w:r>
      <w:r>
        <w:rPr>
          <w:rFonts w:hint="eastAsia" w:ascii="宋体" w:hAnsi="宋体" w:eastAsia="宋体" w:cs="宋体"/>
          <w:b/>
          <w:color w:val="auto"/>
          <w:kern w:val="0"/>
          <w:szCs w:val="21"/>
          <w:highlight w:val="none"/>
        </w:rPr>
        <w:t xml:space="preserve">  </w:t>
      </w:r>
      <w:r>
        <w:rPr>
          <w:rFonts w:hint="eastAsia" w:ascii="宋体" w:hAnsi="宋体" w:eastAsia="宋体" w:cs="宋体"/>
          <w:b/>
          <w:color w:val="auto"/>
          <w:kern w:val="0"/>
          <w:szCs w:val="21"/>
          <w:highlight w:val="none"/>
          <w:u w:val="single"/>
        </w:rPr>
        <w:t>投标人递交两份或多份内容不同的投标文件，且未书面声明哪一个有效</w:t>
      </w:r>
      <w:r>
        <w:rPr>
          <w:rFonts w:hint="eastAsia" w:ascii="宋体" w:hAnsi="宋体" w:eastAsia="宋体" w:cs="宋体"/>
          <w:b/>
          <w:color w:val="auto"/>
          <w:kern w:val="0"/>
          <w:szCs w:val="21"/>
          <w:highlight w:val="none"/>
        </w:rPr>
        <w:t>；</w:t>
      </w:r>
    </w:p>
    <w:p w14:paraId="08173BFD">
      <w:pPr>
        <w:tabs>
          <w:tab w:val="left" w:pos="567"/>
        </w:tabs>
        <w:spacing w:line="360" w:lineRule="auto"/>
        <w:ind w:left="527" w:hanging="527" w:hangingChars="25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xml:space="preserve">  </w:t>
      </w:r>
      <w:r>
        <w:rPr>
          <w:rFonts w:hint="eastAsia" w:ascii="宋体" w:hAnsi="宋体" w:eastAsia="宋体" w:cs="宋体"/>
          <w:b/>
          <w:color w:val="auto"/>
          <w:kern w:val="0"/>
          <w:szCs w:val="21"/>
          <w:highlight w:val="none"/>
          <w:u w:val="singl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u w:val="single"/>
          <w:lang w:val="en-US" w:eastAsia="zh-CN"/>
        </w:rPr>
        <w:t>政府采购</w:t>
      </w:r>
      <w:r>
        <w:rPr>
          <w:rFonts w:hint="eastAsia" w:ascii="宋体" w:hAnsi="宋体" w:eastAsia="宋体" w:cs="宋体"/>
          <w:b/>
          <w:color w:val="auto"/>
          <w:kern w:val="0"/>
          <w:szCs w:val="21"/>
          <w:highlight w:val="none"/>
          <w:u w:val="single"/>
        </w:rPr>
        <w:t>严重违法失信行为记录名单（处罚期限届满的除外）]</w:t>
      </w:r>
      <w:r>
        <w:rPr>
          <w:rFonts w:hint="eastAsia" w:ascii="宋体" w:hAnsi="宋体" w:eastAsia="宋体" w:cs="宋体"/>
          <w:b/>
          <w:color w:val="auto"/>
          <w:kern w:val="0"/>
          <w:szCs w:val="21"/>
          <w:highlight w:val="none"/>
        </w:rPr>
        <w:t>；</w:t>
      </w:r>
    </w:p>
    <w:p w14:paraId="5B979B43">
      <w:pPr>
        <w:spacing w:line="360" w:lineRule="auto"/>
        <w:ind w:left="527" w:hanging="527" w:hangingChars="25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5</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u w:val="single"/>
        </w:rPr>
        <w:t>投标文件未按照招标文件规定要求密封；投标文件无法定代表人或其授权代表签字（或盖私章），或签字人无法定代表人有效授权的；签字盖章不符合招标文件要求的</w:t>
      </w:r>
      <w:r>
        <w:rPr>
          <w:rFonts w:hint="eastAsia" w:ascii="宋体" w:hAnsi="宋体" w:eastAsia="宋体" w:cs="宋体"/>
          <w:b/>
          <w:bCs/>
          <w:color w:val="auto"/>
          <w:kern w:val="0"/>
          <w:szCs w:val="21"/>
          <w:highlight w:val="none"/>
        </w:rPr>
        <w:t xml:space="preserve">； </w:t>
      </w:r>
    </w:p>
    <w:p w14:paraId="04522A34">
      <w:pPr>
        <w:spacing w:line="360" w:lineRule="auto"/>
        <w:ind w:left="527" w:hanging="527" w:hangingChars="25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u w:val="single"/>
        </w:rPr>
        <w:t>投标有效期限不符合要求</w:t>
      </w:r>
      <w:r>
        <w:rPr>
          <w:rFonts w:hint="eastAsia" w:ascii="宋体" w:hAnsi="宋体" w:eastAsia="宋体" w:cs="宋体"/>
          <w:b/>
          <w:bCs/>
          <w:color w:val="auto"/>
          <w:kern w:val="0"/>
          <w:szCs w:val="21"/>
          <w:highlight w:val="none"/>
        </w:rPr>
        <w:t>；</w:t>
      </w:r>
    </w:p>
    <w:p w14:paraId="79DBBF08">
      <w:pPr>
        <w:spacing w:line="360" w:lineRule="auto"/>
        <w:ind w:left="527" w:hanging="527" w:hangingChars="25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u w:val="single"/>
        </w:rPr>
        <w:t>投标文件未对招标范围内的全部内容进行投标报价</w:t>
      </w:r>
      <w:r>
        <w:rPr>
          <w:rFonts w:hint="eastAsia" w:ascii="宋体" w:hAnsi="宋体" w:eastAsia="宋体" w:cs="宋体"/>
          <w:b/>
          <w:color w:val="auto"/>
          <w:kern w:val="0"/>
          <w:szCs w:val="21"/>
          <w:highlight w:val="none"/>
          <w:u w:val="single"/>
        </w:rPr>
        <w:t>或投标方案不是唯一</w:t>
      </w:r>
      <w:r>
        <w:rPr>
          <w:rFonts w:hint="eastAsia" w:ascii="宋体" w:hAnsi="宋体" w:eastAsia="宋体" w:cs="宋体"/>
          <w:b/>
          <w:bCs/>
          <w:color w:val="auto"/>
          <w:kern w:val="0"/>
          <w:szCs w:val="21"/>
          <w:highlight w:val="none"/>
        </w:rPr>
        <w:t>；</w:t>
      </w:r>
    </w:p>
    <w:p w14:paraId="0B4E6237">
      <w:pPr>
        <w:spacing w:line="360" w:lineRule="auto"/>
        <w:ind w:left="413" w:hanging="413" w:hangingChars="196"/>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w:t>
      </w:r>
      <w:r>
        <w:rPr>
          <w:rFonts w:hint="eastAsia" w:ascii="宋体" w:hAnsi="宋体" w:eastAsia="宋体" w:cs="宋体"/>
          <w:b/>
          <w:color w:val="auto"/>
          <w:kern w:val="0"/>
          <w:szCs w:val="21"/>
          <w:highlight w:val="none"/>
          <w:lang w:val="en-US" w:eastAsia="zh-CN"/>
        </w:rPr>
        <w:t>8</w:t>
      </w:r>
      <w:r>
        <w:rPr>
          <w:rFonts w:hint="eastAsia" w:ascii="宋体" w:hAnsi="宋体" w:eastAsia="宋体" w:cs="宋体"/>
          <w:b/>
          <w:color w:val="auto"/>
          <w:kern w:val="0"/>
          <w:szCs w:val="21"/>
          <w:highlight w:val="none"/>
        </w:rPr>
        <w:t xml:space="preserve">  </w:t>
      </w:r>
      <w:r>
        <w:rPr>
          <w:rFonts w:hint="eastAsia" w:ascii="宋体" w:hAnsi="宋体" w:eastAsia="宋体" w:cs="宋体"/>
          <w:b/>
          <w:color w:val="auto"/>
          <w:kern w:val="0"/>
          <w:szCs w:val="21"/>
          <w:highlight w:val="none"/>
          <w:u w:val="single"/>
        </w:rPr>
        <w:t>未提供或虚假填写《合同条款偏离表》，或对《合同条款偏离表》有负偏离的</w:t>
      </w:r>
      <w:r>
        <w:rPr>
          <w:rFonts w:hint="eastAsia" w:ascii="宋体" w:hAnsi="宋体" w:eastAsia="宋体" w:cs="宋体"/>
          <w:b/>
          <w:color w:val="auto"/>
          <w:kern w:val="0"/>
          <w:szCs w:val="21"/>
          <w:highlight w:val="none"/>
        </w:rPr>
        <w:t>；</w:t>
      </w:r>
    </w:p>
    <w:p w14:paraId="6207176B">
      <w:pPr>
        <w:spacing w:line="360" w:lineRule="auto"/>
        <w:ind w:left="413" w:hanging="413" w:hangingChars="196"/>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w:t>
      </w:r>
      <w:r>
        <w:rPr>
          <w:rFonts w:hint="eastAsia" w:ascii="宋体" w:hAnsi="宋体" w:eastAsia="宋体" w:cs="宋体"/>
          <w:b/>
          <w:color w:val="auto"/>
          <w:kern w:val="0"/>
          <w:szCs w:val="21"/>
          <w:highlight w:val="none"/>
          <w:lang w:val="en-US" w:eastAsia="zh-CN"/>
        </w:rPr>
        <w:t>9</w:t>
      </w:r>
      <w:r>
        <w:rPr>
          <w:rFonts w:hint="eastAsia" w:ascii="宋体" w:hAnsi="宋体" w:eastAsia="宋体" w:cs="宋体"/>
          <w:b/>
          <w:color w:val="auto"/>
          <w:kern w:val="0"/>
          <w:szCs w:val="21"/>
          <w:highlight w:val="none"/>
        </w:rPr>
        <w:t xml:space="preserve">  </w:t>
      </w:r>
      <w:r>
        <w:rPr>
          <w:rFonts w:hint="eastAsia" w:ascii="宋体" w:hAnsi="宋体" w:eastAsia="宋体" w:cs="宋体"/>
          <w:b/>
          <w:color w:val="auto"/>
          <w:kern w:val="0"/>
          <w:szCs w:val="21"/>
          <w:highlight w:val="none"/>
          <w:u w:val="single"/>
        </w:rPr>
        <w:t>未填写或虚假填写《用户需求偏离表》的</w:t>
      </w:r>
      <w:r>
        <w:rPr>
          <w:rFonts w:hint="eastAsia" w:ascii="宋体" w:hAnsi="宋体" w:eastAsia="宋体" w:cs="宋体"/>
          <w:b/>
          <w:color w:val="auto"/>
          <w:kern w:val="0"/>
          <w:szCs w:val="21"/>
          <w:highlight w:val="none"/>
        </w:rPr>
        <w:t>；</w:t>
      </w:r>
    </w:p>
    <w:p w14:paraId="4F96273F">
      <w:pPr>
        <w:spacing w:line="360" w:lineRule="auto"/>
        <w:ind w:left="413" w:hanging="413" w:hangingChars="196"/>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7.1</w:t>
      </w:r>
      <w:r>
        <w:rPr>
          <w:rFonts w:hint="eastAsia" w:ascii="宋体" w:hAnsi="宋体" w:eastAsia="宋体" w:cs="宋体"/>
          <w:b/>
          <w:color w:val="auto"/>
          <w:kern w:val="0"/>
          <w:szCs w:val="21"/>
          <w:highlight w:val="none"/>
          <w:lang w:val="en-US" w:eastAsia="zh-CN"/>
        </w:rPr>
        <w:t>0</w:t>
      </w:r>
      <w:r>
        <w:rPr>
          <w:rFonts w:hint="eastAsia" w:ascii="宋体" w:hAnsi="宋体" w:eastAsia="宋体" w:cs="宋体"/>
          <w:b/>
          <w:color w:val="auto"/>
          <w:kern w:val="0"/>
          <w:szCs w:val="21"/>
          <w:highlight w:val="none"/>
        </w:rPr>
        <w:t xml:space="preserve"> </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color w:val="auto"/>
          <w:kern w:val="0"/>
          <w:szCs w:val="21"/>
          <w:highlight w:val="none"/>
          <w:u w:val="single"/>
        </w:rPr>
        <w:t>未响应招标文件提出的实质性要求和条件（标注★的条款）</w:t>
      </w:r>
      <w:r>
        <w:rPr>
          <w:rFonts w:hint="eastAsia" w:ascii="宋体" w:hAnsi="宋体" w:eastAsia="宋体" w:cs="宋体"/>
          <w:b/>
          <w:color w:val="auto"/>
          <w:kern w:val="0"/>
          <w:szCs w:val="21"/>
          <w:highlight w:val="none"/>
        </w:rPr>
        <w:t>。</w:t>
      </w:r>
    </w:p>
    <w:p w14:paraId="4A43FFA4">
      <w:pPr>
        <w:autoSpaceDE w:val="0"/>
        <w:autoSpaceDN w:val="0"/>
        <w:adjustRightInd w:val="0"/>
        <w:spacing w:line="360" w:lineRule="auto"/>
        <w:ind w:left="315" w:hanging="315" w:hangingChars="150"/>
        <w:outlineLvl w:val="9"/>
        <w:rPr>
          <w:rFonts w:hint="eastAsia"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46C7972E">
      <w:pPr>
        <w:spacing w:line="360" w:lineRule="auto"/>
        <w:ind w:left="480"/>
        <w:outlineLvl w:val="9"/>
        <w:rPr>
          <w:rFonts w:hint="eastAsia" w:ascii="宋体" w:hAnsi="宋体" w:eastAsia="宋体" w:cs="宋体"/>
          <w:b/>
          <w:color w:val="auto"/>
          <w:kern w:val="0"/>
          <w:szCs w:val="21"/>
          <w:highlight w:val="none"/>
        </w:rPr>
      </w:pPr>
    </w:p>
    <w:p w14:paraId="654E9294">
      <w:pPr>
        <w:tabs>
          <w:tab w:val="left" w:pos="1140"/>
        </w:tabs>
        <w:autoSpaceDE w:val="0"/>
        <w:autoSpaceDN w:val="0"/>
        <w:adjustRightInd w:val="0"/>
        <w:spacing w:line="360" w:lineRule="auto"/>
        <w:ind w:firstLine="3528" w:firstLineChars="1255"/>
        <w:jc w:val="left"/>
        <w:outlineLvl w:val="9"/>
        <w:rPr>
          <w:rFonts w:hint="eastAsia" w:ascii="宋体" w:hAnsi="宋体" w:eastAsia="宋体" w:cs="宋体"/>
          <w:b/>
          <w:bCs/>
          <w:color w:val="auto"/>
          <w:sz w:val="28"/>
          <w:szCs w:val="28"/>
          <w:highlight w:val="none"/>
        </w:rPr>
      </w:pPr>
      <w:bookmarkStart w:id="970" w:name="_Toc4109_WPSOffice_Level1"/>
      <w:r>
        <w:rPr>
          <w:rFonts w:hint="eastAsia" w:ascii="宋体" w:hAnsi="宋体" w:eastAsia="宋体" w:cs="宋体"/>
          <w:b/>
          <w:bCs/>
          <w:color w:val="auto"/>
          <w:sz w:val="28"/>
          <w:szCs w:val="28"/>
          <w:highlight w:val="none"/>
          <w:lang w:val="zh-CN"/>
        </w:rPr>
        <w:t>三、澄清有关问题</w:t>
      </w:r>
      <w:bookmarkEnd w:id="970"/>
    </w:p>
    <w:p w14:paraId="27CFC580">
      <w:pPr>
        <w:autoSpaceDE w:val="0"/>
        <w:autoSpaceDN w:val="0"/>
        <w:adjustRightInd w:val="0"/>
        <w:spacing w:line="360" w:lineRule="auto"/>
        <w:ind w:left="315" w:hanging="315" w:hangingChars="150"/>
        <w:outlineLvl w:val="9"/>
        <w:rPr>
          <w:rFonts w:hint="eastAsia"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14:paraId="53F61C6F">
      <w:pPr>
        <w:autoSpaceDE w:val="0"/>
        <w:autoSpaceDN w:val="0"/>
        <w:adjustRightInd w:val="0"/>
        <w:spacing w:line="360" w:lineRule="auto"/>
        <w:ind w:left="529" w:hanging="529" w:hangingChars="252"/>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51F3B002">
      <w:pPr>
        <w:autoSpaceDE w:val="0"/>
        <w:autoSpaceDN w:val="0"/>
        <w:adjustRightInd w:val="0"/>
        <w:spacing w:line="360" w:lineRule="auto"/>
        <w:ind w:left="529" w:hanging="529" w:hangingChars="252"/>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48E374C0">
      <w:pPr>
        <w:autoSpaceDE w:val="0"/>
        <w:autoSpaceDN w:val="0"/>
        <w:adjustRightInd w:val="0"/>
        <w:spacing w:line="360" w:lineRule="auto"/>
        <w:ind w:left="529" w:right="18" w:hanging="529" w:hangingChars="252"/>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7C3F40BC">
      <w:pPr>
        <w:autoSpaceDE w:val="0"/>
        <w:autoSpaceDN w:val="0"/>
        <w:adjustRightInd w:val="0"/>
        <w:spacing w:line="360" w:lineRule="auto"/>
        <w:jc w:val="center"/>
        <w:outlineLvl w:val="9"/>
        <w:rPr>
          <w:rFonts w:hint="eastAsia" w:ascii="宋体" w:hAnsi="宋体" w:eastAsia="宋体" w:cs="宋体"/>
          <w:b/>
          <w:bCs/>
          <w:color w:val="auto"/>
          <w:sz w:val="28"/>
          <w:szCs w:val="28"/>
          <w:highlight w:val="none"/>
          <w:lang w:val="zh-CN"/>
        </w:rPr>
      </w:pPr>
      <w:bookmarkStart w:id="971" w:name="_Toc8518_WPSOffice_Level1"/>
    </w:p>
    <w:p w14:paraId="0562EC30">
      <w:pPr>
        <w:autoSpaceDE w:val="0"/>
        <w:autoSpaceDN w:val="0"/>
        <w:adjustRightInd w:val="0"/>
        <w:spacing w:line="360" w:lineRule="auto"/>
        <w:jc w:val="center"/>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971"/>
    </w:p>
    <w:p w14:paraId="61F04AD2">
      <w:pPr>
        <w:autoSpaceDE w:val="0"/>
        <w:autoSpaceDN w:val="0"/>
        <w:adjustRightInd w:val="0"/>
        <w:spacing w:line="360" w:lineRule="auto"/>
        <w:ind w:left="422" w:leftChars="1" w:hanging="420" w:hangingChars="200"/>
        <w:outlineLvl w:val="9"/>
        <w:rPr>
          <w:rFonts w:hint="eastAsia"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等内容进行打分。</w:t>
      </w:r>
    </w:p>
    <w:p w14:paraId="1AD28321">
      <w:pPr>
        <w:autoSpaceDE w:val="0"/>
        <w:autoSpaceDN w:val="0"/>
        <w:adjustRightInd w:val="0"/>
        <w:spacing w:line="360" w:lineRule="auto"/>
        <w:ind w:left="422" w:leftChars="1" w:hanging="420" w:hangingChars="200"/>
        <w:outlineLvl w:val="9"/>
        <w:rPr>
          <w:rFonts w:hint="eastAsia" w:ascii="宋体" w:hAnsi="宋体" w:eastAsia="宋体" w:cs="宋体"/>
          <w:color w:val="auto"/>
          <w:szCs w:val="24"/>
          <w:highlight w:val="none"/>
          <w:lang w:val="zh-CN"/>
        </w:rPr>
      </w:pPr>
    </w:p>
    <w:p w14:paraId="4389AAFA">
      <w:pPr>
        <w:tabs>
          <w:tab w:val="left" w:pos="1701"/>
        </w:tabs>
        <w:autoSpaceDE w:val="0"/>
        <w:autoSpaceDN w:val="0"/>
        <w:adjustRightInd w:val="0"/>
        <w:spacing w:line="360" w:lineRule="auto"/>
        <w:outlineLvl w:val="9"/>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14:paraId="61BAA5F1">
      <w:pPr>
        <w:autoSpaceDE w:val="0"/>
        <w:autoSpaceDN w:val="0"/>
        <w:adjustRightInd w:val="0"/>
        <w:spacing w:line="360" w:lineRule="auto"/>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11.1 参加评分的评委应尽力体现客观、实事求是，避免学派偏见和个人偏好。</w:t>
      </w:r>
    </w:p>
    <w:p w14:paraId="50131678">
      <w:pPr>
        <w:autoSpaceDE w:val="0"/>
        <w:autoSpaceDN w:val="0"/>
        <w:adjustRightInd w:val="0"/>
        <w:spacing w:line="360" w:lineRule="auto"/>
        <w:ind w:left="565" w:leftChars="-1" w:hanging="567" w:hangingChars="27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11.2 衡量、对比的依据，应以招标文件、投标文件、提供的正式试验数据、开标澄清中的文字为准，口头回答和收集的资料只作为参考。</w:t>
      </w:r>
    </w:p>
    <w:p w14:paraId="68F6985A">
      <w:pPr>
        <w:autoSpaceDE w:val="0"/>
        <w:autoSpaceDN w:val="0"/>
        <w:adjustRightInd w:val="0"/>
        <w:spacing w:line="360" w:lineRule="auto"/>
        <w:ind w:left="565" w:leftChars="-1" w:hanging="567" w:hangingChars="270"/>
        <w:outlineLvl w:val="9"/>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lang w:val="zh-CN"/>
        </w:rPr>
        <w:t>11.3 评分主要是为比较各投标人的商务</w:t>
      </w:r>
      <w:r>
        <w:rPr>
          <w:rFonts w:hint="eastAsia" w:ascii="宋体" w:hAnsi="宋体" w:eastAsia="宋体" w:cs="宋体"/>
          <w:color w:val="auto"/>
          <w:szCs w:val="24"/>
          <w:highlight w:val="none"/>
          <w:lang w:val="en-US" w:eastAsia="zh-CN"/>
        </w:rPr>
        <w:t>和</w:t>
      </w:r>
      <w:r>
        <w:rPr>
          <w:rFonts w:hint="eastAsia" w:ascii="宋体" w:hAnsi="宋体" w:eastAsia="宋体" w:cs="宋体"/>
          <w:color w:val="auto"/>
          <w:szCs w:val="24"/>
          <w:highlight w:val="none"/>
          <w:lang w:val="zh-CN"/>
        </w:rPr>
        <w:t>技术综合排序。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w:t>
      </w:r>
      <w:r>
        <w:rPr>
          <w:rFonts w:hint="eastAsia" w:ascii="宋体" w:hAnsi="宋体" w:eastAsia="宋体" w:cs="宋体"/>
          <w:color w:val="auto"/>
          <w:kern w:val="0"/>
          <w:szCs w:val="21"/>
          <w:highlight w:val="none"/>
          <w:lang w:val="en-US" w:eastAsia="zh-CN"/>
        </w:rPr>
        <w:t>和</w:t>
      </w:r>
      <w:r>
        <w:rPr>
          <w:rFonts w:hint="eastAsia" w:ascii="宋体" w:hAnsi="宋体" w:eastAsia="宋体" w:cs="宋体"/>
          <w:color w:val="auto"/>
          <w:kern w:val="0"/>
          <w:szCs w:val="21"/>
          <w:highlight w:val="none"/>
        </w:rPr>
        <w:t>技术分别评分。</w:t>
      </w:r>
    </w:p>
    <w:p w14:paraId="5D089A20">
      <w:pPr>
        <w:autoSpaceDE w:val="0"/>
        <w:autoSpaceDN w:val="0"/>
        <w:adjustRightInd w:val="0"/>
        <w:spacing w:line="360" w:lineRule="auto"/>
        <w:ind w:left="565" w:leftChars="-1" w:hanging="567" w:hangingChars="27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14:paraId="78C115DA">
      <w:pPr>
        <w:autoSpaceDE w:val="0"/>
        <w:autoSpaceDN w:val="0"/>
        <w:adjustRightInd w:val="0"/>
        <w:spacing w:line="360" w:lineRule="auto"/>
        <w:ind w:left="565" w:leftChars="-1" w:hanging="567" w:hangingChars="27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14:paraId="0B28FE4E">
      <w:pPr>
        <w:tabs>
          <w:tab w:val="left" w:pos="600"/>
        </w:tabs>
        <w:autoSpaceDE w:val="0"/>
        <w:autoSpaceDN w:val="0"/>
        <w:adjustRightInd w:val="0"/>
        <w:spacing w:line="360" w:lineRule="auto"/>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11.4 评标委员会打分采取记名形式。</w:t>
      </w:r>
    </w:p>
    <w:p w14:paraId="6FCBC2C9">
      <w:pPr>
        <w:autoSpaceDE w:val="0"/>
        <w:autoSpaceDN w:val="0"/>
        <w:adjustRightInd w:val="0"/>
        <w:spacing w:line="360" w:lineRule="auto"/>
        <w:ind w:left="565" w:leftChars="-1" w:hanging="567" w:hangingChars="27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11.5 各评委根据秘书组提供的打分表严格按照评标大纲内的评分标准独立自主打分，任何人不得要求评委统一打分或统一确定等次顺序。</w:t>
      </w:r>
    </w:p>
    <w:p w14:paraId="31C7A59E">
      <w:pPr>
        <w:autoSpaceDE w:val="0"/>
        <w:autoSpaceDN w:val="0"/>
        <w:adjustRightInd w:val="0"/>
        <w:spacing w:line="360" w:lineRule="auto"/>
        <w:ind w:left="426" w:hanging="426"/>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11.6 对打分表中的每项条款，各评委应根据投标文件、澄清材料、招标文件要求，按满足的程度给投标人打分。</w:t>
      </w:r>
    </w:p>
    <w:p w14:paraId="1A6B1983">
      <w:pPr>
        <w:tabs>
          <w:tab w:val="left" w:pos="600"/>
        </w:tabs>
        <w:autoSpaceDE w:val="0"/>
        <w:autoSpaceDN w:val="0"/>
        <w:adjustRightInd w:val="0"/>
        <w:spacing w:line="360" w:lineRule="auto"/>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11.7 评分程序</w:t>
      </w:r>
    </w:p>
    <w:p w14:paraId="0CDA5B56">
      <w:pPr>
        <w:tabs>
          <w:tab w:val="left" w:pos="1134"/>
        </w:tabs>
        <w:autoSpaceDE w:val="0"/>
        <w:autoSpaceDN w:val="0"/>
        <w:adjustRightInd w:val="0"/>
        <w:spacing w:line="360" w:lineRule="auto"/>
        <w:ind w:left="565" w:leftChars="-1" w:hanging="567" w:hangingChars="27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（1）就投标人的投标文件对照整理出商务、技术评标因素对比表、偏差表，并在经过校核的基础上逐项打分。</w:t>
      </w:r>
    </w:p>
    <w:p w14:paraId="6D9A359E">
      <w:pPr>
        <w:tabs>
          <w:tab w:val="left" w:pos="1134"/>
        </w:tabs>
        <w:autoSpaceDE w:val="0"/>
        <w:autoSpaceDN w:val="0"/>
        <w:adjustRightInd w:val="0"/>
        <w:spacing w:line="360" w:lineRule="auto"/>
        <w:ind w:left="565" w:leftChars="-1" w:hanging="567" w:hangingChars="27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（2）各评委独立完成打分后，将统计好的评分表交给招标代理机构秘书组复核。</w:t>
      </w:r>
    </w:p>
    <w:p w14:paraId="70A7B284">
      <w:pPr>
        <w:tabs>
          <w:tab w:val="left" w:pos="1134"/>
        </w:tabs>
        <w:autoSpaceDE w:val="0"/>
        <w:autoSpaceDN w:val="0"/>
        <w:adjustRightInd w:val="0"/>
        <w:spacing w:line="360" w:lineRule="auto"/>
        <w:ind w:left="565" w:leftChars="-1" w:hanging="567" w:hangingChars="27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（3）评分统计表中各投标人技术得分应为最终综合得分，商务得分应为评委打分的算术平均值。</w:t>
      </w:r>
    </w:p>
    <w:p w14:paraId="52158583">
      <w:pPr>
        <w:autoSpaceDE w:val="0"/>
        <w:autoSpaceDN w:val="0"/>
        <w:adjustRightInd w:val="0"/>
        <w:spacing w:line="360" w:lineRule="auto"/>
        <w:outlineLvl w:val="9"/>
        <w:rPr>
          <w:rFonts w:hint="eastAsia" w:ascii="宋体" w:hAnsi="宋体" w:eastAsia="宋体" w:cs="宋体"/>
          <w:color w:val="auto"/>
          <w:szCs w:val="24"/>
          <w:highlight w:val="none"/>
          <w:lang w:val="zh-CN"/>
        </w:rPr>
      </w:pPr>
    </w:p>
    <w:p w14:paraId="5F1A381F">
      <w:pPr>
        <w:tabs>
          <w:tab w:val="left" w:pos="1701"/>
        </w:tabs>
        <w:autoSpaceDE w:val="0"/>
        <w:autoSpaceDN w:val="0"/>
        <w:adjustRightInd w:val="0"/>
        <w:spacing w:line="360" w:lineRule="auto"/>
        <w:outlineLvl w:val="9"/>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tbl>
      <w:tblPr>
        <w:tblStyle w:val="3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6"/>
        <w:gridCol w:w="5174"/>
      </w:tblGrid>
      <w:tr w14:paraId="55019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5" w:type="pct"/>
            <w:tcBorders>
              <w:top w:val="single" w:color="auto" w:sz="4" w:space="0"/>
              <w:left w:val="single" w:color="auto" w:sz="4" w:space="0"/>
              <w:bottom w:val="single" w:color="auto" w:sz="4" w:space="0"/>
              <w:right w:val="single" w:color="auto" w:sz="4" w:space="0"/>
            </w:tcBorders>
            <w:vAlign w:val="center"/>
          </w:tcPr>
          <w:p w14:paraId="0364653D">
            <w:pPr>
              <w:spacing w:line="400" w:lineRule="exact"/>
              <w:jc w:val="center"/>
              <w:outlineLvl w:val="9"/>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0C6E61A0">
            <w:pPr>
              <w:spacing w:line="400" w:lineRule="exact"/>
              <w:jc w:val="center"/>
              <w:outlineLvl w:val="9"/>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66334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5" w:type="pct"/>
            <w:tcBorders>
              <w:top w:val="single" w:color="auto" w:sz="4" w:space="0"/>
              <w:left w:val="single" w:color="auto" w:sz="4" w:space="0"/>
              <w:bottom w:val="single" w:color="auto" w:sz="4" w:space="0"/>
              <w:right w:val="single" w:color="auto" w:sz="4" w:space="0"/>
            </w:tcBorders>
            <w:vAlign w:val="center"/>
          </w:tcPr>
          <w:p w14:paraId="63D8B987">
            <w:pPr>
              <w:spacing w:line="400" w:lineRule="exact"/>
              <w:jc w:val="center"/>
              <w:outlineLvl w:val="9"/>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2494" w:type="pct"/>
            <w:tcBorders>
              <w:top w:val="single" w:color="auto" w:sz="4" w:space="0"/>
              <w:left w:val="single" w:color="auto" w:sz="4" w:space="0"/>
              <w:bottom w:val="single" w:color="auto" w:sz="4" w:space="0"/>
              <w:right w:val="single" w:color="auto" w:sz="4" w:space="0"/>
            </w:tcBorders>
            <w:vAlign w:val="center"/>
          </w:tcPr>
          <w:p w14:paraId="683719D3">
            <w:pPr>
              <w:autoSpaceDE w:val="0"/>
              <w:autoSpaceDN w:val="0"/>
              <w:adjustRightInd w:val="0"/>
              <w:spacing w:line="400" w:lineRule="exact"/>
              <w:jc w:val="center"/>
              <w:outlineLvl w:val="9"/>
              <w:rPr>
                <w:rFonts w:hint="eastAsia"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35</w:t>
            </w:r>
            <w:r>
              <w:rPr>
                <w:rFonts w:hint="eastAsia" w:ascii="宋体" w:hAnsi="宋体" w:eastAsia="宋体" w:cs="宋体"/>
                <w:b/>
                <w:color w:val="auto"/>
                <w:szCs w:val="21"/>
                <w:highlight w:val="none"/>
                <w:lang w:val="zh-CN"/>
              </w:rPr>
              <w:t>分</w:t>
            </w:r>
          </w:p>
        </w:tc>
      </w:tr>
      <w:tr w14:paraId="7544E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5" w:type="pct"/>
            <w:tcBorders>
              <w:top w:val="single" w:color="auto" w:sz="4" w:space="0"/>
              <w:left w:val="single" w:color="auto" w:sz="4" w:space="0"/>
              <w:bottom w:val="single" w:color="auto" w:sz="4" w:space="0"/>
              <w:right w:val="single" w:color="auto" w:sz="4" w:space="0"/>
            </w:tcBorders>
            <w:vAlign w:val="center"/>
          </w:tcPr>
          <w:p w14:paraId="2E40E82D">
            <w:pPr>
              <w:spacing w:line="400" w:lineRule="exact"/>
              <w:jc w:val="center"/>
              <w:outlineLvl w:val="9"/>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2494" w:type="pct"/>
            <w:tcBorders>
              <w:top w:val="single" w:color="auto" w:sz="4" w:space="0"/>
              <w:left w:val="single" w:color="auto" w:sz="4" w:space="0"/>
              <w:bottom w:val="single" w:color="auto" w:sz="4" w:space="0"/>
              <w:right w:val="single" w:color="auto" w:sz="4" w:space="0"/>
            </w:tcBorders>
            <w:vAlign w:val="center"/>
          </w:tcPr>
          <w:p w14:paraId="2A0EBF0D">
            <w:pPr>
              <w:autoSpaceDE w:val="0"/>
              <w:autoSpaceDN w:val="0"/>
              <w:adjustRightInd w:val="0"/>
              <w:spacing w:line="400" w:lineRule="exact"/>
              <w:jc w:val="center"/>
              <w:outlineLvl w:val="9"/>
              <w:rPr>
                <w:rFonts w:hint="eastAsia"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65</w:t>
            </w:r>
            <w:r>
              <w:rPr>
                <w:rFonts w:hint="eastAsia" w:ascii="宋体" w:hAnsi="宋体" w:eastAsia="宋体" w:cs="宋体"/>
                <w:b/>
                <w:color w:val="auto"/>
                <w:szCs w:val="21"/>
                <w:highlight w:val="none"/>
                <w:lang w:val="zh-CN"/>
              </w:rPr>
              <w:t>分</w:t>
            </w:r>
          </w:p>
        </w:tc>
      </w:tr>
    </w:tbl>
    <w:p w14:paraId="7AD968B0">
      <w:pPr>
        <w:tabs>
          <w:tab w:val="left" w:pos="585"/>
        </w:tabs>
        <w:autoSpaceDE w:val="0"/>
        <w:autoSpaceDN w:val="0"/>
        <w:adjustRightInd w:val="0"/>
        <w:spacing w:line="360" w:lineRule="auto"/>
        <w:outlineLvl w:val="9"/>
        <w:rPr>
          <w:rFonts w:hint="eastAsia" w:ascii="宋体" w:hAnsi="宋体" w:eastAsia="宋体" w:cs="宋体"/>
          <w:b/>
          <w:color w:val="auto"/>
          <w:szCs w:val="21"/>
          <w:highlight w:val="none"/>
        </w:rPr>
      </w:pPr>
      <w:bookmarkStart w:id="972" w:name="_Toc18349_WPSOffice_Level2"/>
    </w:p>
    <w:p w14:paraId="30C04AFF">
      <w:pPr>
        <w:tabs>
          <w:tab w:val="left" w:pos="585"/>
        </w:tabs>
        <w:autoSpaceDE w:val="0"/>
        <w:autoSpaceDN w:val="0"/>
        <w:adjustRightInd w:val="0"/>
        <w:spacing w:line="360" w:lineRule="auto"/>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35</w:t>
      </w:r>
      <w:r>
        <w:rPr>
          <w:rFonts w:hint="eastAsia" w:ascii="宋体" w:hAnsi="宋体" w:eastAsia="宋体" w:cs="宋体"/>
          <w:b/>
          <w:color w:val="auto"/>
          <w:szCs w:val="21"/>
          <w:highlight w:val="none"/>
          <w:lang w:val="zh-CN"/>
        </w:rPr>
        <w:t>分</w:t>
      </w:r>
      <w:bookmarkEnd w:id="972"/>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33"/>
        <w:gridCol w:w="7658"/>
        <w:gridCol w:w="907"/>
      </w:tblGrid>
      <w:tr w14:paraId="3FEC7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004A3BD2">
            <w:pPr>
              <w:autoSpaceDE w:val="0"/>
              <w:autoSpaceDN w:val="0"/>
              <w:adjustRightInd w:val="0"/>
              <w:spacing w:line="400" w:lineRule="exact"/>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center"/>
          </w:tcPr>
          <w:p w14:paraId="18F79B8E">
            <w:pPr>
              <w:autoSpaceDE w:val="0"/>
              <w:autoSpaceDN w:val="0"/>
              <w:adjustRightInd w:val="0"/>
              <w:spacing w:line="400" w:lineRule="exact"/>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1" w:type="pct"/>
            <w:tcBorders>
              <w:top w:val="single" w:color="auto" w:sz="4" w:space="0"/>
              <w:left w:val="single" w:color="auto" w:sz="4" w:space="0"/>
              <w:bottom w:val="single" w:color="auto" w:sz="4" w:space="0"/>
              <w:right w:val="single" w:color="auto" w:sz="4" w:space="0"/>
            </w:tcBorders>
            <w:vAlign w:val="center"/>
          </w:tcPr>
          <w:p w14:paraId="7782C96D">
            <w:pPr>
              <w:autoSpaceDE w:val="0"/>
              <w:autoSpaceDN w:val="0"/>
              <w:adjustRightInd w:val="0"/>
              <w:spacing w:line="400" w:lineRule="exact"/>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14:paraId="7C97A82D">
            <w:pPr>
              <w:autoSpaceDE w:val="0"/>
              <w:autoSpaceDN w:val="0"/>
              <w:adjustRightInd w:val="0"/>
              <w:spacing w:line="400" w:lineRule="exact"/>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45429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5A5B512D">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546" w:type="pct"/>
            <w:tcBorders>
              <w:top w:val="single" w:color="auto" w:sz="4" w:space="0"/>
              <w:left w:val="single" w:color="auto" w:sz="4" w:space="0"/>
              <w:bottom w:val="single" w:color="auto" w:sz="4" w:space="0"/>
              <w:right w:val="single" w:color="auto" w:sz="4" w:space="0"/>
            </w:tcBorders>
            <w:vAlign w:val="center"/>
          </w:tcPr>
          <w:p w14:paraId="1C5F1E00">
            <w:pPr>
              <w:snapToGrid w:val="0"/>
              <w:spacing w:line="360" w:lineRule="auto"/>
              <w:jc w:val="center"/>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财务状况</w:t>
            </w:r>
          </w:p>
        </w:tc>
        <w:tc>
          <w:tcPr>
            <w:tcW w:w="3691" w:type="pct"/>
            <w:tcBorders>
              <w:top w:val="single" w:color="auto" w:sz="4" w:space="0"/>
              <w:left w:val="single" w:color="auto" w:sz="4" w:space="0"/>
              <w:bottom w:val="single" w:color="auto" w:sz="4" w:space="0"/>
              <w:right w:val="single" w:color="auto" w:sz="4" w:space="0"/>
            </w:tcBorders>
            <w:vAlign w:val="center"/>
          </w:tcPr>
          <w:p w14:paraId="14B419D4">
            <w:pPr>
              <w:snapToGrid w:val="0"/>
              <w:spacing w:line="360" w:lineRule="auto"/>
              <w:jc w:val="both"/>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投标人</w:t>
            </w:r>
            <w:r>
              <w:rPr>
                <w:rFonts w:hint="eastAsia" w:ascii="宋体" w:hAnsi="宋体" w:eastAsia="宋体" w:cs="宋体"/>
                <w:color w:val="auto"/>
                <w:sz w:val="21"/>
                <w:szCs w:val="21"/>
                <w:highlight w:val="none"/>
                <w:lang w:val="zh-CN"/>
              </w:rPr>
              <w:t>202</w:t>
            </w:r>
            <w:r>
              <w:rPr>
                <w:rFonts w:hint="eastAsia" w:ascii="宋体" w:hAnsi="宋体" w:eastAsia="宋体" w:cs="宋体"/>
                <w:color w:val="auto"/>
                <w:sz w:val="21"/>
                <w:szCs w:val="21"/>
                <w:highlight w:val="none"/>
                <w:lang w:val="zh-CN" w:eastAsia="zh-CN"/>
              </w:rPr>
              <w:t>1</w:t>
            </w:r>
            <w:r>
              <w:rPr>
                <w:rFonts w:hint="eastAsia" w:ascii="宋体" w:hAnsi="宋体" w:eastAsia="宋体" w:cs="宋体"/>
                <w:color w:val="auto"/>
                <w:sz w:val="21"/>
                <w:szCs w:val="21"/>
                <w:highlight w:val="none"/>
                <w:lang w:val="zh-CN"/>
              </w:rPr>
              <w:t>年-202</w:t>
            </w:r>
            <w:r>
              <w:rPr>
                <w:rFonts w:hint="eastAsia" w:ascii="宋体" w:hAnsi="宋体" w:eastAsia="宋体" w:cs="宋体"/>
                <w:color w:val="auto"/>
                <w:sz w:val="21"/>
                <w:szCs w:val="21"/>
                <w:highlight w:val="none"/>
                <w:lang w:val="zh-CN" w:eastAsia="zh-CN"/>
              </w:rPr>
              <w:t>3</w:t>
            </w:r>
            <w:r>
              <w:rPr>
                <w:rFonts w:hint="eastAsia" w:ascii="宋体" w:hAnsi="宋体" w:eastAsia="宋体" w:cs="宋体"/>
                <w:color w:val="auto"/>
                <w:sz w:val="21"/>
                <w:szCs w:val="21"/>
                <w:highlight w:val="none"/>
                <w:lang w:val="zh-CN"/>
              </w:rPr>
              <w:t>年三个年度，每具有1个年度</w:t>
            </w:r>
            <w:r>
              <w:rPr>
                <w:rFonts w:hint="eastAsia" w:ascii="宋体" w:hAnsi="宋体" w:eastAsia="宋体" w:cs="宋体"/>
                <w:color w:val="auto"/>
                <w:sz w:val="21"/>
                <w:szCs w:val="21"/>
                <w:highlight w:val="none"/>
                <w:lang w:val="zh-CN" w:eastAsia="zh-CN"/>
              </w:rPr>
              <w:t>盈利</w:t>
            </w:r>
            <w:r>
              <w:rPr>
                <w:rFonts w:hint="eastAsia" w:ascii="宋体" w:hAnsi="宋体" w:eastAsia="宋体" w:cs="宋体"/>
                <w:color w:val="auto"/>
                <w:sz w:val="21"/>
                <w:szCs w:val="21"/>
                <w:highlight w:val="none"/>
                <w:lang w:val="zh-CN"/>
              </w:rPr>
              <w:t>的得1分，满分3分。</w:t>
            </w:r>
          </w:p>
          <w:p w14:paraId="6046E643">
            <w:pPr>
              <w:snapToGrid w:val="0"/>
              <w:spacing w:line="360" w:lineRule="auto"/>
              <w:jc w:val="both"/>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备注：</w:t>
            </w:r>
          </w:p>
          <w:p w14:paraId="6FF59248">
            <w:pPr>
              <w:snapToGrid w:val="0"/>
              <w:spacing w:line="360" w:lineRule="auto"/>
              <w:jc w:val="both"/>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eastAsia="zh-CN"/>
              </w:rPr>
              <w:t>盈利指净利润为正数（非零、非负数），</w:t>
            </w:r>
            <w:r>
              <w:rPr>
                <w:rFonts w:hint="eastAsia" w:ascii="宋体" w:hAnsi="宋体" w:eastAsia="宋体" w:cs="宋体"/>
                <w:bCs/>
                <w:color w:val="auto"/>
                <w:sz w:val="21"/>
                <w:szCs w:val="21"/>
                <w:highlight w:val="none"/>
                <w:lang w:val="zh-CN"/>
              </w:rPr>
              <w:t>投标人应提供202</w:t>
            </w:r>
            <w:r>
              <w:rPr>
                <w:rFonts w:hint="eastAsia" w:ascii="宋体" w:hAnsi="宋体" w:eastAsia="宋体" w:cs="宋体"/>
                <w:bCs/>
                <w:color w:val="auto"/>
                <w:sz w:val="21"/>
                <w:szCs w:val="21"/>
                <w:highlight w:val="none"/>
                <w:lang w:val="zh-CN" w:eastAsia="zh-CN"/>
              </w:rPr>
              <w:t>1</w:t>
            </w:r>
            <w:r>
              <w:rPr>
                <w:rFonts w:hint="eastAsia" w:ascii="宋体" w:hAnsi="宋体" w:eastAsia="宋体" w:cs="宋体"/>
                <w:bCs/>
                <w:color w:val="auto"/>
                <w:sz w:val="21"/>
                <w:szCs w:val="21"/>
                <w:highlight w:val="none"/>
                <w:lang w:val="zh-CN"/>
              </w:rPr>
              <w:t>年、202</w:t>
            </w:r>
            <w:r>
              <w:rPr>
                <w:rFonts w:hint="eastAsia" w:ascii="宋体" w:hAnsi="宋体" w:eastAsia="宋体" w:cs="宋体"/>
                <w:bCs/>
                <w:color w:val="auto"/>
                <w:sz w:val="21"/>
                <w:szCs w:val="21"/>
                <w:highlight w:val="none"/>
                <w:lang w:val="zh-CN" w:eastAsia="zh-CN"/>
              </w:rPr>
              <w:t>2</w:t>
            </w:r>
            <w:r>
              <w:rPr>
                <w:rFonts w:hint="eastAsia" w:ascii="宋体" w:hAnsi="宋体" w:eastAsia="宋体" w:cs="宋体"/>
                <w:bCs/>
                <w:color w:val="auto"/>
                <w:sz w:val="21"/>
                <w:szCs w:val="21"/>
                <w:highlight w:val="none"/>
                <w:lang w:val="zh-CN"/>
              </w:rPr>
              <w:t>年、202</w:t>
            </w:r>
            <w:r>
              <w:rPr>
                <w:rFonts w:hint="eastAsia" w:ascii="宋体" w:hAnsi="宋体" w:eastAsia="宋体" w:cs="宋体"/>
                <w:bCs/>
                <w:color w:val="auto"/>
                <w:sz w:val="21"/>
                <w:szCs w:val="21"/>
                <w:highlight w:val="none"/>
                <w:lang w:val="zh-CN" w:eastAsia="zh-CN"/>
              </w:rPr>
              <w:t>3</w:t>
            </w:r>
            <w:r>
              <w:rPr>
                <w:rFonts w:hint="eastAsia" w:ascii="宋体" w:hAnsi="宋体" w:eastAsia="宋体" w:cs="宋体"/>
                <w:bCs/>
                <w:color w:val="auto"/>
                <w:sz w:val="21"/>
                <w:szCs w:val="21"/>
                <w:highlight w:val="none"/>
                <w:lang w:val="zh-CN"/>
              </w:rPr>
              <w:t>年三个年度的财务报表，净利润以</w:t>
            </w:r>
            <w:r>
              <w:rPr>
                <w:rFonts w:hint="eastAsia" w:ascii="宋体" w:hAnsi="宋体" w:eastAsia="宋体" w:cs="宋体"/>
                <w:bCs/>
                <w:color w:val="auto"/>
                <w:sz w:val="21"/>
                <w:szCs w:val="21"/>
                <w:highlight w:val="none"/>
                <w:lang w:val="zh-CN" w:eastAsia="zh-CN"/>
              </w:rPr>
              <w:t>对应年度</w:t>
            </w:r>
            <w:r>
              <w:rPr>
                <w:rFonts w:hint="eastAsia" w:ascii="宋体" w:hAnsi="宋体" w:eastAsia="宋体" w:cs="宋体"/>
                <w:bCs/>
                <w:color w:val="auto"/>
                <w:sz w:val="21"/>
                <w:szCs w:val="21"/>
                <w:highlight w:val="none"/>
                <w:lang w:val="zh-CN"/>
              </w:rPr>
              <w:t>经审计的财务报表为准，</w:t>
            </w:r>
            <w:r>
              <w:rPr>
                <w:rFonts w:hint="eastAsia" w:ascii="宋体" w:hAnsi="宋体" w:eastAsia="宋体" w:cs="宋体"/>
                <w:bCs/>
                <w:color w:val="auto"/>
                <w:sz w:val="21"/>
                <w:szCs w:val="21"/>
                <w:highlight w:val="none"/>
                <w:lang w:val="zh-CN" w:eastAsia="zh-CN"/>
              </w:rPr>
              <w:t>应</w:t>
            </w:r>
            <w:r>
              <w:rPr>
                <w:rFonts w:hint="eastAsia" w:ascii="宋体" w:hAnsi="宋体" w:eastAsia="宋体" w:cs="宋体"/>
                <w:bCs/>
                <w:color w:val="auto"/>
                <w:sz w:val="21"/>
                <w:szCs w:val="21"/>
                <w:highlight w:val="none"/>
                <w:lang w:val="zh-CN"/>
              </w:rPr>
              <w:t>提供经独立会计师事务所审计过的有效的财务报表</w:t>
            </w:r>
            <w:r>
              <w:rPr>
                <w:rFonts w:hint="eastAsia" w:ascii="宋体" w:hAnsi="宋体" w:eastAsia="宋体" w:cs="宋体"/>
                <w:bCs/>
                <w:color w:val="auto"/>
                <w:sz w:val="21"/>
                <w:szCs w:val="21"/>
                <w:highlight w:val="none"/>
                <w:lang w:val="zh-CN" w:eastAsia="zh-CN"/>
              </w:rPr>
              <w:t>复印</w:t>
            </w:r>
            <w:r>
              <w:rPr>
                <w:rFonts w:hint="eastAsia" w:ascii="宋体" w:hAnsi="宋体" w:eastAsia="宋体" w:cs="宋体"/>
                <w:bCs/>
                <w:color w:val="auto"/>
                <w:sz w:val="21"/>
                <w:szCs w:val="21"/>
                <w:highlight w:val="none"/>
                <w:lang w:val="zh-CN"/>
              </w:rPr>
              <w:t>件，未提供前述财务</w:t>
            </w:r>
            <w:r>
              <w:rPr>
                <w:rFonts w:hint="eastAsia" w:ascii="宋体" w:hAnsi="宋体" w:eastAsia="宋体" w:cs="宋体"/>
                <w:bCs/>
                <w:color w:val="auto"/>
                <w:sz w:val="21"/>
                <w:szCs w:val="21"/>
                <w:highlight w:val="none"/>
                <w:lang w:val="zh-CN" w:eastAsia="zh-CN"/>
              </w:rPr>
              <w:t>报表</w:t>
            </w:r>
            <w:r>
              <w:rPr>
                <w:rFonts w:hint="eastAsia" w:ascii="宋体" w:hAnsi="宋体" w:eastAsia="宋体" w:cs="宋体"/>
                <w:bCs/>
                <w:color w:val="auto"/>
                <w:sz w:val="21"/>
                <w:szCs w:val="21"/>
                <w:highlight w:val="none"/>
                <w:lang w:val="zh-CN"/>
              </w:rPr>
              <w:t>或财务</w:t>
            </w:r>
            <w:r>
              <w:rPr>
                <w:rFonts w:hint="eastAsia" w:ascii="宋体" w:hAnsi="宋体" w:eastAsia="宋体" w:cs="宋体"/>
                <w:bCs/>
                <w:color w:val="auto"/>
                <w:sz w:val="21"/>
                <w:szCs w:val="21"/>
                <w:highlight w:val="none"/>
                <w:lang w:val="zh-CN" w:eastAsia="zh-CN"/>
              </w:rPr>
              <w:t>报表</w:t>
            </w:r>
            <w:r>
              <w:rPr>
                <w:rFonts w:hint="eastAsia" w:ascii="宋体" w:hAnsi="宋体" w:eastAsia="宋体" w:cs="宋体"/>
                <w:bCs/>
                <w:color w:val="auto"/>
                <w:sz w:val="21"/>
                <w:szCs w:val="21"/>
                <w:highlight w:val="none"/>
                <w:lang w:val="zh-CN"/>
              </w:rPr>
              <w:t>未能反映净利润的，不得分。</w:t>
            </w:r>
          </w:p>
        </w:tc>
        <w:tc>
          <w:tcPr>
            <w:tcW w:w="437" w:type="pct"/>
            <w:tcBorders>
              <w:top w:val="single" w:color="auto" w:sz="4" w:space="0"/>
              <w:left w:val="single" w:color="auto" w:sz="4" w:space="0"/>
              <w:bottom w:val="single" w:color="auto" w:sz="4" w:space="0"/>
              <w:right w:val="single" w:color="auto" w:sz="4" w:space="0"/>
            </w:tcBorders>
            <w:vAlign w:val="center"/>
          </w:tcPr>
          <w:p w14:paraId="30D2A206">
            <w:pPr>
              <w:snapToGrid w:val="0"/>
              <w:spacing w:line="400" w:lineRule="exact"/>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3分</w:t>
            </w:r>
          </w:p>
        </w:tc>
      </w:tr>
      <w:tr w14:paraId="08BAD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8"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75831841">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546" w:type="pct"/>
            <w:tcBorders>
              <w:top w:val="single" w:color="auto" w:sz="4" w:space="0"/>
              <w:left w:val="single" w:color="auto" w:sz="4" w:space="0"/>
              <w:bottom w:val="single" w:color="auto" w:sz="4" w:space="0"/>
              <w:right w:val="single" w:color="auto" w:sz="4" w:space="0"/>
            </w:tcBorders>
            <w:vAlign w:val="center"/>
          </w:tcPr>
          <w:p w14:paraId="4262E5E6">
            <w:pPr>
              <w:snapToGrid w:val="0"/>
              <w:spacing w:line="360" w:lineRule="auto"/>
              <w:jc w:val="center"/>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标准化程度</w:t>
            </w:r>
          </w:p>
        </w:tc>
        <w:tc>
          <w:tcPr>
            <w:tcW w:w="3691" w:type="pct"/>
            <w:tcBorders>
              <w:top w:val="single" w:color="auto" w:sz="4" w:space="0"/>
              <w:left w:val="single" w:color="auto" w:sz="4" w:space="0"/>
              <w:bottom w:val="single" w:color="auto" w:sz="4" w:space="0"/>
              <w:right w:val="single" w:color="auto" w:sz="4" w:space="0"/>
            </w:tcBorders>
            <w:vAlign w:val="center"/>
          </w:tcPr>
          <w:p w14:paraId="3CF89713">
            <w:pPr>
              <w:snapToGrid w:val="0"/>
              <w:spacing w:line="360" w:lineRule="auto"/>
              <w:jc w:val="both"/>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投标人</w:t>
            </w:r>
            <w:r>
              <w:rPr>
                <w:rFonts w:hint="eastAsia" w:ascii="宋体" w:hAnsi="宋体" w:eastAsia="宋体" w:cs="宋体"/>
                <w:color w:val="auto"/>
                <w:sz w:val="21"/>
                <w:szCs w:val="21"/>
                <w:highlight w:val="none"/>
                <w:lang w:val="zh-CN"/>
              </w:rPr>
              <w:t>具有由国家认证认可监督管理部门批准设立的认证机构颁发并在有效期内的体系认证证书，每个证书得</w:t>
            </w:r>
            <w:r>
              <w:rPr>
                <w:rFonts w:hint="eastAsia" w:ascii="宋体" w:hAnsi="宋体" w:eastAsia="宋体" w:cs="宋体"/>
                <w:color w:val="auto"/>
                <w:sz w:val="21"/>
                <w:szCs w:val="21"/>
                <w:highlight w:val="none"/>
                <w:lang w:val="zh-CN" w:eastAsia="zh-CN"/>
              </w:rPr>
              <w:t>1</w:t>
            </w:r>
            <w:r>
              <w:rPr>
                <w:rFonts w:hint="eastAsia" w:ascii="宋体" w:hAnsi="宋体" w:eastAsia="宋体" w:cs="宋体"/>
                <w:color w:val="auto"/>
                <w:sz w:val="21"/>
                <w:szCs w:val="21"/>
                <w:highlight w:val="none"/>
                <w:lang w:val="zh-CN"/>
              </w:rPr>
              <w:t>分，满分</w:t>
            </w:r>
            <w:r>
              <w:rPr>
                <w:rFonts w:hint="eastAsia" w:ascii="宋体" w:hAnsi="宋体" w:eastAsia="宋体" w:cs="宋体"/>
                <w:color w:val="auto"/>
                <w:sz w:val="21"/>
                <w:szCs w:val="21"/>
                <w:highlight w:val="none"/>
                <w:lang w:val="zh-CN" w:eastAsia="zh-CN"/>
              </w:rPr>
              <w:t>5</w:t>
            </w:r>
            <w:r>
              <w:rPr>
                <w:rFonts w:hint="eastAsia" w:ascii="宋体" w:hAnsi="宋体" w:eastAsia="宋体" w:cs="宋体"/>
                <w:color w:val="auto"/>
                <w:sz w:val="21"/>
                <w:szCs w:val="21"/>
                <w:highlight w:val="none"/>
                <w:lang w:val="zh-CN"/>
              </w:rPr>
              <w:t>分：</w:t>
            </w:r>
          </w:p>
          <w:p w14:paraId="3C7E1470">
            <w:pPr>
              <w:snapToGrid w:val="0"/>
              <w:spacing w:line="360" w:lineRule="auto"/>
              <w:jc w:val="both"/>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（1）质量管理体系认证（如ISO9001等）；</w:t>
            </w:r>
          </w:p>
          <w:p w14:paraId="492EC85C">
            <w:pPr>
              <w:snapToGrid w:val="0"/>
              <w:spacing w:line="360" w:lineRule="auto"/>
              <w:jc w:val="both"/>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（2）环境管理体系认证（如ISO14001等）；</w:t>
            </w:r>
          </w:p>
          <w:p w14:paraId="0CA11E57">
            <w:pPr>
              <w:snapToGrid w:val="0"/>
              <w:spacing w:line="360" w:lineRule="auto"/>
              <w:jc w:val="both"/>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（3）职业健康安全管理体系认证（如OHSAS18001、ISO45001：2018或GB/T45001-2020等）；</w:t>
            </w:r>
          </w:p>
          <w:p w14:paraId="08F4F603">
            <w:pPr>
              <w:snapToGrid w:val="0"/>
              <w:spacing w:line="360" w:lineRule="auto"/>
              <w:jc w:val="both"/>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（4）食品安全管理体系认证（如GB/T22000-2006、IS022000:2005或ISO22000：2018等）；</w:t>
            </w:r>
          </w:p>
          <w:p w14:paraId="5B3008EB">
            <w:pPr>
              <w:snapToGrid w:val="0"/>
              <w:spacing w:line="360" w:lineRule="auto"/>
              <w:jc w:val="both"/>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（5）危害分析与关键控制点（HACCP）体系认证。</w:t>
            </w:r>
          </w:p>
          <w:p w14:paraId="5240D663">
            <w:pPr>
              <w:snapToGrid w:val="0"/>
              <w:spacing w:line="360" w:lineRule="auto"/>
              <w:jc w:val="both"/>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14:paraId="48273A98">
            <w:pPr>
              <w:snapToGrid w:val="0"/>
              <w:spacing w:line="360" w:lineRule="auto"/>
              <w:jc w:val="both"/>
              <w:outlineLvl w:val="9"/>
              <w:rPr>
                <w:rFonts w:hint="eastAsia" w:ascii="宋体" w:hAnsi="宋体" w:eastAsia="宋体" w:cs="宋体"/>
                <w:b/>
                <w:color w:val="auto"/>
                <w:kern w:val="2"/>
                <w:sz w:val="21"/>
                <w:szCs w:val="21"/>
                <w:highlight w:val="none"/>
                <w:lang w:val="zh-CN" w:eastAsia="zh-CN" w:bidi="ar-SA"/>
              </w:rPr>
            </w:pPr>
            <w:r>
              <w:rPr>
                <w:rFonts w:hint="eastAsia" w:ascii="宋体" w:hAnsi="宋体" w:eastAsia="宋体" w:cs="宋体"/>
                <w:b w:val="0"/>
                <w:bCs/>
                <w:color w:val="auto"/>
                <w:sz w:val="21"/>
                <w:szCs w:val="21"/>
                <w:highlight w:val="none"/>
                <w:lang w:val="en-US" w:eastAsia="zh-CN"/>
              </w:rPr>
              <w:t>投标人</w:t>
            </w:r>
            <w:r>
              <w:rPr>
                <w:rFonts w:hint="eastAsia" w:ascii="宋体" w:hAnsi="宋体" w:eastAsia="宋体" w:cs="宋体"/>
                <w:b w:val="0"/>
                <w:bCs/>
                <w:color w:val="auto"/>
                <w:sz w:val="21"/>
                <w:szCs w:val="21"/>
                <w:highlight w:val="none"/>
                <w:lang w:val="zh-CN" w:eastAsia="zh-CN"/>
              </w:rPr>
              <w:t>应提供上述证书复印件及能显示证书有效状态的全国认证认可信息公共服务平台（http://cx.cnca.cn/）查询结果凭证{凭证界面需显示有“全国认证认可信息公共服务平台”或“认证证书（需显示网址cx.cnca.cn）”}，否则不得分。</w:t>
            </w:r>
          </w:p>
        </w:tc>
        <w:tc>
          <w:tcPr>
            <w:tcW w:w="437" w:type="pct"/>
            <w:tcBorders>
              <w:top w:val="single" w:color="auto" w:sz="4" w:space="0"/>
              <w:left w:val="single" w:color="auto" w:sz="4" w:space="0"/>
              <w:bottom w:val="single" w:color="auto" w:sz="4" w:space="0"/>
              <w:right w:val="single" w:color="auto" w:sz="4" w:space="0"/>
            </w:tcBorders>
            <w:vAlign w:val="center"/>
          </w:tcPr>
          <w:p w14:paraId="723D87D5">
            <w:pPr>
              <w:snapToGrid w:val="0"/>
              <w:spacing w:line="400" w:lineRule="exact"/>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2EC98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715B85C2">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bookmarkStart w:id="973" w:name="_Hlk104987354"/>
            <w:r>
              <w:rPr>
                <w:rFonts w:hint="eastAsia" w:ascii="宋体" w:hAnsi="宋体" w:eastAsia="宋体" w:cs="宋体"/>
                <w:color w:val="auto"/>
                <w:kern w:val="0"/>
                <w:szCs w:val="21"/>
                <w:highlight w:val="none"/>
                <w:lang w:val="en-US" w:eastAsia="zh-CN"/>
              </w:rPr>
              <w:t>3</w:t>
            </w:r>
          </w:p>
        </w:tc>
        <w:tc>
          <w:tcPr>
            <w:tcW w:w="546" w:type="pct"/>
            <w:tcBorders>
              <w:top w:val="single" w:color="auto" w:sz="4" w:space="0"/>
              <w:left w:val="single" w:color="auto" w:sz="4" w:space="0"/>
              <w:bottom w:val="single" w:color="auto" w:sz="4" w:space="0"/>
              <w:right w:val="single" w:color="auto" w:sz="4" w:space="0"/>
            </w:tcBorders>
            <w:vAlign w:val="center"/>
          </w:tcPr>
          <w:p w14:paraId="128A098E">
            <w:pPr>
              <w:autoSpaceDE/>
              <w:autoSpaceDN/>
              <w:adjustRightInd/>
              <w:snapToGri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业绩</w:t>
            </w:r>
          </w:p>
        </w:tc>
        <w:tc>
          <w:tcPr>
            <w:tcW w:w="3691" w:type="pct"/>
            <w:tcBorders>
              <w:top w:val="single" w:color="auto" w:sz="4" w:space="0"/>
              <w:left w:val="single" w:color="auto" w:sz="4" w:space="0"/>
              <w:bottom w:val="single" w:color="auto" w:sz="4" w:space="0"/>
              <w:right w:val="single" w:color="auto" w:sz="4" w:space="0"/>
            </w:tcBorders>
            <w:vAlign w:val="center"/>
          </w:tcPr>
          <w:p w14:paraId="7A0B8FCC">
            <w:pPr>
              <w:numPr>
                <w:ilvl w:val="0"/>
                <w:numId w:val="0"/>
              </w:numPr>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eastAsia="zh-CN"/>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lang w:eastAsia="zh-CN"/>
              </w:rPr>
              <w:t>年以来（签订合同的时间要求为20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lang w:eastAsia="zh-CN"/>
              </w:rPr>
              <w:t>年1月1日或以后）承接的</w:t>
            </w:r>
            <w:r>
              <w:rPr>
                <w:rFonts w:hint="eastAsia" w:ascii="宋体" w:hAnsi="宋体" w:eastAsia="宋体" w:cs="宋体"/>
                <w:color w:val="auto"/>
                <w:sz w:val="21"/>
                <w:szCs w:val="21"/>
                <w:highlight w:val="none"/>
                <w:lang w:val="en-US" w:eastAsia="zh-CN"/>
              </w:rPr>
              <w:t>食堂（或饭堂或餐厅）[建筑面积1000㎡及以上]经营管理服务业绩进行评分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每提供一个</w:t>
            </w:r>
            <w:r>
              <w:rPr>
                <w:rFonts w:hint="eastAsia" w:ascii="宋体" w:hAnsi="宋体" w:eastAsia="宋体" w:cs="宋体"/>
                <w:color w:val="auto"/>
                <w:sz w:val="21"/>
                <w:szCs w:val="21"/>
                <w:highlight w:val="none"/>
                <w:lang w:eastAsia="zh-CN"/>
              </w:rPr>
              <w:t>前述业绩的，得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rPr>
              <w:t>本小项满分21分</w:t>
            </w:r>
            <w:r>
              <w:rPr>
                <w:rFonts w:hint="eastAsia" w:ascii="宋体" w:hAnsi="宋体" w:eastAsia="宋体" w:cs="宋体"/>
                <w:color w:val="auto"/>
                <w:sz w:val="21"/>
                <w:szCs w:val="21"/>
                <w:highlight w:val="none"/>
                <w:lang w:eastAsia="zh-CN"/>
              </w:rPr>
              <w:t>；</w:t>
            </w:r>
          </w:p>
          <w:p w14:paraId="339429D9">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718E5A9A">
            <w:p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业绩必须附合同复印件（合同服务提供方为投标人）。合同必须能反映评分条件[合同签订日期、服务内容、食堂（或饭堂或餐厅）建筑面积]，合同服务内容必须同时包含食品（或食材）配送及膳食（或餐饮或食材）加工服务，否则，需同时提供服务发包人（业主）出具的书面文件复印件作为辅助证明（需加盖服务发包人公章，即复印件能显示服务发包人公章）或提供加盖委托方公章反映评分条件的招标文件复印件，否则不得分。仅食品（或食材）配送或膳食（或餐饮或食材）加工服务的不得分。</w:t>
            </w:r>
          </w:p>
          <w:p w14:paraId="32E0F5C8">
            <w:p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（2）如果一体化项目的食品（或食材）配送服务和膳食（或餐饮或食材）加工服务合同不属于同一份合同的，投标人需提供两份合同（该两份合同按一个业绩计算），且合同签署方一致，合同签署时间相同</w:t>
            </w:r>
          </w:p>
          <w:p w14:paraId="7381E636">
            <w:pPr>
              <w:spacing w:line="360" w:lineRule="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（3）未按上述要求提供证明材料的业绩，或所附材料无法证明填报项目属投标人完成的或不符合本项评分要求的业绩，在评审时将不予考虑。</w:t>
            </w:r>
          </w:p>
        </w:tc>
        <w:tc>
          <w:tcPr>
            <w:tcW w:w="437" w:type="pct"/>
            <w:tcBorders>
              <w:top w:val="single" w:color="auto" w:sz="4" w:space="0"/>
              <w:left w:val="single" w:color="auto" w:sz="4" w:space="0"/>
              <w:bottom w:val="single" w:color="auto" w:sz="4" w:space="0"/>
              <w:right w:val="single" w:color="auto" w:sz="4" w:space="0"/>
            </w:tcBorders>
            <w:vAlign w:val="center"/>
          </w:tcPr>
          <w:p w14:paraId="72217225">
            <w:pPr>
              <w:snapToGrid w:val="0"/>
              <w:spacing w:line="400" w:lineRule="exact"/>
              <w:jc w:val="center"/>
              <w:outlineLvl w:val="9"/>
              <w:rPr>
                <w:rFonts w:hint="eastAsia" w:ascii="宋体" w:hAnsi="宋体" w:eastAsia="宋体" w:cs="宋体"/>
                <w:color w:val="auto"/>
                <w:szCs w:val="24"/>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r>
      <w:tr w14:paraId="41E7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56FCA3C6">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bookmarkStart w:id="974" w:name="_Toc11639_WPSOffice_Level2"/>
            <w:r>
              <w:rPr>
                <w:rFonts w:hint="eastAsia" w:ascii="宋体" w:hAnsi="宋体" w:eastAsia="宋体" w:cs="宋体"/>
                <w:color w:val="auto"/>
                <w:kern w:val="0"/>
                <w:szCs w:val="21"/>
                <w:highlight w:val="none"/>
                <w:lang w:val="en-US" w:eastAsia="zh-CN"/>
              </w:rPr>
              <w:t>4</w:t>
            </w:r>
          </w:p>
        </w:tc>
        <w:tc>
          <w:tcPr>
            <w:tcW w:w="546" w:type="pct"/>
            <w:tcBorders>
              <w:top w:val="single" w:color="auto" w:sz="4" w:space="0"/>
              <w:left w:val="single" w:color="auto" w:sz="4" w:space="0"/>
              <w:bottom w:val="single" w:color="auto" w:sz="4" w:space="0"/>
              <w:right w:val="single" w:color="auto" w:sz="4" w:space="0"/>
            </w:tcBorders>
            <w:vAlign w:val="center"/>
          </w:tcPr>
          <w:p w14:paraId="39EAB2A5">
            <w:pPr>
              <w:autoSpaceDE/>
              <w:autoSpaceDN/>
              <w:adjustRightInd/>
              <w:snapToGrid w:val="0"/>
              <w:spacing w:line="40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服务便利性</w:t>
            </w:r>
          </w:p>
        </w:tc>
        <w:tc>
          <w:tcPr>
            <w:tcW w:w="3691" w:type="pct"/>
            <w:tcBorders>
              <w:top w:val="single" w:color="auto" w:sz="4" w:space="0"/>
              <w:left w:val="single" w:color="auto" w:sz="4" w:space="0"/>
              <w:bottom w:val="single" w:color="auto" w:sz="4" w:space="0"/>
              <w:right w:val="single" w:color="auto" w:sz="4" w:space="0"/>
            </w:tcBorders>
            <w:vAlign w:val="center"/>
          </w:tcPr>
          <w:p w14:paraId="4C631638">
            <w:pPr>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w:t>
            </w:r>
            <w:r>
              <w:rPr>
                <w:rFonts w:hint="eastAsia" w:ascii="宋体" w:hAnsi="宋体" w:eastAsia="宋体" w:cs="宋体"/>
                <w:b w:val="0"/>
                <w:bCs/>
                <w:color w:val="auto"/>
                <w:kern w:val="2"/>
                <w:sz w:val="21"/>
                <w:szCs w:val="21"/>
                <w:highlight w:val="none"/>
                <w:lang w:val="en-US" w:eastAsia="zh-CN"/>
              </w:rPr>
              <w:t>投标人</w:t>
            </w:r>
            <w:r>
              <w:rPr>
                <w:rFonts w:hint="eastAsia" w:ascii="宋体" w:hAnsi="宋体" w:eastAsia="宋体" w:cs="宋体"/>
                <w:color w:val="auto"/>
                <w:sz w:val="21"/>
                <w:szCs w:val="21"/>
                <w:highlight w:val="none"/>
                <w:lang w:val="en-US" w:eastAsia="zh-CN"/>
              </w:rPr>
              <w:t>提供的服务便利性时间资料进行评审：</w:t>
            </w:r>
          </w:p>
          <w:p w14:paraId="52ED57F8">
            <w:pPr>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b w:val="0"/>
                <w:bCs/>
                <w:color w:val="auto"/>
                <w:kern w:val="2"/>
                <w:sz w:val="21"/>
                <w:szCs w:val="21"/>
                <w:highlight w:val="none"/>
                <w:lang w:val="en-US" w:eastAsia="zh-CN"/>
              </w:rPr>
              <w:t>投标人</w:t>
            </w:r>
            <w:r>
              <w:rPr>
                <w:rFonts w:hint="eastAsia" w:ascii="宋体" w:hAnsi="宋体" w:eastAsia="宋体" w:cs="宋体"/>
                <w:color w:val="auto"/>
                <w:sz w:val="21"/>
                <w:szCs w:val="21"/>
                <w:highlight w:val="none"/>
                <w:lang w:val="en-US" w:eastAsia="zh-CN"/>
              </w:rPr>
              <w:t>提供从投标人注册地或其分支机构到达水业大厦（地址：广东省东莞市南城街道宏北路16号）的时间资料，能在60分钟到达的，得6分；</w:t>
            </w:r>
          </w:p>
          <w:p w14:paraId="2F241B9D">
            <w:pPr>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b w:val="0"/>
                <w:bCs/>
                <w:color w:val="auto"/>
                <w:kern w:val="2"/>
                <w:sz w:val="21"/>
                <w:szCs w:val="21"/>
                <w:highlight w:val="none"/>
                <w:lang w:val="en-US" w:eastAsia="zh-CN"/>
              </w:rPr>
              <w:t>投标人</w:t>
            </w:r>
            <w:r>
              <w:rPr>
                <w:rFonts w:hint="eastAsia" w:ascii="宋体" w:hAnsi="宋体" w:eastAsia="宋体" w:cs="宋体"/>
                <w:color w:val="auto"/>
                <w:sz w:val="21"/>
                <w:szCs w:val="21"/>
                <w:highlight w:val="none"/>
                <w:lang w:val="en-US" w:eastAsia="zh-CN"/>
              </w:rPr>
              <w:t>提供从投标人注册地或其分支机构到达水业大厦（地址：广东省东莞市南城街道宏北路16号）的时间资料，能在120分钟到达的，得3分；</w:t>
            </w:r>
          </w:p>
          <w:p w14:paraId="575ADD03">
            <w:pPr>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b w:val="0"/>
                <w:bCs/>
                <w:color w:val="auto"/>
                <w:kern w:val="2"/>
                <w:sz w:val="21"/>
                <w:szCs w:val="21"/>
                <w:highlight w:val="none"/>
                <w:lang w:val="en-US" w:eastAsia="zh-CN"/>
              </w:rPr>
              <w:t>投标人</w:t>
            </w:r>
            <w:r>
              <w:rPr>
                <w:rFonts w:hint="eastAsia" w:ascii="宋体" w:hAnsi="宋体" w:eastAsia="宋体" w:cs="宋体"/>
                <w:color w:val="auto"/>
                <w:sz w:val="21"/>
                <w:szCs w:val="21"/>
                <w:highlight w:val="none"/>
                <w:lang w:val="en-US" w:eastAsia="zh-CN"/>
              </w:rPr>
              <w:t>提供从投标人注册地或其分支机构到达水业大厦（地址：广东省东莞市南城街道宏北路16号）的时间资料，能在240分钟到达的，得1分。</w:t>
            </w:r>
          </w:p>
          <w:p w14:paraId="79F009CF">
            <w:pPr>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（4）其他情况不得分。</w:t>
            </w:r>
          </w:p>
          <w:p w14:paraId="4E9CE2B6">
            <w:pPr>
              <w:spacing w:line="360" w:lineRule="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备注：</w:t>
            </w:r>
          </w:p>
          <w:p w14:paraId="7965FCE5">
            <w:pPr>
              <w:numPr>
                <w:ilvl w:val="0"/>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color w:val="auto"/>
                <w:kern w:val="2"/>
                <w:sz w:val="21"/>
                <w:szCs w:val="21"/>
                <w:highlight w:val="none"/>
                <w:lang w:val="en-US" w:eastAsia="zh-CN"/>
              </w:rPr>
              <w:t>投标人</w:t>
            </w:r>
            <w:r>
              <w:rPr>
                <w:rFonts w:hint="eastAsia" w:ascii="宋体" w:hAnsi="宋体" w:eastAsia="宋体" w:cs="宋体"/>
                <w:b w:val="0"/>
                <w:bCs w:val="0"/>
                <w:color w:val="auto"/>
                <w:sz w:val="21"/>
                <w:szCs w:val="21"/>
                <w:highlight w:val="none"/>
                <w:lang w:val="en-US" w:eastAsia="zh-CN"/>
              </w:rPr>
              <w:t>注册地或其分支机构地址以提供的营业执照或办公场所租赁合同或产权证明的地址为准，需提供前述证明复印件，否则评审时将不予考虑。</w:t>
            </w:r>
          </w:p>
          <w:p w14:paraId="2EE472E1">
            <w:p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（2）本项评审，</w:t>
            </w:r>
            <w:r>
              <w:rPr>
                <w:rFonts w:hint="eastAsia" w:ascii="宋体" w:hAnsi="宋体" w:eastAsia="宋体" w:cs="宋体"/>
                <w:b w:val="0"/>
                <w:bCs/>
                <w:color w:val="auto"/>
                <w:kern w:val="2"/>
                <w:sz w:val="21"/>
                <w:szCs w:val="21"/>
                <w:highlight w:val="none"/>
                <w:lang w:val="en-US" w:eastAsia="zh-CN"/>
              </w:rPr>
              <w:t>投标人</w:t>
            </w:r>
            <w:r>
              <w:rPr>
                <w:rFonts w:hint="eastAsia" w:ascii="宋体" w:hAnsi="宋体" w:eastAsia="宋体" w:cs="宋体"/>
                <w:b w:val="0"/>
                <w:bCs w:val="0"/>
                <w:color w:val="auto"/>
                <w:sz w:val="21"/>
                <w:szCs w:val="21"/>
                <w:highlight w:val="none"/>
                <w:lang w:val="en-US" w:eastAsia="zh-CN"/>
              </w:rPr>
              <w:t>需提供从</w:t>
            </w:r>
            <w:r>
              <w:rPr>
                <w:rFonts w:hint="eastAsia" w:ascii="宋体" w:hAnsi="宋体" w:eastAsia="宋体" w:cs="宋体"/>
                <w:b w:val="0"/>
                <w:bCs/>
                <w:color w:val="auto"/>
                <w:kern w:val="2"/>
                <w:sz w:val="21"/>
                <w:szCs w:val="21"/>
                <w:highlight w:val="none"/>
                <w:lang w:val="en-US" w:eastAsia="zh-CN"/>
              </w:rPr>
              <w:t>投标人</w:t>
            </w:r>
            <w:r>
              <w:rPr>
                <w:rFonts w:hint="eastAsia" w:ascii="宋体" w:hAnsi="宋体" w:eastAsia="宋体" w:cs="宋体"/>
                <w:b w:val="0"/>
                <w:bCs w:val="0"/>
                <w:color w:val="auto"/>
                <w:sz w:val="21"/>
                <w:szCs w:val="21"/>
                <w:highlight w:val="none"/>
                <w:lang w:val="en-US" w:eastAsia="zh-CN"/>
              </w:rPr>
              <w:t>注册地或其分支机构地址到达指定地点的路线图导航截屏（需体现</w:t>
            </w:r>
            <w:r>
              <w:rPr>
                <w:rFonts w:hint="eastAsia" w:ascii="宋体" w:hAnsi="宋体" w:eastAsia="宋体" w:cs="宋体"/>
                <w:b w:val="0"/>
                <w:bCs/>
                <w:color w:val="auto"/>
                <w:kern w:val="2"/>
                <w:sz w:val="21"/>
                <w:szCs w:val="21"/>
                <w:highlight w:val="none"/>
                <w:lang w:val="en-US" w:eastAsia="zh-CN"/>
              </w:rPr>
              <w:t>投标人</w:t>
            </w:r>
            <w:r>
              <w:rPr>
                <w:rFonts w:hint="eastAsia" w:ascii="宋体" w:hAnsi="宋体" w:eastAsia="宋体" w:cs="宋体"/>
                <w:b w:val="0"/>
                <w:bCs w:val="0"/>
                <w:color w:val="auto"/>
                <w:sz w:val="21"/>
                <w:szCs w:val="21"/>
                <w:highlight w:val="none"/>
                <w:lang w:val="en-US" w:eastAsia="zh-CN"/>
              </w:rPr>
              <w:t>注册地或其分支机构地址至指定地点的名称、距离以及用时等关键因素），未提供相关证明资料或不符合本项评分要求的，在评审时将不予考虑。</w:t>
            </w:r>
          </w:p>
          <w:p w14:paraId="29B28BC9">
            <w:p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color w:val="auto"/>
                <w:kern w:val="2"/>
                <w:sz w:val="21"/>
                <w:szCs w:val="21"/>
                <w:highlight w:val="none"/>
                <w:lang w:val="en-US" w:eastAsia="zh-CN"/>
              </w:rPr>
              <w:t>投标人</w:t>
            </w:r>
            <w:r>
              <w:rPr>
                <w:rFonts w:hint="eastAsia" w:ascii="宋体" w:hAnsi="宋体" w:eastAsia="宋体" w:cs="宋体"/>
                <w:b w:val="0"/>
                <w:bCs w:val="0"/>
                <w:color w:val="auto"/>
                <w:sz w:val="21"/>
                <w:szCs w:val="21"/>
                <w:highlight w:val="none"/>
                <w:lang w:val="en-US" w:eastAsia="zh-CN"/>
              </w:rPr>
              <w:t>如提供多个路线图时间资料，不重复或叠加得分，按该</w:t>
            </w:r>
            <w:r>
              <w:rPr>
                <w:rFonts w:hint="eastAsia" w:ascii="宋体" w:hAnsi="宋体" w:eastAsia="宋体" w:cs="宋体"/>
                <w:b w:val="0"/>
                <w:bCs/>
                <w:color w:val="auto"/>
                <w:kern w:val="2"/>
                <w:sz w:val="21"/>
                <w:szCs w:val="21"/>
                <w:highlight w:val="none"/>
                <w:lang w:val="en-US" w:eastAsia="zh-CN"/>
              </w:rPr>
              <w:t>投标人</w:t>
            </w:r>
            <w:r>
              <w:rPr>
                <w:rFonts w:hint="eastAsia" w:ascii="宋体" w:hAnsi="宋体" w:eastAsia="宋体" w:cs="宋体"/>
                <w:b w:val="0"/>
                <w:bCs w:val="0"/>
                <w:color w:val="auto"/>
                <w:sz w:val="21"/>
                <w:szCs w:val="21"/>
                <w:highlight w:val="none"/>
                <w:lang w:val="en-US" w:eastAsia="zh-CN"/>
              </w:rPr>
              <w:t>符合本评审项目的较高标准项计分。</w:t>
            </w:r>
          </w:p>
        </w:tc>
        <w:tc>
          <w:tcPr>
            <w:tcW w:w="437" w:type="pct"/>
            <w:tcBorders>
              <w:top w:val="single" w:color="auto" w:sz="4" w:space="0"/>
              <w:left w:val="single" w:color="auto" w:sz="4" w:space="0"/>
              <w:bottom w:val="single" w:color="auto" w:sz="4" w:space="0"/>
              <w:right w:val="single" w:color="auto" w:sz="4" w:space="0"/>
            </w:tcBorders>
            <w:vAlign w:val="center"/>
          </w:tcPr>
          <w:p w14:paraId="0D56AC5D">
            <w:pPr>
              <w:snapToGrid w:val="0"/>
              <w:spacing w:line="400" w:lineRule="exact"/>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6分</w:t>
            </w:r>
          </w:p>
        </w:tc>
      </w:tr>
      <w:bookmarkEnd w:id="973"/>
    </w:tbl>
    <w:p w14:paraId="42746EB7">
      <w:pPr>
        <w:autoSpaceDE w:val="0"/>
        <w:autoSpaceDN w:val="0"/>
        <w:adjustRightInd w:val="0"/>
        <w:ind w:right="-26" w:firstLine="480"/>
        <w:jc w:val="center"/>
        <w:outlineLvl w:val="9"/>
        <w:rPr>
          <w:rFonts w:hint="eastAsia" w:ascii="宋体" w:hAnsi="宋体" w:eastAsia="宋体" w:cs="宋体"/>
          <w:b/>
          <w:bCs/>
          <w:color w:val="auto"/>
          <w:kern w:val="0"/>
          <w:sz w:val="24"/>
          <w:szCs w:val="24"/>
          <w:highlight w:val="none"/>
        </w:rPr>
      </w:pPr>
    </w:p>
    <w:p w14:paraId="11FF879E">
      <w:pPr>
        <w:tabs>
          <w:tab w:val="left" w:pos="585"/>
        </w:tabs>
        <w:autoSpaceDE w:val="0"/>
        <w:autoSpaceDN w:val="0"/>
        <w:adjustRightInd w:val="0"/>
        <w:spacing w:line="360" w:lineRule="auto"/>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65</w:t>
      </w:r>
      <w:r>
        <w:rPr>
          <w:rFonts w:hint="eastAsia" w:ascii="宋体" w:hAnsi="宋体" w:eastAsia="宋体" w:cs="宋体"/>
          <w:b/>
          <w:color w:val="auto"/>
          <w:szCs w:val="21"/>
          <w:highlight w:val="none"/>
          <w:lang w:val="zh-CN"/>
        </w:rPr>
        <w:t>分</w:t>
      </w:r>
      <w:bookmarkEnd w:id="974"/>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33"/>
        <w:gridCol w:w="7658"/>
        <w:gridCol w:w="907"/>
      </w:tblGrid>
      <w:tr w14:paraId="7B084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7628BEE2">
            <w:pPr>
              <w:autoSpaceDE w:val="0"/>
              <w:autoSpaceDN w:val="0"/>
              <w:adjustRightInd w:val="0"/>
              <w:spacing w:line="400" w:lineRule="exact"/>
              <w:jc w:val="center"/>
              <w:outlineLvl w:val="9"/>
              <w:rPr>
                <w:rFonts w:hint="eastAsia" w:ascii="宋体" w:hAnsi="宋体" w:eastAsia="宋体" w:cs="宋体"/>
                <w:b/>
                <w:color w:val="auto"/>
                <w:kern w:val="0"/>
                <w:szCs w:val="21"/>
                <w:highlight w:val="none"/>
              </w:rPr>
            </w:pPr>
            <w:bookmarkStart w:id="975" w:name="_Hlk104987779"/>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center"/>
          </w:tcPr>
          <w:p w14:paraId="7226B9E0">
            <w:pPr>
              <w:autoSpaceDE w:val="0"/>
              <w:autoSpaceDN w:val="0"/>
              <w:adjustRightInd w:val="0"/>
              <w:spacing w:line="400" w:lineRule="exact"/>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1" w:type="pct"/>
            <w:tcBorders>
              <w:top w:val="single" w:color="auto" w:sz="4" w:space="0"/>
              <w:left w:val="single" w:color="auto" w:sz="4" w:space="0"/>
              <w:bottom w:val="single" w:color="auto" w:sz="4" w:space="0"/>
              <w:right w:val="single" w:color="auto" w:sz="4" w:space="0"/>
            </w:tcBorders>
            <w:vAlign w:val="center"/>
          </w:tcPr>
          <w:p w14:paraId="5EBB0E34">
            <w:pPr>
              <w:autoSpaceDE w:val="0"/>
              <w:autoSpaceDN w:val="0"/>
              <w:adjustRightInd w:val="0"/>
              <w:spacing w:line="400" w:lineRule="exact"/>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14:paraId="5F87D785">
            <w:pPr>
              <w:autoSpaceDE w:val="0"/>
              <w:autoSpaceDN w:val="0"/>
              <w:adjustRightInd w:val="0"/>
              <w:spacing w:line="400" w:lineRule="exact"/>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0E2AD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311C432A">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546" w:type="pct"/>
            <w:tcBorders>
              <w:top w:val="single" w:color="auto" w:sz="4" w:space="0"/>
              <w:left w:val="single" w:color="auto" w:sz="4" w:space="0"/>
              <w:bottom w:val="single" w:color="auto" w:sz="4" w:space="0"/>
              <w:right w:val="single" w:color="auto" w:sz="4" w:space="0"/>
            </w:tcBorders>
            <w:vAlign w:val="center"/>
          </w:tcPr>
          <w:p w14:paraId="472EEBFA">
            <w:pPr>
              <w:snapToGri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zh-CN"/>
              </w:rPr>
              <w:t>用户需求响应程度</w:t>
            </w:r>
          </w:p>
        </w:tc>
        <w:tc>
          <w:tcPr>
            <w:tcW w:w="3691" w:type="pct"/>
            <w:tcBorders>
              <w:top w:val="single" w:color="auto" w:sz="4" w:space="0"/>
              <w:left w:val="single" w:color="auto" w:sz="4" w:space="0"/>
              <w:bottom w:val="single" w:color="auto" w:sz="4" w:space="0"/>
              <w:right w:val="single" w:color="auto" w:sz="4" w:space="0"/>
            </w:tcBorders>
            <w:vAlign w:val="center"/>
          </w:tcPr>
          <w:p w14:paraId="3E97C62F">
            <w:pPr>
              <w:snapToGrid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zh-CN"/>
              </w:rPr>
              <w:t>对用户需求偏离表的偏离情况进行评审计分，完全满足用户需求书的要求得满分；每一处负偏离，扣2分；同时参照其</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rPr>
              <w:t>文件中其部分的内容进行对比，每发现一处</w:t>
            </w:r>
            <w:r>
              <w:rPr>
                <w:rFonts w:hint="eastAsia" w:ascii="宋体" w:hAnsi="宋体" w:eastAsia="宋体" w:cs="宋体"/>
                <w:color w:val="auto"/>
                <w:sz w:val="21"/>
                <w:szCs w:val="21"/>
                <w:highlight w:val="none"/>
                <w:lang w:val="zh-CN" w:eastAsia="zh-CN"/>
              </w:rPr>
              <w:t>投标人</w:t>
            </w:r>
            <w:r>
              <w:rPr>
                <w:rFonts w:hint="eastAsia" w:ascii="宋体" w:hAnsi="宋体" w:eastAsia="宋体" w:cs="宋体"/>
                <w:color w:val="auto"/>
                <w:sz w:val="21"/>
                <w:szCs w:val="21"/>
                <w:highlight w:val="none"/>
                <w:lang w:val="zh-CN"/>
              </w:rPr>
              <w:t>填写为无偏离或正偏离，但</w:t>
            </w:r>
            <w:r>
              <w:rPr>
                <w:rFonts w:hint="eastAsia" w:ascii="宋体" w:hAnsi="宋体" w:eastAsia="宋体" w:cs="宋体"/>
                <w:color w:val="auto"/>
                <w:sz w:val="21"/>
                <w:szCs w:val="21"/>
                <w:highlight w:val="none"/>
                <w:lang w:val="zh-CN" w:eastAsia="zh-CN"/>
              </w:rPr>
              <w:t>评标委员会</w:t>
            </w:r>
            <w:r>
              <w:rPr>
                <w:rFonts w:hint="eastAsia" w:ascii="宋体" w:hAnsi="宋体" w:eastAsia="宋体" w:cs="宋体"/>
                <w:color w:val="auto"/>
                <w:sz w:val="21"/>
                <w:szCs w:val="21"/>
                <w:highlight w:val="none"/>
                <w:lang w:val="zh-CN"/>
              </w:rPr>
              <w:t>评审认定其为负偏离的，每处扣5分；本项最低分为0分。</w:t>
            </w:r>
          </w:p>
        </w:tc>
        <w:tc>
          <w:tcPr>
            <w:tcW w:w="437" w:type="pct"/>
            <w:tcBorders>
              <w:top w:val="single" w:color="auto" w:sz="4" w:space="0"/>
              <w:left w:val="single" w:color="auto" w:sz="4" w:space="0"/>
              <w:bottom w:val="single" w:color="auto" w:sz="4" w:space="0"/>
              <w:right w:val="single" w:color="auto" w:sz="4" w:space="0"/>
            </w:tcBorders>
            <w:vAlign w:val="center"/>
          </w:tcPr>
          <w:p w14:paraId="529A6F03">
            <w:pPr>
              <w:snapToGrid w:val="0"/>
              <w:spacing w:line="40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5C899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4AF188D0">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546" w:type="pct"/>
            <w:tcBorders>
              <w:top w:val="single" w:color="auto" w:sz="4" w:space="0"/>
              <w:left w:val="single" w:color="auto" w:sz="4" w:space="0"/>
              <w:bottom w:val="single" w:color="auto" w:sz="4" w:space="0"/>
              <w:right w:val="single" w:color="auto" w:sz="4" w:space="0"/>
            </w:tcBorders>
            <w:vAlign w:val="center"/>
          </w:tcPr>
          <w:p w14:paraId="26930EB0">
            <w:pPr>
              <w:snapToGri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en-US" w:eastAsia="zh-CN"/>
              </w:rPr>
              <w:t>食堂总体运营服务方案</w:t>
            </w:r>
          </w:p>
        </w:tc>
        <w:tc>
          <w:tcPr>
            <w:tcW w:w="3691" w:type="pct"/>
            <w:tcBorders>
              <w:top w:val="single" w:color="auto" w:sz="4" w:space="0"/>
              <w:left w:val="single" w:color="auto" w:sz="4" w:space="0"/>
              <w:bottom w:val="single" w:color="auto" w:sz="4" w:space="0"/>
              <w:right w:val="single" w:color="auto" w:sz="4" w:space="0"/>
            </w:tcBorders>
            <w:vAlign w:val="center"/>
          </w:tcPr>
          <w:p w14:paraId="26072374">
            <w:pPr>
              <w:snapToGrid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提供的食堂总体运营服务方案【包括但不限于投标人基本情况、智慧食堂成功案例情况、运营服务工作计划、运营服务人员配置及安排、食堂平面布置及装修效果展示（含相关图纸及彩色效果图）、食堂实施方法等】进行评审：</w:t>
            </w:r>
          </w:p>
          <w:p w14:paraId="6F837F67">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优：内容详细、全面、合理，展现出供应商在餐饮运营服务领域的顶尖水平和高度专业性。方案具有创新性、前瞻性和极高的可行性，能充分满足并超越项目需求，提供全方位、高品质且极具特色的餐饮运营服务解决方案，智慧食堂案例丰富且具有显著影响力，人员配置精良、管理高效，食堂平面布局优化及效果与实施计划完美结合且注重细节与可持续性，方案科学，合理性强，操作性强，得15分</w:t>
            </w:r>
            <w:r>
              <w:rPr>
                <w:rFonts w:hint="eastAsia" w:ascii="宋体" w:hAnsi="宋体" w:eastAsia="宋体" w:cs="宋体"/>
                <w:color w:val="auto"/>
                <w:sz w:val="21"/>
                <w:szCs w:val="21"/>
                <w:highlight w:val="none"/>
              </w:rPr>
              <w:t>。</w:t>
            </w:r>
          </w:p>
          <w:p w14:paraId="289B5C9A">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内容较详细，</w:t>
            </w:r>
            <w:r>
              <w:rPr>
                <w:rFonts w:hint="eastAsia" w:ascii="宋体" w:hAnsi="宋体" w:eastAsia="宋体" w:cs="宋体"/>
                <w:color w:val="auto"/>
                <w:sz w:val="21"/>
                <w:szCs w:val="21"/>
                <w:highlight w:val="none"/>
                <w:lang w:eastAsia="zh-CN"/>
              </w:rPr>
              <w:t>整体方案较为完善，具备较强的专业性和可行性，在主要方面能够满足项目要求，有一定的特色和优势，</w:t>
            </w:r>
            <w:r>
              <w:rPr>
                <w:rFonts w:hint="eastAsia" w:ascii="宋体" w:hAnsi="宋体" w:eastAsia="宋体" w:cs="宋体"/>
                <w:color w:val="auto"/>
                <w:sz w:val="21"/>
                <w:szCs w:val="21"/>
                <w:highlight w:val="none"/>
                <w:lang w:val="en-US" w:eastAsia="zh-CN"/>
              </w:rPr>
              <w:t>智慧食堂</w:t>
            </w:r>
            <w:r>
              <w:rPr>
                <w:rFonts w:hint="eastAsia" w:ascii="宋体" w:hAnsi="宋体" w:eastAsia="宋体" w:cs="宋体"/>
                <w:color w:val="auto"/>
                <w:sz w:val="21"/>
                <w:szCs w:val="21"/>
                <w:highlight w:val="none"/>
                <w:lang w:eastAsia="zh-CN"/>
              </w:rPr>
              <w:t>案例有一定借鉴性、工作计划较为合理，但在某些细节或创新性方面略有不足，人员配置和管理能有效支持运营，食堂布置与实施符合常规标准，</w:t>
            </w:r>
            <w:r>
              <w:rPr>
                <w:rFonts w:hint="eastAsia" w:ascii="宋体" w:hAnsi="宋体" w:eastAsia="宋体" w:cs="宋体"/>
                <w:color w:val="auto"/>
                <w:sz w:val="21"/>
                <w:szCs w:val="21"/>
                <w:highlight w:val="none"/>
                <w:lang w:val="en-US" w:eastAsia="zh-CN"/>
              </w:rPr>
              <w:t>方案较科学，合理性较强，操作性较强，得12分</w:t>
            </w:r>
            <w:r>
              <w:rPr>
                <w:rFonts w:hint="eastAsia" w:ascii="宋体" w:hAnsi="宋体" w:eastAsia="宋体" w:cs="宋体"/>
                <w:color w:val="auto"/>
                <w:sz w:val="21"/>
                <w:szCs w:val="21"/>
                <w:highlight w:val="none"/>
                <w:lang w:eastAsia="zh-CN"/>
              </w:rPr>
              <w:t>。</w:t>
            </w:r>
          </w:p>
          <w:p w14:paraId="6ACC1A81">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方案内容一般，</w:t>
            </w:r>
            <w:r>
              <w:rPr>
                <w:rFonts w:hint="eastAsia" w:ascii="宋体" w:hAnsi="宋体" w:eastAsia="宋体" w:cs="宋体"/>
                <w:color w:val="auto"/>
                <w:sz w:val="21"/>
                <w:szCs w:val="21"/>
                <w:highlight w:val="none"/>
                <w:lang w:eastAsia="zh-CN"/>
              </w:rPr>
              <w:t>各部分内容基本合格但存在一些明显的短板。能够提供基本的餐饮运营服务，但在服务的多样性、质量控制、人员专业度、</w:t>
            </w:r>
            <w:r>
              <w:rPr>
                <w:rFonts w:hint="eastAsia" w:ascii="宋体" w:hAnsi="宋体" w:eastAsia="宋体" w:cs="宋体"/>
                <w:color w:val="auto"/>
                <w:sz w:val="21"/>
                <w:szCs w:val="21"/>
                <w:highlight w:val="none"/>
                <w:lang w:val="en-US" w:eastAsia="zh-CN"/>
              </w:rPr>
              <w:t>智慧食堂</w:t>
            </w:r>
            <w:r>
              <w:rPr>
                <w:rFonts w:hint="eastAsia" w:ascii="宋体" w:hAnsi="宋体" w:eastAsia="宋体" w:cs="宋体"/>
                <w:color w:val="auto"/>
                <w:sz w:val="21"/>
                <w:szCs w:val="21"/>
                <w:highlight w:val="none"/>
                <w:lang w:eastAsia="zh-CN"/>
              </w:rPr>
              <w:t>案例经验等方面不够突出，食堂布置和实施方法较为常规，可能存在一些潜在风险或需要进一步优化的地方，需要在多个方面进行改进和提升以更好地满足项目需求，</w:t>
            </w:r>
            <w:r>
              <w:rPr>
                <w:rFonts w:hint="eastAsia" w:ascii="宋体" w:hAnsi="宋体" w:eastAsia="宋体" w:cs="宋体"/>
                <w:color w:val="auto"/>
                <w:sz w:val="21"/>
                <w:szCs w:val="21"/>
                <w:highlight w:val="none"/>
                <w:lang w:val="en-US" w:eastAsia="zh-CN"/>
              </w:rPr>
              <w:t>方案科学程度一般，合理性一般，操作性一般，得9分</w:t>
            </w:r>
            <w:r>
              <w:rPr>
                <w:rFonts w:hint="eastAsia" w:ascii="宋体" w:hAnsi="宋体" w:eastAsia="宋体" w:cs="宋体"/>
                <w:color w:val="auto"/>
                <w:sz w:val="21"/>
                <w:szCs w:val="21"/>
                <w:highlight w:val="none"/>
                <w:lang w:eastAsia="zh-CN"/>
              </w:rPr>
              <w:t>。</w:t>
            </w:r>
          </w:p>
          <w:p w14:paraId="30B78FD7">
            <w:pPr>
              <w:snapToGrid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差</w:t>
            </w:r>
            <w:r>
              <w:rPr>
                <w:rFonts w:hint="eastAsia" w:ascii="宋体" w:hAnsi="宋体" w:eastAsia="宋体" w:cs="宋体"/>
                <w:color w:val="auto"/>
                <w:sz w:val="21"/>
                <w:szCs w:val="21"/>
                <w:highlight w:val="none"/>
                <w:lang w:eastAsia="zh-CN"/>
              </w:rPr>
              <w:t>：方案存在多方面不足，</w:t>
            </w:r>
            <w:r>
              <w:rPr>
                <w:rFonts w:hint="eastAsia" w:ascii="宋体" w:hAnsi="宋体" w:eastAsia="宋体" w:cs="宋体"/>
                <w:color w:val="auto"/>
                <w:sz w:val="21"/>
                <w:szCs w:val="21"/>
                <w:highlight w:val="none"/>
                <w:lang w:val="en-US" w:eastAsia="zh-CN"/>
              </w:rPr>
              <w:t>可能</w:t>
            </w:r>
            <w:r>
              <w:rPr>
                <w:rFonts w:hint="eastAsia" w:ascii="宋体" w:hAnsi="宋体" w:eastAsia="宋体" w:cs="宋体"/>
                <w:color w:val="auto"/>
                <w:sz w:val="21"/>
                <w:szCs w:val="21"/>
                <w:highlight w:val="none"/>
                <w:lang w:eastAsia="zh-CN"/>
              </w:rPr>
              <w:t>无法有效满足项目的基本需求。</w:t>
            </w:r>
            <w:r>
              <w:rPr>
                <w:rFonts w:hint="eastAsia" w:ascii="宋体" w:hAnsi="宋体" w:eastAsia="宋体" w:cs="宋体"/>
                <w:color w:val="auto"/>
                <w:sz w:val="21"/>
                <w:szCs w:val="21"/>
                <w:highlight w:val="none"/>
                <w:lang w:val="en-US" w:eastAsia="zh-CN"/>
              </w:rPr>
              <w:t>案例与本项目的契合度不高</w:t>
            </w:r>
            <w:r>
              <w:rPr>
                <w:rFonts w:hint="eastAsia" w:ascii="宋体" w:hAnsi="宋体" w:eastAsia="宋体" w:cs="宋体"/>
                <w:color w:val="auto"/>
                <w:sz w:val="21"/>
                <w:szCs w:val="21"/>
                <w:highlight w:val="none"/>
                <w:lang w:eastAsia="zh-CN"/>
              </w:rPr>
              <w:t>、工作计划混乱、人员配置不合理、食堂布置与实施</w:t>
            </w:r>
            <w:r>
              <w:rPr>
                <w:rFonts w:hint="eastAsia" w:ascii="宋体" w:hAnsi="宋体" w:eastAsia="宋体" w:cs="宋体"/>
                <w:color w:val="auto"/>
                <w:sz w:val="21"/>
                <w:szCs w:val="21"/>
                <w:highlight w:val="none"/>
                <w:lang w:val="en-US" w:eastAsia="zh-CN"/>
              </w:rPr>
              <w:t>可行度不高</w:t>
            </w:r>
            <w:r>
              <w:rPr>
                <w:rFonts w:hint="eastAsia" w:ascii="宋体" w:hAnsi="宋体" w:eastAsia="宋体" w:cs="宋体"/>
                <w:color w:val="auto"/>
                <w:sz w:val="21"/>
                <w:szCs w:val="21"/>
                <w:highlight w:val="none"/>
                <w:lang w:eastAsia="zh-CN"/>
              </w:rPr>
              <w:t>等问题，</w:t>
            </w:r>
            <w:r>
              <w:rPr>
                <w:rFonts w:hint="eastAsia" w:ascii="宋体" w:hAnsi="宋体" w:eastAsia="宋体" w:cs="宋体"/>
                <w:color w:val="auto"/>
                <w:sz w:val="21"/>
                <w:szCs w:val="21"/>
                <w:highlight w:val="none"/>
                <w:lang w:val="en-US" w:eastAsia="zh-CN"/>
              </w:rPr>
              <w:t>存在一定的</w:t>
            </w:r>
            <w:r>
              <w:rPr>
                <w:rFonts w:hint="eastAsia" w:ascii="宋体" w:hAnsi="宋体" w:eastAsia="宋体" w:cs="宋体"/>
                <w:color w:val="auto"/>
                <w:sz w:val="21"/>
                <w:szCs w:val="21"/>
                <w:highlight w:val="none"/>
                <w:lang w:eastAsia="zh-CN"/>
              </w:rPr>
              <w:t>运营风险，</w:t>
            </w:r>
            <w:r>
              <w:rPr>
                <w:rFonts w:hint="eastAsia" w:ascii="宋体" w:hAnsi="宋体" w:eastAsia="宋体" w:cs="宋体"/>
                <w:color w:val="auto"/>
                <w:sz w:val="21"/>
                <w:szCs w:val="21"/>
                <w:highlight w:val="none"/>
                <w:lang w:val="en-US" w:eastAsia="zh-CN"/>
              </w:rPr>
              <w:t>方案科学程度差，合理性差，操作性差，得3分。</w:t>
            </w:r>
          </w:p>
          <w:p w14:paraId="7651AEB5">
            <w:pPr>
              <w:spacing w:line="360" w:lineRule="auto"/>
              <w:outlineLvl w:val="9"/>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备注：</w:t>
            </w:r>
          </w:p>
          <w:p w14:paraId="5331FF9F">
            <w:pPr>
              <w:snapToGrid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（1）未提供方案和食堂平面布局及装修效果展示相关图纸的不得分。</w:t>
            </w:r>
          </w:p>
          <w:p w14:paraId="6249F45D">
            <w:pPr>
              <w:snapToGrid w:val="0"/>
              <w:spacing w:line="360" w:lineRule="auto"/>
              <w:outlineLvl w:val="9"/>
              <w:rPr>
                <w:rFonts w:hint="default" w:ascii="宋体" w:hAnsi="宋体" w:eastAsia="宋体" w:cs="宋体"/>
                <w:color w:val="auto"/>
                <w:kern w:val="0"/>
                <w:szCs w:val="21"/>
                <w:highlight w:val="none"/>
                <w:lang w:val="en-US"/>
              </w:rPr>
            </w:pPr>
            <w:r>
              <w:rPr>
                <w:rFonts w:hint="eastAsia" w:ascii="宋体" w:hAnsi="宋体" w:eastAsia="宋体" w:cs="宋体"/>
                <w:color w:val="auto"/>
                <w:sz w:val="21"/>
                <w:szCs w:val="21"/>
                <w:highlight w:val="none"/>
                <w:lang w:val="en-US" w:eastAsia="zh-CN"/>
              </w:rPr>
              <w:t>（2）投标人方案的不同内容分别符合评审内容中不同档次得分要求的，评审时优先按较低的档次计分（即若投标人方案内容符合“优”的得分要求，另一部分内容符合“中”的得分要求时，应按“中”的档次考虑计分）。</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（3）食堂平面布局及装修效果展示应提供相关图纸（含相关图纸及彩色效果图）。</w:t>
            </w:r>
          </w:p>
        </w:tc>
        <w:tc>
          <w:tcPr>
            <w:tcW w:w="437" w:type="pct"/>
            <w:tcBorders>
              <w:top w:val="single" w:color="auto" w:sz="4" w:space="0"/>
              <w:left w:val="single" w:color="auto" w:sz="4" w:space="0"/>
              <w:bottom w:val="single" w:color="auto" w:sz="4" w:space="0"/>
              <w:right w:val="single" w:color="auto" w:sz="4" w:space="0"/>
            </w:tcBorders>
            <w:vAlign w:val="center"/>
          </w:tcPr>
          <w:p w14:paraId="43FFD76B">
            <w:pPr>
              <w:snapToGrid w:val="0"/>
              <w:spacing w:line="40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r>
      <w:tr w14:paraId="2F231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21BC68E9">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546" w:type="pct"/>
            <w:tcBorders>
              <w:top w:val="single" w:color="auto" w:sz="4" w:space="0"/>
              <w:left w:val="single" w:color="auto" w:sz="4" w:space="0"/>
              <w:bottom w:val="single" w:color="auto" w:sz="4" w:space="0"/>
              <w:right w:val="single" w:color="auto" w:sz="4" w:space="0"/>
            </w:tcBorders>
            <w:vAlign w:val="center"/>
          </w:tcPr>
          <w:p w14:paraId="341524D9">
            <w:pPr>
              <w:autoSpaceDE w:val="0"/>
              <w:autoSpaceDN w:val="0"/>
              <w:adjustRightInd w:val="0"/>
              <w:spacing w:line="400" w:lineRule="exact"/>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供餐服务方案</w:t>
            </w:r>
          </w:p>
        </w:tc>
        <w:tc>
          <w:tcPr>
            <w:tcW w:w="3691" w:type="pct"/>
            <w:tcBorders>
              <w:top w:val="single" w:color="auto" w:sz="4" w:space="0"/>
              <w:left w:val="single" w:color="auto" w:sz="4" w:space="0"/>
              <w:bottom w:val="single" w:color="auto" w:sz="4" w:space="0"/>
              <w:right w:val="single" w:color="auto" w:sz="4" w:space="0"/>
            </w:tcBorders>
            <w:vAlign w:val="center"/>
          </w:tcPr>
          <w:p w14:paraId="4A8BA238">
            <w:pPr>
              <w:spacing w:line="360" w:lineRule="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根据投标人提供的菜式品种、就餐模式、营养搭配方案进行评审：</w:t>
            </w:r>
          </w:p>
          <w:p w14:paraId="3D8A5F8A">
            <w:pPr>
              <w:spacing w:line="360" w:lineRule="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优：供餐服务方案详细、具体、菜品种类丰富、营养配比说明详细周到，营养搭配合理，完全满足项目实际用餐需要，得10分。</w:t>
            </w:r>
          </w:p>
          <w:p w14:paraId="40079DBA">
            <w:pPr>
              <w:spacing w:line="360" w:lineRule="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良：供餐服务方案详细、基本具体，菜品种类基本齐全、营养配比说明详细，营养搭配基本合理，满足项目实际用餐需要，得8分。</w:t>
            </w:r>
          </w:p>
          <w:p w14:paraId="6F1F3D98">
            <w:pPr>
              <w:spacing w:line="360" w:lineRule="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中：供餐服务方案一般，菜品种类一般，有营养配比说明，营养搭配一般，不够全面和具体，基本满足项目实际需要，得6分。</w:t>
            </w:r>
          </w:p>
          <w:p w14:paraId="6B14DB40">
            <w:pPr>
              <w:spacing w:line="360" w:lineRule="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差</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供餐服务方案简单粗糙、不具体，菜品种类少、营养配比说明不详细，营养搭配不合理，项目实际运作方面存在一定问题，得2分。</w:t>
            </w:r>
          </w:p>
          <w:p w14:paraId="0795776D">
            <w:pPr>
              <w:spacing w:line="360" w:lineRule="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备注:</w:t>
            </w:r>
          </w:p>
          <w:p w14:paraId="2A3F4688">
            <w:pPr>
              <w:spacing w:line="360" w:lineRule="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（1）未提供方案的不得分。</w:t>
            </w:r>
          </w:p>
          <w:p w14:paraId="3A46F787">
            <w:pPr>
              <w:autoSpaceDE w:val="0"/>
              <w:autoSpaceDN w:val="0"/>
              <w:spacing w:line="360" w:lineRule="auto"/>
              <w:outlineLvl w:val="9"/>
              <w:rPr>
                <w:rFonts w:hint="eastAsia" w:ascii="宋体" w:hAnsi="宋体" w:eastAsia="宋体" w:cs="宋体"/>
                <w:color w:val="auto"/>
                <w:sz w:val="21"/>
                <w:szCs w:val="21"/>
                <w:highlight w:val="none"/>
                <w:lang w:val="zh-CN"/>
              </w:rPr>
            </w:pPr>
            <w:r>
              <w:rPr>
                <w:rFonts w:hint="eastAsia" w:ascii="宋体" w:hAnsi="宋体" w:eastAsia="宋体" w:cs="宋体"/>
                <w:b w:val="0"/>
                <w:bCs/>
                <w:color w:val="auto"/>
                <w:kern w:val="2"/>
                <w:sz w:val="21"/>
                <w:szCs w:val="21"/>
                <w:highlight w:val="none"/>
                <w:lang w:val="en-US" w:eastAsia="zh-CN"/>
              </w:rPr>
              <w:t>（2）投标人方案的不同内容分别符合评审内容中不同档次得分要求的，评审时优先按较低的档次计分（即若投标人方案内容符合“优”的得分要求，另一部分内容符合“中”的得分要求时，应按“中”的档次考虑计分）。</w:t>
            </w:r>
          </w:p>
        </w:tc>
        <w:tc>
          <w:tcPr>
            <w:tcW w:w="437" w:type="pct"/>
            <w:tcBorders>
              <w:top w:val="single" w:color="auto" w:sz="4" w:space="0"/>
              <w:left w:val="single" w:color="auto" w:sz="4" w:space="0"/>
              <w:bottom w:val="single" w:color="auto" w:sz="4" w:space="0"/>
              <w:right w:val="single" w:color="auto" w:sz="4" w:space="0"/>
            </w:tcBorders>
            <w:vAlign w:val="center"/>
          </w:tcPr>
          <w:p w14:paraId="21DFBB4F">
            <w:pPr>
              <w:snapToGrid w:val="0"/>
              <w:spacing w:line="400" w:lineRule="exact"/>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r>
      <w:tr w14:paraId="7B74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68A05956">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546" w:type="pct"/>
            <w:tcBorders>
              <w:top w:val="single" w:color="auto" w:sz="4" w:space="0"/>
              <w:left w:val="single" w:color="auto" w:sz="4" w:space="0"/>
              <w:bottom w:val="single" w:color="auto" w:sz="4" w:space="0"/>
              <w:right w:val="single" w:color="auto" w:sz="4" w:space="0"/>
            </w:tcBorders>
            <w:vAlign w:val="center"/>
          </w:tcPr>
          <w:p w14:paraId="778D229E">
            <w:pPr>
              <w:pStyle w:val="65"/>
              <w:spacing w:line="360" w:lineRule="auto"/>
              <w:ind w:firstLine="0" w:firstLineChars="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en-US" w:eastAsia="zh-CN"/>
              </w:rPr>
              <w:t>食材配送方案</w:t>
            </w:r>
          </w:p>
        </w:tc>
        <w:tc>
          <w:tcPr>
            <w:tcW w:w="3691" w:type="pct"/>
            <w:tcBorders>
              <w:top w:val="single" w:color="auto" w:sz="4" w:space="0"/>
              <w:left w:val="single" w:color="auto" w:sz="4" w:space="0"/>
              <w:bottom w:val="single" w:color="auto" w:sz="4" w:space="0"/>
              <w:right w:val="single" w:color="auto" w:sz="4" w:space="0"/>
            </w:tcBorders>
            <w:vAlign w:val="center"/>
          </w:tcPr>
          <w:p w14:paraId="37054D24">
            <w:pPr>
              <w:snapToGrid w:val="0"/>
              <w:spacing w:line="360" w:lineRule="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根据投标人提供的食材配送方案（包括食材采购、包装、运输、装卸、供货时限、派发及善后处理等安排计划、专人服务，专人跟踪等）进行评审：</w:t>
            </w:r>
          </w:p>
          <w:p w14:paraId="2301B298">
            <w:pPr>
              <w:snapToGrid w:val="0"/>
              <w:spacing w:line="360" w:lineRule="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优：投标人的产品进货渠道来源、质量保证及食品安全保证措施具体、完善，针对本项目特性提供了详细合理的食材配送方案，配送方案非常完整齐全，配送运输流程规范，能完全满足本项目实际需要，</w:t>
            </w:r>
            <w:r>
              <w:rPr>
                <w:rFonts w:hint="eastAsia" w:ascii="宋体" w:hAnsi="宋体" w:eastAsia="宋体" w:cs="宋体"/>
                <w:color w:val="auto"/>
                <w:sz w:val="21"/>
                <w:szCs w:val="21"/>
                <w:highlight w:val="none"/>
                <w:lang w:val="en-US" w:eastAsia="zh-CN"/>
              </w:rPr>
              <w:t>得5分</w:t>
            </w:r>
            <w:r>
              <w:rPr>
                <w:rFonts w:hint="eastAsia" w:ascii="宋体" w:hAnsi="宋体" w:eastAsia="宋体" w:cs="宋体"/>
                <w:color w:val="auto"/>
                <w:sz w:val="21"/>
                <w:szCs w:val="21"/>
                <w:highlight w:val="none"/>
                <w:lang w:val="zh-CN" w:eastAsia="zh-CN"/>
              </w:rPr>
              <w:t>。</w:t>
            </w:r>
          </w:p>
          <w:p w14:paraId="384300D8">
            <w:pPr>
              <w:snapToGrid w:val="0"/>
              <w:spacing w:line="360" w:lineRule="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良：投标人的产品进货渠道来源、质量保证及食品安全保证措施比较合理、比较完善，针对本项目特性提供了比较合理的食材配送方案，配送方案完整齐全，配送运输流程基本规范，满足本项目实际需要，</w:t>
            </w:r>
            <w:r>
              <w:rPr>
                <w:rFonts w:hint="eastAsia" w:ascii="宋体" w:hAnsi="宋体" w:eastAsia="宋体" w:cs="宋体"/>
                <w:color w:val="auto"/>
                <w:sz w:val="21"/>
                <w:szCs w:val="21"/>
                <w:highlight w:val="none"/>
                <w:lang w:val="en-US" w:eastAsia="zh-CN"/>
              </w:rPr>
              <w:t>得4分</w:t>
            </w:r>
            <w:r>
              <w:rPr>
                <w:rFonts w:hint="eastAsia" w:ascii="宋体" w:hAnsi="宋体" w:eastAsia="宋体" w:cs="宋体"/>
                <w:color w:val="auto"/>
                <w:sz w:val="21"/>
                <w:szCs w:val="21"/>
                <w:highlight w:val="none"/>
                <w:lang w:val="zh-CN" w:eastAsia="zh-CN"/>
              </w:rPr>
              <w:t>。</w:t>
            </w:r>
          </w:p>
          <w:p w14:paraId="2925A2CB">
            <w:pPr>
              <w:snapToGrid w:val="0"/>
              <w:spacing w:line="360" w:lineRule="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中：投标人的产品进货渠道来源、质量保证及食品安全保证措施一般，食材配送方案一般，内容不够详细，配送运输流程一般，基本满足本项目实际需要，</w:t>
            </w:r>
            <w:r>
              <w:rPr>
                <w:rFonts w:hint="eastAsia" w:ascii="宋体" w:hAnsi="宋体" w:eastAsia="宋体" w:cs="宋体"/>
                <w:color w:val="auto"/>
                <w:sz w:val="21"/>
                <w:szCs w:val="21"/>
                <w:highlight w:val="none"/>
                <w:lang w:val="en-US" w:eastAsia="zh-CN"/>
              </w:rPr>
              <w:t>得3分</w:t>
            </w:r>
            <w:r>
              <w:rPr>
                <w:rFonts w:hint="eastAsia" w:ascii="宋体" w:hAnsi="宋体" w:eastAsia="宋体" w:cs="宋体"/>
                <w:color w:val="auto"/>
                <w:sz w:val="21"/>
                <w:szCs w:val="21"/>
                <w:highlight w:val="none"/>
                <w:lang w:val="zh-CN" w:eastAsia="zh-CN"/>
              </w:rPr>
              <w:t>。</w:t>
            </w:r>
          </w:p>
          <w:p w14:paraId="46A807F5">
            <w:pPr>
              <w:snapToGrid w:val="0"/>
              <w:spacing w:line="360" w:lineRule="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差：投标人的产品进货渠道来源不稳定，质量保证及食品安全保证措施不完善，食材配送方案内容不具体，实际运作方面存在一定风险，</w:t>
            </w:r>
            <w:r>
              <w:rPr>
                <w:rFonts w:hint="eastAsia" w:ascii="宋体" w:hAnsi="宋体" w:eastAsia="宋体" w:cs="宋体"/>
                <w:color w:val="auto"/>
                <w:sz w:val="21"/>
                <w:szCs w:val="21"/>
                <w:highlight w:val="none"/>
                <w:lang w:val="en-US" w:eastAsia="zh-CN"/>
              </w:rPr>
              <w:t>得1分</w:t>
            </w:r>
            <w:r>
              <w:rPr>
                <w:rFonts w:hint="eastAsia" w:ascii="宋体" w:hAnsi="宋体" w:eastAsia="宋体" w:cs="宋体"/>
                <w:color w:val="auto"/>
                <w:sz w:val="21"/>
                <w:szCs w:val="21"/>
                <w:highlight w:val="none"/>
                <w:lang w:val="zh-CN" w:eastAsia="zh-CN"/>
              </w:rPr>
              <w:t>。</w:t>
            </w:r>
          </w:p>
          <w:p w14:paraId="6CE7471A">
            <w:pPr>
              <w:spacing w:line="360" w:lineRule="auto"/>
              <w:outlineLvl w:val="9"/>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备注：</w:t>
            </w:r>
          </w:p>
          <w:p w14:paraId="6B9DFDF7">
            <w:pPr>
              <w:spacing w:line="360" w:lineRule="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（1）未提供方案的不得分。</w:t>
            </w:r>
          </w:p>
          <w:p w14:paraId="22EE8D10">
            <w:pPr>
              <w:snapToGrid w:val="0"/>
              <w:spacing w:line="360" w:lineRule="auto"/>
              <w:outlineLvl w:val="9"/>
              <w:rPr>
                <w:rFonts w:hint="eastAsia" w:ascii="宋体" w:hAnsi="宋体" w:eastAsia="宋体" w:cs="宋体"/>
                <w:color w:val="auto"/>
                <w:sz w:val="21"/>
                <w:szCs w:val="21"/>
                <w:highlight w:val="none"/>
                <w:lang w:val="zh-CN"/>
              </w:rPr>
            </w:pPr>
            <w:r>
              <w:rPr>
                <w:rFonts w:hint="eastAsia" w:ascii="宋体" w:hAnsi="宋体" w:eastAsia="宋体" w:cs="宋体"/>
                <w:b w:val="0"/>
                <w:bCs/>
                <w:color w:val="auto"/>
                <w:kern w:val="2"/>
                <w:sz w:val="21"/>
                <w:szCs w:val="21"/>
                <w:highlight w:val="none"/>
                <w:lang w:val="en-US" w:eastAsia="zh-CN"/>
              </w:rPr>
              <w:t>（2）投标人方案的不同内容分别符合评审内容中不同档次得分要求的，评审时优先按较低的档次计分（即若投标人方案内容符合“优”的得分要求，另一部分内容符合“中”的得分要求时，应按“中”的档次考虑计分）。</w:t>
            </w:r>
          </w:p>
        </w:tc>
        <w:tc>
          <w:tcPr>
            <w:tcW w:w="437" w:type="pct"/>
            <w:tcBorders>
              <w:top w:val="single" w:color="auto" w:sz="4" w:space="0"/>
              <w:left w:val="single" w:color="auto" w:sz="4" w:space="0"/>
              <w:bottom w:val="single" w:color="auto" w:sz="4" w:space="0"/>
              <w:right w:val="single" w:color="auto" w:sz="4" w:space="0"/>
            </w:tcBorders>
            <w:vAlign w:val="center"/>
          </w:tcPr>
          <w:p w14:paraId="40745164">
            <w:pPr>
              <w:snapToGrid w:val="0"/>
              <w:spacing w:line="40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2F74B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vMerge w:val="restart"/>
            <w:tcBorders>
              <w:top w:val="single" w:color="auto" w:sz="4" w:space="0"/>
              <w:left w:val="single" w:color="auto" w:sz="4" w:space="0"/>
              <w:right w:val="single" w:color="auto" w:sz="4" w:space="0"/>
            </w:tcBorders>
            <w:vAlign w:val="center"/>
          </w:tcPr>
          <w:p w14:paraId="27FF89DD">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546" w:type="pct"/>
            <w:vMerge w:val="restart"/>
            <w:tcBorders>
              <w:top w:val="single" w:color="auto" w:sz="4" w:space="0"/>
              <w:left w:val="single" w:color="auto" w:sz="4" w:space="0"/>
              <w:right w:val="single" w:color="auto" w:sz="4" w:space="0"/>
            </w:tcBorders>
            <w:vAlign w:val="center"/>
          </w:tcPr>
          <w:p w14:paraId="508BB595">
            <w:pPr>
              <w:pStyle w:val="65"/>
              <w:spacing w:line="360" w:lineRule="auto"/>
              <w:ind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食品安全卫生与安全生产管理措施</w:t>
            </w:r>
          </w:p>
        </w:tc>
        <w:tc>
          <w:tcPr>
            <w:tcW w:w="3691" w:type="pct"/>
            <w:tcBorders>
              <w:top w:val="single" w:color="auto" w:sz="4" w:space="0"/>
              <w:left w:val="single" w:color="auto" w:sz="4" w:space="0"/>
              <w:bottom w:val="single" w:color="auto" w:sz="4" w:space="0"/>
              <w:right w:val="single" w:color="auto" w:sz="4" w:space="0"/>
            </w:tcBorders>
            <w:vAlign w:val="center"/>
          </w:tcPr>
          <w:p w14:paraId="6EF1F096">
            <w:pPr>
              <w:spacing w:line="36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根据</w:t>
            </w:r>
            <w:r>
              <w:rPr>
                <w:rFonts w:hint="eastAsia" w:ascii="宋体" w:hAnsi="宋体" w:eastAsia="宋体" w:cs="宋体"/>
                <w:b w:val="0"/>
                <w:bCs/>
                <w:color w:val="auto"/>
                <w:kern w:val="2"/>
                <w:sz w:val="21"/>
                <w:szCs w:val="21"/>
                <w:highlight w:val="none"/>
                <w:lang w:val="en-US" w:eastAsia="zh-CN"/>
              </w:rPr>
              <w:t>投标人</w:t>
            </w:r>
            <w:r>
              <w:rPr>
                <w:rFonts w:hint="eastAsia" w:ascii="宋体" w:hAnsi="宋体" w:eastAsia="宋体" w:cs="宋体"/>
                <w:color w:val="auto"/>
                <w:sz w:val="21"/>
                <w:szCs w:val="21"/>
                <w:highlight w:val="none"/>
                <w:lang w:val="en-US" w:eastAsia="zh-CN"/>
              </w:rPr>
              <w:t>拟定的食品安全卫生管理方案与安全生产管理措施，包括但不限于食堂采购食品及原料、食品添加剂的进货渠道管理、验收管理和采购台账管理制度、查验记录制度、食品留样制度、卫生管理制度（包括但不限于：蔬菜、生肉（鱼）、香料等的清洗规程，餐具及锅勺等的清洗与消毒规程，厨房员工卫生操作规程，厨房卫生及垃圾处理规程，库房卫生管理制度、食品留样制度）、索证索票制度、安全生产管理措施（包括但不限于：安全生产检查流程、安全生产管理规定、安全防范措施等）等内容的情况进行综合评审</w:t>
            </w:r>
            <w:r>
              <w:rPr>
                <w:rFonts w:hint="eastAsia" w:ascii="宋体" w:hAnsi="宋体" w:eastAsia="宋体" w:cs="宋体"/>
                <w:color w:val="auto"/>
                <w:sz w:val="21"/>
                <w:szCs w:val="21"/>
                <w:highlight w:val="none"/>
                <w:lang w:eastAsia="zh-CN"/>
              </w:rPr>
              <w:t>：</w:t>
            </w:r>
          </w:p>
          <w:p w14:paraId="4052E361">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w:t>
            </w:r>
            <w:r>
              <w:rPr>
                <w:rFonts w:hint="eastAsia" w:ascii="宋体" w:hAnsi="宋体" w:eastAsia="宋体" w:cs="宋体"/>
                <w:color w:val="auto"/>
                <w:sz w:val="21"/>
                <w:szCs w:val="21"/>
                <w:highlight w:val="none"/>
                <w:lang w:eastAsia="zh-CN"/>
              </w:rPr>
              <w:t>：</w:t>
            </w:r>
            <w:r>
              <w:rPr>
                <w:rFonts w:hint="eastAsia" w:ascii="宋体" w:hAnsi="宋体" w:eastAsia="宋体" w:cs="宋体"/>
                <w:b w:val="0"/>
                <w:bCs/>
                <w:color w:val="auto"/>
                <w:kern w:val="2"/>
                <w:sz w:val="21"/>
                <w:szCs w:val="21"/>
                <w:highlight w:val="none"/>
                <w:lang w:val="en-US" w:eastAsia="zh-CN"/>
              </w:rPr>
              <w:t>投标人</w:t>
            </w:r>
            <w:r>
              <w:rPr>
                <w:rFonts w:hint="eastAsia" w:ascii="宋体" w:hAnsi="宋体" w:eastAsia="宋体" w:cs="宋体"/>
                <w:color w:val="auto"/>
                <w:sz w:val="21"/>
                <w:szCs w:val="21"/>
                <w:highlight w:val="none"/>
                <w:lang w:val="en-US" w:eastAsia="zh-CN"/>
              </w:rPr>
              <w:t>所提供的方案内容完整，对于方案内容均有详细的介绍，内容清晰，完全满足或优于项目需求，得5分</w:t>
            </w:r>
            <w:r>
              <w:rPr>
                <w:rFonts w:hint="eastAsia" w:ascii="宋体" w:hAnsi="宋体" w:eastAsia="宋体" w:cs="宋体"/>
                <w:color w:val="auto"/>
                <w:sz w:val="21"/>
                <w:szCs w:val="21"/>
                <w:highlight w:val="none"/>
                <w:lang w:eastAsia="zh-CN"/>
              </w:rPr>
              <w:t>。</w:t>
            </w:r>
          </w:p>
          <w:p w14:paraId="58702F39">
            <w:pPr>
              <w:spacing w:line="360" w:lineRule="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良</w:t>
            </w:r>
            <w:r>
              <w:rPr>
                <w:rFonts w:hint="eastAsia" w:ascii="宋体" w:hAnsi="宋体" w:eastAsia="宋体" w:cs="宋体"/>
                <w:color w:val="auto"/>
                <w:sz w:val="21"/>
                <w:szCs w:val="21"/>
                <w:highlight w:val="none"/>
                <w:lang w:eastAsia="zh-CN"/>
              </w:rPr>
              <w:t>：</w:t>
            </w:r>
            <w:r>
              <w:rPr>
                <w:rFonts w:hint="eastAsia" w:ascii="宋体" w:hAnsi="宋体" w:eastAsia="宋体" w:cs="宋体"/>
                <w:b w:val="0"/>
                <w:bCs/>
                <w:color w:val="auto"/>
                <w:kern w:val="2"/>
                <w:sz w:val="21"/>
                <w:szCs w:val="21"/>
                <w:highlight w:val="none"/>
                <w:lang w:val="en-US" w:eastAsia="zh-CN"/>
              </w:rPr>
              <w:t>投标人</w:t>
            </w:r>
            <w:r>
              <w:rPr>
                <w:rFonts w:hint="eastAsia" w:ascii="宋体" w:hAnsi="宋体" w:eastAsia="宋体" w:cs="宋体"/>
                <w:color w:val="auto"/>
                <w:sz w:val="21"/>
                <w:szCs w:val="21"/>
                <w:highlight w:val="none"/>
                <w:lang w:val="en-US" w:eastAsia="zh-CN"/>
              </w:rPr>
              <w:t>所提供的方案内容比较完整，对于方案内容均有较详细的介绍，内容较清晰，满足项目需求，得4分。</w:t>
            </w:r>
          </w:p>
          <w:p w14:paraId="7AF39459">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ascii="宋体" w:hAnsi="宋体" w:eastAsia="宋体" w:cs="宋体"/>
                <w:b w:val="0"/>
                <w:bCs/>
                <w:color w:val="auto"/>
                <w:kern w:val="2"/>
                <w:sz w:val="21"/>
                <w:szCs w:val="21"/>
                <w:highlight w:val="none"/>
                <w:lang w:val="en-US" w:eastAsia="zh-CN"/>
              </w:rPr>
              <w:t>投标人</w:t>
            </w:r>
            <w:r>
              <w:rPr>
                <w:rFonts w:hint="eastAsia" w:ascii="宋体" w:hAnsi="宋体" w:eastAsia="宋体" w:cs="宋体"/>
                <w:color w:val="auto"/>
                <w:sz w:val="21"/>
                <w:szCs w:val="21"/>
                <w:highlight w:val="none"/>
                <w:lang w:val="en-US" w:eastAsia="zh-CN"/>
              </w:rPr>
              <w:t>所提供的方案内容比较完善，对于方案内容均有一定的介绍，内容不够清晰，基本满足项目需求，得3分</w:t>
            </w:r>
            <w:r>
              <w:rPr>
                <w:rFonts w:hint="eastAsia" w:ascii="宋体" w:hAnsi="宋体" w:eastAsia="宋体" w:cs="宋体"/>
                <w:color w:val="auto"/>
                <w:sz w:val="21"/>
                <w:szCs w:val="21"/>
                <w:highlight w:val="none"/>
              </w:rPr>
              <w:t>。</w:t>
            </w:r>
          </w:p>
          <w:p w14:paraId="21BA57E9">
            <w:pPr>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差</w:t>
            </w:r>
            <w:r>
              <w:rPr>
                <w:rFonts w:hint="eastAsia" w:ascii="宋体" w:hAnsi="宋体" w:eastAsia="宋体" w:cs="宋体"/>
                <w:color w:val="auto"/>
                <w:sz w:val="21"/>
                <w:szCs w:val="21"/>
                <w:highlight w:val="none"/>
                <w:lang w:eastAsia="zh-CN"/>
              </w:rPr>
              <w:t>：</w:t>
            </w:r>
            <w:r>
              <w:rPr>
                <w:rFonts w:hint="eastAsia" w:ascii="宋体" w:hAnsi="宋体" w:eastAsia="宋体" w:cs="宋体"/>
                <w:b w:val="0"/>
                <w:bCs/>
                <w:color w:val="auto"/>
                <w:kern w:val="2"/>
                <w:sz w:val="21"/>
                <w:szCs w:val="21"/>
                <w:highlight w:val="none"/>
                <w:lang w:val="en-US" w:eastAsia="zh-CN"/>
              </w:rPr>
              <w:t>投标人</w:t>
            </w:r>
            <w:r>
              <w:rPr>
                <w:rFonts w:hint="eastAsia" w:ascii="宋体" w:hAnsi="宋体" w:eastAsia="宋体" w:cs="宋体"/>
                <w:color w:val="auto"/>
                <w:sz w:val="21"/>
                <w:szCs w:val="21"/>
                <w:highlight w:val="none"/>
                <w:lang w:val="en-US" w:eastAsia="zh-CN"/>
              </w:rPr>
              <w:t>所提供的方案内容不完整，对于方案内容有基本的介绍，但内容混乱，只有部分内容能够满足项目需求，得1分。</w:t>
            </w:r>
          </w:p>
          <w:p w14:paraId="0B069A2E">
            <w:pPr>
              <w:spacing w:line="360" w:lineRule="auto"/>
              <w:outlineLvl w:val="9"/>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备注：</w:t>
            </w:r>
          </w:p>
          <w:p w14:paraId="6AD44CA3">
            <w:pPr>
              <w:spacing w:line="360" w:lineRule="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（1）未提供方案的不得分。</w:t>
            </w:r>
          </w:p>
          <w:p w14:paraId="2B0AF41B">
            <w:pPr>
              <w:snapToGrid w:val="0"/>
              <w:spacing w:line="360" w:lineRule="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2）投标人方案的不同内容分别符合评审内容中不同档次得分要求的，评审时优先按较低的档次计分（即若投标人方案内容符合“优”的得分要求，另一部分内容符合“中”的得分要求时，应按“中”的档次考虑计分）。</w:t>
            </w:r>
          </w:p>
        </w:tc>
        <w:tc>
          <w:tcPr>
            <w:tcW w:w="437" w:type="pct"/>
            <w:tcBorders>
              <w:top w:val="single" w:color="auto" w:sz="4" w:space="0"/>
              <w:left w:val="single" w:color="auto" w:sz="4" w:space="0"/>
              <w:bottom w:val="single" w:color="auto" w:sz="4" w:space="0"/>
              <w:right w:val="single" w:color="auto" w:sz="4" w:space="0"/>
            </w:tcBorders>
            <w:vAlign w:val="center"/>
          </w:tcPr>
          <w:p w14:paraId="209AD14D">
            <w:pPr>
              <w:snapToGrid w:val="0"/>
              <w:spacing w:line="400" w:lineRule="exact"/>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r>
      <w:tr w14:paraId="07BF8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vMerge w:val="continue"/>
            <w:tcBorders>
              <w:left w:val="single" w:color="auto" w:sz="4" w:space="0"/>
              <w:bottom w:val="single" w:color="auto" w:sz="4" w:space="0"/>
              <w:right w:val="single" w:color="auto" w:sz="4" w:space="0"/>
            </w:tcBorders>
            <w:vAlign w:val="center"/>
          </w:tcPr>
          <w:p w14:paraId="45DA1B8E">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p>
        </w:tc>
        <w:tc>
          <w:tcPr>
            <w:tcW w:w="546" w:type="pct"/>
            <w:vMerge w:val="continue"/>
            <w:tcBorders>
              <w:left w:val="single" w:color="auto" w:sz="4" w:space="0"/>
              <w:bottom w:val="single" w:color="auto" w:sz="4" w:space="0"/>
              <w:right w:val="single" w:color="auto" w:sz="4" w:space="0"/>
            </w:tcBorders>
            <w:vAlign w:val="center"/>
          </w:tcPr>
          <w:p w14:paraId="3115FF65">
            <w:pPr>
              <w:pStyle w:val="65"/>
              <w:spacing w:line="360" w:lineRule="auto"/>
              <w:ind w:firstLine="0" w:firstLineChars="0"/>
              <w:jc w:val="center"/>
              <w:outlineLvl w:val="9"/>
              <w:rPr>
                <w:rFonts w:hint="eastAsia" w:ascii="宋体" w:hAnsi="宋体" w:eastAsia="宋体" w:cs="宋体"/>
                <w:color w:val="auto"/>
                <w:sz w:val="21"/>
                <w:szCs w:val="21"/>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vAlign w:val="center"/>
          </w:tcPr>
          <w:p w14:paraId="3515A160">
            <w:pPr>
              <w:keepNext w:val="0"/>
              <w:keepLines w:val="0"/>
              <w:pageBreakBefore w:val="0"/>
              <w:widowControl/>
              <w:kinsoku/>
              <w:wordWrap/>
              <w:overflowPunct/>
              <w:topLinePunct w:val="0"/>
              <w:bidi w:val="0"/>
              <w:spacing w:after="0"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b w:val="0"/>
                <w:bCs/>
                <w:color w:val="auto"/>
                <w:kern w:val="2"/>
                <w:sz w:val="21"/>
                <w:szCs w:val="21"/>
                <w:highlight w:val="none"/>
                <w:lang w:val="en-US" w:eastAsia="zh-CN"/>
              </w:rPr>
              <w:t>投标人</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前三个月（不含</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当月）任意月份具有检验检测机构资质认定（CMA资质）的第三方检测机构出具的食材合格检测报告进行评分：</w:t>
            </w:r>
          </w:p>
          <w:p w14:paraId="002E2424">
            <w:pPr>
              <w:keepNext w:val="0"/>
              <w:keepLines w:val="0"/>
              <w:pageBreakBefore w:val="0"/>
              <w:kinsoku/>
              <w:wordWrap/>
              <w:overflowPunct/>
              <w:topLinePunct w:val="0"/>
              <w:bidi w:val="0"/>
              <w:spacing w:after="0"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①蔬菜类（叶菜或瓜果）检验合格的得1分；</w:t>
            </w:r>
          </w:p>
          <w:p w14:paraId="1D4B146E">
            <w:pPr>
              <w:keepNext w:val="0"/>
              <w:keepLines w:val="0"/>
              <w:pageBreakBefore w:val="0"/>
              <w:kinsoku/>
              <w:wordWrap/>
              <w:overflowPunct/>
              <w:topLinePunct w:val="0"/>
              <w:bidi w:val="0"/>
              <w:spacing w:after="0"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②鲜肉类（猪或牛或羊或禽类）检验合格的得1分；</w:t>
            </w:r>
          </w:p>
          <w:p w14:paraId="795080C2">
            <w:pPr>
              <w:keepNext w:val="0"/>
              <w:keepLines w:val="0"/>
              <w:pageBreakBefore w:val="0"/>
              <w:kinsoku/>
              <w:wordWrap/>
              <w:overflowPunct/>
              <w:topLinePunct w:val="0"/>
              <w:bidi w:val="0"/>
              <w:spacing w:after="0"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③冻品类（水产类）检验合格的得1分；</w:t>
            </w:r>
          </w:p>
          <w:p w14:paraId="72461A87">
            <w:pPr>
              <w:keepNext w:val="0"/>
              <w:keepLines w:val="0"/>
              <w:pageBreakBefore w:val="0"/>
              <w:kinsoku/>
              <w:wordWrap/>
              <w:overflowPunct/>
              <w:topLinePunct w:val="0"/>
              <w:bidi w:val="0"/>
              <w:spacing w:after="0"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④副食品类（干货类或调味料）检验合格的得1分；</w:t>
            </w:r>
          </w:p>
          <w:p w14:paraId="35D38B34">
            <w:pPr>
              <w:keepNext w:val="0"/>
              <w:keepLines w:val="0"/>
              <w:pageBreakBefore w:val="0"/>
              <w:kinsoku/>
              <w:wordWrap/>
              <w:overflowPunct/>
              <w:topLinePunct w:val="0"/>
              <w:bidi w:val="0"/>
              <w:spacing w:after="0"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⑤粮油类（大米或食用油）检验合格的得1分。</w:t>
            </w:r>
          </w:p>
          <w:p w14:paraId="2AD9082E">
            <w:pPr>
              <w:keepNext w:val="0"/>
              <w:keepLines w:val="0"/>
              <w:pageBreakBefore w:val="0"/>
              <w:kinsoku/>
              <w:wordWrap/>
              <w:overflowPunct/>
              <w:topLinePunct w:val="0"/>
              <w:bidi w:val="0"/>
              <w:spacing w:after="0"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未提供不得分。</w:t>
            </w:r>
          </w:p>
          <w:p w14:paraId="058F7510">
            <w:pPr>
              <w:snapToGrid w:val="0"/>
              <w:spacing w:line="360" w:lineRule="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color w:val="auto"/>
                <w:sz w:val="21"/>
                <w:szCs w:val="21"/>
                <w:highlight w:val="none"/>
                <w:lang w:val="pt-BR"/>
              </w:rPr>
              <w:t>备注</w:t>
            </w:r>
            <w:r>
              <w:rPr>
                <w:rFonts w:hint="eastAsia" w:ascii="宋体" w:hAnsi="宋体" w:eastAsia="宋体" w:cs="宋体"/>
                <w:b/>
                <w:bCs/>
                <w:color w:val="auto"/>
                <w:sz w:val="21"/>
                <w:szCs w:val="21"/>
                <w:highlight w:val="none"/>
              </w:rPr>
              <w:t>：须提供合格的检测报告以及对应检测报告的发票复印件并加盖</w:t>
            </w:r>
            <w:r>
              <w:rPr>
                <w:rFonts w:hint="eastAsia" w:ascii="宋体" w:hAnsi="宋体" w:eastAsia="宋体" w:cs="宋体"/>
                <w:b/>
                <w:bCs/>
                <w:color w:val="auto"/>
                <w:sz w:val="21"/>
                <w:szCs w:val="21"/>
                <w:highlight w:val="none"/>
                <w:lang w:val="en-US" w:eastAsia="zh-CN"/>
              </w:rPr>
              <w:t>供应商法人</w:t>
            </w:r>
            <w:r>
              <w:rPr>
                <w:rFonts w:hint="eastAsia" w:ascii="宋体" w:hAnsi="宋体" w:eastAsia="宋体" w:cs="宋体"/>
                <w:b/>
                <w:bCs/>
                <w:color w:val="auto"/>
                <w:sz w:val="21"/>
                <w:szCs w:val="21"/>
                <w:highlight w:val="none"/>
              </w:rPr>
              <w:t>公章。</w:t>
            </w:r>
          </w:p>
        </w:tc>
        <w:tc>
          <w:tcPr>
            <w:tcW w:w="437" w:type="pct"/>
            <w:tcBorders>
              <w:top w:val="single" w:color="auto" w:sz="4" w:space="0"/>
              <w:left w:val="single" w:color="auto" w:sz="4" w:space="0"/>
              <w:bottom w:val="single" w:color="auto" w:sz="4" w:space="0"/>
              <w:right w:val="single" w:color="auto" w:sz="4" w:space="0"/>
            </w:tcBorders>
            <w:vAlign w:val="center"/>
          </w:tcPr>
          <w:p w14:paraId="10EEB5DC">
            <w:pPr>
              <w:snapToGrid w:val="0"/>
              <w:spacing w:line="400" w:lineRule="exact"/>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r>
      <w:tr w14:paraId="44F8A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37537439">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w:t>
            </w:r>
          </w:p>
        </w:tc>
        <w:tc>
          <w:tcPr>
            <w:tcW w:w="546" w:type="pct"/>
            <w:tcBorders>
              <w:top w:val="single" w:color="auto" w:sz="4" w:space="0"/>
              <w:left w:val="single" w:color="auto" w:sz="4" w:space="0"/>
              <w:bottom w:val="single" w:color="auto" w:sz="4" w:space="0"/>
              <w:right w:val="single" w:color="auto" w:sz="4" w:space="0"/>
            </w:tcBorders>
            <w:vAlign w:val="center"/>
          </w:tcPr>
          <w:p w14:paraId="53D9C2F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en-US" w:eastAsia="zh-CN"/>
              </w:rPr>
              <w:t>食堂经营团队</w:t>
            </w:r>
          </w:p>
        </w:tc>
        <w:tc>
          <w:tcPr>
            <w:tcW w:w="3691" w:type="pct"/>
            <w:tcBorders>
              <w:top w:val="single" w:color="auto" w:sz="4" w:space="0"/>
              <w:left w:val="single" w:color="auto" w:sz="4" w:space="0"/>
              <w:bottom w:val="single" w:color="auto" w:sz="4" w:space="0"/>
              <w:right w:val="single" w:color="auto" w:sz="4" w:space="0"/>
            </w:tcBorders>
            <w:vAlign w:val="center"/>
          </w:tcPr>
          <w:p w14:paraId="292209EB">
            <w:pPr>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根据投标人拟派驻食堂任职工作团队情况进行评审：</w:t>
            </w:r>
          </w:p>
          <w:p w14:paraId="42BBCDE6">
            <w:pPr>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（1）具有政府主管部门或行业协会及机构颁发的中式烹调师或厨师证的，每人得2分，本小项最高得6分；</w:t>
            </w:r>
          </w:p>
          <w:p w14:paraId="1016B148">
            <w:pPr>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（2）具有政府主管部门或行业协会及机构颁发的面点师证的，每得1分，本小项最高得3分；</w:t>
            </w:r>
          </w:p>
          <w:p w14:paraId="52DD1E3C">
            <w:pPr>
              <w:spacing w:line="360" w:lineRule="auto"/>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备注：</w:t>
            </w:r>
          </w:p>
          <w:p w14:paraId="1135CA6B">
            <w:pPr>
              <w:spacing w:line="360" w:lineRule="auto"/>
              <w:outlineLvl w:val="9"/>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eastAsia="zh-CN"/>
              </w:rPr>
              <w:t>（</w:t>
            </w:r>
            <w:r>
              <w:rPr>
                <w:rFonts w:hint="eastAsia" w:ascii="宋体" w:hAnsi="宋体" w:eastAsia="宋体" w:cs="宋体"/>
                <w:b w:val="0"/>
                <w:bCs/>
                <w:color w:val="auto"/>
                <w:kern w:val="2"/>
                <w:sz w:val="21"/>
                <w:szCs w:val="21"/>
                <w:highlight w:val="none"/>
                <w:lang w:val="en-US" w:eastAsia="zh-CN"/>
              </w:rPr>
              <w:t>1</w:t>
            </w:r>
            <w:r>
              <w:rPr>
                <w:rFonts w:hint="eastAsia" w:ascii="宋体" w:hAnsi="宋体" w:eastAsia="宋体" w:cs="宋体"/>
                <w:b w:val="0"/>
                <w:bCs/>
                <w:color w:val="auto"/>
                <w:kern w:val="2"/>
                <w:sz w:val="21"/>
                <w:szCs w:val="21"/>
                <w:highlight w:val="none"/>
                <w:lang w:eastAsia="zh-CN"/>
              </w:rPr>
              <w:t>）</w:t>
            </w:r>
            <w:r>
              <w:rPr>
                <w:rFonts w:hint="eastAsia" w:ascii="宋体" w:hAnsi="宋体" w:eastAsia="宋体" w:cs="宋体"/>
                <w:b w:val="0"/>
                <w:bCs/>
                <w:color w:val="auto"/>
                <w:kern w:val="2"/>
                <w:sz w:val="21"/>
                <w:szCs w:val="21"/>
                <w:highlight w:val="none"/>
              </w:rPr>
              <w:t>需提供上述人员</w:t>
            </w:r>
            <w:r>
              <w:rPr>
                <w:rFonts w:hint="eastAsia" w:ascii="宋体" w:hAnsi="宋体" w:eastAsia="宋体" w:cs="宋体"/>
                <w:b w:val="0"/>
                <w:bCs/>
                <w:color w:val="auto"/>
                <w:kern w:val="2"/>
                <w:sz w:val="21"/>
                <w:szCs w:val="21"/>
                <w:highlight w:val="none"/>
                <w:lang w:val="en-US" w:eastAsia="zh-CN"/>
              </w:rPr>
              <w:t>的身份证、劳动合同的复印件、资</w:t>
            </w:r>
            <w:r>
              <w:rPr>
                <w:rFonts w:hint="eastAsia" w:ascii="宋体" w:hAnsi="宋体" w:eastAsia="宋体" w:cs="宋体"/>
                <w:b w:val="0"/>
                <w:bCs/>
                <w:color w:val="auto"/>
                <w:kern w:val="2"/>
                <w:sz w:val="21"/>
                <w:szCs w:val="21"/>
                <w:highlight w:val="none"/>
              </w:rPr>
              <w:t>格证书</w:t>
            </w:r>
            <w:r>
              <w:rPr>
                <w:rFonts w:hint="eastAsia" w:ascii="宋体" w:hAnsi="宋体" w:eastAsia="宋体" w:cs="宋体"/>
                <w:b w:val="0"/>
                <w:bCs/>
                <w:color w:val="auto"/>
                <w:kern w:val="2"/>
                <w:sz w:val="21"/>
                <w:szCs w:val="21"/>
                <w:highlight w:val="none"/>
                <w:lang w:val="en-US" w:eastAsia="zh-CN"/>
              </w:rPr>
              <w:t>[</w:t>
            </w:r>
            <w:r>
              <w:rPr>
                <w:rFonts w:hint="eastAsia" w:ascii="宋体" w:hAnsi="宋体" w:eastAsia="宋体" w:cs="宋体"/>
                <w:b w:val="0"/>
                <w:bCs/>
                <w:color w:val="auto"/>
                <w:kern w:val="2"/>
                <w:sz w:val="21"/>
                <w:szCs w:val="21"/>
                <w:highlight w:val="none"/>
              </w:rPr>
              <w:t>注册/执业/岗位证书/</w:t>
            </w:r>
            <w:r>
              <w:rPr>
                <w:rFonts w:hint="eastAsia" w:ascii="宋体" w:hAnsi="宋体" w:eastAsia="宋体" w:cs="宋体"/>
                <w:b w:val="0"/>
                <w:bCs/>
                <w:color w:val="auto"/>
                <w:kern w:val="2"/>
                <w:sz w:val="21"/>
                <w:szCs w:val="21"/>
                <w:highlight w:val="none"/>
                <w:lang w:val="en-US" w:eastAsia="zh-CN"/>
              </w:rPr>
              <w:t>职业资格证</w:t>
            </w:r>
            <w:r>
              <w:rPr>
                <w:rFonts w:hint="eastAsia" w:ascii="宋体" w:hAnsi="宋体" w:eastAsia="宋体" w:cs="宋体"/>
                <w:b w:val="0"/>
                <w:bCs/>
                <w:color w:val="auto"/>
                <w:kern w:val="2"/>
                <w:sz w:val="21"/>
                <w:szCs w:val="21"/>
                <w:highlight w:val="none"/>
              </w:rPr>
              <w:t>/技术职称</w:t>
            </w:r>
            <w:r>
              <w:rPr>
                <w:rFonts w:hint="eastAsia" w:ascii="宋体" w:hAnsi="宋体" w:eastAsia="宋体" w:cs="宋体"/>
                <w:b w:val="0"/>
                <w:bCs/>
                <w:color w:val="auto"/>
                <w:kern w:val="2"/>
                <w:sz w:val="21"/>
                <w:szCs w:val="21"/>
                <w:highlight w:val="none"/>
                <w:lang w:val="en-US" w:eastAsia="zh-CN"/>
              </w:rPr>
              <w:t>]</w:t>
            </w:r>
            <w:r>
              <w:rPr>
                <w:rFonts w:hint="eastAsia" w:ascii="宋体" w:hAnsi="宋体" w:eastAsia="宋体" w:cs="宋体"/>
                <w:b w:val="0"/>
                <w:bCs/>
                <w:color w:val="auto"/>
                <w:kern w:val="2"/>
                <w:sz w:val="21"/>
                <w:szCs w:val="21"/>
                <w:highlight w:val="none"/>
              </w:rPr>
              <w:t>以及人力资源和社会保障部门（或税务部门）出具的</w:t>
            </w:r>
            <w:r>
              <w:rPr>
                <w:rFonts w:hint="eastAsia" w:ascii="宋体" w:hAnsi="宋体" w:eastAsia="宋体" w:cs="宋体"/>
                <w:b w:val="0"/>
                <w:bCs/>
                <w:color w:val="auto"/>
                <w:kern w:val="2"/>
                <w:sz w:val="21"/>
                <w:szCs w:val="21"/>
                <w:highlight w:val="none"/>
                <w:lang w:val="en-US" w:eastAsia="zh-CN"/>
              </w:rPr>
              <w:t>近六个月（2024年8月、2024年9月、2024年10月、2024年11月、2024年12月、2025年1月）投标人</w:t>
            </w:r>
            <w:r>
              <w:rPr>
                <w:rFonts w:hint="eastAsia" w:ascii="宋体" w:hAnsi="宋体" w:eastAsia="宋体" w:cs="宋体"/>
                <w:b w:val="0"/>
                <w:bCs/>
                <w:color w:val="auto"/>
                <w:kern w:val="2"/>
                <w:sz w:val="21"/>
                <w:szCs w:val="21"/>
                <w:highlight w:val="none"/>
              </w:rPr>
              <w:t>为其缴纳的社保证明复印件</w:t>
            </w:r>
            <w:r>
              <w:rPr>
                <w:rFonts w:hint="eastAsia" w:ascii="宋体" w:hAnsi="宋体" w:eastAsia="宋体" w:cs="宋体"/>
                <w:b w:val="0"/>
                <w:bCs/>
                <w:color w:val="auto"/>
                <w:kern w:val="2"/>
                <w:sz w:val="21"/>
                <w:szCs w:val="21"/>
                <w:highlight w:val="none"/>
                <w:lang w:eastAsia="zh-CN"/>
              </w:rPr>
              <w:t>，</w:t>
            </w:r>
            <w:r>
              <w:rPr>
                <w:rFonts w:hint="eastAsia" w:ascii="宋体" w:hAnsi="宋体" w:eastAsia="宋体" w:cs="宋体"/>
                <w:b w:val="0"/>
                <w:bCs/>
                <w:color w:val="auto"/>
                <w:kern w:val="2"/>
                <w:sz w:val="21"/>
                <w:szCs w:val="21"/>
                <w:highlight w:val="none"/>
                <w:lang w:val="en-US" w:eastAsia="zh-CN"/>
              </w:rPr>
              <w:t>身份证、劳动合同、资</w:t>
            </w:r>
            <w:r>
              <w:rPr>
                <w:rFonts w:hint="eastAsia" w:ascii="宋体" w:hAnsi="宋体" w:eastAsia="宋体" w:cs="宋体"/>
                <w:b w:val="0"/>
                <w:bCs/>
                <w:color w:val="auto"/>
                <w:kern w:val="2"/>
                <w:sz w:val="21"/>
                <w:szCs w:val="21"/>
                <w:highlight w:val="none"/>
              </w:rPr>
              <w:t>格证书</w:t>
            </w:r>
            <w:r>
              <w:rPr>
                <w:rFonts w:hint="eastAsia" w:ascii="宋体" w:hAnsi="宋体" w:eastAsia="宋体" w:cs="宋体"/>
                <w:b w:val="0"/>
                <w:bCs/>
                <w:color w:val="auto"/>
                <w:kern w:val="2"/>
                <w:sz w:val="21"/>
                <w:szCs w:val="21"/>
                <w:highlight w:val="none"/>
                <w:lang w:val="en-US" w:eastAsia="zh-CN"/>
              </w:rPr>
              <w:t>[</w:t>
            </w:r>
            <w:r>
              <w:rPr>
                <w:rFonts w:hint="eastAsia" w:ascii="宋体" w:hAnsi="宋体" w:eastAsia="宋体" w:cs="宋体"/>
                <w:b w:val="0"/>
                <w:bCs/>
                <w:color w:val="auto"/>
                <w:kern w:val="2"/>
                <w:sz w:val="21"/>
                <w:szCs w:val="21"/>
                <w:highlight w:val="none"/>
              </w:rPr>
              <w:t>注册/执业/岗位证书/</w:t>
            </w:r>
            <w:r>
              <w:rPr>
                <w:rFonts w:hint="eastAsia" w:ascii="宋体" w:hAnsi="宋体" w:eastAsia="宋体" w:cs="宋体"/>
                <w:b w:val="0"/>
                <w:bCs/>
                <w:color w:val="auto"/>
                <w:kern w:val="2"/>
                <w:sz w:val="21"/>
                <w:szCs w:val="21"/>
                <w:highlight w:val="none"/>
                <w:lang w:val="en-US" w:eastAsia="zh-CN"/>
              </w:rPr>
              <w:t>职业资格证</w:t>
            </w:r>
            <w:r>
              <w:rPr>
                <w:rFonts w:hint="eastAsia" w:ascii="宋体" w:hAnsi="宋体" w:eastAsia="宋体" w:cs="宋体"/>
                <w:b w:val="0"/>
                <w:bCs/>
                <w:color w:val="auto"/>
                <w:kern w:val="2"/>
                <w:sz w:val="21"/>
                <w:szCs w:val="21"/>
                <w:highlight w:val="none"/>
              </w:rPr>
              <w:t>/技术职称</w:t>
            </w:r>
            <w:r>
              <w:rPr>
                <w:rFonts w:hint="eastAsia" w:ascii="宋体" w:hAnsi="宋体" w:eastAsia="宋体" w:cs="宋体"/>
                <w:b w:val="0"/>
                <w:bCs/>
                <w:color w:val="auto"/>
                <w:kern w:val="2"/>
                <w:sz w:val="21"/>
                <w:szCs w:val="21"/>
                <w:highlight w:val="none"/>
                <w:lang w:val="en-US" w:eastAsia="zh-CN"/>
              </w:rPr>
              <w:t>]、社保证明的人员名称需一致时才统计得分，不提供或人员名称不一致不得分</w:t>
            </w:r>
            <w:r>
              <w:rPr>
                <w:rFonts w:hint="eastAsia" w:ascii="宋体" w:hAnsi="宋体" w:eastAsia="宋体" w:cs="宋体"/>
                <w:b w:val="0"/>
                <w:bCs/>
                <w:color w:val="auto"/>
                <w:kern w:val="2"/>
                <w:sz w:val="21"/>
                <w:szCs w:val="21"/>
                <w:highlight w:val="none"/>
              </w:rPr>
              <w:t>。</w:t>
            </w:r>
          </w:p>
          <w:p w14:paraId="32191135">
            <w:pPr>
              <w:snapToGrid w:val="0"/>
              <w:spacing w:line="360" w:lineRule="auto"/>
              <w:outlineLvl w:val="9"/>
              <w:rPr>
                <w:rFonts w:hint="eastAsia" w:ascii="宋体" w:hAnsi="宋体" w:eastAsia="宋体" w:cs="宋体"/>
                <w:color w:val="auto"/>
                <w:sz w:val="21"/>
                <w:szCs w:val="21"/>
                <w:highlight w:val="none"/>
                <w:lang w:val="zh-CN"/>
              </w:rPr>
            </w:pPr>
            <w:r>
              <w:rPr>
                <w:rFonts w:hint="eastAsia" w:ascii="宋体" w:hAnsi="宋体" w:eastAsia="宋体" w:cs="宋体"/>
                <w:b w:val="0"/>
                <w:bCs/>
                <w:color w:val="auto"/>
                <w:sz w:val="21"/>
                <w:szCs w:val="21"/>
                <w:highlight w:val="none"/>
                <w:lang w:val="en-US" w:eastAsia="zh-CN"/>
              </w:rPr>
              <w:t>（2）同一人员只能进行一次得分，不重复得分。</w:t>
            </w:r>
          </w:p>
        </w:tc>
        <w:tc>
          <w:tcPr>
            <w:tcW w:w="437" w:type="pct"/>
            <w:tcBorders>
              <w:top w:val="single" w:color="auto" w:sz="4" w:space="0"/>
              <w:left w:val="single" w:color="auto" w:sz="4" w:space="0"/>
              <w:bottom w:val="single" w:color="auto" w:sz="4" w:space="0"/>
              <w:right w:val="single" w:color="auto" w:sz="4" w:space="0"/>
            </w:tcBorders>
            <w:vAlign w:val="center"/>
          </w:tcPr>
          <w:p w14:paraId="508AA9AC">
            <w:pPr>
              <w:snapToGrid w:val="0"/>
              <w:spacing w:line="40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tc>
      </w:tr>
      <w:tr w14:paraId="4A4A1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6898611B">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w:t>
            </w:r>
          </w:p>
        </w:tc>
        <w:tc>
          <w:tcPr>
            <w:tcW w:w="546" w:type="pct"/>
            <w:tcBorders>
              <w:top w:val="single" w:color="auto" w:sz="4" w:space="0"/>
              <w:left w:val="single" w:color="auto" w:sz="4" w:space="0"/>
              <w:bottom w:val="single" w:color="auto" w:sz="4" w:space="0"/>
              <w:right w:val="single" w:color="auto" w:sz="4" w:space="0"/>
            </w:tcBorders>
            <w:vAlign w:val="center"/>
          </w:tcPr>
          <w:p w14:paraId="093061B2">
            <w:pPr>
              <w:autoSpaceDE w:val="0"/>
              <w:autoSpaceDN w:val="0"/>
              <w:adjustRightInd w:val="0"/>
              <w:spacing w:line="400" w:lineRule="exact"/>
              <w:jc w:val="center"/>
              <w:outlineLvl w:val="9"/>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食堂智能支付系统及称重设备</w:t>
            </w:r>
          </w:p>
        </w:tc>
        <w:tc>
          <w:tcPr>
            <w:tcW w:w="3691" w:type="pct"/>
            <w:tcBorders>
              <w:top w:val="single" w:color="auto" w:sz="4" w:space="0"/>
              <w:left w:val="single" w:color="auto" w:sz="4" w:space="0"/>
              <w:bottom w:val="single" w:color="auto" w:sz="4" w:space="0"/>
              <w:right w:val="single" w:color="auto" w:sz="4" w:space="0"/>
            </w:tcBorders>
            <w:vAlign w:val="center"/>
          </w:tcPr>
          <w:p w14:paraId="263A2F3A">
            <w:pPr>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根据投标人拟投入的食堂智能支付系统及称重设备情况进行综合评审：</w:t>
            </w:r>
          </w:p>
          <w:p w14:paraId="27E585BD">
            <w:pPr>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优：智能支付系统具备多样式支付方式，且各支付方式稳定可靠，切换流畅。具备完善的账户管理功能，能对不同身份用户（集团员工、外部用户等）设置不同的账户权限和优惠策略</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系统拥有强大的数据分析与报表功能，能为食堂运营决策提供全面、准确的数据支持。称重设备操作界面简洁直观，采用大屏幕液晶显示屏，配备人性化的操作按键，布局合理，功能明确。设备称重精度极高，在不同重量区间和不同环境条件下都能保持稳定的高精度称重，得6分。</w:t>
            </w:r>
          </w:p>
          <w:p w14:paraId="73185A62">
            <w:pPr>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智能支付系统涵盖常见的支付方式，运行较为稳定，但可能在支付方式的多样性或切换便捷性上略有不足。账户管理功能较为齐全，但在账户权限设置和优惠策略执行方面不够精细，可能存在操作不够便捷。数据分析与报表功能能提供一些基础数据统计，但分析维度有限，报表形式不够直观或需人工进一步整理才能用于决策</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称重设备操作界面较为清晰，按键功能基本齐全，具备一些常用的便捷功能，称重精度较高，在常规称重范围内精度表现良好，但在极端重量或特殊环境下可能会出现可接受范围内的误差，得4.8分。</w:t>
            </w:r>
          </w:p>
          <w:p w14:paraId="20F4D265">
            <w:pPr>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中：</w:t>
            </w:r>
            <w:r>
              <w:rPr>
                <w:rFonts w:hint="eastAsia" w:ascii="宋体" w:hAnsi="宋体" w:eastAsia="宋体" w:cs="宋体"/>
                <w:color w:val="auto"/>
                <w:sz w:val="21"/>
                <w:szCs w:val="21"/>
                <w:highlight w:val="none"/>
                <w:lang w:val="en-US" w:eastAsia="zh-CN"/>
              </w:rPr>
              <w:t>智能支付系统支付方式相对单一，且可能出现支付故障故障或卡顿的情况</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账户管理功能存在明显缺陷，且缺乏对不同用户群体的精细化管理。数据分析功能薄弱，仅能提供一些简单的交易流水记录，难以满足食堂运营管理的数据分析需求。称重设备操作界面不够友好，显示屏较小或显示信息不够清晰，按键功能有限且标示不明确，部分常用功能操作不便，缺乏一些人性化的设计和便捷操作方式。称重精度一般，基本能满足食堂日常称重需求，但精度波动相对较大，得3.6分。</w:t>
            </w:r>
          </w:p>
          <w:p w14:paraId="12B3FC04">
            <w:pPr>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差：智能支付系统方式单一，且支付稳定性差，可能会频繁出现故障导致无法正常交易的情况。账户管理混乱，存在严重安全隐患或无法正常进行账户操作，几乎没有数据分析与报表功能，无法为食堂运营提供任何有价值的数据参考。操作界面混乱，难以理解和操作，按键功能严重缺少或损坏，没有任何便捷操作功能。称重精度差，严重影响食堂菜品计量的准确性，得1分。</w:t>
            </w:r>
          </w:p>
          <w:p w14:paraId="6C379B0E">
            <w:pPr>
              <w:spacing w:line="360" w:lineRule="auto"/>
              <w:outlineLvl w:val="9"/>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备注：</w:t>
            </w:r>
          </w:p>
          <w:p w14:paraId="5AFB6FB6">
            <w:pPr>
              <w:spacing w:line="360" w:lineRule="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（1）未投入食堂智能支付系统及称重设备或未提供功能情况说明的不得分。</w:t>
            </w:r>
          </w:p>
          <w:p w14:paraId="18F9BE40">
            <w:pPr>
              <w:snapToGrid w:val="0"/>
              <w:spacing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val="0"/>
                <w:bCs/>
                <w:color w:val="auto"/>
                <w:kern w:val="2"/>
                <w:sz w:val="21"/>
                <w:szCs w:val="21"/>
                <w:highlight w:val="none"/>
                <w:lang w:val="en-US" w:eastAsia="zh-CN"/>
              </w:rPr>
              <w:t>（2）投标人拟投入的</w:t>
            </w:r>
            <w:r>
              <w:rPr>
                <w:rFonts w:hint="eastAsia" w:ascii="宋体" w:hAnsi="宋体" w:eastAsia="宋体" w:cs="宋体"/>
                <w:color w:val="auto"/>
                <w:sz w:val="21"/>
                <w:szCs w:val="21"/>
                <w:highlight w:val="none"/>
                <w:lang w:val="en-US" w:eastAsia="zh-CN"/>
              </w:rPr>
              <w:t>食堂智能支付系统及称重设备情况</w:t>
            </w:r>
            <w:r>
              <w:rPr>
                <w:rFonts w:hint="eastAsia" w:ascii="宋体" w:hAnsi="宋体" w:eastAsia="宋体" w:cs="宋体"/>
                <w:b w:val="0"/>
                <w:bCs/>
                <w:color w:val="auto"/>
                <w:kern w:val="2"/>
                <w:sz w:val="21"/>
                <w:szCs w:val="21"/>
                <w:highlight w:val="none"/>
                <w:lang w:val="en-US" w:eastAsia="zh-CN"/>
              </w:rPr>
              <w:t>分别符合评审内容中不同档次得分要求的，评审时优先按较低的档次计分（即若投标人拟投入的</w:t>
            </w:r>
            <w:r>
              <w:rPr>
                <w:rFonts w:hint="eastAsia" w:ascii="宋体" w:hAnsi="宋体" w:eastAsia="宋体" w:cs="宋体"/>
                <w:color w:val="auto"/>
                <w:sz w:val="21"/>
                <w:szCs w:val="21"/>
                <w:highlight w:val="none"/>
                <w:lang w:val="en-US" w:eastAsia="zh-CN"/>
              </w:rPr>
              <w:t>食堂智能支付系统及称重设备情况</w:t>
            </w:r>
            <w:r>
              <w:rPr>
                <w:rFonts w:hint="eastAsia" w:ascii="宋体" w:hAnsi="宋体" w:eastAsia="宋体" w:cs="宋体"/>
                <w:b w:val="0"/>
                <w:bCs/>
                <w:color w:val="auto"/>
                <w:kern w:val="2"/>
                <w:sz w:val="21"/>
                <w:szCs w:val="21"/>
                <w:highlight w:val="none"/>
                <w:lang w:val="en-US" w:eastAsia="zh-CN"/>
              </w:rPr>
              <w:t>符合“优”的得分要求，另一部分内容符合“中”的得分要求时，应按“中”的档次考虑计分）。</w:t>
            </w:r>
          </w:p>
        </w:tc>
        <w:tc>
          <w:tcPr>
            <w:tcW w:w="437" w:type="pct"/>
            <w:tcBorders>
              <w:top w:val="single" w:color="auto" w:sz="4" w:space="0"/>
              <w:left w:val="single" w:color="auto" w:sz="4" w:space="0"/>
              <w:bottom w:val="single" w:color="auto" w:sz="4" w:space="0"/>
              <w:right w:val="single" w:color="auto" w:sz="4" w:space="0"/>
            </w:tcBorders>
            <w:vAlign w:val="center"/>
          </w:tcPr>
          <w:p w14:paraId="19ACC13A">
            <w:pPr>
              <w:snapToGrid w:val="0"/>
              <w:spacing w:line="400" w:lineRule="exact"/>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6分</w:t>
            </w:r>
          </w:p>
        </w:tc>
      </w:tr>
      <w:tr w14:paraId="5131F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right w:val="single" w:color="auto" w:sz="4" w:space="0"/>
            </w:tcBorders>
            <w:vAlign w:val="center"/>
          </w:tcPr>
          <w:p w14:paraId="19E9D821">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w:t>
            </w:r>
          </w:p>
        </w:tc>
        <w:tc>
          <w:tcPr>
            <w:tcW w:w="546" w:type="pct"/>
            <w:tcBorders>
              <w:top w:val="single" w:color="auto" w:sz="4" w:space="0"/>
              <w:left w:val="single" w:color="auto" w:sz="4" w:space="0"/>
              <w:right w:val="single" w:color="auto" w:sz="4" w:space="0"/>
            </w:tcBorders>
            <w:vAlign w:val="center"/>
          </w:tcPr>
          <w:p w14:paraId="304C66D7">
            <w:pPr>
              <w:autoSpaceDE w:val="0"/>
              <w:autoSpaceDN w:val="0"/>
              <w:adjustRightInd w:val="0"/>
              <w:spacing w:line="400" w:lineRule="exact"/>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食堂</w:t>
            </w:r>
            <w:r>
              <w:rPr>
                <w:rFonts w:hint="eastAsia" w:ascii="宋体" w:hAnsi="宋体" w:eastAsia="宋体" w:cs="宋体"/>
                <w:color w:val="auto"/>
                <w:sz w:val="21"/>
                <w:szCs w:val="21"/>
                <w:highlight w:val="none"/>
              </w:rPr>
              <w:t>应急预案和保障措施</w:t>
            </w:r>
          </w:p>
        </w:tc>
        <w:tc>
          <w:tcPr>
            <w:tcW w:w="3691" w:type="pct"/>
            <w:tcBorders>
              <w:top w:val="single" w:color="auto" w:sz="4" w:space="0"/>
              <w:left w:val="single" w:color="auto" w:sz="4" w:space="0"/>
              <w:right w:val="single" w:color="auto" w:sz="4" w:space="0"/>
            </w:tcBorders>
            <w:vAlign w:val="center"/>
          </w:tcPr>
          <w:p w14:paraId="0D1D1D9A">
            <w:pPr>
              <w:spacing w:line="36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根据</w:t>
            </w:r>
            <w:r>
              <w:rPr>
                <w:rFonts w:hint="eastAsia" w:ascii="宋体" w:hAnsi="宋体" w:eastAsia="宋体" w:cs="宋体"/>
                <w:b w:val="0"/>
                <w:bCs/>
                <w:color w:val="auto"/>
                <w:kern w:val="2"/>
                <w:sz w:val="21"/>
                <w:szCs w:val="21"/>
                <w:highlight w:val="none"/>
                <w:lang w:val="en-US" w:eastAsia="zh-CN"/>
              </w:rPr>
              <w:t>投标人</w:t>
            </w:r>
            <w:r>
              <w:rPr>
                <w:rFonts w:hint="eastAsia" w:ascii="宋体" w:hAnsi="宋体" w:eastAsia="宋体" w:cs="宋体"/>
                <w:color w:val="auto"/>
                <w:sz w:val="21"/>
                <w:szCs w:val="21"/>
                <w:highlight w:val="none"/>
                <w:lang w:val="en-US" w:eastAsia="zh-CN"/>
              </w:rPr>
              <w:t>就本项目拟定的食堂应急预案及相应的保障措施，包括但不限于项目实施过程可能发生的各类突发紧急情况预算（如：食物中毒意外伤害事件、突发疫情、恶劣天气、配送途中交通事故、紧急餐食供应、突然停水停电、设备故障、大型活动等内容）、各类突发紧急情况相应的保障措施（包括事件处理原则、流程、方法、紧急情况报告机制等内容）的情况进行综合评审</w:t>
            </w:r>
            <w:r>
              <w:rPr>
                <w:rFonts w:hint="eastAsia" w:ascii="宋体" w:hAnsi="宋体" w:eastAsia="宋体" w:cs="宋体"/>
                <w:color w:val="auto"/>
                <w:sz w:val="21"/>
                <w:szCs w:val="21"/>
                <w:highlight w:val="none"/>
                <w:lang w:eastAsia="zh-CN"/>
              </w:rPr>
              <w:t>：</w:t>
            </w:r>
          </w:p>
          <w:p w14:paraId="12899805">
            <w:pPr>
              <w:spacing w:line="360" w:lineRule="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eastAsia="zh-CN"/>
              </w:rPr>
              <w:t>优：</w:t>
            </w:r>
            <w:r>
              <w:rPr>
                <w:rFonts w:hint="eastAsia" w:ascii="宋体" w:hAnsi="宋体" w:eastAsia="宋体" w:cs="宋体"/>
                <w:color w:val="auto"/>
                <w:sz w:val="21"/>
                <w:szCs w:val="21"/>
                <w:highlight w:val="none"/>
                <w:lang w:val="zh-CN" w:eastAsia="zh-CN"/>
              </w:rPr>
              <w:t>应急处理方案详实且完整，能够全面覆盖所有可能发生的应急情况，并对每一类应急情况制定了详尽且具有操作性的保障措施，并给出了详细可行的解决方案，能有效指导现场处置行动，确保事故得到有效控制，</w:t>
            </w:r>
            <w:r>
              <w:rPr>
                <w:rFonts w:hint="eastAsia" w:ascii="宋体" w:hAnsi="宋体" w:eastAsia="宋体" w:cs="宋体"/>
                <w:color w:val="auto"/>
                <w:sz w:val="21"/>
                <w:szCs w:val="21"/>
                <w:highlight w:val="none"/>
                <w:lang w:val="en-US" w:eastAsia="zh-CN"/>
              </w:rPr>
              <w:t>得5分</w:t>
            </w:r>
            <w:r>
              <w:rPr>
                <w:rFonts w:hint="eastAsia" w:ascii="宋体" w:hAnsi="宋体" w:eastAsia="宋体" w:cs="宋体"/>
                <w:color w:val="auto"/>
                <w:sz w:val="21"/>
                <w:szCs w:val="21"/>
                <w:highlight w:val="none"/>
                <w:lang w:val="zh-CN" w:eastAsia="zh-CN"/>
              </w:rPr>
              <w:t>。</w:t>
            </w:r>
          </w:p>
          <w:p w14:paraId="577C1D14">
            <w:pPr>
              <w:spacing w:line="360" w:lineRule="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zh-CN" w:eastAsia="zh-CN"/>
              </w:rPr>
              <w:t>应急预案较为完整，对各类应急情况制定了具体的保障措施，并给出了相应的解决方案，能够考虑到了大部分情况下可能发生的问题，在少数特殊情况下可能存在一定的不确定性或存在一些细节上的不足，但总体上仍能较好地指导现场处置行动，有效控制事故的发展，</w:t>
            </w:r>
            <w:r>
              <w:rPr>
                <w:rFonts w:hint="eastAsia" w:ascii="宋体" w:hAnsi="宋体" w:eastAsia="宋体" w:cs="宋体"/>
                <w:color w:val="auto"/>
                <w:sz w:val="21"/>
                <w:szCs w:val="21"/>
                <w:highlight w:val="none"/>
                <w:lang w:val="en-US" w:eastAsia="zh-CN"/>
              </w:rPr>
              <w:t>得4分</w:t>
            </w:r>
            <w:r>
              <w:rPr>
                <w:rFonts w:hint="eastAsia" w:ascii="宋体" w:hAnsi="宋体" w:eastAsia="宋体" w:cs="宋体"/>
                <w:color w:val="auto"/>
                <w:sz w:val="21"/>
                <w:szCs w:val="21"/>
                <w:highlight w:val="none"/>
                <w:lang w:val="zh-CN" w:eastAsia="zh-CN"/>
              </w:rPr>
              <w:t>。</w:t>
            </w:r>
          </w:p>
          <w:p w14:paraId="23A3CABF">
            <w:pPr>
              <w:spacing w:line="360" w:lineRule="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中：应急预案基本完整，对一般应急情况制定了相应的保障措施，并给出了相应的解决方案，但解决方案需要进一步完善以提高其指导性，</w:t>
            </w:r>
            <w:r>
              <w:rPr>
                <w:rFonts w:hint="eastAsia" w:ascii="宋体" w:hAnsi="宋体" w:eastAsia="宋体" w:cs="宋体"/>
                <w:color w:val="auto"/>
                <w:sz w:val="21"/>
                <w:szCs w:val="21"/>
                <w:highlight w:val="none"/>
                <w:lang w:val="en-US" w:eastAsia="zh-CN"/>
              </w:rPr>
              <w:t>得3分</w:t>
            </w:r>
            <w:r>
              <w:rPr>
                <w:rFonts w:hint="eastAsia" w:ascii="宋体" w:hAnsi="宋体" w:eastAsia="宋体" w:cs="宋体"/>
                <w:color w:val="auto"/>
                <w:sz w:val="21"/>
                <w:szCs w:val="21"/>
                <w:highlight w:val="none"/>
                <w:lang w:val="zh-CN" w:eastAsia="zh-CN"/>
              </w:rPr>
              <w:t>。</w:t>
            </w:r>
          </w:p>
          <w:p w14:paraId="54125239">
            <w:pPr>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差：应急预案不完整或缺少合理性，对各类应急情况的保障措施不够具体，无对应的解决方案，可预判服务期间发生应急情况时会出现频繁的负面问题，得1分。</w:t>
            </w:r>
          </w:p>
          <w:p w14:paraId="781BE6A9">
            <w:pPr>
              <w:spacing w:line="360" w:lineRule="auto"/>
              <w:outlineLvl w:val="9"/>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备注：</w:t>
            </w:r>
          </w:p>
          <w:p w14:paraId="5C4E82D9">
            <w:pPr>
              <w:spacing w:line="360" w:lineRule="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（1）未提供预案的不得分。</w:t>
            </w:r>
          </w:p>
          <w:p w14:paraId="1EA75254">
            <w:pPr>
              <w:snapToGrid w:val="0"/>
              <w:spacing w:line="360" w:lineRule="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2）投标人方案的不同内容分别符合评审内容中不同档次得分要求的，评审时优先按较低的档次计分（即若投标人方案内容符合“优”的得分要求，另一部分内容符合“中”的得分要求时，应按“中”的档次考虑计分）。</w:t>
            </w:r>
          </w:p>
        </w:tc>
        <w:tc>
          <w:tcPr>
            <w:tcW w:w="437" w:type="pct"/>
            <w:tcBorders>
              <w:top w:val="single" w:color="auto" w:sz="4" w:space="0"/>
              <w:left w:val="single" w:color="auto" w:sz="4" w:space="0"/>
              <w:right w:val="single" w:color="auto" w:sz="4" w:space="0"/>
            </w:tcBorders>
            <w:vAlign w:val="center"/>
          </w:tcPr>
          <w:p w14:paraId="34D3C9FE">
            <w:pPr>
              <w:snapToGrid w:val="0"/>
              <w:spacing w:line="400" w:lineRule="exact"/>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r>
      <w:bookmarkEnd w:id="975"/>
    </w:tbl>
    <w:p w14:paraId="199DF9AB">
      <w:pPr>
        <w:autoSpaceDE w:val="0"/>
        <w:autoSpaceDN w:val="0"/>
        <w:adjustRightInd w:val="0"/>
        <w:spacing w:line="360" w:lineRule="auto"/>
        <w:ind w:left="420" w:leftChars="200" w:firstLine="420" w:firstLineChars="2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5845A05D">
      <w:pPr>
        <w:autoSpaceDE w:val="0"/>
        <w:autoSpaceDN w:val="0"/>
        <w:adjustRightInd w:val="0"/>
        <w:spacing w:line="360" w:lineRule="auto"/>
        <w:ind w:left="420" w:leftChars="200" w:firstLine="420" w:firstLineChars="2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①表中“[”代表闭区间，“]”代表闭区间，如[0，1]代表该分数段范围为大于等于0且小于等于1。表中“（”代表开区间，“]”代表闭区间，如（1，2]代表该分数段范围为大于1且小于等于2。</w:t>
      </w:r>
    </w:p>
    <w:p w14:paraId="04708E3F">
      <w:pPr>
        <w:autoSpaceDE w:val="0"/>
        <w:autoSpaceDN w:val="0"/>
        <w:adjustRightInd w:val="0"/>
        <w:spacing w:line="360" w:lineRule="auto"/>
        <w:ind w:left="420" w:leftChars="200" w:firstLine="420" w:firstLineChars="2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②分数出现小数点，保留小数点后2位，从小数点后第3位四舍五入。</w:t>
      </w:r>
    </w:p>
    <w:p w14:paraId="2FAC6FED">
      <w:pPr>
        <w:autoSpaceDE w:val="0"/>
        <w:autoSpaceDN w:val="0"/>
        <w:adjustRightInd w:val="0"/>
        <w:spacing w:line="360" w:lineRule="auto"/>
        <w:ind w:left="420" w:leftChars="200" w:firstLine="422" w:firstLineChars="200"/>
        <w:outlineLvl w:val="9"/>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③上述“评分项目”中按“优、良、中、差”评审的，若低于该项满分分值60%时，评标专家需详细填写该项低分的充分理由，例如：该项目内容存在违反国家有关标准和规范或与项目实际不符等原则性问题。</w:t>
      </w:r>
    </w:p>
    <w:p w14:paraId="387347D5">
      <w:pPr>
        <w:autoSpaceDE w:val="0"/>
        <w:autoSpaceDN w:val="0"/>
        <w:adjustRightInd w:val="0"/>
        <w:spacing w:line="360" w:lineRule="auto"/>
        <w:ind w:left="420" w:leftChars="200" w:firstLine="422" w:firstLineChars="200"/>
        <w:outlineLvl w:val="9"/>
        <w:rPr>
          <w:rFonts w:hint="eastAsia" w:ascii="宋体" w:hAnsi="宋体" w:eastAsia="宋体" w:cs="宋体"/>
          <w:color w:val="auto"/>
          <w:kern w:val="0"/>
          <w:szCs w:val="21"/>
          <w:highlight w:val="none"/>
        </w:rPr>
      </w:pPr>
      <w:r>
        <w:rPr>
          <w:rFonts w:hint="eastAsia" w:ascii="宋体" w:hAnsi="宋体" w:eastAsia="宋体" w:cs="宋体"/>
          <w:b/>
          <w:color w:val="auto"/>
          <w:szCs w:val="24"/>
          <w:highlight w:val="none"/>
          <w:lang w:val="en-US" w:eastAsia="zh-CN"/>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14:paraId="214A2A94">
      <w:pPr>
        <w:tabs>
          <w:tab w:val="left" w:pos="585"/>
        </w:tabs>
        <w:autoSpaceDE w:val="0"/>
        <w:autoSpaceDN w:val="0"/>
        <w:adjustRightInd w:val="0"/>
        <w:spacing w:line="400" w:lineRule="exact"/>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lang w:val="zh-CN"/>
        </w:rPr>
        <w:t>）综合得分</w:t>
      </w:r>
    </w:p>
    <w:p w14:paraId="42AE89AE">
      <w:pPr>
        <w:spacing w:line="400" w:lineRule="exact"/>
        <w:ind w:firstLine="848" w:firstLineChars="404"/>
        <w:outlineLvl w:val="9"/>
        <w:rPr>
          <w:rFonts w:hint="eastAsia" w:ascii="宋体" w:hAnsi="宋体" w:eastAsia="宋体" w:cs="宋体"/>
          <w:color w:val="auto"/>
          <w:kern w:val="0"/>
          <w:szCs w:val="28"/>
          <w:highlight w:val="none"/>
          <w:lang w:val="zh-CN"/>
        </w:rPr>
      </w:pPr>
      <w:bookmarkStart w:id="976" w:name="_Toc31624_WPSOffice_Level2"/>
      <w:r>
        <w:rPr>
          <w:rFonts w:hint="eastAsia" w:ascii="宋体" w:hAnsi="宋体" w:eastAsia="宋体" w:cs="宋体"/>
          <w:color w:val="auto"/>
          <w:kern w:val="0"/>
          <w:szCs w:val="28"/>
          <w:highlight w:val="none"/>
          <w:lang w:val="zh-CN"/>
        </w:rPr>
        <w:t>评标总得分=F1＋F2＋……+Fn</w:t>
      </w:r>
      <w:bookmarkEnd w:id="976"/>
    </w:p>
    <w:p w14:paraId="012FE91C">
      <w:pPr>
        <w:widowControl/>
        <w:autoSpaceDE w:val="0"/>
        <w:autoSpaceDN w:val="0"/>
        <w:adjustRightInd w:val="0"/>
        <w:spacing w:line="400" w:lineRule="exact"/>
        <w:ind w:firstLine="840" w:firstLineChars="400"/>
        <w:jc w:val="left"/>
        <w:outlineLvl w:val="9"/>
        <w:rPr>
          <w:rFonts w:hint="eastAsia" w:ascii="宋体" w:hAnsi="宋体" w:eastAsia="宋体" w:cs="宋体"/>
          <w:color w:val="auto"/>
          <w:kern w:val="0"/>
          <w:szCs w:val="21"/>
          <w:highlight w:val="none"/>
        </w:rPr>
      </w:pPr>
      <w:bookmarkStart w:id="977" w:name="_Toc13236_WPSOffice_Level2"/>
      <w:r>
        <w:rPr>
          <w:rFonts w:hint="eastAsia" w:ascii="宋体" w:hAnsi="宋体" w:eastAsia="宋体" w:cs="宋体"/>
          <w:color w:val="auto"/>
          <w:kern w:val="0"/>
          <w:szCs w:val="21"/>
          <w:highlight w:val="none"/>
        </w:rPr>
        <w:t>F1、F2、……Fn分别为各项评分因素的得分</w:t>
      </w:r>
      <w:bookmarkEnd w:id="977"/>
      <w:r>
        <w:rPr>
          <w:rFonts w:hint="eastAsia" w:ascii="宋体" w:hAnsi="宋体" w:eastAsia="宋体" w:cs="宋体"/>
          <w:color w:val="auto"/>
          <w:kern w:val="0"/>
          <w:szCs w:val="21"/>
          <w:highlight w:val="none"/>
        </w:rPr>
        <w:t>。</w:t>
      </w:r>
    </w:p>
    <w:p w14:paraId="0F48A0E8">
      <w:pPr>
        <w:autoSpaceDE w:val="0"/>
        <w:autoSpaceDN w:val="0"/>
        <w:adjustRightInd w:val="0"/>
        <w:spacing w:line="360" w:lineRule="auto"/>
        <w:ind w:left="564" w:leftChars="1" w:hanging="562" w:hangingChars="200"/>
        <w:outlineLvl w:val="9"/>
        <w:rPr>
          <w:rFonts w:hint="eastAsia" w:ascii="宋体" w:hAnsi="宋体" w:eastAsia="宋体" w:cs="宋体"/>
          <w:b/>
          <w:bCs/>
          <w:color w:val="auto"/>
          <w:sz w:val="28"/>
          <w:szCs w:val="28"/>
          <w:highlight w:val="none"/>
        </w:rPr>
      </w:pPr>
    </w:p>
    <w:p w14:paraId="04A4C29B">
      <w:pPr>
        <w:autoSpaceDE w:val="0"/>
        <w:autoSpaceDN w:val="0"/>
        <w:adjustRightInd w:val="0"/>
        <w:spacing w:line="360" w:lineRule="auto"/>
        <w:jc w:val="center"/>
        <w:outlineLvl w:val="9"/>
        <w:rPr>
          <w:rFonts w:hint="eastAsia" w:ascii="宋体" w:hAnsi="宋体" w:eastAsia="宋体" w:cs="宋体"/>
          <w:b/>
          <w:bCs/>
          <w:color w:val="auto"/>
          <w:sz w:val="28"/>
          <w:szCs w:val="28"/>
          <w:highlight w:val="none"/>
        </w:rPr>
      </w:pPr>
      <w:bookmarkStart w:id="978" w:name="_Toc518_WPSOffice_Level1"/>
      <w:r>
        <w:rPr>
          <w:rFonts w:hint="eastAsia" w:ascii="宋体" w:hAnsi="宋体" w:eastAsia="宋体" w:cs="宋体"/>
          <w:b/>
          <w:bCs/>
          <w:color w:val="auto"/>
          <w:sz w:val="28"/>
          <w:szCs w:val="28"/>
          <w:highlight w:val="none"/>
          <w:lang w:val="zh-CN"/>
        </w:rPr>
        <w:t>五、推荐中标人</w:t>
      </w:r>
      <w:bookmarkEnd w:id="978"/>
    </w:p>
    <w:p w14:paraId="4F7D1AD7">
      <w:pPr>
        <w:autoSpaceDE w:val="0"/>
        <w:autoSpaceDN w:val="0"/>
        <w:adjustRightInd w:val="0"/>
        <w:spacing w:line="360" w:lineRule="auto"/>
        <w:ind w:left="420" w:hanging="420" w:hanging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r>
        <w:rPr>
          <w:rFonts w:hint="eastAsia" w:ascii="宋体" w:hAnsi="宋体" w:eastAsia="宋体" w:cs="宋体"/>
          <w:color w:val="auto"/>
          <w:szCs w:val="24"/>
          <w:highlight w:val="none"/>
          <w:lang w:val="zh-CN"/>
        </w:rPr>
        <w:t>评标委员会按评审后得分由高到低顺序排列</w:t>
      </w:r>
      <w:r>
        <w:rPr>
          <w:rFonts w:hint="eastAsia" w:ascii="宋体" w:hAnsi="宋体" w:eastAsia="宋体" w:cs="宋体"/>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14:paraId="69319F31">
      <w:pPr>
        <w:autoSpaceDE w:val="0"/>
        <w:autoSpaceDN w:val="0"/>
        <w:adjustRightInd w:val="0"/>
        <w:spacing w:line="360" w:lineRule="auto"/>
        <w:ind w:left="420" w:leftChars="200" w:firstLine="420" w:firstLineChars="200"/>
        <w:jc w:val="left"/>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如果有两个或以上的投标人的最后综合得分相同，则在最后综合得分相同的投标人中按技术评审得分高低排出次序，得分高的排前，得分低的排后。如果出现投标人的最后综合得分、技术得分均相同时，由评标委员会进行投票，得票多的排名在先。当第一轮投票结果为投标人得票数相同时，再次进行投票，如此类推，直到能确定排序次序为止。</w:t>
      </w:r>
    </w:p>
    <w:p w14:paraId="06641067">
      <w:pPr>
        <w:widowControl/>
        <w:spacing w:line="360" w:lineRule="auto"/>
        <w:jc w:val="left"/>
        <w:outlineLvl w:val="9"/>
        <w:rPr>
          <w:rFonts w:hint="eastAsia" w:ascii="宋体" w:hAnsi="宋体" w:eastAsia="宋体" w:cs="宋体"/>
          <w:color w:val="auto"/>
          <w:kern w:val="0"/>
          <w:szCs w:val="21"/>
          <w:highlight w:val="none"/>
        </w:rPr>
      </w:pPr>
    </w:p>
    <w:p w14:paraId="6369DC2E">
      <w:pPr>
        <w:autoSpaceDE w:val="0"/>
        <w:autoSpaceDN w:val="0"/>
        <w:adjustRightInd w:val="0"/>
        <w:spacing w:line="360" w:lineRule="auto"/>
        <w:ind w:left="185" w:leftChars="88" w:firstLine="3443" w:firstLineChars="1225"/>
        <w:outlineLvl w:val="9"/>
        <w:rPr>
          <w:rFonts w:hint="eastAsia" w:ascii="宋体" w:hAnsi="宋体" w:eastAsia="宋体" w:cs="宋体"/>
          <w:b/>
          <w:bCs/>
          <w:color w:val="auto"/>
          <w:sz w:val="28"/>
          <w:szCs w:val="28"/>
          <w:highlight w:val="none"/>
          <w:lang w:val="zh-CN"/>
        </w:rPr>
      </w:pPr>
      <w:bookmarkStart w:id="979" w:name="_Toc22724_WPSOffice_Level1"/>
      <w:r>
        <w:rPr>
          <w:rFonts w:hint="eastAsia" w:ascii="宋体" w:hAnsi="宋体" w:eastAsia="宋体" w:cs="宋体"/>
          <w:b/>
          <w:bCs/>
          <w:color w:val="auto"/>
          <w:sz w:val="28"/>
          <w:szCs w:val="28"/>
          <w:highlight w:val="none"/>
          <w:lang w:val="zh-CN"/>
        </w:rPr>
        <w:t>六、编写评标报告</w:t>
      </w:r>
      <w:bookmarkEnd w:id="979"/>
    </w:p>
    <w:p w14:paraId="6CAD0577">
      <w:pPr>
        <w:autoSpaceDE w:val="0"/>
        <w:autoSpaceDN w:val="0"/>
        <w:adjustRightInd w:val="0"/>
        <w:spacing w:line="360" w:lineRule="auto"/>
        <w:ind w:left="420" w:hanging="420" w:hangingChars="200"/>
        <w:jc w:val="left"/>
        <w:outlineLvl w:val="9"/>
        <w:rPr>
          <w:rFonts w:hint="eastAsia"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14、评标委员会根据评审结果撰写评标报告。评标报告是评标委员会根据全体评标委员会成员签字的原始评审记录和评审结果编写的报告，其主要内容包括：</w:t>
      </w:r>
    </w:p>
    <w:p w14:paraId="28F9318A">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444C6274">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244DB5D7">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0265D0E9">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5998A9BE">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40646C1B">
      <w:pPr>
        <w:autoSpaceDE w:val="0"/>
        <w:autoSpaceDN w:val="0"/>
        <w:adjustRightInd w:val="0"/>
        <w:spacing w:line="360" w:lineRule="auto"/>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275A98EF">
      <w:pPr>
        <w:autoSpaceDE w:val="0"/>
        <w:autoSpaceDN w:val="0"/>
        <w:adjustRightInd w:val="0"/>
        <w:spacing w:line="360" w:lineRule="auto"/>
        <w:jc w:val="center"/>
        <w:outlineLvl w:val="9"/>
        <w:rPr>
          <w:rFonts w:hint="eastAsia" w:ascii="宋体" w:hAnsi="宋体" w:eastAsia="宋体" w:cs="宋体"/>
          <w:b/>
          <w:bCs/>
          <w:color w:val="auto"/>
          <w:sz w:val="28"/>
          <w:szCs w:val="28"/>
          <w:highlight w:val="none"/>
          <w:lang w:val="zh-CN"/>
        </w:rPr>
      </w:pPr>
    </w:p>
    <w:p w14:paraId="59544495">
      <w:pPr>
        <w:autoSpaceDE w:val="0"/>
        <w:autoSpaceDN w:val="0"/>
        <w:adjustRightInd w:val="0"/>
        <w:spacing w:line="360" w:lineRule="auto"/>
        <w:jc w:val="center"/>
        <w:outlineLvl w:val="9"/>
        <w:rPr>
          <w:rFonts w:hint="eastAsia" w:ascii="宋体" w:hAnsi="宋体" w:eastAsia="宋体" w:cs="宋体"/>
          <w:b/>
          <w:bCs/>
          <w:color w:val="auto"/>
          <w:sz w:val="30"/>
          <w:szCs w:val="30"/>
          <w:highlight w:val="none"/>
          <w:lang w:val="zh-CN"/>
        </w:rPr>
      </w:pPr>
      <w:bookmarkStart w:id="980" w:name="_Toc23773_WPSOffice_Level1"/>
      <w:r>
        <w:rPr>
          <w:rFonts w:hint="eastAsia" w:ascii="宋体" w:hAnsi="宋体" w:eastAsia="宋体" w:cs="宋体"/>
          <w:b/>
          <w:bCs/>
          <w:color w:val="auto"/>
          <w:sz w:val="28"/>
          <w:szCs w:val="28"/>
          <w:highlight w:val="none"/>
          <w:lang w:val="zh-CN"/>
        </w:rPr>
        <w:t>七、注意事项</w:t>
      </w:r>
      <w:bookmarkEnd w:id="980"/>
    </w:p>
    <w:p w14:paraId="4DD07894">
      <w:pPr>
        <w:autoSpaceDE w:val="0"/>
        <w:autoSpaceDN w:val="0"/>
        <w:adjustRightInd w:val="0"/>
        <w:spacing w:line="360" w:lineRule="auto"/>
        <w:ind w:left="420" w:hanging="420" w:hangingChars="2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15、为确保评审工作的顺利进行，防止因泄密或其它意外而造成的不良后果及影响，凡参加评审工作的人员都必须认真执行本规定：</w:t>
      </w:r>
    </w:p>
    <w:p w14:paraId="3C15D63C">
      <w:pPr>
        <w:autoSpaceDE w:val="0"/>
        <w:autoSpaceDN w:val="0"/>
        <w:adjustRightInd w:val="0"/>
        <w:spacing w:line="360" w:lineRule="auto"/>
        <w:ind w:left="436" w:leftChars="-59" w:hanging="560" w:hangingChars="2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69010B97">
      <w:pPr>
        <w:autoSpaceDE w:val="0"/>
        <w:autoSpaceDN w:val="0"/>
        <w:adjustRightInd w:val="0"/>
        <w:spacing w:line="360" w:lineRule="auto"/>
        <w:ind w:left="436" w:leftChars="-59" w:hanging="560" w:hangingChars="2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14:paraId="7D7C66ED">
      <w:pPr>
        <w:autoSpaceDE w:val="0"/>
        <w:autoSpaceDN w:val="0"/>
        <w:adjustRightInd w:val="0"/>
        <w:spacing w:line="360" w:lineRule="auto"/>
        <w:ind w:left="436" w:leftChars="-59" w:hanging="560" w:hangingChars="2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1257802B">
      <w:pPr>
        <w:autoSpaceDE w:val="0"/>
        <w:autoSpaceDN w:val="0"/>
        <w:adjustRightInd w:val="0"/>
        <w:spacing w:line="360" w:lineRule="auto"/>
        <w:ind w:left="436" w:leftChars="-59" w:hanging="560" w:hangingChars="2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7683A07A">
      <w:pPr>
        <w:widowControl/>
        <w:jc w:val="left"/>
        <w:outlineLvl w:val="9"/>
        <w:rPr>
          <w:rFonts w:hint="eastAsia" w:ascii="宋体" w:hAnsi="宋体" w:eastAsia="宋体" w:cs="宋体"/>
          <w:b/>
          <w:bCs/>
          <w:color w:val="auto"/>
          <w:kern w:val="0"/>
          <w:szCs w:val="21"/>
          <w:highlight w:val="none"/>
        </w:rPr>
      </w:pPr>
      <w:r>
        <w:rPr>
          <w:rFonts w:hint="eastAsia" w:ascii="宋体" w:hAnsi="宋体" w:eastAsia="宋体" w:cs="宋体"/>
          <w:color w:val="auto"/>
          <w:szCs w:val="24"/>
          <w:highlight w:val="none"/>
          <w:lang w:val="zh-CN"/>
        </w:rPr>
        <w:t>（5）任何评审人员和工作人员不得对外公布评审的一切内容。</w:t>
      </w:r>
    </w:p>
    <w:bookmarkEnd w:id="936"/>
    <w:bookmarkEnd w:id="955"/>
    <w:bookmarkEnd w:id="956"/>
    <w:bookmarkEnd w:id="957"/>
    <w:p w14:paraId="63CFAEF1">
      <w:pPr>
        <w:widowControl/>
        <w:jc w:val="left"/>
        <w:outlineLvl w:val="9"/>
        <w:rPr>
          <w:rFonts w:hint="eastAsia" w:ascii="宋体" w:hAnsi="宋体" w:eastAsia="宋体" w:cs="宋体"/>
          <w:color w:val="auto"/>
          <w:szCs w:val="24"/>
          <w:highlight w:val="none"/>
          <w:lang w:val="zh-CN"/>
        </w:rPr>
      </w:pPr>
    </w:p>
    <w:p w14:paraId="02D0AF35">
      <w:pPr>
        <w:outlineLvl w:val="9"/>
        <w:rPr>
          <w:rFonts w:eastAsia="+中文正文"/>
          <w:color w:val="auto"/>
          <w:highlight w:val="none"/>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12916">
    <w:pPr>
      <w:pStyle w:val="25"/>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C0E19">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951DE">
    <w:pPr>
      <w:pStyle w:val="25"/>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0145E">
    <w:pPr>
      <w:pStyle w:val="25"/>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AB431">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14:paraId="510080EA">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FFE426"/>
    <w:multiLevelType w:val="singleLevel"/>
    <w:tmpl w:val="B1FFE426"/>
    <w:lvl w:ilvl="0" w:tentative="0">
      <w:start w:val="2"/>
      <w:numFmt w:val="decimal"/>
      <w:suff w:val="nothing"/>
      <w:lvlText w:val="%1、"/>
      <w:lvlJc w:val="left"/>
    </w:lvl>
  </w:abstractNum>
  <w:abstractNum w:abstractNumId="1">
    <w:nsid w:val="09D6CDB7"/>
    <w:multiLevelType w:val="singleLevel"/>
    <w:tmpl w:val="09D6CDB7"/>
    <w:lvl w:ilvl="0" w:tentative="0">
      <w:start w:val="2"/>
      <w:numFmt w:val="chineseCounting"/>
      <w:suff w:val="nothing"/>
      <w:lvlText w:val="%1、"/>
      <w:lvlJc w:val="left"/>
      <w:rPr>
        <w:rFonts w:hint="eastAsia"/>
      </w:rPr>
    </w:lvl>
  </w:abstractNum>
  <w:abstractNum w:abstractNumId="2">
    <w:nsid w:val="0DBEAF8D"/>
    <w:multiLevelType w:val="singleLevel"/>
    <w:tmpl w:val="0DBEAF8D"/>
    <w:lvl w:ilvl="0" w:tentative="0">
      <w:start w:val="1"/>
      <w:numFmt w:val="decimal"/>
      <w:suff w:val="nothing"/>
      <w:lvlText w:val="（%1）"/>
      <w:lvlJc w:val="left"/>
      <w:rPr>
        <w:rFonts w:hint="default"/>
        <w:sz w:val="21"/>
        <w:szCs w:val="21"/>
      </w:rPr>
    </w:lvl>
  </w:abstractNum>
  <w:abstractNum w:abstractNumId="3">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4">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8E0B027"/>
    <w:multiLevelType w:val="singleLevel"/>
    <w:tmpl w:val="78E0B027"/>
    <w:lvl w:ilvl="0" w:tentative="0">
      <w:start w:val="2"/>
      <w:numFmt w:val="chineseCounting"/>
      <w:suff w:val="nothing"/>
      <w:lvlText w:val="（%1）"/>
      <w:lvlJc w:val="left"/>
      <w:rPr>
        <w:rFonts w:hint="eastAsia"/>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D4F2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37A22"/>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0424"/>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46033"/>
    <w:rsid w:val="0085250F"/>
    <w:rsid w:val="008525D6"/>
    <w:rsid w:val="0085388E"/>
    <w:rsid w:val="00856F5E"/>
    <w:rsid w:val="008604D1"/>
    <w:rsid w:val="00865348"/>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54589"/>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494E"/>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017684"/>
    <w:rsid w:val="012313A8"/>
    <w:rsid w:val="01473520"/>
    <w:rsid w:val="01487DF2"/>
    <w:rsid w:val="01652E65"/>
    <w:rsid w:val="018B1C01"/>
    <w:rsid w:val="018F2A41"/>
    <w:rsid w:val="01F23A04"/>
    <w:rsid w:val="01F96365"/>
    <w:rsid w:val="022F3839"/>
    <w:rsid w:val="0256408D"/>
    <w:rsid w:val="027222F2"/>
    <w:rsid w:val="028C4AEF"/>
    <w:rsid w:val="02CB51A5"/>
    <w:rsid w:val="02CD3C15"/>
    <w:rsid w:val="036335EF"/>
    <w:rsid w:val="038F4AD6"/>
    <w:rsid w:val="03CE7104"/>
    <w:rsid w:val="03EF1BF3"/>
    <w:rsid w:val="040E11D0"/>
    <w:rsid w:val="040E4592"/>
    <w:rsid w:val="04150C17"/>
    <w:rsid w:val="04446205"/>
    <w:rsid w:val="04582192"/>
    <w:rsid w:val="04781864"/>
    <w:rsid w:val="04AC7FD5"/>
    <w:rsid w:val="04B74C29"/>
    <w:rsid w:val="04E2157A"/>
    <w:rsid w:val="04F86BA8"/>
    <w:rsid w:val="052F6EDC"/>
    <w:rsid w:val="0551133B"/>
    <w:rsid w:val="058F7720"/>
    <w:rsid w:val="059459D8"/>
    <w:rsid w:val="059C64D5"/>
    <w:rsid w:val="05C80A15"/>
    <w:rsid w:val="065D371C"/>
    <w:rsid w:val="06707CA1"/>
    <w:rsid w:val="068D6F85"/>
    <w:rsid w:val="069D39AB"/>
    <w:rsid w:val="06A75D00"/>
    <w:rsid w:val="06EF389B"/>
    <w:rsid w:val="071874D5"/>
    <w:rsid w:val="07195727"/>
    <w:rsid w:val="073562D9"/>
    <w:rsid w:val="07697D31"/>
    <w:rsid w:val="07D86362"/>
    <w:rsid w:val="07F75D8B"/>
    <w:rsid w:val="08010F28"/>
    <w:rsid w:val="084853DB"/>
    <w:rsid w:val="0892743D"/>
    <w:rsid w:val="08B651F8"/>
    <w:rsid w:val="08C16076"/>
    <w:rsid w:val="08D35DAA"/>
    <w:rsid w:val="08D85501"/>
    <w:rsid w:val="08E264D0"/>
    <w:rsid w:val="08F12AD6"/>
    <w:rsid w:val="08F63846"/>
    <w:rsid w:val="09061ADF"/>
    <w:rsid w:val="09267C87"/>
    <w:rsid w:val="095E1B17"/>
    <w:rsid w:val="09630EDC"/>
    <w:rsid w:val="096609CC"/>
    <w:rsid w:val="096B5FE2"/>
    <w:rsid w:val="097968F5"/>
    <w:rsid w:val="09857DA7"/>
    <w:rsid w:val="09CD35A1"/>
    <w:rsid w:val="09D516AE"/>
    <w:rsid w:val="09E0077E"/>
    <w:rsid w:val="09E638BB"/>
    <w:rsid w:val="0A1341F3"/>
    <w:rsid w:val="0A370581"/>
    <w:rsid w:val="0A5F248D"/>
    <w:rsid w:val="0A6767AA"/>
    <w:rsid w:val="0A7333A0"/>
    <w:rsid w:val="0A83110A"/>
    <w:rsid w:val="0A8A5D79"/>
    <w:rsid w:val="0B0F1ADC"/>
    <w:rsid w:val="0B2B6AE0"/>
    <w:rsid w:val="0B321D87"/>
    <w:rsid w:val="0B713153"/>
    <w:rsid w:val="0B9B0BC6"/>
    <w:rsid w:val="0BB023D2"/>
    <w:rsid w:val="0C3C3C66"/>
    <w:rsid w:val="0CAA2BFF"/>
    <w:rsid w:val="0CB43521"/>
    <w:rsid w:val="0D01529E"/>
    <w:rsid w:val="0D202B2D"/>
    <w:rsid w:val="0D220D94"/>
    <w:rsid w:val="0D9553DC"/>
    <w:rsid w:val="0DB67743"/>
    <w:rsid w:val="0DC65E1C"/>
    <w:rsid w:val="0DCB6F7B"/>
    <w:rsid w:val="0DE0102D"/>
    <w:rsid w:val="0DFF6811"/>
    <w:rsid w:val="0E274238"/>
    <w:rsid w:val="0EAB141B"/>
    <w:rsid w:val="0EE232DA"/>
    <w:rsid w:val="0EE23AFE"/>
    <w:rsid w:val="0EEF505F"/>
    <w:rsid w:val="0F140F51"/>
    <w:rsid w:val="0F241091"/>
    <w:rsid w:val="0F331D95"/>
    <w:rsid w:val="0F8971C2"/>
    <w:rsid w:val="0FDC3796"/>
    <w:rsid w:val="1004348A"/>
    <w:rsid w:val="100A783E"/>
    <w:rsid w:val="100A7C74"/>
    <w:rsid w:val="100E02A6"/>
    <w:rsid w:val="100F24CE"/>
    <w:rsid w:val="10424C84"/>
    <w:rsid w:val="109930D0"/>
    <w:rsid w:val="10A168DB"/>
    <w:rsid w:val="10B8790D"/>
    <w:rsid w:val="10BC03C7"/>
    <w:rsid w:val="10DA1EAA"/>
    <w:rsid w:val="10DB7792"/>
    <w:rsid w:val="10F73F4D"/>
    <w:rsid w:val="11457119"/>
    <w:rsid w:val="11606A29"/>
    <w:rsid w:val="117D2D56"/>
    <w:rsid w:val="118041DE"/>
    <w:rsid w:val="11902903"/>
    <w:rsid w:val="11955B0C"/>
    <w:rsid w:val="11B636D9"/>
    <w:rsid w:val="121511E1"/>
    <w:rsid w:val="122D003B"/>
    <w:rsid w:val="127952CC"/>
    <w:rsid w:val="128A0D9B"/>
    <w:rsid w:val="12E2395B"/>
    <w:rsid w:val="12F11306"/>
    <w:rsid w:val="130F4A87"/>
    <w:rsid w:val="131856B0"/>
    <w:rsid w:val="132318D4"/>
    <w:rsid w:val="134113A6"/>
    <w:rsid w:val="13511DA5"/>
    <w:rsid w:val="137B1518"/>
    <w:rsid w:val="137B32C6"/>
    <w:rsid w:val="13946AC8"/>
    <w:rsid w:val="14237C67"/>
    <w:rsid w:val="14432035"/>
    <w:rsid w:val="147A360C"/>
    <w:rsid w:val="14C41530"/>
    <w:rsid w:val="14C9190A"/>
    <w:rsid w:val="150712B5"/>
    <w:rsid w:val="154020D1"/>
    <w:rsid w:val="15935443"/>
    <w:rsid w:val="15A13C38"/>
    <w:rsid w:val="15AC3C0A"/>
    <w:rsid w:val="15AD5965"/>
    <w:rsid w:val="15DE2644"/>
    <w:rsid w:val="16266CC9"/>
    <w:rsid w:val="162C4310"/>
    <w:rsid w:val="16312492"/>
    <w:rsid w:val="16565924"/>
    <w:rsid w:val="168D0A72"/>
    <w:rsid w:val="16B60189"/>
    <w:rsid w:val="16CD6EB8"/>
    <w:rsid w:val="16DB6903"/>
    <w:rsid w:val="16F12E9F"/>
    <w:rsid w:val="16F65F21"/>
    <w:rsid w:val="174D6D27"/>
    <w:rsid w:val="17517AB7"/>
    <w:rsid w:val="180869C7"/>
    <w:rsid w:val="182745FA"/>
    <w:rsid w:val="185F0912"/>
    <w:rsid w:val="1868379C"/>
    <w:rsid w:val="18826EA4"/>
    <w:rsid w:val="189173D4"/>
    <w:rsid w:val="18CF15C5"/>
    <w:rsid w:val="18F17327"/>
    <w:rsid w:val="18F94580"/>
    <w:rsid w:val="19220D2D"/>
    <w:rsid w:val="194B4C86"/>
    <w:rsid w:val="194E3880"/>
    <w:rsid w:val="196B7938"/>
    <w:rsid w:val="19704F4F"/>
    <w:rsid w:val="19744A3F"/>
    <w:rsid w:val="198F7168"/>
    <w:rsid w:val="1A09570F"/>
    <w:rsid w:val="1A2E20AE"/>
    <w:rsid w:val="1A5A1FD9"/>
    <w:rsid w:val="1AB3115D"/>
    <w:rsid w:val="1AB31597"/>
    <w:rsid w:val="1AC413E5"/>
    <w:rsid w:val="1AF44089"/>
    <w:rsid w:val="1B0940FF"/>
    <w:rsid w:val="1B444FAC"/>
    <w:rsid w:val="1B4B7786"/>
    <w:rsid w:val="1B55264E"/>
    <w:rsid w:val="1B722BA3"/>
    <w:rsid w:val="1BB9498B"/>
    <w:rsid w:val="1BC021BE"/>
    <w:rsid w:val="1BC71E99"/>
    <w:rsid w:val="1BD16DFE"/>
    <w:rsid w:val="1C1E6EE4"/>
    <w:rsid w:val="1C744D56"/>
    <w:rsid w:val="1C8A2C92"/>
    <w:rsid w:val="1C9359DB"/>
    <w:rsid w:val="1CAD0D86"/>
    <w:rsid w:val="1CE65C54"/>
    <w:rsid w:val="1CF244A5"/>
    <w:rsid w:val="1D101801"/>
    <w:rsid w:val="1D3651C1"/>
    <w:rsid w:val="1D3B6217"/>
    <w:rsid w:val="1D984854"/>
    <w:rsid w:val="1DA17DCD"/>
    <w:rsid w:val="1DB731B5"/>
    <w:rsid w:val="1DE0044E"/>
    <w:rsid w:val="1E0812B2"/>
    <w:rsid w:val="1E116D00"/>
    <w:rsid w:val="1E552DAD"/>
    <w:rsid w:val="1E8714F2"/>
    <w:rsid w:val="1EA54681"/>
    <w:rsid w:val="1EB761DF"/>
    <w:rsid w:val="1ED132F1"/>
    <w:rsid w:val="1ED146E2"/>
    <w:rsid w:val="1F0A73AB"/>
    <w:rsid w:val="1FA45268"/>
    <w:rsid w:val="1FB5190D"/>
    <w:rsid w:val="1FB548D8"/>
    <w:rsid w:val="1FD91AA0"/>
    <w:rsid w:val="20575FF4"/>
    <w:rsid w:val="207A1985"/>
    <w:rsid w:val="21607FF0"/>
    <w:rsid w:val="21771570"/>
    <w:rsid w:val="22001F6D"/>
    <w:rsid w:val="220E2CF0"/>
    <w:rsid w:val="220F258C"/>
    <w:rsid w:val="222D7E81"/>
    <w:rsid w:val="226715E5"/>
    <w:rsid w:val="2283573E"/>
    <w:rsid w:val="229E0014"/>
    <w:rsid w:val="22A16179"/>
    <w:rsid w:val="22C62CF4"/>
    <w:rsid w:val="22CD489A"/>
    <w:rsid w:val="22D04379"/>
    <w:rsid w:val="22D816FD"/>
    <w:rsid w:val="22EF001E"/>
    <w:rsid w:val="23531B69"/>
    <w:rsid w:val="23921DA8"/>
    <w:rsid w:val="23A06120"/>
    <w:rsid w:val="23AB5501"/>
    <w:rsid w:val="23BA3996"/>
    <w:rsid w:val="23EF086D"/>
    <w:rsid w:val="242C0CB6"/>
    <w:rsid w:val="243330B3"/>
    <w:rsid w:val="243402EB"/>
    <w:rsid w:val="243C319A"/>
    <w:rsid w:val="244A2AA7"/>
    <w:rsid w:val="24557033"/>
    <w:rsid w:val="248D50A5"/>
    <w:rsid w:val="24BC196B"/>
    <w:rsid w:val="24CD533B"/>
    <w:rsid w:val="2539485F"/>
    <w:rsid w:val="25787E99"/>
    <w:rsid w:val="26046708"/>
    <w:rsid w:val="268362C1"/>
    <w:rsid w:val="268C17A5"/>
    <w:rsid w:val="26CF3B68"/>
    <w:rsid w:val="26D134D1"/>
    <w:rsid w:val="26D5342B"/>
    <w:rsid w:val="273733E7"/>
    <w:rsid w:val="2751016E"/>
    <w:rsid w:val="2756665E"/>
    <w:rsid w:val="27566816"/>
    <w:rsid w:val="27A209C9"/>
    <w:rsid w:val="27C92EAF"/>
    <w:rsid w:val="28264D09"/>
    <w:rsid w:val="2852419D"/>
    <w:rsid w:val="286E02B3"/>
    <w:rsid w:val="288B57BC"/>
    <w:rsid w:val="289C003F"/>
    <w:rsid w:val="28AC24C6"/>
    <w:rsid w:val="28B409B4"/>
    <w:rsid w:val="28C301EC"/>
    <w:rsid w:val="28CA3E69"/>
    <w:rsid w:val="28CD7B64"/>
    <w:rsid w:val="28DA73F5"/>
    <w:rsid w:val="28E84B02"/>
    <w:rsid w:val="29017971"/>
    <w:rsid w:val="292124C0"/>
    <w:rsid w:val="292E4A64"/>
    <w:rsid w:val="29696525"/>
    <w:rsid w:val="296A1430"/>
    <w:rsid w:val="29AE6B2F"/>
    <w:rsid w:val="29B31BF4"/>
    <w:rsid w:val="29D72CE3"/>
    <w:rsid w:val="29F86FC6"/>
    <w:rsid w:val="2A5432D9"/>
    <w:rsid w:val="2A6023B1"/>
    <w:rsid w:val="2A612DBE"/>
    <w:rsid w:val="2A7B1B3D"/>
    <w:rsid w:val="2A8B37C2"/>
    <w:rsid w:val="2A9A007E"/>
    <w:rsid w:val="2A9D5456"/>
    <w:rsid w:val="2A9E4307"/>
    <w:rsid w:val="2AA77E46"/>
    <w:rsid w:val="2AB779B2"/>
    <w:rsid w:val="2AC727AE"/>
    <w:rsid w:val="2AD26095"/>
    <w:rsid w:val="2AFA4513"/>
    <w:rsid w:val="2B4A69C0"/>
    <w:rsid w:val="2B892294"/>
    <w:rsid w:val="2B8F13D2"/>
    <w:rsid w:val="2BDE1011"/>
    <w:rsid w:val="2C387B4E"/>
    <w:rsid w:val="2C78619D"/>
    <w:rsid w:val="2CA03F89"/>
    <w:rsid w:val="2CB65D01"/>
    <w:rsid w:val="2CE56190"/>
    <w:rsid w:val="2CEB2E12"/>
    <w:rsid w:val="2CED26E7"/>
    <w:rsid w:val="2CFA3055"/>
    <w:rsid w:val="2CFC2BFE"/>
    <w:rsid w:val="2D3276BD"/>
    <w:rsid w:val="2D39592C"/>
    <w:rsid w:val="2D46575E"/>
    <w:rsid w:val="2D5704A8"/>
    <w:rsid w:val="2D760E8D"/>
    <w:rsid w:val="2D906179"/>
    <w:rsid w:val="2DB91AFF"/>
    <w:rsid w:val="2DDA2B2D"/>
    <w:rsid w:val="2E0D1483"/>
    <w:rsid w:val="2E1415D6"/>
    <w:rsid w:val="2E3351EF"/>
    <w:rsid w:val="2E366DA4"/>
    <w:rsid w:val="2E4D6FF7"/>
    <w:rsid w:val="2E7B1F74"/>
    <w:rsid w:val="2E8452CD"/>
    <w:rsid w:val="2E9F2106"/>
    <w:rsid w:val="2EA67D2A"/>
    <w:rsid w:val="2EB904AA"/>
    <w:rsid w:val="2EF95138"/>
    <w:rsid w:val="2EFB0B07"/>
    <w:rsid w:val="2F2F348A"/>
    <w:rsid w:val="2F882B9B"/>
    <w:rsid w:val="2F9768C8"/>
    <w:rsid w:val="2FA057DA"/>
    <w:rsid w:val="2FAA40AC"/>
    <w:rsid w:val="2FB562DA"/>
    <w:rsid w:val="2FC4283A"/>
    <w:rsid w:val="2FF24A22"/>
    <w:rsid w:val="2FFA0B39"/>
    <w:rsid w:val="2FFD0E93"/>
    <w:rsid w:val="30174E58"/>
    <w:rsid w:val="306E5A5C"/>
    <w:rsid w:val="307750E9"/>
    <w:rsid w:val="30943417"/>
    <w:rsid w:val="309A0250"/>
    <w:rsid w:val="30CA4E30"/>
    <w:rsid w:val="30F32296"/>
    <w:rsid w:val="311D4A5E"/>
    <w:rsid w:val="314D028A"/>
    <w:rsid w:val="31927D00"/>
    <w:rsid w:val="321220BF"/>
    <w:rsid w:val="32340DB8"/>
    <w:rsid w:val="3239174D"/>
    <w:rsid w:val="325F5BB1"/>
    <w:rsid w:val="326C0551"/>
    <w:rsid w:val="32947A36"/>
    <w:rsid w:val="329E4165"/>
    <w:rsid w:val="32A578A4"/>
    <w:rsid w:val="32B42A71"/>
    <w:rsid w:val="32C95F7D"/>
    <w:rsid w:val="32D87672"/>
    <w:rsid w:val="32F73CE3"/>
    <w:rsid w:val="33155659"/>
    <w:rsid w:val="33171483"/>
    <w:rsid w:val="331C5AD4"/>
    <w:rsid w:val="333A41AC"/>
    <w:rsid w:val="3352118A"/>
    <w:rsid w:val="33647DDA"/>
    <w:rsid w:val="336F1825"/>
    <w:rsid w:val="337B4EF0"/>
    <w:rsid w:val="338D3BB2"/>
    <w:rsid w:val="33C9525A"/>
    <w:rsid w:val="33E71452"/>
    <w:rsid w:val="34133CFA"/>
    <w:rsid w:val="34705484"/>
    <w:rsid w:val="3482405C"/>
    <w:rsid w:val="34AE2B9F"/>
    <w:rsid w:val="34E645EB"/>
    <w:rsid w:val="34F21EFA"/>
    <w:rsid w:val="35145B72"/>
    <w:rsid w:val="355530AA"/>
    <w:rsid w:val="35713A96"/>
    <w:rsid w:val="358326D9"/>
    <w:rsid w:val="359A6C78"/>
    <w:rsid w:val="35A11836"/>
    <w:rsid w:val="35A87D6F"/>
    <w:rsid w:val="35AD52ED"/>
    <w:rsid w:val="35EA3A42"/>
    <w:rsid w:val="35FC5E78"/>
    <w:rsid w:val="360D5BA8"/>
    <w:rsid w:val="362B7D80"/>
    <w:rsid w:val="36405F7D"/>
    <w:rsid w:val="364631D7"/>
    <w:rsid w:val="368928C2"/>
    <w:rsid w:val="36EC3EEB"/>
    <w:rsid w:val="371D2C7C"/>
    <w:rsid w:val="372E2279"/>
    <w:rsid w:val="37604F1C"/>
    <w:rsid w:val="37850378"/>
    <w:rsid w:val="37AE40C2"/>
    <w:rsid w:val="37B07132"/>
    <w:rsid w:val="37C95510"/>
    <w:rsid w:val="37D83F93"/>
    <w:rsid w:val="38165564"/>
    <w:rsid w:val="38657F1D"/>
    <w:rsid w:val="38796B1A"/>
    <w:rsid w:val="38A5623F"/>
    <w:rsid w:val="38AE3672"/>
    <w:rsid w:val="38CB784F"/>
    <w:rsid w:val="38F00B77"/>
    <w:rsid w:val="38FC5B65"/>
    <w:rsid w:val="395064D7"/>
    <w:rsid w:val="39721E98"/>
    <w:rsid w:val="39E135D3"/>
    <w:rsid w:val="39E62951"/>
    <w:rsid w:val="3A0228DF"/>
    <w:rsid w:val="3A2B3150"/>
    <w:rsid w:val="3ADB2718"/>
    <w:rsid w:val="3AFC317E"/>
    <w:rsid w:val="3B027CA5"/>
    <w:rsid w:val="3B1F29B6"/>
    <w:rsid w:val="3B3760F2"/>
    <w:rsid w:val="3B471B5C"/>
    <w:rsid w:val="3B6C511E"/>
    <w:rsid w:val="3BB014AF"/>
    <w:rsid w:val="3BDB1118"/>
    <w:rsid w:val="3BF10314"/>
    <w:rsid w:val="3C1B5297"/>
    <w:rsid w:val="3C7E335B"/>
    <w:rsid w:val="3C872AED"/>
    <w:rsid w:val="3CB11983"/>
    <w:rsid w:val="3CBC13D6"/>
    <w:rsid w:val="3CC0739C"/>
    <w:rsid w:val="3CCB0C01"/>
    <w:rsid w:val="3CE67488"/>
    <w:rsid w:val="3D671B6F"/>
    <w:rsid w:val="3D7A1767"/>
    <w:rsid w:val="3D976450"/>
    <w:rsid w:val="3DAB60B8"/>
    <w:rsid w:val="3DD62C43"/>
    <w:rsid w:val="3DE43056"/>
    <w:rsid w:val="3DE84BF6"/>
    <w:rsid w:val="3DE87A75"/>
    <w:rsid w:val="3E317B0A"/>
    <w:rsid w:val="3E524A9F"/>
    <w:rsid w:val="3E7E5396"/>
    <w:rsid w:val="3EBC0434"/>
    <w:rsid w:val="3F006E72"/>
    <w:rsid w:val="3F03675E"/>
    <w:rsid w:val="3F22611D"/>
    <w:rsid w:val="3F4934CD"/>
    <w:rsid w:val="3F5B255F"/>
    <w:rsid w:val="3FA330D9"/>
    <w:rsid w:val="3FF83CE6"/>
    <w:rsid w:val="401A2785"/>
    <w:rsid w:val="403266E4"/>
    <w:rsid w:val="404B1C32"/>
    <w:rsid w:val="4089021A"/>
    <w:rsid w:val="40937667"/>
    <w:rsid w:val="40B030CD"/>
    <w:rsid w:val="40DC5A18"/>
    <w:rsid w:val="40FE4CFC"/>
    <w:rsid w:val="413D3E56"/>
    <w:rsid w:val="41406E31"/>
    <w:rsid w:val="41631D91"/>
    <w:rsid w:val="41742F7F"/>
    <w:rsid w:val="41767F8A"/>
    <w:rsid w:val="419F2B13"/>
    <w:rsid w:val="41A05590"/>
    <w:rsid w:val="41A633B6"/>
    <w:rsid w:val="41FB36A0"/>
    <w:rsid w:val="41FF5964"/>
    <w:rsid w:val="422E75D1"/>
    <w:rsid w:val="4242307D"/>
    <w:rsid w:val="42647561"/>
    <w:rsid w:val="42D55421"/>
    <w:rsid w:val="42E15FC6"/>
    <w:rsid w:val="42ED361D"/>
    <w:rsid w:val="43487CF9"/>
    <w:rsid w:val="43B50E83"/>
    <w:rsid w:val="43E315D1"/>
    <w:rsid w:val="43EF3691"/>
    <w:rsid w:val="440A2AAE"/>
    <w:rsid w:val="44110F59"/>
    <w:rsid w:val="44137BF5"/>
    <w:rsid w:val="442962A2"/>
    <w:rsid w:val="44337121"/>
    <w:rsid w:val="44703F84"/>
    <w:rsid w:val="448B4867"/>
    <w:rsid w:val="451D7555"/>
    <w:rsid w:val="45321187"/>
    <w:rsid w:val="45483A10"/>
    <w:rsid w:val="45704E47"/>
    <w:rsid w:val="457735BA"/>
    <w:rsid w:val="45BB73CE"/>
    <w:rsid w:val="46421E66"/>
    <w:rsid w:val="46794B93"/>
    <w:rsid w:val="46865662"/>
    <w:rsid w:val="468C0D6B"/>
    <w:rsid w:val="469B0FAE"/>
    <w:rsid w:val="46FD7E8D"/>
    <w:rsid w:val="472B77C3"/>
    <w:rsid w:val="474E0314"/>
    <w:rsid w:val="47574ED5"/>
    <w:rsid w:val="475F022D"/>
    <w:rsid w:val="47941C85"/>
    <w:rsid w:val="47B448F0"/>
    <w:rsid w:val="47EE25B8"/>
    <w:rsid w:val="481E1E96"/>
    <w:rsid w:val="48D00A79"/>
    <w:rsid w:val="48DB3BA5"/>
    <w:rsid w:val="48DC4216"/>
    <w:rsid w:val="48F75950"/>
    <w:rsid w:val="490D72F8"/>
    <w:rsid w:val="494E2307"/>
    <w:rsid w:val="49641B2B"/>
    <w:rsid w:val="496A5A4B"/>
    <w:rsid w:val="49746212"/>
    <w:rsid w:val="49843F7B"/>
    <w:rsid w:val="498E4E99"/>
    <w:rsid w:val="498E6432"/>
    <w:rsid w:val="49A11F60"/>
    <w:rsid w:val="49BD6D9E"/>
    <w:rsid w:val="49DB7A8B"/>
    <w:rsid w:val="49E05655"/>
    <w:rsid w:val="4A171034"/>
    <w:rsid w:val="4A264C7E"/>
    <w:rsid w:val="4A6A4F1F"/>
    <w:rsid w:val="4A714CA9"/>
    <w:rsid w:val="4A8E2431"/>
    <w:rsid w:val="4A9B2897"/>
    <w:rsid w:val="4AB90145"/>
    <w:rsid w:val="4B4C2876"/>
    <w:rsid w:val="4B522FF6"/>
    <w:rsid w:val="4B8D1D61"/>
    <w:rsid w:val="4B921097"/>
    <w:rsid w:val="4BC8467F"/>
    <w:rsid w:val="4BF421C1"/>
    <w:rsid w:val="4BF90C50"/>
    <w:rsid w:val="4C4E07A7"/>
    <w:rsid w:val="4CAA5AA7"/>
    <w:rsid w:val="4CAD5597"/>
    <w:rsid w:val="4CFD02CC"/>
    <w:rsid w:val="4CFE53E3"/>
    <w:rsid w:val="4D2015B6"/>
    <w:rsid w:val="4D387556"/>
    <w:rsid w:val="4D53225C"/>
    <w:rsid w:val="4D5325E2"/>
    <w:rsid w:val="4D60282D"/>
    <w:rsid w:val="4DAC2EF1"/>
    <w:rsid w:val="4DBD47FD"/>
    <w:rsid w:val="4DE96F4B"/>
    <w:rsid w:val="4E167C90"/>
    <w:rsid w:val="4E6313FB"/>
    <w:rsid w:val="4E796078"/>
    <w:rsid w:val="4EE1584D"/>
    <w:rsid w:val="4F0A4599"/>
    <w:rsid w:val="4F1D07B2"/>
    <w:rsid w:val="4F532425"/>
    <w:rsid w:val="4F5D32A4"/>
    <w:rsid w:val="4F826147"/>
    <w:rsid w:val="4F9662AF"/>
    <w:rsid w:val="4F9D1D84"/>
    <w:rsid w:val="4FBE01E7"/>
    <w:rsid w:val="4FC275AB"/>
    <w:rsid w:val="4FE63648"/>
    <w:rsid w:val="4FEB4D54"/>
    <w:rsid w:val="4FF8667B"/>
    <w:rsid w:val="50097DCA"/>
    <w:rsid w:val="5015335A"/>
    <w:rsid w:val="5076676F"/>
    <w:rsid w:val="507E672D"/>
    <w:rsid w:val="510734C7"/>
    <w:rsid w:val="51334992"/>
    <w:rsid w:val="5165679A"/>
    <w:rsid w:val="518A6B82"/>
    <w:rsid w:val="51921ACF"/>
    <w:rsid w:val="5196484B"/>
    <w:rsid w:val="51DA532E"/>
    <w:rsid w:val="51F960F8"/>
    <w:rsid w:val="51FC3B59"/>
    <w:rsid w:val="524644C3"/>
    <w:rsid w:val="52635E34"/>
    <w:rsid w:val="527070FD"/>
    <w:rsid w:val="52727066"/>
    <w:rsid w:val="52946FDD"/>
    <w:rsid w:val="52B36040"/>
    <w:rsid w:val="52C957D5"/>
    <w:rsid w:val="52E141EC"/>
    <w:rsid w:val="53293E33"/>
    <w:rsid w:val="535A6478"/>
    <w:rsid w:val="53A2532D"/>
    <w:rsid w:val="54111889"/>
    <w:rsid w:val="541E18DB"/>
    <w:rsid w:val="54573DC0"/>
    <w:rsid w:val="547D0BAA"/>
    <w:rsid w:val="549D149A"/>
    <w:rsid w:val="54AE54A3"/>
    <w:rsid w:val="54B43966"/>
    <w:rsid w:val="54C17E31"/>
    <w:rsid w:val="54C227C1"/>
    <w:rsid w:val="54C45928"/>
    <w:rsid w:val="54EF5A28"/>
    <w:rsid w:val="54F06565"/>
    <w:rsid w:val="54FE5C21"/>
    <w:rsid w:val="55040D91"/>
    <w:rsid w:val="550432BF"/>
    <w:rsid w:val="55147663"/>
    <w:rsid w:val="553E2F3E"/>
    <w:rsid w:val="558E40FE"/>
    <w:rsid w:val="55F12998"/>
    <w:rsid w:val="56164708"/>
    <w:rsid w:val="56281660"/>
    <w:rsid w:val="56813D1C"/>
    <w:rsid w:val="56867584"/>
    <w:rsid w:val="569066B7"/>
    <w:rsid w:val="56B37004"/>
    <w:rsid w:val="56BA5480"/>
    <w:rsid w:val="56FB00B2"/>
    <w:rsid w:val="57435237"/>
    <w:rsid w:val="578F06BB"/>
    <w:rsid w:val="57C96BD5"/>
    <w:rsid w:val="57CF0AB7"/>
    <w:rsid w:val="57D15632"/>
    <w:rsid w:val="57F861AF"/>
    <w:rsid w:val="58637281"/>
    <w:rsid w:val="58733B38"/>
    <w:rsid w:val="58804B41"/>
    <w:rsid w:val="58B06B3A"/>
    <w:rsid w:val="58C003EE"/>
    <w:rsid w:val="58C31DC3"/>
    <w:rsid w:val="58CD3249"/>
    <w:rsid w:val="58EB3E42"/>
    <w:rsid w:val="59044E95"/>
    <w:rsid w:val="5920583D"/>
    <w:rsid w:val="5934151A"/>
    <w:rsid w:val="59441031"/>
    <w:rsid w:val="59633BAD"/>
    <w:rsid w:val="5991071A"/>
    <w:rsid w:val="59957B00"/>
    <w:rsid w:val="59D46859"/>
    <w:rsid w:val="59E335E6"/>
    <w:rsid w:val="59FB128F"/>
    <w:rsid w:val="5A530D01"/>
    <w:rsid w:val="5A557999"/>
    <w:rsid w:val="5A67140D"/>
    <w:rsid w:val="5A8E4C59"/>
    <w:rsid w:val="5AB02E22"/>
    <w:rsid w:val="5B01542B"/>
    <w:rsid w:val="5B1D5F4A"/>
    <w:rsid w:val="5B74302C"/>
    <w:rsid w:val="5BB72341"/>
    <w:rsid w:val="5BE12FA3"/>
    <w:rsid w:val="5BEE2DA9"/>
    <w:rsid w:val="5BF04500"/>
    <w:rsid w:val="5C043425"/>
    <w:rsid w:val="5C08347F"/>
    <w:rsid w:val="5C090588"/>
    <w:rsid w:val="5C205D85"/>
    <w:rsid w:val="5C330F82"/>
    <w:rsid w:val="5C376EBF"/>
    <w:rsid w:val="5C425CFC"/>
    <w:rsid w:val="5C4D6613"/>
    <w:rsid w:val="5CB07453"/>
    <w:rsid w:val="5CC6692D"/>
    <w:rsid w:val="5D066D29"/>
    <w:rsid w:val="5D3E2129"/>
    <w:rsid w:val="5D600B2F"/>
    <w:rsid w:val="5D8866EC"/>
    <w:rsid w:val="5DE702D0"/>
    <w:rsid w:val="5E451AD3"/>
    <w:rsid w:val="5E586465"/>
    <w:rsid w:val="5E9473B4"/>
    <w:rsid w:val="5EBF421E"/>
    <w:rsid w:val="5F1079DD"/>
    <w:rsid w:val="5F553F98"/>
    <w:rsid w:val="5F6E1A70"/>
    <w:rsid w:val="5F7B0A6B"/>
    <w:rsid w:val="5F8E329E"/>
    <w:rsid w:val="5F942D12"/>
    <w:rsid w:val="5FD50C35"/>
    <w:rsid w:val="5FE84E0C"/>
    <w:rsid w:val="5FED3BFE"/>
    <w:rsid w:val="60255B64"/>
    <w:rsid w:val="60635F5E"/>
    <w:rsid w:val="606C3DEF"/>
    <w:rsid w:val="61293716"/>
    <w:rsid w:val="6142679E"/>
    <w:rsid w:val="614C4F26"/>
    <w:rsid w:val="616854D4"/>
    <w:rsid w:val="61686204"/>
    <w:rsid w:val="617542FF"/>
    <w:rsid w:val="61B55338"/>
    <w:rsid w:val="61CB6941"/>
    <w:rsid w:val="61F061FA"/>
    <w:rsid w:val="620969B5"/>
    <w:rsid w:val="62103631"/>
    <w:rsid w:val="62683FE2"/>
    <w:rsid w:val="626C104E"/>
    <w:rsid w:val="626C2DFB"/>
    <w:rsid w:val="629152E7"/>
    <w:rsid w:val="62970DA8"/>
    <w:rsid w:val="62B13874"/>
    <w:rsid w:val="62CA6D41"/>
    <w:rsid w:val="62E33669"/>
    <w:rsid w:val="62EF426A"/>
    <w:rsid w:val="63343EC4"/>
    <w:rsid w:val="63672753"/>
    <w:rsid w:val="63791AC3"/>
    <w:rsid w:val="63A454EE"/>
    <w:rsid w:val="63C23197"/>
    <w:rsid w:val="64E828F6"/>
    <w:rsid w:val="65055B18"/>
    <w:rsid w:val="651027B1"/>
    <w:rsid w:val="653B2745"/>
    <w:rsid w:val="655D74FA"/>
    <w:rsid w:val="658D71C3"/>
    <w:rsid w:val="65E62E7A"/>
    <w:rsid w:val="66182E36"/>
    <w:rsid w:val="661C580F"/>
    <w:rsid w:val="66212E26"/>
    <w:rsid w:val="66276B36"/>
    <w:rsid w:val="664D101B"/>
    <w:rsid w:val="66551CC6"/>
    <w:rsid w:val="667B46D9"/>
    <w:rsid w:val="668F2989"/>
    <w:rsid w:val="66A1217D"/>
    <w:rsid w:val="66EC7F6C"/>
    <w:rsid w:val="6729172F"/>
    <w:rsid w:val="67334BBF"/>
    <w:rsid w:val="674C7A2E"/>
    <w:rsid w:val="67BB5990"/>
    <w:rsid w:val="67D57042"/>
    <w:rsid w:val="67E759FE"/>
    <w:rsid w:val="67F307F2"/>
    <w:rsid w:val="68095396"/>
    <w:rsid w:val="68264723"/>
    <w:rsid w:val="682F784C"/>
    <w:rsid w:val="68516BB5"/>
    <w:rsid w:val="68CE4375"/>
    <w:rsid w:val="68D0643D"/>
    <w:rsid w:val="68E57A72"/>
    <w:rsid w:val="6955518E"/>
    <w:rsid w:val="69767B98"/>
    <w:rsid w:val="69807E63"/>
    <w:rsid w:val="698711F2"/>
    <w:rsid w:val="698F4735"/>
    <w:rsid w:val="69AC6DCF"/>
    <w:rsid w:val="69D87C9F"/>
    <w:rsid w:val="69F452BC"/>
    <w:rsid w:val="6A025AA7"/>
    <w:rsid w:val="6A2C3B47"/>
    <w:rsid w:val="6A794FDE"/>
    <w:rsid w:val="6A860C13"/>
    <w:rsid w:val="6A9A31A7"/>
    <w:rsid w:val="6AAD178D"/>
    <w:rsid w:val="6AB73874"/>
    <w:rsid w:val="6AC124E1"/>
    <w:rsid w:val="6ADA7BBA"/>
    <w:rsid w:val="6AE54422"/>
    <w:rsid w:val="6B093820"/>
    <w:rsid w:val="6B315A3D"/>
    <w:rsid w:val="6B3D6996"/>
    <w:rsid w:val="6B4849B1"/>
    <w:rsid w:val="6B673089"/>
    <w:rsid w:val="6B855C05"/>
    <w:rsid w:val="6BAE5F09"/>
    <w:rsid w:val="6BC248E3"/>
    <w:rsid w:val="6BEE2337"/>
    <w:rsid w:val="6BFA3EFD"/>
    <w:rsid w:val="6C0D19B2"/>
    <w:rsid w:val="6C62616B"/>
    <w:rsid w:val="6C9368FF"/>
    <w:rsid w:val="6CC649E7"/>
    <w:rsid w:val="6CFF5543"/>
    <w:rsid w:val="6D496266"/>
    <w:rsid w:val="6D880556"/>
    <w:rsid w:val="6D903FDF"/>
    <w:rsid w:val="6DDA5CDD"/>
    <w:rsid w:val="6DDB103E"/>
    <w:rsid w:val="6E4422F6"/>
    <w:rsid w:val="6E9F559F"/>
    <w:rsid w:val="6EBE7765"/>
    <w:rsid w:val="6EC951C0"/>
    <w:rsid w:val="6EF77BA4"/>
    <w:rsid w:val="6EFF6F37"/>
    <w:rsid w:val="6F196D90"/>
    <w:rsid w:val="6F241291"/>
    <w:rsid w:val="6F5F71DE"/>
    <w:rsid w:val="6FC4095F"/>
    <w:rsid w:val="700955A5"/>
    <w:rsid w:val="70321649"/>
    <w:rsid w:val="70586ED8"/>
    <w:rsid w:val="70643DB9"/>
    <w:rsid w:val="706E7D4A"/>
    <w:rsid w:val="70845D91"/>
    <w:rsid w:val="7087340C"/>
    <w:rsid w:val="70C1148D"/>
    <w:rsid w:val="710B43D7"/>
    <w:rsid w:val="7116346D"/>
    <w:rsid w:val="711F4406"/>
    <w:rsid w:val="719577D3"/>
    <w:rsid w:val="71EF453A"/>
    <w:rsid w:val="726C71D7"/>
    <w:rsid w:val="7275647C"/>
    <w:rsid w:val="72897D89"/>
    <w:rsid w:val="72C31FE5"/>
    <w:rsid w:val="733A72D5"/>
    <w:rsid w:val="735B4424"/>
    <w:rsid w:val="73A56E44"/>
    <w:rsid w:val="73A66718"/>
    <w:rsid w:val="73C0793C"/>
    <w:rsid w:val="73DA2785"/>
    <w:rsid w:val="74370D14"/>
    <w:rsid w:val="744D3DFA"/>
    <w:rsid w:val="74620891"/>
    <w:rsid w:val="747D44D4"/>
    <w:rsid w:val="74972612"/>
    <w:rsid w:val="74B12652"/>
    <w:rsid w:val="74C85516"/>
    <w:rsid w:val="74CB6B3C"/>
    <w:rsid w:val="74DD616A"/>
    <w:rsid w:val="75036546"/>
    <w:rsid w:val="750B0244"/>
    <w:rsid w:val="751D3132"/>
    <w:rsid w:val="761A53C5"/>
    <w:rsid w:val="764B35A7"/>
    <w:rsid w:val="76930B91"/>
    <w:rsid w:val="76A10B1C"/>
    <w:rsid w:val="76A5715B"/>
    <w:rsid w:val="76BC4E7E"/>
    <w:rsid w:val="76BD6253"/>
    <w:rsid w:val="76EC6F5D"/>
    <w:rsid w:val="770164D0"/>
    <w:rsid w:val="77022531"/>
    <w:rsid w:val="77035576"/>
    <w:rsid w:val="77281627"/>
    <w:rsid w:val="77287A2C"/>
    <w:rsid w:val="774023AA"/>
    <w:rsid w:val="775A7F45"/>
    <w:rsid w:val="77656B6C"/>
    <w:rsid w:val="77716FA4"/>
    <w:rsid w:val="77864705"/>
    <w:rsid w:val="778E1F92"/>
    <w:rsid w:val="77992A0A"/>
    <w:rsid w:val="77EB4412"/>
    <w:rsid w:val="77FE326A"/>
    <w:rsid w:val="78013651"/>
    <w:rsid w:val="78206963"/>
    <w:rsid w:val="782642CC"/>
    <w:rsid w:val="786077DD"/>
    <w:rsid w:val="786372CE"/>
    <w:rsid w:val="78A63151"/>
    <w:rsid w:val="78AE0F69"/>
    <w:rsid w:val="78BD078C"/>
    <w:rsid w:val="78BE44F6"/>
    <w:rsid w:val="78C80EDF"/>
    <w:rsid w:val="790243F1"/>
    <w:rsid w:val="790D22C6"/>
    <w:rsid w:val="791B1956"/>
    <w:rsid w:val="793551ED"/>
    <w:rsid w:val="795006A8"/>
    <w:rsid w:val="79B6062C"/>
    <w:rsid w:val="79C81004"/>
    <w:rsid w:val="79C93E35"/>
    <w:rsid w:val="79EF6B22"/>
    <w:rsid w:val="7A1F45B1"/>
    <w:rsid w:val="7A3D5362"/>
    <w:rsid w:val="7A822729"/>
    <w:rsid w:val="7AC940EF"/>
    <w:rsid w:val="7AF406B1"/>
    <w:rsid w:val="7AF62D8C"/>
    <w:rsid w:val="7AFA3202"/>
    <w:rsid w:val="7B2D53A7"/>
    <w:rsid w:val="7C4B60AF"/>
    <w:rsid w:val="7C6A2922"/>
    <w:rsid w:val="7C784EF1"/>
    <w:rsid w:val="7C81735D"/>
    <w:rsid w:val="7CA642D9"/>
    <w:rsid w:val="7CDF62B2"/>
    <w:rsid w:val="7CEC7C3C"/>
    <w:rsid w:val="7CFE5817"/>
    <w:rsid w:val="7D0F532E"/>
    <w:rsid w:val="7D1B4125"/>
    <w:rsid w:val="7D362A5B"/>
    <w:rsid w:val="7D592F5B"/>
    <w:rsid w:val="7D630A43"/>
    <w:rsid w:val="7D6457E7"/>
    <w:rsid w:val="7D7F031A"/>
    <w:rsid w:val="7DCD73FA"/>
    <w:rsid w:val="7E164D69"/>
    <w:rsid w:val="7E186464"/>
    <w:rsid w:val="7E4E1E86"/>
    <w:rsid w:val="7E5F744D"/>
    <w:rsid w:val="7E755665"/>
    <w:rsid w:val="7E9B156F"/>
    <w:rsid w:val="7F175118"/>
    <w:rsid w:val="7F232CF1"/>
    <w:rsid w:val="7F4106EA"/>
    <w:rsid w:val="7F635305"/>
    <w:rsid w:val="7F654C19"/>
    <w:rsid w:val="7F7166CB"/>
    <w:rsid w:val="7F9A3D63"/>
    <w:rsid w:val="7FA3174E"/>
    <w:rsid w:val="7FB1091F"/>
    <w:rsid w:val="7FDD34C2"/>
    <w:rsid w:val="7FE71F4C"/>
    <w:rsid w:val="7FF35673"/>
    <w:rsid w:val="7FFD0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2"/>
    <w:autoRedefine/>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50"/>
    <w:autoRedefine/>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1"/>
    <w:link w:val="146"/>
    <w:autoRedefine/>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6">
    <w:name w:val="heading 4"/>
    <w:basedOn w:val="1"/>
    <w:next w:val="1"/>
    <w:link w:val="52"/>
    <w:autoRedefine/>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134"/>
    <w:autoRedefine/>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8">
    <w:name w:val="heading 6"/>
    <w:basedOn w:val="1"/>
    <w:next w:val="9"/>
    <w:link w:val="144"/>
    <w:autoRedefine/>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0">
    <w:name w:val="heading 7"/>
    <w:basedOn w:val="1"/>
    <w:next w:val="9"/>
    <w:link w:val="55"/>
    <w:autoRedefine/>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1">
    <w:name w:val="heading 8"/>
    <w:basedOn w:val="1"/>
    <w:next w:val="9"/>
    <w:link w:val="56"/>
    <w:autoRedefine/>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2">
    <w:name w:val="heading 9"/>
    <w:basedOn w:val="1"/>
    <w:next w:val="9"/>
    <w:link w:val="57"/>
    <w:autoRedefine/>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120"/>
    <w:autoRedefine/>
    <w:qFormat/>
    <w:uiPriority w:val="99"/>
    <w:pPr>
      <w:autoSpaceDE w:val="0"/>
      <w:autoSpaceDN w:val="0"/>
      <w:adjustRightInd w:val="0"/>
      <w:ind w:right="-26"/>
      <w:jc w:val="center"/>
    </w:pPr>
    <w:rPr>
      <w:rFonts w:ascii="宋体" w:eastAsia="宋体"/>
      <w:b/>
      <w:bCs/>
      <w:sz w:val="84"/>
      <w:szCs w:val="84"/>
      <w:lang w:val="zh-CN"/>
    </w:rPr>
  </w:style>
  <w:style w:type="paragraph" w:customStyle="1" w:styleId="9">
    <w:name w:val="模板正文"/>
    <w:basedOn w:val="1"/>
    <w:link w:val="96"/>
    <w:autoRedefine/>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Normal Indent"/>
    <w:basedOn w:val="1"/>
    <w:autoRedefine/>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5"/>
    <w:autoRedefine/>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18"/>
    <w:autoRedefine/>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7">
    <w:name w:val="annotation text"/>
    <w:basedOn w:val="1"/>
    <w:link w:val="165"/>
    <w:autoRedefine/>
    <w:unhideWhenUsed/>
    <w:qFormat/>
    <w:uiPriority w:val="99"/>
    <w:pPr>
      <w:jc w:val="left"/>
    </w:pPr>
  </w:style>
  <w:style w:type="paragraph" w:styleId="18">
    <w:name w:val="Body Text 3"/>
    <w:basedOn w:val="1"/>
    <w:link w:val="158"/>
    <w:autoRedefine/>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9">
    <w:name w:val="Body Text Indent"/>
    <w:basedOn w:val="1"/>
    <w:link w:val="94"/>
    <w:autoRedefine/>
    <w:qFormat/>
    <w:uiPriority w:val="0"/>
    <w:pPr>
      <w:ind w:left="567" w:leftChars="270"/>
    </w:pPr>
    <w:rPr>
      <w:rFonts w:ascii="Times New Roman" w:hAnsi="Times New Roman" w:eastAsia="宋体" w:cs="Times New Roman"/>
      <w:szCs w:val="20"/>
    </w:rPr>
  </w:style>
  <w:style w:type="paragraph" w:styleId="20">
    <w:name w:val="toc 3"/>
    <w:basedOn w:val="1"/>
    <w:next w:val="1"/>
    <w:autoRedefine/>
    <w:unhideWhenUsed/>
    <w:qFormat/>
    <w:uiPriority w:val="39"/>
    <w:pPr>
      <w:tabs>
        <w:tab w:val="right" w:leader="dot" w:pos="10144"/>
      </w:tabs>
      <w:ind w:left="840" w:leftChars="400"/>
    </w:pPr>
  </w:style>
  <w:style w:type="paragraph" w:styleId="21">
    <w:name w:val="Plain Text"/>
    <w:basedOn w:val="1"/>
    <w:link w:val="102"/>
    <w:autoRedefine/>
    <w:qFormat/>
    <w:uiPriority w:val="0"/>
    <w:rPr>
      <w:rFonts w:ascii="宋体" w:hAnsi="Courier New" w:eastAsia="宋体"/>
    </w:rPr>
  </w:style>
  <w:style w:type="paragraph" w:styleId="22">
    <w:name w:val="Date"/>
    <w:basedOn w:val="1"/>
    <w:next w:val="1"/>
    <w:link w:val="110"/>
    <w:autoRedefine/>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3">
    <w:name w:val="Body Text Indent 2"/>
    <w:basedOn w:val="1"/>
    <w:link w:val="103"/>
    <w:autoRedefine/>
    <w:qFormat/>
    <w:uiPriority w:val="0"/>
    <w:pPr>
      <w:tabs>
        <w:tab w:val="left" w:pos="8640"/>
      </w:tabs>
      <w:ind w:left="1260"/>
    </w:pPr>
    <w:rPr>
      <w:rFonts w:ascii="宋体" w:hAnsi="Times New Roman" w:eastAsia="宋体" w:cs="Times New Roman"/>
      <w:szCs w:val="20"/>
    </w:rPr>
  </w:style>
  <w:style w:type="paragraph" w:styleId="24">
    <w:name w:val="Balloon Text"/>
    <w:basedOn w:val="1"/>
    <w:link w:val="76"/>
    <w:autoRedefine/>
    <w:qFormat/>
    <w:uiPriority w:val="0"/>
    <w:rPr>
      <w:rFonts w:ascii="Times New Roman" w:hAnsi="Times New Roman" w:eastAsia="宋体" w:cs="Times New Roman"/>
      <w:sz w:val="18"/>
      <w:szCs w:val="18"/>
    </w:rPr>
  </w:style>
  <w:style w:type="paragraph" w:styleId="25">
    <w:name w:val="footer"/>
    <w:basedOn w:val="1"/>
    <w:link w:val="80"/>
    <w:autoRedefine/>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6">
    <w:name w:val="header"/>
    <w:basedOn w:val="1"/>
    <w:link w:val="122"/>
    <w:autoRedefine/>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7">
    <w:name w:val="toc 1"/>
    <w:basedOn w:val="1"/>
    <w:next w:val="1"/>
    <w:autoRedefine/>
    <w:unhideWhenUsed/>
    <w:qFormat/>
    <w:uiPriority w:val="39"/>
  </w:style>
  <w:style w:type="paragraph" w:styleId="28">
    <w:name w:val="List"/>
    <w:basedOn w:val="1"/>
    <w:autoRedefine/>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29">
    <w:name w:val="Body Text Indent 3"/>
    <w:basedOn w:val="1"/>
    <w:link w:val="156"/>
    <w:autoRedefine/>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0">
    <w:name w:val="toc 2"/>
    <w:basedOn w:val="1"/>
    <w:next w:val="1"/>
    <w:autoRedefine/>
    <w:semiHidden/>
    <w:unhideWhenUsed/>
    <w:qFormat/>
    <w:uiPriority w:val="39"/>
    <w:pPr>
      <w:ind w:left="420" w:leftChars="200"/>
    </w:pPr>
  </w:style>
  <w:style w:type="paragraph" w:styleId="31">
    <w:name w:val="Body Text 2"/>
    <w:basedOn w:val="1"/>
    <w:link w:val="145"/>
    <w:autoRedefine/>
    <w:qFormat/>
    <w:uiPriority w:val="0"/>
    <w:pPr>
      <w:tabs>
        <w:tab w:val="left" w:pos="0"/>
      </w:tabs>
      <w:spacing w:line="400" w:lineRule="atLeast"/>
    </w:pPr>
    <w:rPr>
      <w:rFonts w:ascii="Arial" w:hAnsi="Arial" w:eastAsia="宋体" w:cs="Times New Roman"/>
      <w:color w:val="000000"/>
      <w:szCs w:val="24"/>
    </w:rPr>
  </w:style>
  <w:style w:type="paragraph" w:styleId="32">
    <w:name w:val="HTML Preformatted"/>
    <w:basedOn w:val="1"/>
    <w:link w:val="88"/>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3">
    <w:name w:val="Normal (Web)"/>
    <w:basedOn w:val="1"/>
    <w:link w:val="95"/>
    <w:autoRedefine/>
    <w:qFormat/>
    <w:uiPriority w:val="0"/>
    <w:pPr>
      <w:widowControl/>
      <w:spacing w:before="100" w:beforeAutospacing="1" w:after="100" w:afterAutospacing="1"/>
      <w:jc w:val="left"/>
    </w:pPr>
    <w:rPr>
      <w:rFonts w:ascii="宋体" w:hAnsi="宋体"/>
      <w:sz w:val="15"/>
      <w:szCs w:val="15"/>
    </w:rPr>
  </w:style>
  <w:style w:type="paragraph" w:styleId="34">
    <w:name w:val="Title"/>
    <w:basedOn w:val="1"/>
    <w:next w:val="1"/>
    <w:link w:val="60"/>
    <w:autoRedefine/>
    <w:qFormat/>
    <w:uiPriority w:val="10"/>
    <w:pPr>
      <w:spacing w:before="120" w:after="60" w:line="300" w:lineRule="auto"/>
      <w:jc w:val="left"/>
      <w:outlineLvl w:val="0"/>
    </w:pPr>
    <w:rPr>
      <w:rFonts w:ascii="等线 Light" w:hAnsi="等线 Light" w:eastAsia="仿宋"/>
      <w:b/>
      <w:bCs/>
      <w:sz w:val="28"/>
      <w:szCs w:val="32"/>
    </w:rPr>
  </w:style>
  <w:style w:type="paragraph" w:styleId="35">
    <w:name w:val="annotation subject"/>
    <w:basedOn w:val="17"/>
    <w:next w:val="17"/>
    <w:link w:val="112"/>
    <w:autoRedefine/>
    <w:qFormat/>
    <w:uiPriority w:val="99"/>
    <w:pPr>
      <w:autoSpaceDE w:val="0"/>
      <w:autoSpaceDN w:val="0"/>
      <w:adjustRightInd w:val="0"/>
    </w:pPr>
    <w:rPr>
      <w:rFonts w:ascii="宋体" w:hAnsi="Times New Roman" w:eastAsia="宋体" w:cs="Times New Roman"/>
      <w:b/>
      <w:bCs/>
      <w:kern w:val="0"/>
      <w:sz w:val="24"/>
      <w:szCs w:val="24"/>
    </w:rPr>
  </w:style>
  <w:style w:type="paragraph" w:styleId="36">
    <w:name w:val="Body Text First Indent"/>
    <w:basedOn w:val="2"/>
    <w:link w:val="203"/>
    <w:autoRedefine/>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37">
    <w:name w:val="Body Text First Indent 2"/>
    <w:basedOn w:val="19"/>
    <w:next w:val="13"/>
    <w:autoRedefine/>
    <w:qFormat/>
    <w:uiPriority w:val="0"/>
    <w:pPr>
      <w:ind w:firstLine="420" w:firstLineChars="200"/>
    </w:pPr>
    <w:rPr>
      <w:szCs w:val="24"/>
    </w:rPr>
  </w:style>
  <w:style w:type="table" w:styleId="39">
    <w:name w:val="Table Grid"/>
    <w:basedOn w:val="38"/>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autoRedefine/>
    <w:qFormat/>
    <w:uiPriority w:val="0"/>
    <w:rPr>
      <w:b/>
      <w:bCs/>
    </w:rPr>
  </w:style>
  <w:style w:type="character" w:styleId="42">
    <w:name w:val="FollowedHyperlink"/>
    <w:autoRedefine/>
    <w:unhideWhenUsed/>
    <w:qFormat/>
    <w:uiPriority w:val="99"/>
    <w:rPr>
      <w:color w:val="954F72"/>
      <w:u w:val="single"/>
    </w:rPr>
  </w:style>
  <w:style w:type="character" w:styleId="43">
    <w:name w:val="Emphasis"/>
    <w:autoRedefine/>
    <w:qFormat/>
    <w:uiPriority w:val="0"/>
    <w:rPr>
      <w:i/>
      <w:iCs/>
    </w:rPr>
  </w:style>
  <w:style w:type="character" w:styleId="44">
    <w:name w:val="Hyperlink"/>
    <w:basedOn w:val="40"/>
    <w:autoRedefine/>
    <w:qFormat/>
    <w:uiPriority w:val="99"/>
    <w:rPr>
      <w:rFonts w:hint="default" w:ascii="Arial" w:hAnsi="Arial" w:cs="Arial"/>
      <w:color w:val="000000"/>
      <w:sz w:val="20"/>
      <w:szCs w:val="20"/>
      <w:u w:val="none"/>
    </w:rPr>
  </w:style>
  <w:style w:type="character" w:styleId="45">
    <w:name w:val="HTML Code"/>
    <w:basedOn w:val="40"/>
    <w:autoRedefine/>
    <w:semiHidden/>
    <w:unhideWhenUsed/>
    <w:qFormat/>
    <w:uiPriority w:val="99"/>
    <w:rPr>
      <w:rFonts w:ascii="Courier New" w:hAnsi="Courier New"/>
      <w:sz w:val="20"/>
    </w:rPr>
  </w:style>
  <w:style w:type="character" w:styleId="46">
    <w:name w:val="annotation reference"/>
    <w:basedOn w:val="40"/>
    <w:autoRedefine/>
    <w:qFormat/>
    <w:uiPriority w:val="99"/>
    <w:rPr>
      <w:sz w:val="21"/>
      <w:szCs w:val="21"/>
    </w:rPr>
  </w:style>
  <w:style w:type="paragraph" w:customStyle="1" w:styleId="47">
    <w:name w:val="样式 宋体 行距: 1.5 倍行距"/>
    <w:basedOn w:val="1"/>
    <w:autoRedefine/>
    <w:qFormat/>
    <w:uiPriority w:val="0"/>
    <w:pPr>
      <w:jc w:val="center"/>
    </w:pPr>
    <w:rPr>
      <w:rFonts w:ascii="Times New Roman"/>
      <w:b/>
    </w:rPr>
  </w:style>
  <w:style w:type="paragraph" w:customStyle="1" w:styleId="48">
    <w:name w:val="首行缩进"/>
    <w:basedOn w:val="1"/>
    <w:autoRedefine/>
    <w:qFormat/>
    <w:uiPriority w:val="0"/>
    <w:pPr>
      <w:ind w:firstLine="480" w:firstLineChars="200"/>
    </w:pPr>
    <w:rPr>
      <w:lang w:val="zh-CN"/>
    </w:rPr>
  </w:style>
  <w:style w:type="character" w:customStyle="1" w:styleId="49">
    <w:name w:val="标题 1 字符"/>
    <w:basedOn w:val="40"/>
    <w:autoRedefine/>
    <w:qFormat/>
    <w:uiPriority w:val="0"/>
    <w:rPr>
      <w:b/>
      <w:bCs/>
      <w:kern w:val="44"/>
      <w:sz w:val="44"/>
      <w:szCs w:val="44"/>
    </w:rPr>
  </w:style>
  <w:style w:type="character" w:customStyle="1" w:styleId="50">
    <w:name w:val="标题 2 Char"/>
    <w:basedOn w:val="40"/>
    <w:link w:val="4"/>
    <w:autoRedefine/>
    <w:qFormat/>
    <w:uiPriority w:val="0"/>
    <w:rPr>
      <w:rFonts w:ascii="宋体" w:hAnsi="Calibri" w:eastAsia="宋体" w:cs="Times New Roman"/>
      <w:kern w:val="0"/>
      <w:sz w:val="24"/>
      <w:szCs w:val="24"/>
    </w:rPr>
  </w:style>
  <w:style w:type="character" w:customStyle="1" w:styleId="51">
    <w:name w:val="标题 3 字符"/>
    <w:basedOn w:val="40"/>
    <w:autoRedefine/>
    <w:qFormat/>
    <w:uiPriority w:val="0"/>
    <w:rPr>
      <w:b/>
      <w:bCs/>
      <w:sz w:val="32"/>
      <w:szCs w:val="32"/>
    </w:rPr>
  </w:style>
  <w:style w:type="character" w:customStyle="1" w:styleId="52">
    <w:name w:val="标题 4 Char1"/>
    <w:basedOn w:val="40"/>
    <w:link w:val="6"/>
    <w:autoRedefine/>
    <w:qFormat/>
    <w:uiPriority w:val="9"/>
    <w:rPr>
      <w:rFonts w:ascii="Arial" w:hAnsi="Arial" w:eastAsia="黑体" w:cs="Times New Roman"/>
      <w:b/>
      <w:bCs/>
      <w:kern w:val="0"/>
      <w:sz w:val="28"/>
      <w:szCs w:val="28"/>
    </w:rPr>
  </w:style>
  <w:style w:type="character" w:customStyle="1" w:styleId="53">
    <w:name w:val="标题 5 字符"/>
    <w:basedOn w:val="40"/>
    <w:autoRedefine/>
    <w:qFormat/>
    <w:uiPriority w:val="9"/>
    <w:rPr>
      <w:b/>
      <w:bCs/>
      <w:sz w:val="28"/>
      <w:szCs w:val="28"/>
    </w:rPr>
  </w:style>
  <w:style w:type="character" w:customStyle="1" w:styleId="54">
    <w:name w:val="标题 6 字符"/>
    <w:basedOn w:val="40"/>
    <w:autoRedefine/>
    <w:qFormat/>
    <w:uiPriority w:val="0"/>
    <w:rPr>
      <w:rFonts w:asciiTheme="majorHAnsi" w:hAnsiTheme="majorHAnsi" w:eastAsiaTheme="majorEastAsia" w:cstheme="majorBidi"/>
      <w:b/>
      <w:bCs/>
      <w:sz w:val="24"/>
      <w:szCs w:val="24"/>
    </w:rPr>
  </w:style>
  <w:style w:type="character" w:customStyle="1" w:styleId="55">
    <w:name w:val="标题 7 Char"/>
    <w:basedOn w:val="40"/>
    <w:link w:val="10"/>
    <w:autoRedefine/>
    <w:qFormat/>
    <w:uiPriority w:val="9"/>
    <w:rPr>
      <w:rFonts w:ascii="Times New Roman" w:hAnsi="Calibri" w:eastAsia="黑体" w:cs="Times New Roman"/>
      <w:b/>
      <w:bCs/>
      <w:kern w:val="0"/>
      <w:sz w:val="28"/>
      <w:szCs w:val="24"/>
    </w:rPr>
  </w:style>
  <w:style w:type="character" w:customStyle="1" w:styleId="56">
    <w:name w:val="标题 8 Char"/>
    <w:basedOn w:val="40"/>
    <w:link w:val="11"/>
    <w:autoRedefine/>
    <w:qFormat/>
    <w:uiPriority w:val="9"/>
    <w:rPr>
      <w:rFonts w:ascii="Times New Roman" w:hAnsi="Calibri" w:eastAsia="黑体" w:cs="Times New Roman"/>
      <w:b/>
      <w:kern w:val="0"/>
      <w:sz w:val="28"/>
      <w:szCs w:val="24"/>
    </w:rPr>
  </w:style>
  <w:style w:type="character" w:customStyle="1" w:styleId="57">
    <w:name w:val="标题 9 Char"/>
    <w:basedOn w:val="40"/>
    <w:link w:val="12"/>
    <w:autoRedefine/>
    <w:qFormat/>
    <w:uiPriority w:val="9"/>
    <w:rPr>
      <w:rFonts w:ascii="Times New Roman" w:hAnsi="Calibri" w:eastAsia="黑体" w:cs="Times New Roman"/>
      <w:b/>
      <w:kern w:val="0"/>
      <w:sz w:val="28"/>
      <w:szCs w:val="24"/>
    </w:rPr>
  </w:style>
  <w:style w:type="character" w:customStyle="1" w:styleId="58">
    <w:name w:val="正文文本缩进 字符"/>
    <w:autoRedefine/>
    <w:qFormat/>
    <w:uiPriority w:val="0"/>
    <w:rPr>
      <w:rFonts w:ascii="Times New Roman" w:hAnsi="Times New Roman" w:eastAsia="宋体" w:cs="Times New Roman"/>
      <w:szCs w:val="20"/>
    </w:rPr>
  </w:style>
  <w:style w:type="character" w:customStyle="1" w:styleId="59">
    <w:name w:val="普通(网站) Char"/>
    <w:autoRedefine/>
    <w:qFormat/>
    <w:locked/>
    <w:uiPriority w:val="0"/>
    <w:rPr>
      <w:rFonts w:ascii="宋体" w:hAnsi="宋体"/>
      <w:sz w:val="15"/>
      <w:szCs w:val="15"/>
    </w:rPr>
  </w:style>
  <w:style w:type="character" w:customStyle="1" w:styleId="60">
    <w:name w:val="标题 Char"/>
    <w:link w:val="34"/>
    <w:autoRedefine/>
    <w:qFormat/>
    <w:uiPriority w:val="10"/>
    <w:rPr>
      <w:rFonts w:ascii="等线 Light" w:hAnsi="等线 Light" w:eastAsia="仿宋"/>
      <w:b/>
      <w:bCs/>
      <w:sz w:val="28"/>
      <w:szCs w:val="32"/>
    </w:rPr>
  </w:style>
  <w:style w:type="character" w:customStyle="1" w:styleId="61">
    <w:name w:val="日期 Char"/>
    <w:autoRedefine/>
    <w:semiHidden/>
    <w:qFormat/>
    <w:uiPriority w:val="99"/>
    <w:rPr>
      <w:kern w:val="2"/>
      <w:sz w:val="21"/>
    </w:rPr>
  </w:style>
  <w:style w:type="character" w:customStyle="1" w:styleId="62">
    <w:name w:val="文档结构图 字符1"/>
    <w:autoRedefine/>
    <w:semiHidden/>
    <w:qFormat/>
    <w:uiPriority w:val="99"/>
    <w:rPr>
      <w:rFonts w:ascii="Microsoft YaHei UI" w:hAnsi="Calibri" w:eastAsia="Microsoft YaHei UI" w:cs="Times New Roman"/>
      <w:kern w:val="0"/>
      <w:sz w:val="18"/>
      <w:szCs w:val="18"/>
    </w:rPr>
  </w:style>
  <w:style w:type="character" w:customStyle="1" w:styleId="63">
    <w:name w:val="批注文字 Char"/>
    <w:autoRedefine/>
    <w:semiHidden/>
    <w:qFormat/>
    <w:uiPriority w:val="99"/>
    <w:rPr>
      <w:kern w:val="2"/>
      <w:sz w:val="21"/>
    </w:rPr>
  </w:style>
  <w:style w:type="character" w:customStyle="1" w:styleId="64">
    <w:name w:val="正文缩进2格 Char"/>
    <w:link w:val="65"/>
    <w:autoRedefine/>
    <w:qFormat/>
    <w:uiPriority w:val="0"/>
    <w:rPr>
      <w:rFonts w:ascii="仿宋_GB2312" w:hAnsi="宋体" w:eastAsia="仿宋_GB2312"/>
      <w:sz w:val="31"/>
      <w:szCs w:val="28"/>
    </w:rPr>
  </w:style>
  <w:style w:type="paragraph" w:customStyle="1" w:styleId="65">
    <w:name w:val="正文缩进2格"/>
    <w:basedOn w:val="1"/>
    <w:link w:val="64"/>
    <w:autoRedefine/>
    <w:qFormat/>
    <w:uiPriority w:val="0"/>
    <w:pPr>
      <w:spacing w:line="600" w:lineRule="exact"/>
      <w:ind w:firstLine="639" w:firstLineChars="206"/>
    </w:pPr>
    <w:rPr>
      <w:rFonts w:ascii="仿宋_GB2312" w:hAnsi="宋体" w:eastAsia="仿宋_GB2312"/>
      <w:sz w:val="31"/>
      <w:szCs w:val="28"/>
    </w:rPr>
  </w:style>
  <w:style w:type="character" w:customStyle="1" w:styleId="66">
    <w:name w:val="批注文字 字符"/>
    <w:autoRedefine/>
    <w:semiHidden/>
    <w:qFormat/>
    <w:uiPriority w:val="99"/>
    <w:rPr>
      <w:rFonts w:ascii="Times New Roman" w:hAnsi="Times New Roman"/>
      <w:kern w:val="2"/>
      <w:sz w:val="24"/>
      <w:szCs w:val="24"/>
    </w:rPr>
  </w:style>
  <w:style w:type="character" w:customStyle="1" w:styleId="67">
    <w:name w:val="正文文本缩进 Char"/>
    <w:autoRedefine/>
    <w:qFormat/>
    <w:uiPriority w:val="0"/>
    <w:rPr>
      <w:rFonts w:ascii="Times New Roman" w:hAnsi="Times New Roman" w:eastAsia="宋体" w:cs="Times New Roman"/>
      <w:szCs w:val="20"/>
      <w:lang w:val="en-US" w:eastAsia="zh-CN"/>
    </w:rPr>
  </w:style>
  <w:style w:type="character" w:customStyle="1" w:styleId="68">
    <w:name w:val="批注框文本 字符1"/>
    <w:autoRedefine/>
    <w:semiHidden/>
    <w:qFormat/>
    <w:uiPriority w:val="99"/>
    <w:rPr>
      <w:rFonts w:ascii="宋体" w:hAnsi="Calibri" w:eastAsia="宋体" w:cs="Times New Roman"/>
      <w:kern w:val="0"/>
      <w:sz w:val="18"/>
      <w:szCs w:val="18"/>
    </w:rPr>
  </w:style>
  <w:style w:type="character" w:customStyle="1" w:styleId="69">
    <w:name w:val="List Paragraph Char"/>
    <w:link w:val="70"/>
    <w:autoRedefine/>
    <w:qFormat/>
    <w:uiPriority w:val="34"/>
    <w:rPr>
      <w:rFonts w:ascii="Calibri" w:hAnsi="Calibri"/>
    </w:rPr>
  </w:style>
  <w:style w:type="paragraph" w:customStyle="1" w:styleId="70">
    <w:name w:val="列出段落1"/>
    <w:basedOn w:val="1"/>
    <w:link w:val="69"/>
    <w:autoRedefine/>
    <w:qFormat/>
    <w:uiPriority w:val="34"/>
    <w:pPr>
      <w:ind w:firstLine="420" w:firstLineChars="200"/>
    </w:pPr>
    <w:rPr>
      <w:rFonts w:ascii="Calibri" w:hAnsi="Calibri"/>
    </w:rPr>
  </w:style>
  <w:style w:type="character" w:customStyle="1" w:styleId="71">
    <w:name w:val="标书正文 字符"/>
    <w:link w:val="72"/>
    <w:autoRedefine/>
    <w:qFormat/>
    <w:uiPriority w:val="0"/>
    <w:rPr>
      <w:rFonts w:ascii="Calibri" w:hAnsi="Calibri" w:eastAsia="仿宋"/>
      <w:sz w:val="24"/>
      <w:szCs w:val="21"/>
    </w:rPr>
  </w:style>
  <w:style w:type="paragraph" w:customStyle="1" w:styleId="72">
    <w:name w:val="标书正文"/>
    <w:basedOn w:val="1"/>
    <w:link w:val="71"/>
    <w:autoRedefine/>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3">
    <w:name w:val="正文文本 字符"/>
    <w:autoRedefine/>
    <w:semiHidden/>
    <w:qFormat/>
    <w:uiPriority w:val="99"/>
    <w:rPr>
      <w:rFonts w:ascii="Times New Roman" w:hAnsi="Times New Roman"/>
      <w:kern w:val="2"/>
      <w:sz w:val="24"/>
      <w:szCs w:val="24"/>
    </w:rPr>
  </w:style>
  <w:style w:type="character" w:customStyle="1" w:styleId="74">
    <w:name w:val="页脚 Char"/>
    <w:autoRedefine/>
    <w:qFormat/>
    <w:uiPriority w:val="0"/>
    <w:rPr>
      <w:kern w:val="2"/>
      <w:sz w:val="18"/>
      <w:szCs w:val="18"/>
    </w:rPr>
  </w:style>
  <w:style w:type="character" w:customStyle="1" w:styleId="75">
    <w:name w:val="neir1"/>
    <w:autoRedefine/>
    <w:qFormat/>
    <w:uiPriority w:val="0"/>
    <w:rPr>
      <w:rFonts w:hint="default" w:ascii="ˎ̥" w:hAnsi="ˎ̥"/>
      <w:color w:val="333333"/>
      <w:sz w:val="21"/>
      <w:szCs w:val="21"/>
      <w:u w:val="none"/>
    </w:rPr>
  </w:style>
  <w:style w:type="character" w:customStyle="1" w:styleId="76">
    <w:name w:val="批注框文本 Char1"/>
    <w:link w:val="24"/>
    <w:autoRedefine/>
    <w:qFormat/>
    <w:uiPriority w:val="0"/>
    <w:rPr>
      <w:rFonts w:ascii="Times New Roman" w:hAnsi="Times New Roman" w:eastAsia="宋体" w:cs="Times New Roman"/>
      <w:sz w:val="18"/>
      <w:szCs w:val="18"/>
    </w:rPr>
  </w:style>
  <w:style w:type="character" w:customStyle="1" w:styleId="77">
    <w:name w:val="正文文本 3 字符1"/>
    <w:autoRedefine/>
    <w:semiHidden/>
    <w:qFormat/>
    <w:uiPriority w:val="99"/>
    <w:rPr>
      <w:rFonts w:ascii="宋体" w:hAnsi="Calibri" w:eastAsia="宋体" w:cs="Times New Roman"/>
      <w:kern w:val="0"/>
      <w:sz w:val="16"/>
      <w:szCs w:val="16"/>
    </w:rPr>
  </w:style>
  <w:style w:type="character" w:customStyle="1" w:styleId="78">
    <w:name w:val="正文文本 字符3"/>
    <w:autoRedefine/>
    <w:semiHidden/>
    <w:qFormat/>
    <w:uiPriority w:val="99"/>
    <w:rPr>
      <w:rFonts w:ascii="宋体" w:hAnsi="Calibri" w:eastAsia="宋体" w:cs="Times New Roman"/>
      <w:kern w:val="0"/>
      <w:sz w:val="24"/>
      <w:szCs w:val="24"/>
    </w:rPr>
  </w:style>
  <w:style w:type="character" w:customStyle="1" w:styleId="79">
    <w:name w:val="日期 字符1"/>
    <w:autoRedefine/>
    <w:semiHidden/>
    <w:qFormat/>
    <w:uiPriority w:val="99"/>
    <w:rPr>
      <w:rFonts w:ascii="宋体" w:hAnsi="Calibri" w:eastAsia="宋体" w:cs="Times New Roman"/>
      <w:kern w:val="0"/>
      <w:sz w:val="24"/>
      <w:szCs w:val="24"/>
    </w:rPr>
  </w:style>
  <w:style w:type="character" w:customStyle="1" w:styleId="80">
    <w:name w:val="页脚 Char2"/>
    <w:link w:val="25"/>
    <w:autoRedefine/>
    <w:qFormat/>
    <w:uiPriority w:val="99"/>
    <w:rPr>
      <w:rFonts w:ascii="宋体" w:eastAsia="宋体"/>
      <w:sz w:val="18"/>
      <w:szCs w:val="18"/>
    </w:rPr>
  </w:style>
  <w:style w:type="character" w:customStyle="1" w:styleId="81">
    <w:name w:val="吉奥正文 Char"/>
    <w:link w:val="82"/>
    <w:autoRedefine/>
    <w:qFormat/>
    <w:locked/>
    <w:uiPriority w:val="0"/>
    <w:rPr>
      <w:rFonts w:eastAsia="仿宋_GB2312"/>
      <w:sz w:val="28"/>
    </w:rPr>
  </w:style>
  <w:style w:type="paragraph" w:customStyle="1" w:styleId="82">
    <w:name w:val="吉奥正文"/>
    <w:basedOn w:val="1"/>
    <w:link w:val="81"/>
    <w:autoRedefine/>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3">
    <w:name w:val="页脚 Char1"/>
    <w:autoRedefine/>
    <w:qFormat/>
    <w:uiPriority w:val="99"/>
    <w:rPr>
      <w:rFonts w:ascii="宋体" w:hAnsi="Times New Roman" w:eastAsia="宋体" w:cs="Times New Roman"/>
      <w:kern w:val="0"/>
      <w:sz w:val="18"/>
      <w:szCs w:val="18"/>
    </w:rPr>
  </w:style>
  <w:style w:type="character" w:customStyle="1" w:styleId="84">
    <w:name w:val="标题 字符"/>
    <w:autoRedefine/>
    <w:qFormat/>
    <w:uiPriority w:val="10"/>
    <w:rPr>
      <w:rFonts w:ascii="Cambria" w:hAnsi="Cambria" w:eastAsia="宋体" w:cs="Times New Roman"/>
      <w:b/>
      <w:bCs/>
      <w:kern w:val="0"/>
      <w:sz w:val="32"/>
      <w:szCs w:val="32"/>
      <w:lang w:val="en-US" w:eastAsia="zh-CN"/>
    </w:rPr>
  </w:style>
  <w:style w:type="character" w:customStyle="1" w:styleId="85">
    <w:name w:val="题注 Char"/>
    <w:link w:val="14"/>
    <w:autoRedefine/>
    <w:qFormat/>
    <w:uiPriority w:val="0"/>
    <w:rPr>
      <w:rFonts w:ascii="Arial" w:hAnsi="Arial" w:eastAsia="黑体" w:cs="Arial"/>
    </w:rPr>
  </w:style>
  <w:style w:type="character" w:customStyle="1" w:styleId="86">
    <w:name w:val="批注文字 字符2"/>
    <w:autoRedefine/>
    <w:qFormat/>
    <w:uiPriority w:val="99"/>
    <w:rPr>
      <w:rFonts w:ascii="宋体" w:hAnsi="Times New Roman" w:eastAsia="宋体" w:cs="Times New Roman"/>
      <w:kern w:val="0"/>
      <w:sz w:val="24"/>
      <w:szCs w:val="24"/>
    </w:rPr>
  </w:style>
  <w:style w:type="character" w:customStyle="1" w:styleId="87">
    <w:name w:val="批注主题 字符1"/>
    <w:autoRedefine/>
    <w:semiHidden/>
    <w:qFormat/>
    <w:uiPriority w:val="99"/>
    <w:rPr>
      <w:rFonts w:ascii="宋体" w:hAnsi="Calibri" w:eastAsia="宋体" w:cs="Times New Roman"/>
      <w:b/>
      <w:bCs/>
      <w:kern w:val="0"/>
      <w:sz w:val="24"/>
      <w:szCs w:val="24"/>
    </w:rPr>
  </w:style>
  <w:style w:type="character" w:customStyle="1" w:styleId="88">
    <w:name w:val="HTML 预设格式 Char"/>
    <w:link w:val="32"/>
    <w:autoRedefine/>
    <w:qFormat/>
    <w:uiPriority w:val="99"/>
    <w:rPr>
      <w:rFonts w:ascii="Arial" w:hAnsi="Arial" w:eastAsia="宋体" w:cs="Arial"/>
      <w:szCs w:val="21"/>
    </w:rPr>
  </w:style>
  <w:style w:type="character" w:customStyle="1" w:styleId="89">
    <w:name w:val="标题 3.1 Char"/>
    <w:link w:val="90"/>
    <w:autoRedefine/>
    <w:qFormat/>
    <w:uiPriority w:val="0"/>
    <w:rPr>
      <w:rFonts w:ascii="宋体" w:hAnsi="宋体"/>
      <w:b/>
      <w:bCs/>
      <w:sz w:val="32"/>
      <w:szCs w:val="32"/>
    </w:rPr>
  </w:style>
  <w:style w:type="paragraph" w:customStyle="1" w:styleId="90">
    <w:name w:val="标题 3.1"/>
    <w:basedOn w:val="5"/>
    <w:link w:val="89"/>
    <w:autoRedefine/>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91">
    <w:name w:val="HTML 预设格式 Char1"/>
    <w:autoRedefine/>
    <w:semiHidden/>
    <w:qFormat/>
    <w:uiPriority w:val="99"/>
    <w:rPr>
      <w:rFonts w:ascii="Courier New" w:hAnsi="Courier New" w:eastAsia="宋体" w:cs="Courier New"/>
      <w:kern w:val="0"/>
      <w:sz w:val="20"/>
      <w:szCs w:val="20"/>
    </w:rPr>
  </w:style>
  <w:style w:type="character" w:customStyle="1" w:styleId="92">
    <w:name w:val="批注文字 字符1"/>
    <w:autoRedefine/>
    <w:qFormat/>
    <w:uiPriority w:val="0"/>
    <w:rPr>
      <w:rFonts w:eastAsia="宋体"/>
      <w:kern w:val="2"/>
      <w:sz w:val="24"/>
      <w:szCs w:val="24"/>
      <w:lang w:val="en-US" w:eastAsia="zh-CN" w:bidi="ar-SA"/>
    </w:rPr>
  </w:style>
  <w:style w:type="character" w:customStyle="1" w:styleId="93">
    <w:name w:val="正文文本缩进 字符2"/>
    <w:autoRedefine/>
    <w:semiHidden/>
    <w:qFormat/>
    <w:uiPriority w:val="99"/>
    <w:rPr>
      <w:rFonts w:ascii="宋体" w:hAnsi="Calibri" w:eastAsia="宋体" w:cs="Times New Roman"/>
      <w:kern w:val="0"/>
      <w:sz w:val="24"/>
      <w:szCs w:val="24"/>
    </w:rPr>
  </w:style>
  <w:style w:type="character" w:customStyle="1" w:styleId="94">
    <w:name w:val="正文文本缩进 Char1"/>
    <w:link w:val="19"/>
    <w:autoRedefine/>
    <w:qFormat/>
    <w:uiPriority w:val="0"/>
    <w:rPr>
      <w:rFonts w:ascii="Times New Roman" w:hAnsi="Times New Roman" w:eastAsia="宋体" w:cs="Times New Roman"/>
      <w:szCs w:val="20"/>
    </w:rPr>
  </w:style>
  <w:style w:type="character" w:customStyle="1" w:styleId="95">
    <w:name w:val="普通(网站) Char1"/>
    <w:link w:val="33"/>
    <w:autoRedefine/>
    <w:qFormat/>
    <w:locked/>
    <w:uiPriority w:val="0"/>
    <w:rPr>
      <w:rFonts w:ascii="宋体" w:hAnsi="宋体"/>
      <w:sz w:val="15"/>
      <w:szCs w:val="15"/>
    </w:rPr>
  </w:style>
  <w:style w:type="character" w:customStyle="1" w:styleId="96">
    <w:name w:val="模板正文 Char"/>
    <w:link w:val="9"/>
    <w:autoRedefine/>
    <w:qFormat/>
    <w:uiPriority w:val="0"/>
    <w:rPr>
      <w:rFonts w:ascii="宋体" w:eastAsia="仿宋"/>
      <w:sz w:val="24"/>
      <w:szCs w:val="21"/>
    </w:rPr>
  </w:style>
  <w:style w:type="character" w:customStyle="1" w:styleId="97">
    <w:name w:val="批注主题 Char"/>
    <w:autoRedefine/>
    <w:semiHidden/>
    <w:qFormat/>
    <w:uiPriority w:val="99"/>
    <w:rPr>
      <w:b/>
      <w:bCs/>
      <w:kern w:val="2"/>
      <w:sz w:val="21"/>
    </w:rPr>
  </w:style>
  <w:style w:type="character" w:customStyle="1" w:styleId="98">
    <w:name w:val="正文文本 Char1"/>
    <w:autoRedefine/>
    <w:qFormat/>
    <w:uiPriority w:val="0"/>
    <w:rPr>
      <w:rFonts w:ascii="宋体" w:hAnsi="Times New Roman" w:eastAsia="宋体" w:cs="Times New Roman"/>
      <w:kern w:val="0"/>
      <w:sz w:val="24"/>
      <w:szCs w:val="24"/>
    </w:rPr>
  </w:style>
  <w:style w:type="character" w:customStyle="1" w:styleId="99">
    <w:name w:val="正文文本 字符1"/>
    <w:autoRedefine/>
    <w:qFormat/>
    <w:uiPriority w:val="99"/>
    <w:rPr>
      <w:rFonts w:ascii="宋体" w:eastAsia="宋体"/>
      <w:b/>
      <w:bCs/>
      <w:sz w:val="84"/>
      <w:szCs w:val="84"/>
      <w:lang w:val="zh-CN"/>
    </w:rPr>
  </w:style>
  <w:style w:type="character" w:customStyle="1" w:styleId="100">
    <w:name w:val="标题 1 Char"/>
    <w:autoRedefine/>
    <w:qFormat/>
    <w:uiPriority w:val="9"/>
    <w:rPr>
      <w:rFonts w:ascii="宋体" w:hAnsi="Times New Roman" w:eastAsia="宋体" w:cs="Times New Roman"/>
      <w:kern w:val="0"/>
      <w:sz w:val="24"/>
      <w:szCs w:val="24"/>
    </w:rPr>
  </w:style>
  <w:style w:type="character" w:customStyle="1" w:styleId="101">
    <w:name w:val="正文文本 Char2"/>
    <w:autoRedefine/>
    <w:qFormat/>
    <w:uiPriority w:val="99"/>
    <w:rPr>
      <w:rFonts w:ascii="宋体" w:eastAsia="宋体"/>
      <w:b/>
      <w:bCs/>
      <w:sz w:val="84"/>
      <w:szCs w:val="84"/>
      <w:lang w:val="zh-CN"/>
    </w:rPr>
  </w:style>
  <w:style w:type="character" w:customStyle="1" w:styleId="102">
    <w:name w:val="纯文本 Char2"/>
    <w:link w:val="21"/>
    <w:autoRedefine/>
    <w:qFormat/>
    <w:uiPriority w:val="0"/>
    <w:rPr>
      <w:rFonts w:ascii="宋体" w:hAnsi="Courier New" w:eastAsia="宋体"/>
    </w:rPr>
  </w:style>
  <w:style w:type="character" w:customStyle="1" w:styleId="103">
    <w:name w:val="正文文本缩进 2 Char"/>
    <w:link w:val="23"/>
    <w:autoRedefine/>
    <w:qFormat/>
    <w:uiPriority w:val="0"/>
    <w:rPr>
      <w:rFonts w:ascii="宋体" w:hAnsi="Times New Roman" w:eastAsia="宋体" w:cs="Times New Roman"/>
      <w:szCs w:val="20"/>
    </w:rPr>
  </w:style>
  <w:style w:type="character" w:customStyle="1" w:styleId="104">
    <w:name w:val="HTML Markup"/>
    <w:autoRedefine/>
    <w:qFormat/>
    <w:uiPriority w:val="0"/>
    <w:rPr>
      <w:vanish/>
      <w:color w:val="FF0000"/>
    </w:rPr>
  </w:style>
  <w:style w:type="character" w:customStyle="1" w:styleId="105">
    <w:name w:val="页眉 Char1"/>
    <w:autoRedefine/>
    <w:qFormat/>
    <w:uiPriority w:val="0"/>
    <w:rPr>
      <w:rFonts w:ascii="宋体" w:hAnsi="Times New Roman" w:eastAsia="宋体" w:cs="Times New Roman"/>
      <w:kern w:val="0"/>
      <w:sz w:val="18"/>
      <w:szCs w:val="18"/>
    </w:rPr>
  </w:style>
  <w:style w:type="character" w:customStyle="1" w:styleId="106">
    <w:name w:val="font11"/>
    <w:basedOn w:val="40"/>
    <w:autoRedefine/>
    <w:qFormat/>
    <w:uiPriority w:val="0"/>
    <w:rPr>
      <w:rFonts w:hint="eastAsia" w:ascii="宋体" w:hAnsi="宋体" w:eastAsia="宋体" w:cs="宋体"/>
      <w:color w:val="FF0000"/>
      <w:sz w:val="22"/>
      <w:szCs w:val="22"/>
      <w:u w:val="none"/>
    </w:rPr>
  </w:style>
  <w:style w:type="character" w:customStyle="1" w:styleId="107">
    <w:name w:val="style61"/>
    <w:autoRedefine/>
    <w:qFormat/>
    <w:uiPriority w:val="0"/>
    <w:rPr>
      <w:b/>
      <w:bCs/>
    </w:rPr>
  </w:style>
  <w:style w:type="character" w:customStyle="1" w:styleId="108">
    <w:name w:val="表头文字 Char"/>
    <w:link w:val="109"/>
    <w:autoRedefine/>
    <w:qFormat/>
    <w:uiPriority w:val="0"/>
    <w:rPr>
      <w:rFonts w:eastAsia="仿宋_GB2312"/>
      <w:b/>
      <w:sz w:val="28"/>
      <w:szCs w:val="21"/>
    </w:rPr>
  </w:style>
  <w:style w:type="paragraph" w:customStyle="1" w:styleId="109">
    <w:name w:val="表头文字"/>
    <w:basedOn w:val="1"/>
    <w:link w:val="108"/>
    <w:autoRedefine/>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10">
    <w:name w:val="日期 Char1"/>
    <w:link w:val="22"/>
    <w:autoRedefine/>
    <w:qFormat/>
    <w:uiPriority w:val="99"/>
    <w:rPr>
      <w:rFonts w:ascii="宋体" w:hAnsi="Times New Roman" w:eastAsia="宋体" w:cs="Times New Roman"/>
      <w:b/>
      <w:bCs/>
      <w:szCs w:val="21"/>
      <w:lang w:val="zh-CN"/>
    </w:rPr>
  </w:style>
  <w:style w:type="character" w:customStyle="1" w:styleId="111">
    <w:name w:val="纯文本 Char1"/>
    <w:autoRedefine/>
    <w:qFormat/>
    <w:uiPriority w:val="0"/>
    <w:rPr>
      <w:rFonts w:ascii="宋体" w:hAnsi="Courier New" w:eastAsia="宋体" w:cs="Courier New"/>
      <w:kern w:val="0"/>
      <w:szCs w:val="21"/>
    </w:rPr>
  </w:style>
  <w:style w:type="character" w:customStyle="1" w:styleId="112">
    <w:name w:val="批注主题 Char1"/>
    <w:link w:val="35"/>
    <w:autoRedefine/>
    <w:qFormat/>
    <w:uiPriority w:val="99"/>
    <w:rPr>
      <w:rFonts w:ascii="宋体" w:hAnsi="Times New Roman" w:eastAsia="宋体" w:cs="Times New Roman"/>
      <w:b/>
      <w:bCs/>
      <w:kern w:val="0"/>
      <w:sz w:val="24"/>
      <w:szCs w:val="24"/>
    </w:rPr>
  </w:style>
  <w:style w:type="character" w:customStyle="1" w:styleId="113">
    <w:name w:val="纯文本 字符"/>
    <w:autoRedefine/>
    <w:qFormat/>
    <w:uiPriority w:val="99"/>
    <w:rPr>
      <w:rFonts w:ascii="宋体" w:hAnsi="Courier New" w:eastAsia="宋体" w:cs="Times New Roman"/>
      <w:szCs w:val="20"/>
      <w:lang w:val="en-US" w:eastAsia="zh-CN"/>
    </w:rPr>
  </w:style>
  <w:style w:type="character" w:customStyle="1" w:styleId="114">
    <w:name w:val="font71"/>
    <w:autoRedefine/>
    <w:qFormat/>
    <w:uiPriority w:val="0"/>
    <w:rPr>
      <w:rFonts w:hint="eastAsia" w:ascii="宋体" w:hAnsi="宋体" w:eastAsia="宋体" w:cs="宋体"/>
      <w:color w:val="FF0000"/>
      <w:sz w:val="18"/>
      <w:szCs w:val="18"/>
      <w:u w:val="none"/>
    </w:rPr>
  </w:style>
  <w:style w:type="character" w:customStyle="1" w:styleId="115">
    <w:name w:val="font21"/>
    <w:autoRedefine/>
    <w:qFormat/>
    <w:uiPriority w:val="0"/>
    <w:rPr>
      <w:rFonts w:hint="eastAsia" w:ascii="宋体" w:hAnsi="宋体" w:eastAsia="宋体" w:cs="宋体"/>
      <w:b/>
      <w:color w:val="000000"/>
      <w:sz w:val="21"/>
      <w:szCs w:val="21"/>
      <w:u w:val="none"/>
    </w:rPr>
  </w:style>
  <w:style w:type="character" w:customStyle="1" w:styleId="116">
    <w:name w:val="纯文本 字符3"/>
    <w:autoRedefine/>
    <w:semiHidden/>
    <w:qFormat/>
    <w:uiPriority w:val="99"/>
    <w:rPr>
      <w:rFonts w:ascii="等线" w:hAnsi="Courier New" w:cs="Courier New"/>
      <w:kern w:val="0"/>
      <w:sz w:val="24"/>
      <w:szCs w:val="24"/>
    </w:rPr>
  </w:style>
  <w:style w:type="character" w:customStyle="1" w:styleId="117">
    <w:name w:val="font31"/>
    <w:autoRedefine/>
    <w:qFormat/>
    <w:uiPriority w:val="0"/>
    <w:rPr>
      <w:rFonts w:hint="eastAsia" w:ascii="宋体" w:hAnsi="宋体" w:eastAsia="宋体" w:cs="宋体"/>
      <w:color w:val="000000"/>
      <w:sz w:val="18"/>
      <w:szCs w:val="18"/>
      <w:u w:val="none"/>
    </w:rPr>
  </w:style>
  <w:style w:type="character" w:customStyle="1" w:styleId="118">
    <w:name w:val="文档结构图 Char"/>
    <w:link w:val="15"/>
    <w:autoRedefine/>
    <w:semiHidden/>
    <w:qFormat/>
    <w:uiPriority w:val="99"/>
    <w:rPr>
      <w:rFonts w:ascii="宋体" w:hAnsi="Times New Roman" w:eastAsia="宋体" w:cs="Times New Roman"/>
      <w:kern w:val="0"/>
      <w:sz w:val="24"/>
      <w:szCs w:val="24"/>
      <w:shd w:val="clear" w:color="auto" w:fill="000080"/>
    </w:rPr>
  </w:style>
  <w:style w:type="character" w:customStyle="1" w:styleId="119">
    <w:name w:val="普通(网站) 字符1"/>
    <w:autoRedefine/>
    <w:qFormat/>
    <w:locked/>
    <w:uiPriority w:val="0"/>
    <w:rPr>
      <w:rFonts w:ascii="宋体" w:hAnsi="宋体"/>
      <w:sz w:val="15"/>
      <w:szCs w:val="15"/>
    </w:rPr>
  </w:style>
  <w:style w:type="character" w:customStyle="1" w:styleId="120">
    <w:name w:val="正文文本 Char3"/>
    <w:link w:val="2"/>
    <w:autoRedefine/>
    <w:qFormat/>
    <w:uiPriority w:val="99"/>
    <w:rPr>
      <w:rFonts w:ascii="宋体" w:eastAsia="宋体"/>
      <w:b/>
      <w:bCs/>
      <w:sz w:val="84"/>
      <w:szCs w:val="84"/>
      <w:lang w:val="zh-CN"/>
    </w:rPr>
  </w:style>
  <w:style w:type="character" w:customStyle="1" w:styleId="121">
    <w:name w:val="标题 5 Char"/>
    <w:autoRedefine/>
    <w:semiHidden/>
    <w:qFormat/>
    <w:uiPriority w:val="9"/>
    <w:rPr>
      <w:b/>
      <w:bCs/>
      <w:kern w:val="2"/>
      <w:sz w:val="28"/>
      <w:szCs w:val="28"/>
    </w:rPr>
  </w:style>
  <w:style w:type="character" w:customStyle="1" w:styleId="122">
    <w:name w:val="页眉 Char2"/>
    <w:link w:val="26"/>
    <w:autoRedefine/>
    <w:qFormat/>
    <w:uiPriority w:val="99"/>
    <w:rPr>
      <w:rFonts w:ascii="宋体" w:eastAsia="宋体"/>
      <w:sz w:val="18"/>
      <w:szCs w:val="18"/>
    </w:rPr>
  </w:style>
  <w:style w:type="character" w:customStyle="1" w:styleId="123">
    <w:name w:val="表格文字 Char"/>
    <w:link w:val="124"/>
    <w:autoRedefine/>
    <w:qFormat/>
    <w:uiPriority w:val="0"/>
    <w:rPr>
      <w:rFonts w:eastAsia="仿宋_GB2312"/>
      <w:sz w:val="28"/>
      <w:szCs w:val="24"/>
    </w:rPr>
  </w:style>
  <w:style w:type="paragraph" w:customStyle="1" w:styleId="124">
    <w:name w:val="表格文字"/>
    <w:basedOn w:val="1"/>
    <w:link w:val="123"/>
    <w:autoRedefine/>
    <w:qFormat/>
    <w:uiPriority w:val="0"/>
    <w:rPr>
      <w:rFonts w:eastAsia="仿宋_GB2312"/>
      <w:sz w:val="28"/>
      <w:szCs w:val="24"/>
    </w:rPr>
  </w:style>
  <w:style w:type="character" w:customStyle="1" w:styleId="125">
    <w:name w:val="标题 字符2"/>
    <w:autoRedefine/>
    <w:qFormat/>
    <w:uiPriority w:val="10"/>
    <w:rPr>
      <w:rFonts w:ascii="等线 Light" w:hAnsi="等线 Light" w:eastAsia="等线 Light" w:cs="Times New Roman"/>
      <w:b/>
      <w:bCs/>
      <w:kern w:val="0"/>
      <w:sz w:val="32"/>
      <w:szCs w:val="32"/>
    </w:rPr>
  </w:style>
  <w:style w:type="character" w:customStyle="1" w:styleId="126">
    <w:name w:val="正文缩进2格 Char Char"/>
    <w:autoRedefine/>
    <w:qFormat/>
    <w:uiPriority w:val="0"/>
    <w:rPr>
      <w:rFonts w:ascii="仿宋_GB2312" w:hAnsi="宋体" w:eastAsia="仿宋_GB2312"/>
      <w:kern w:val="2"/>
      <w:sz w:val="31"/>
      <w:szCs w:val="28"/>
      <w:lang w:val="en-US" w:eastAsia="zh-CN" w:bidi="ar-SA"/>
    </w:rPr>
  </w:style>
  <w:style w:type="character" w:customStyle="1" w:styleId="127">
    <w:name w:val="小 Char"/>
    <w:autoRedefine/>
    <w:qFormat/>
    <w:uiPriority w:val="0"/>
    <w:rPr>
      <w:rFonts w:ascii="宋体" w:hAnsi="Courier New" w:eastAsia="宋体"/>
      <w:kern w:val="2"/>
      <w:sz w:val="21"/>
      <w:lang w:val="en-US" w:eastAsia="zh-CN" w:bidi="ar-SA"/>
    </w:rPr>
  </w:style>
  <w:style w:type="character" w:customStyle="1" w:styleId="128">
    <w:name w:val="themebody1"/>
    <w:autoRedefine/>
    <w:qFormat/>
    <w:uiPriority w:val="0"/>
    <w:rPr>
      <w:color w:val="FFFFFF"/>
    </w:rPr>
  </w:style>
  <w:style w:type="character" w:customStyle="1" w:styleId="129">
    <w:name w:val="页脚 字符1"/>
    <w:autoRedefine/>
    <w:semiHidden/>
    <w:qFormat/>
    <w:uiPriority w:val="99"/>
    <w:rPr>
      <w:rFonts w:ascii="宋体" w:hAnsi="Calibri" w:eastAsia="宋体" w:cs="Times New Roman"/>
      <w:kern w:val="0"/>
      <w:sz w:val="18"/>
      <w:szCs w:val="18"/>
    </w:rPr>
  </w:style>
  <w:style w:type="character" w:customStyle="1" w:styleId="130">
    <w:name w:val="列出段落 Char"/>
    <w:link w:val="131"/>
    <w:autoRedefine/>
    <w:qFormat/>
    <w:uiPriority w:val="34"/>
    <w:rPr>
      <w:kern w:val="2"/>
      <w:sz w:val="21"/>
      <w:szCs w:val="22"/>
    </w:rPr>
  </w:style>
  <w:style w:type="paragraph" w:styleId="131">
    <w:name w:val="List Paragraph"/>
    <w:basedOn w:val="1"/>
    <w:link w:val="130"/>
    <w:autoRedefine/>
    <w:qFormat/>
    <w:uiPriority w:val="34"/>
    <w:pPr>
      <w:ind w:firstLine="420" w:firstLineChars="200"/>
    </w:pPr>
  </w:style>
  <w:style w:type="character" w:customStyle="1" w:styleId="132">
    <w:name w:val="正文文本 Char"/>
    <w:autoRedefine/>
    <w:qFormat/>
    <w:uiPriority w:val="99"/>
    <w:rPr>
      <w:rFonts w:ascii="宋体" w:eastAsia="宋体"/>
      <w:b/>
      <w:bCs/>
      <w:sz w:val="84"/>
      <w:szCs w:val="84"/>
      <w:lang w:val="zh-CN"/>
    </w:rPr>
  </w:style>
  <w:style w:type="character" w:customStyle="1" w:styleId="133">
    <w:name w:val="页眉 字符1"/>
    <w:autoRedefine/>
    <w:semiHidden/>
    <w:qFormat/>
    <w:uiPriority w:val="99"/>
    <w:rPr>
      <w:rFonts w:ascii="宋体" w:hAnsi="Calibri" w:eastAsia="宋体" w:cs="Times New Roman"/>
      <w:kern w:val="0"/>
      <w:sz w:val="18"/>
      <w:szCs w:val="18"/>
    </w:rPr>
  </w:style>
  <w:style w:type="character" w:customStyle="1" w:styleId="134">
    <w:name w:val="标题 5 Char1"/>
    <w:link w:val="7"/>
    <w:autoRedefine/>
    <w:qFormat/>
    <w:uiPriority w:val="9"/>
    <w:rPr>
      <w:rFonts w:ascii="宋体" w:hAnsi="Calibri" w:eastAsia="宋体" w:cs="Times New Roman"/>
      <w:b/>
      <w:bCs/>
      <w:kern w:val="0"/>
      <w:sz w:val="28"/>
      <w:szCs w:val="28"/>
    </w:rPr>
  </w:style>
  <w:style w:type="character" w:customStyle="1" w:styleId="135">
    <w:name w:val="keyfeatures1"/>
    <w:autoRedefine/>
    <w:qFormat/>
    <w:uiPriority w:val="0"/>
    <w:rPr>
      <w:rFonts w:hint="default" w:ascii="Arial" w:hAnsi="Arial" w:cs="Arial"/>
      <w:color w:val="003366"/>
      <w:sz w:val="17"/>
      <w:szCs w:val="17"/>
      <w:u w:val="none"/>
    </w:rPr>
  </w:style>
  <w:style w:type="character" w:customStyle="1" w:styleId="136">
    <w:name w:val="题注 字符"/>
    <w:autoRedefine/>
    <w:qFormat/>
    <w:uiPriority w:val="0"/>
    <w:rPr>
      <w:rFonts w:ascii="宋体" w:hAnsi="宋体" w:eastAsia="黑体" w:cs="Times New Roman"/>
      <w:b/>
      <w:szCs w:val="21"/>
    </w:rPr>
  </w:style>
  <w:style w:type="character" w:customStyle="1" w:styleId="137">
    <w:name w:val="标题 4 Char"/>
    <w:autoRedefine/>
    <w:qFormat/>
    <w:uiPriority w:val="0"/>
    <w:rPr>
      <w:rFonts w:ascii="宋体" w:hAnsi="宋体" w:eastAsia="宋体"/>
      <w:b/>
      <w:kern w:val="2"/>
      <w:sz w:val="21"/>
      <w:szCs w:val="24"/>
      <w:lang w:val="en-US" w:eastAsia="zh-CN" w:bidi="ar-SA"/>
    </w:rPr>
  </w:style>
  <w:style w:type="character" w:customStyle="1" w:styleId="138">
    <w:name w:val="批注文字 字符3"/>
    <w:autoRedefine/>
    <w:semiHidden/>
    <w:qFormat/>
    <w:uiPriority w:val="99"/>
    <w:rPr>
      <w:rFonts w:ascii="宋体" w:hAnsi="Calibri" w:eastAsia="宋体" w:cs="Times New Roman"/>
      <w:kern w:val="0"/>
      <w:sz w:val="24"/>
      <w:szCs w:val="24"/>
    </w:rPr>
  </w:style>
  <w:style w:type="character" w:customStyle="1" w:styleId="139">
    <w:name w:val="纯文本 字符1"/>
    <w:autoRedefine/>
    <w:qFormat/>
    <w:uiPriority w:val="0"/>
    <w:rPr>
      <w:rFonts w:ascii="宋体" w:hAnsi="Courier New" w:eastAsia="宋体"/>
      <w:kern w:val="2"/>
      <w:sz w:val="21"/>
      <w:szCs w:val="24"/>
      <w:lang w:val="en-US" w:eastAsia="zh-CN" w:bidi="ar-SA"/>
    </w:rPr>
  </w:style>
  <w:style w:type="character" w:customStyle="1" w:styleId="140">
    <w:name w:val="列出段落 Char1"/>
    <w:autoRedefine/>
    <w:qFormat/>
    <w:uiPriority w:val="34"/>
    <w:rPr>
      <w:rFonts w:ascii="宋体"/>
      <w:sz w:val="24"/>
      <w:szCs w:val="24"/>
    </w:rPr>
  </w:style>
  <w:style w:type="character" w:customStyle="1" w:styleId="141">
    <w:name w:val="彩色列表 - 着色 1 字符"/>
    <w:link w:val="142"/>
    <w:autoRedefine/>
    <w:qFormat/>
    <w:uiPriority w:val="0"/>
    <w:rPr>
      <w:rFonts w:ascii="Calibri" w:hAnsi="Calibri"/>
    </w:rPr>
  </w:style>
  <w:style w:type="paragraph" w:customStyle="1" w:styleId="142">
    <w:name w:val="彩色列表 - 着色 11"/>
    <w:basedOn w:val="1"/>
    <w:link w:val="141"/>
    <w:autoRedefine/>
    <w:qFormat/>
    <w:uiPriority w:val="0"/>
    <w:pPr>
      <w:ind w:firstLine="420" w:firstLineChars="200"/>
    </w:pPr>
    <w:rPr>
      <w:rFonts w:ascii="Calibri" w:hAnsi="Calibri"/>
    </w:rPr>
  </w:style>
  <w:style w:type="character" w:customStyle="1" w:styleId="143">
    <w:name w:val="纯文本 Char"/>
    <w:autoRedefine/>
    <w:qFormat/>
    <w:uiPriority w:val="0"/>
    <w:rPr>
      <w:rFonts w:ascii="宋体" w:hAnsi="Courier New" w:eastAsia="宋体" w:cs="Times New Roman"/>
      <w:szCs w:val="20"/>
    </w:rPr>
  </w:style>
  <w:style w:type="character" w:customStyle="1" w:styleId="144">
    <w:name w:val="标题 6 Char"/>
    <w:link w:val="8"/>
    <w:autoRedefine/>
    <w:qFormat/>
    <w:uiPriority w:val="9"/>
    <w:rPr>
      <w:rFonts w:ascii="Times New Roman" w:hAnsi="Calibri" w:eastAsia="黑体" w:cs="Times New Roman"/>
      <w:b/>
      <w:bCs/>
      <w:kern w:val="0"/>
      <w:sz w:val="28"/>
      <w:szCs w:val="24"/>
    </w:rPr>
  </w:style>
  <w:style w:type="character" w:customStyle="1" w:styleId="145">
    <w:name w:val="正文文本 2 Char"/>
    <w:link w:val="31"/>
    <w:autoRedefine/>
    <w:qFormat/>
    <w:uiPriority w:val="0"/>
    <w:rPr>
      <w:rFonts w:ascii="Arial" w:hAnsi="Arial" w:eastAsia="宋体" w:cs="Times New Roman"/>
      <w:color w:val="000000"/>
      <w:szCs w:val="24"/>
    </w:rPr>
  </w:style>
  <w:style w:type="character" w:customStyle="1" w:styleId="146">
    <w:name w:val="标题 3 Char"/>
    <w:link w:val="5"/>
    <w:autoRedefine/>
    <w:qFormat/>
    <w:uiPriority w:val="0"/>
    <w:rPr>
      <w:rFonts w:ascii="宋体" w:hAnsi="Calibri" w:eastAsia="宋体" w:cs="Times New Roman"/>
      <w:kern w:val="0"/>
      <w:sz w:val="24"/>
      <w:szCs w:val="24"/>
    </w:rPr>
  </w:style>
  <w:style w:type="character" w:customStyle="1" w:styleId="147">
    <w:name w:val="正文文本缩进 2 字符1"/>
    <w:autoRedefine/>
    <w:semiHidden/>
    <w:qFormat/>
    <w:uiPriority w:val="99"/>
    <w:rPr>
      <w:rFonts w:ascii="宋体" w:hAnsi="Calibri" w:eastAsia="宋体" w:cs="Times New Roman"/>
      <w:kern w:val="0"/>
      <w:sz w:val="24"/>
      <w:szCs w:val="24"/>
    </w:rPr>
  </w:style>
  <w:style w:type="character" w:customStyle="1" w:styleId="148">
    <w:name w:val="正文文本缩进 3 字符1"/>
    <w:autoRedefine/>
    <w:semiHidden/>
    <w:qFormat/>
    <w:uiPriority w:val="99"/>
    <w:rPr>
      <w:rFonts w:ascii="宋体" w:hAnsi="Calibri" w:eastAsia="宋体" w:cs="Times New Roman"/>
      <w:kern w:val="0"/>
      <w:sz w:val="16"/>
      <w:szCs w:val="16"/>
    </w:rPr>
  </w:style>
  <w:style w:type="character" w:customStyle="1" w:styleId="149">
    <w:name w:val="正文文本 2 字符1"/>
    <w:autoRedefine/>
    <w:semiHidden/>
    <w:qFormat/>
    <w:uiPriority w:val="99"/>
    <w:rPr>
      <w:rFonts w:ascii="宋体" w:hAnsi="Calibri" w:eastAsia="宋体" w:cs="Times New Roman"/>
      <w:kern w:val="0"/>
      <w:sz w:val="24"/>
      <w:szCs w:val="24"/>
    </w:rPr>
  </w:style>
  <w:style w:type="character" w:customStyle="1" w:styleId="150">
    <w:name w:val="eschoolnr"/>
    <w:autoRedefine/>
    <w:qFormat/>
    <w:uiPriority w:val="0"/>
    <w:rPr>
      <w:sz w:val="23"/>
      <w:szCs w:val="23"/>
    </w:rPr>
  </w:style>
  <w:style w:type="character" w:customStyle="1" w:styleId="151">
    <w:name w:val="访问过的超链接1"/>
    <w:autoRedefine/>
    <w:qFormat/>
    <w:uiPriority w:val="0"/>
    <w:rPr>
      <w:rFonts w:ascii="Arial" w:hAnsi="Arial" w:cs="Arial"/>
      <w:color w:val="000000"/>
      <w:sz w:val="20"/>
      <w:szCs w:val="20"/>
      <w:u w:val="none"/>
    </w:rPr>
  </w:style>
  <w:style w:type="character" w:customStyle="1" w:styleId="152">
    <w:name w:val="标题 1 Char1"/>
    <w:link w:val="3"/>
    <w:autoRedefine/>
    <w:qFormat/>
    <w:uiPriority w:val="0"/>
    <w:rPr>
      <w:rFonts w:ascii="宋体" w:hAnsi="Calibri" w:eastAsia="宋体" w:cs="Times New Roman"/>
      <w:kern w:val="0"/>
      <w:sz w:val="24"/>
      <w:szCs w:val="24"/>
    </w:rPr>
  </w:style>
  <w:style w:type="character" w:customStyle="1" w:styleId="153">
    <w:name w:val="批注文字 Char1"/>
    <w:autoRedefine/>
    <w:qFormat/>
    <w:uiPriority w:val="0"/>
    <w:rPr>
      <w:kern w:val="2"/>
      <w:sz w:val="21"/>
      <w:szCs w:val="24"/>
    </w:rPr>
  </w:style>
  <w:style w:type="character" w:customStyle="1" w:styleId="154">
    <w:name w:val="批注框文本 Char"/>
    <w:autoRedefine/>
    <w:semiHidden/>
    <w:qFormat/>
    <w:uiPriority w:val="99"/>
    <w:rPr>
      <w:kern w:val="2"/>
      <w:sz w:val="18"/>
      <w:szCs w:val="18"/>
    </w:rPr>
  </w:style>
  <w:style w:type="character" w:customStyle="1" w:styleId="155">
    <w:name w:val="DAS正文 Char"/>
    <w:autoRedefine/>
    <w:qFormat/>
    <w:uiPriority w:val="0"/>
    <w:rPr>
      <w:rFonts w:ascii="Verdana" w:hAnsi="Verdana" w:eastAsia="宋体"/>
      <w:kern w:val="2"/>
      <w:sz w:val="21"/>
      <w:szCs w:val="21"/>
      <w:lang w:val="en-US" w:eastAsia="zh-CN" w:bidi="ar-SA"/>
    </w:rPr>
  </w:style>
  <w:style w:type="character" w:customStyle="1" w:styleId="156">
    <w:name w:val="正文文本缩进 3 Char"/>
    <w:link w:val="29"/>
    <w:autoRedefine/>
    <w:qFormat/>
    <w:uiPriority w:val="0"/>
    <w:rPr>
      <w:rFonts w:ascii="宋体" w:hAnsi="Times New Roman" w:eastAsia="宋体" w:cs="Times New Roman"/>
      <w:kern w:val="0"/>
      <w:sz w:val="24"/>
      <w:szCs w:val="24"/>
    </w:rPr>
  </w:style>
  <w:style w:type="character" w:customStyle="1" w:styleId="157">
    <w:name w:val="页眉 Char"/>
    <w:autoRedefine/>
    <w:qFormat/>
    <w:uiPriority w:val="99"/>
    <w:rPr>
      <w:kern w:val="2"/>
      <w:sz w:val="18"/>
      <w:szCs w:val="18"/>
    </w:rPr>
  </w:style>
  <w:style w:type="character" w:customStyle="1" w:styleId="158">
    <w:name w:val="正文文本 3 Char"/>
    <w:link w:val="18"/>
    <w:autoRedefine/>
    <w:qFormat/>
    <w:uiPriority w:val="0"/>
    <w:rPr>
      <w:rFonts w:ascii="宋体" w:hAnsi="Times New Roman" w:eastAsia="宋体" w:cs="Times New Roman"/>
      <w:b/>
      <w:bCs/>
      <w:color w:val="3366FF"/>
      <w:sz w:val="52"/>
      <w:szCs w:val="52"/>
      <w:lang w:val="zh-CN"/>
    </w:rPr>
  </w:style>
  <w:style w:type="character" w:customStyle="1" w:styleId="159">
    <w:name w:val="HTML 预设格式 字符1"/>
    <w:autoRedefine/>
    <w:semiHidden/>
    <w:qFormat/>
    <w:uiPriority w:val="99"/>
    <w:rPr>
      <w:rFonts w:ascii="Courier New" w:hAnsi="Courier New" w:eastAsia="宋体" w:cs="Courier New"/>
      <w:kern w:val="0"/>
      <w:sz w:val="20"/>
      <w:szCs w:val="20"/>
    </w:rPr>
  </w:style>
  <w:style w:type="character" w:customStyle="1" w:styleId="160">
    <w:name w:val="彩色列表 - 强调文字颜色 1 Char"/>
    <w:link w:val="161"/>
    <w:autoRedefine/>
    <w:qFormat/>
    <w:uiPriority w:val="0"/>
    <w:rPr>
      <w:rFonts w:ascii="宋体"/>
      <w:sz w:val="24"/>
      <w:szCs w:val="24"/>
    </w:rPr>
  </w:style>
  <w:style w:type="paragraph" w:customStyle="1" w:styleId="161">
    <w:name w:val="彩色列表 - 强调文字颜色 11"/>
    <w:basedOn w:val="1"/>
    <w:link w:val="160"/>
    <w:autoRedefine/>
    <w:qFormat/>
    <w:uiPriority w:val="0"/>
    <w:pPr>
      <w:autoSpaceDE w:val="0"/>
      <w:autoSpaceDN w:val="0"/>
      <w:adjustRightInd w:val="0"/>
      <w:ind w:firstLine="420" w:firstLineChars="200"/>
      <w:jc w:val="left"/>
    </w:pPr>
    <w:rPr>
      <w:rFonts w:ascii="宋体"/>
      <w:sz w:val="24"/>
      <w:szCs w:val="24"/>
    </w:rPr>
  </w:style>
  <w:style w:type="character" w:customStyle="1" w:styleId="162">
    <w:name w:val="普通(网站) 字符"/>
    <w:autoRedefine/>
    <w:qFormat/>
    <w:locked/>
    <w:uiPriority w:val="99"/>
    <w:rPr>
      <w:rFonts w:ascii="宋体" w:hAnsi="宋体" w:eastAsia="宋体" w:cs="Times New Roman"/>
      <w:kern w:val="0"/>
      <w:sz w:val="15"/>
      <w:szCs w:val="15"/>
      <w:lang w:val="en-US" w:eastAsia="zh-CN"/>
    </w:rPr>
  </w:style>
  <w:style w:type="paragraph" w:customStyle="1" w:styleId="163">
    <w:name w:val="_Style 123"/>
    <w:basedOn w:val="1"/>
    <w:next w:val="131"/>
    <w:autoRedefine/>
    <w:qFormat/>
    <w:uiPriority w:val="34"/>
    <w:pPr>
      <w:spacing w:line="360" w:lineRule="auto"/>
      <w:ind w:firstLine="420" w:firstLineChars="200"/>
    </w:pPr>
    <w:rPr>
      <w:rFonts w:ascii="Calibri" w:hAnsi="Calibri" w:eastAsia="宋体" w:cs="Times New Roman"/>
    </w:rPr>
  </w:style>
  <w:style w:type="character" w:customStyle="1" w:styleId="164">
    <w:name w:val="纯文本 字符4"/>
    <w:basedOn w:val="40"/>
    <w:autoRedefine/>
    <w:semiHidden/>
    <w:qFormat/>
    <w:uiPriority w:val="99"/>
    <w:rPr>
      <w:rFonts w:hAnsi="Courier New" w:cs="Courier New" w:asciiTheme="minorEastAsia"/>
    </w:rPr>
  </w:style>
  <w:style w:type="character" w:customStyle="1" w:styleId="165">
    <w:name w:val="批注文字 Char2"/>
    <w:basedOn w:val="40"/>
    <w:link w:val="17"/>
    <w:autoRedefine/>
    <w:semiHidden/>
    <w:qFormat/>
    <w:uiPriority w:val="99"/>
  </w:style>
  <w:style w:type="character" w:customStyle="1" w:styleId="166">
    <w:name w:val="批注主题 字符2"/>
    <w:basedOn w:val="165"/>
    <w:autoRedefine/>
    <w:semiHidden/>
    <w:qFormat/>
    <w:uiPriority w:val="99"/>
    <w:rPr>
      <w:b/>
      <w:bCs/>
    </w:rPr>
  </w:style>
  <w:style w:type="character" w:customStyle="1" w:styleId="167">
    <w:name w:val="标题 字符3"/>
    <w:basedOn w:val="40"/>
    <w:autoRedefine/>
    <w:qFormat/>
    <w:uiPriority w:val="10"/>
    <w:rPr>
      <w:rFonts w:asciiTheme="majorHAnsi" w:hAnsiTheme="majorHAnsi" w:eastAsiaTheme="majorEastAsia" w:cstheme="majorBidi"/>
      <w:b/>
      <w:bCs/>
      <w:sz w:val="32"/>
      <w:szCs w:val="32"/>
    </w:rPr>
  </w:style>
  <w:style w:type="character" w:customStyle="1" w:styleId="168">
    <w:name w:val="正文文本缩进 字符3"/>
    <w:basedOn w:val="40"/>
    <w:autoRedefine/>
    <w:semiHidden/>
    <w:qFormat/>
    <w:uiPriority w:val="99"/>
  </w:style>
  <w:style w:type="character" w:customStyle="1" w:styleId="169">
    <w:name w:val="正文文本 字符4"/>
    <w:basedOn w:val="40"/>
    <w:autoRedefine/>
    <w:semiHidden/>
    <w:qFormat/>
    <w:uiPriority w:val="99"/>
  </w:style>
  <w:style w:type="character" w:customStyle="1" w:styleId="170">
    <w:name w:val="正文文本缩进 3 字符2"/>
    <w:basedOn w:val="40"/>
    <w:autoRedefine/>
    <w:semiHidden/>
    <w:qFormat/>
    <w:uiPriority w:val="99"/>
    <w:rPr>
      <w:sz w:val="16"/>
      <w:szCs w:val="16"/>
    </w:rPr>
  </w:style>
  <w:style w:type="character" w:customStyle="1" w:styleId="171">
    <w:name w:val="页眉 字符2"/>
    <w:basedOn w:val="40"/>
    <w:autoRedefine/>
    <w:semiHidden/>
    <w:qFormat/>
    <w:uiPriority w:val="99"/>
    <w:rPr>
      <w:sz w:val="18"/>
      <w:szCs w:val="18"/>
    </w:rPr>
  </w:style>
  <w:style w:type="character" w:customStyle="1" w:styleId="172">
    <w:name w:val="批注框文本 字符2"/>
    <w:basedOn w:val="40"/>
    <w:autoRedefine/>
    <w:semiHidden/>
    <w:qFormat/>
    <w:uiPriority w:val="99"/>
    <w:rPr>
      <w:sz w:val="18"/>
      <w:szCs w:val="18"/>
    </w:rPr>
  </w:style>
  <w:style w:type="character" w:customStyle="1" w:styleId="173">
    <w:name w:val="HTML 预设格式 字符2"/>
    <w:basedOn w:val="40"/>
    <w:autoRedefine/>
    <w:semiHidden/>
    <w:qFormat/>
    <w:uiPriority w:val="99"/>
    <w:rPr>
      <w:rFonts w:ascii="Courier New" w:hAnsi="Courier New" w:cs="Courier New"/>
      <w:sz w:val="20"/>
      <w:szCs w:val="20"/>
    </w:rPr>
  </w:style>
  <w:style w:type="character" w:customStyle="1" w:styleId="174">
    <w:name w:val="页脚 字符2"/>
    <w:basedOn w:val="40"/>
    <w:autoRedefine/>
    <w:semiHidden/>
    <w:qFormat/>
    <w:uiPriority w:val="99"/>
    <w:rPr>
      <w:sz w:val="18"/>
      <w:szCs w:val="18"/>
    </w:rPr>
  </w:style>
  <w:style w:type="character" w:customStyle="1" w:styleId="175">
    <w:name w:val="正文文本缩进 2 字符2"/>
    <w:basedOn w:val="40"/>
    <w:autoRedefine/>
    <w:semiHidden/>
    <w:qFormat/>
    <w:uiPriority w:val="99"/>
  </w:style>
  <w:style w:type="character" w:customStyle="1" w:styleId="176">
    <w:name w:val="正文文本 3 字符2"/>
    <w:basedOn w:val="40"/>
    <w:autoRedefine/>
    <w:semiHidden/>
    <w:qFormat/>
    <w:uiPriority w:val="99"/>
    <w:rPr>
      <w:sz w:val="16"/>
      <w:szCs w:val="16"/>
    </w:rPr>
  </w:style>
  <w:style w:type="character" w:customStyle="1" w:styleId="177">
    <w:name w:val="正文文本 2 字符2"/>
    <w:basedOn w:val="40"/>
    <w:autoRedefine/>
    <w:semiHidden/>
    <w:qFormat/>
    <w:uiPriority w:val="99"/>
  </w:style>
  <w:style w:type="paragraph" w:customStyle="1" w:styleId="178">
    <w:name w:val="WPSOffice手动目录 3"/>
    <w:autoRedefine/>
    <w:qFormat/>
    <w:uiPriority w:val="0"/>
    <w:pPr>
      <w:ind w:left="400" w:leftChars="400"/>
    </w:pPr>
    <w:rPr>
      <w:rFonts w:ascii="Calibri" w:hAnsi="Calibri" w:eastAsia="宋体" w:cs="Times New Roman"/>
      <w:lang w:val="en-US" w:eastAsia="zh-CN" w:bidi="ar-SA"/>
    </w:rPr>
  </w:style>
  <w:style w:type="paragraph" w:customStyle="1" w:styleId="179">
    <w:name w:val="列表段落1"/>
    <w:basedOn w:val="1"/>
    <w:autoRedefine/>
    <w:qFormat/>
    <w:uiPriority w:val="0"/>
    <w:pPr>
      <w:ind w:firstLine="420" w:firstLineChars="200"/>
    </w:pPr>
    <w:rPr>
      <w:rFonts w:ascii="Times New Roman" w:hAnsi="Times New Roman" w:eastAsia="宋体" w:cs="Times New Roman"/>
      <w:szCs w:val="20"/>
    </w:rPr>
  </w:style>
  <w:style w:type="character" w:customStyle="1" w:styleId="180">
    <w:name w:val="文档结构图 字符2"/>
    <w:basedOn w:val="40"/>
    <w:autoRedefine/>
    <w:semiHidden/>
    <w:qFormat/>
    <w:uiPriority w:val="99"/>
    <w:rPr>
      <w:rFonts w:ascii="Microsoft YaHei UI" w:eastAsia="Microsoft YaHei UI"/>
      <w:sz w:val="18"/>
      <w:szCs w:val="18"/>
    </w:rPr>
  </w:style>
  <w:style w:type="character" w:customStyle="1" w:styleId="181">
    <w:name w:val="日期 字符2"/>
    <w:basedOn w:val="40"/>
    <w:autoRedefine/>
    <w:semiHidden/>
    <w:qFormat/>
    <w:uiPriority w:val="99"/>
  </w:style>
  <w:style w:type="paragraph" w:customStyle="1" w:styleId="182">
    <w:name w:val="彩色底纹 - 强调文字颜色 11"/>
    <w:autoRedefine/>
    <w:semiHidden/>
    <w:qFormat/>
    <w:uiPriority w:val="99"/>
    <w:rPr>
      <w:rFonts w:ascii="宋体" w:hAnsi="Calibri" w:eastAsia="宋体" w:cs="Times New Roman"/>
      <w:sz w:val="24"/>
      <w:szCs w:val="24"/>
      <w:lang w:val="en-US" w:eastAsia="zh-CN" w:bidi="ar-SA"/>
    </w:rPr>
  </w:style>
  <w:style w:type="paragraph" w:customStyle="1" w:styleId="183">
    <w:name w:val="d"/>
    <w:basedOn w:val="1"/>
    <w:autoRedefine/>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4">
    <w:name w:val="修订1"/>
    <w:autoRedefine/>
    <w:semiHidden/>
    <w:qFormat/>
    <w:uiPriority w:val="99"/>
    <w:rPr>
      <w:rFonts w:ascii="宋体" w:hAnsi="Calibri" w:eastAsia="宋体" w:cs="Times New Roman"/>
      <w:sz w:val="24"/>
      <w:szCs w:val="24"/>
      <w:lang w:val="en-US" w:eastAsia="zh-CN" w:bidi="ar-SA"/>
    </w:rPr>
  </w:style>
  <w:style w:type="paragraph" w:customStyle="1" w:styleId="185">
    <w:name w:val="图/图注"/>
    <w:basedOn w:val="9"/>
    <w:autoRedefine/>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6">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7">
    <w:name w:val="A."/>
    <w:basedOn w:val="1"/>
    <w:autoRedefine/>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8">
    <w:name w:val="Pa8"/>
    <w:basedOn w:val="1"/>
    <w:next w:val="1"/>
    <w:autoRedefine/>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9">
    <w:name w:val="p0"/>
    <w:basedOn w:val="1"/>
    <w:autoRedefine/>
    <w:qFormat/>
    <w:uiPriority w:val="0"/>
    <w:pPr>
      <w:widowControl/>
    </w:pPr>
    <w:rPr>
      <w:rFonts w:ascii="Times New Roman" w:hAnsi="Calibri" w:eastAsia="宋体" w:cs="Times New Roman"/>
      <w:kern w:val="0"/>
      <w:szCs w:val="20"/>
    </w:rPr>
  </w:style>
  <w:style w:type="paragraph" w:customStyle="1" w:styleId="190">
    <w:name w:val="Char Char 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1">
    <w:name w:val="Char"/>
    <w:basedOn w:val="1"/>
    <w:autoRedefine/>
    <w:qFormat/>
    <w:uiPriority w:val="0"/>
    <w:pPr>
      <w:widowControl/>
      <w:spacing w:after="160" w:line="240" w:lineRule="exact"/>
      <w:jc w:val="center"/>
    </w:pPr>
    <w:rPr>
      <w:rFonts w:ascii="Times New Roman" w:hAnsi="Times New Roman" w:eastAsia="宋体" w:cs="Times New Roman"/>
      <w:szCs w:val="24"/>
    </w:rPr>
  </w:style>
  <w:style w:type="paragraph" w:customStyle="1" w:styleId="192">
    <w:name w:val="网格表 32"/>
    <w:basedOn w:val="3"/>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3">
    <w:name w:val="WPSOffice手动目录 1"/>
    <w:autoRedefine/>
    <w:qFormat/>
    <w:uiPriority w:val="0"/>
    <w:rPr>
      <w:rFonts w:ascii="Calibri" w:hAnsi="Calibri" w:eastAsia="宋体" w:cs="Times New Roman"/>
      <w:lang w:val="en-US" w:eastAsia="zh-CN" w:bidi="ar-SA"/>
    </w:rPr>
  </w:style>
  <w:style w:type="paragraph" w:customStyle="1" w:styleId="194">
    <w:name w:val="_Style 69"/>
    <w:basedOn w:val="1"/>
    <w:next w:val="131"/>
    <w:autoRedefine/>
    <w:qFormat/>
    <w:uiPriority w:val="34"/>
    <w:pPr>
      <w:spacing w:line="360" w:lineRule="auto"/>
      <w:ind w:firstLine="420" w:firstLineChars="200"/>
    </w:pPr>
    <w:rPr>
      <w:rFonts w:ascii="Calibri" w:hAnsi="Calibri" w:eastAsia="宋体" w:cs="Times New Roman"/>
    </w:rPr>
  </w:style>
  <w:style w:type="paragraph" w:customStyle="1" w:styleId="195">
    <w:name w:val="中等深浅网格 2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6">
    <w:name w:val="保留正文"/>
    <w:basedOn w:val="2"/>
    <w:autoRedefine/>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7">
    <w:name w:val="彩色底纹 - 着色 11"/>
    <w:autoRedefine/>
    <w:semiHidden/>
    <w:qFormat/>
    <w:uiPriority w:val="99"/>
    <w:rPr>
      <w:rFonts w:ascii="宋体" w:hAnsi="Calibri" w:eastAsia="宋体" w:cs="Times New Roman"/>
      <w:sz w:val="24"/>
      <w:szCs w:val="24"/>
      <w:lang w:val="en-US" w:eastAsia="zh-CN" w:bidi="ar-SA"/>
    </w:rPr>
  </w:style>
  <w:style w:type="paragraph" w:customStyle="1" w:styleId="198">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199">
    <w:name w:val="网格表 31"/>
    <w:basedOn w:val="3"/>
    <w:next w:val="1"/>
    <w:autoRedefine/>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200">
    <w:name w:val="表格文字居中"/>
    <w:basedOn w:val="124"/>
    <w:autoRedefine/>
    <w:qFormat/>
    <w:uiPriority w:val="0"/>
    <w:pPr>
      <w:jc w:val="center"/>
    </w:pPr>
    <w:rPr>
      <w:rFonts w:cs="宋体"/>
      <w:szCs w:val="20"/>
    </w:rPr>
  </w:style>
  <w:style w:type="paragraph" w:customStyle="1" w:styleId="201">
    <w:name w:val="正文缩进4格"/>
    <w:basedOn w:val="65"/>
    <w:autoRedefine/>
    <w:qFormat/>
    <w:uiPriority w:val="0"/>
    <w:pPr>
      <w:spacing w:line="360" w:lineRule="auto"/>
      <w:ind w:left="964" w:leftChars="314" w:hanging="210" w:hangingChars="100"/>
    </w:pPr>
    <w:rPr>
      <w:rFonts w:ascii="宋体" w:eastAsia="宋体"/>
      <w:sz w:val="21"/>
      <w:szCs w:val="21"/>
      <w:lang w:val="zh-CN"/>
    </w:rPr>
  </w:style>
  <w:style w:type="paragraph" w:customStyle="1" w:styleId="202">
    <w:name w:val="版本说明标题"/>
    <w:basedOn w:val="1"/>
    <w:autoRedefine/>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3">
    <w:name w:val="正文首行缩进 Char"/>
    <w:basedOn w:val="120"/>
    <w:link w:val="36"/>
    <w:autoRedefine/>
    <w:semiHidden/>
    <w:qFormat/>
    <w:uiPriority w:val="99"/>
    <w:rPr>
      <w:rFonts w:ascii="宋体" w:eastAsia="宋体"/>
      <w:b w:val="0"/>
      <w:bCs w:val="0"/>
      <w:sz w:val="84"/>
      <w:szCs w:val="84"/>
      <w:lang w:val="zh-CN"/>
    </w:rPr>
  </w:style>
  <w:style w:type="paragraph" w:customStyle="1" w:styleId="204">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5">
    <w:name w:val="正文_0"/>
    <w:autoRedefine/>
    <w:qFormat/>
    <w:uiPriority w:val="0"/>
    <w:pPr>
      <w:adjustRightInd w:val="0"/>
      <w:snapToGrid w:val="0"/>
      <w:spacing w:after="200"/>
    </w:pPr>
    <w:rPr>
      <w:rFonts w:ascii="Tahoma" w:hAnsi="Tahoma" w:eastAsia="宋体" w:cs="Times New Roman"/>
      <w:sz w:val="22"/>
      <w:szCs w:val="22"/>
      <w:lang w:val="en-US" w:eastAsia="zh-CN" w:bidi="ar-SA"/>
    </w:rPr>
  </w:style>
  <w:style w:type="paragraph" w:customStyle="1" w:styleId="206">
    <w:name w:val="文档正文"/>
    <w:basedOn w:val="1"/>
    <w:autoRedefine/>
    <w:qFormat/>
    <w:uiPriority w:val="0"/>
    <w:pPr>
      <w:spacing w:line="360" w:lineRule="auto"/>
    </w:pPr>
    <w:rPr>
      <w:rFonts w:cs="Arial"/>
      <w:bCs/>
    </w:rPr>
  </w:style>
  <w:style w:type="character" w:customStyle="1" w:styleId="207">
    <w:name w:val="font61"/>
    <w:basedOn w:val="40"/>
    <w:autoRedefine/>
    <w:qFormat/>
    <w:uiPriority w:val="0"/>
    <w:rPr>
      <w:rFonts w:hint="eastAsia" w:ascii="微软雅黑" w:hAnsi="微软雅黑" w:eastAsia="微软雅黑" w:cs="微软雅黑"/>
      <w:color w:val="000000"/>
      <w:sz w:val="24"/>
      <w:szCs w:val="24"/>
      <w:u w:val="none"/>
    </w:rPr>
  </w:style>
  <w:style w:type="paragraph" w:customStyle="1" w:styleId="208">
    <w:name w:val="Table Text"/>
    <w:basedOn w:val="1"/>
    <w:autoRedefine/>
    <w:semiHidden/>
    <w:qFormat/>
    <w:uiPriority w:val="0"/>
    <w:rPr>
      <w:rFonts w:ascii="宋体" w:hAnsi="宋体" w:eastAsia="宋体" w:cs="宋体"/>
      <w:sz w:val="20"/>
      <w:szCs w:val="20"/>
      <w:lang w:eastAsia="en-US"/>
    </w:rPr>
  </w:style>
  <w:style w:type="table" w:customStyle="1" w:styleId="20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120</Pages>
  <Words>22293</Words>
  <Characters>23279</Characters>
  <Lines>314</Lines>
  <Paragraphs>88</Paragraphs>
  <TotalTime>101</TotalTime>
  <ScaleCrop>false</ScaleCrop>
  <LinksUpToDate>false</LinksUpToDate>
  <CharactersWithSpaces>23658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建成</cp:lastModifiedBy>
  <cp:lastPrinted>2025-04-01T01:09:00Z</cp:lastPrinted>
  <dcterms:modified xsi:type="dcterms:W3CDTF">2025-04-10T00:49:18Z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1BE87AAAB6784C4CA313FA1102A080DE_13</vt:lpwstr>
  </property>
  <property fmtid="{D5CDD505-2E9C-101B-9397-08002B2CF9AE}" pid="4" name="KSOTemplateDocerSaveRecord">
    <vt:lpwstr>eyJoZGlkIjoiNDBjMDczNzc4NWJiMTM1NGU3ZmNlNjVkZDc5MzE0MDgiLCJ1c2VySWQiOiIzNzQxMjY2MjUifQ==</vt:lpwstr>
  </property>
</Properties>
</file>