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3F9A1A">
      <w:pPr>
        <w:autoSpaceDE w:val="0"/>
        <w:autoSpaceDN w:val="0"/>
        <w:adjustRightInd w:val="0"/>
        <w:spacing w:line="276" w:lineRule="auto"/>
        <w:ind w:left="357" w:leftChars="170" w:right="-23" w:rightChars="-11"/>
        <w:jc w:val="center"/>
        <w:outlineLvl w:val="9"/>
        <w:rPr>
          <w:rFonts w:hint="eastAsia" w:ascii="宋体" w:hAnsi="宋体" w:eastAsia="宋体" w:cs="宋体"/>
          <w:b/>
          <w:bCs/>
          <w:color w:val="auto"/>
          <w:kern w:val="0"/>
          <w:sz w:val="52"/>
          <w:szCs w:val="52"/>
          <w:highlight w:val="none"/>
          <w:lang w:val="zh-CN"/>
        </w:rPr>
      </w:pPr>
    </w:p>
    <w:p w14:paraId="70FFAADA">
      <w:pPr>
        <w:autoSpaceDE w:val="0"/>
        <w:autoSpaceDN w:val="0"/>
        <w:adjustRightInd w:val="0"/>
        <w:spacing w:line="276" w:lineRule="auto"/>
        <w:ind w:left="357" w:leftChars="170" w:right="-23" w:rightChars="-11"/>
        <w:jc w:val="center"/>
        <w:outlineLvl w:val="9"/>
        <w:rPr>
          <w:rFonts w:hint="eastAsia" w:ascii="宋体" w:hAnsi="宋体" w:eastAsia="宋体" w:cs="宋体"/>
          <w:b/>
          <w:bCs/>
          <w:color w:val="auto"/>
          <w:kern w:val="0"/>
          <w:sz w:val="60"/>
          <w:szCs w:val="60"/>
          <w:highlight w:val="none"/>
          <w:lang w:val="zh-CN"/>
        </w:rPr>
      </w:pPr>
      <w:r>
        <w:rPr>
          <w:rFonts w:hint="eastAsia" w:ascii="宋体" w:hAnsi="宋体" w:eastAsia="宋体" w:cs="宋体"/>
          <w:b/>
          <w:bCs/>
          <w:color w:val="auto"/>
          <w:kern w:val="0"/>
          <w:sz w:val="60"/>
          <w:szCs w:val="60"/>
          <w:highlight w:val="none"/>
          <w:lang w:val="zh-CN"/>
        </w:rPr>
        <w:t>东莞市水务集团管网有限公司202</w:t>
      </w:r>
      <w:r>
        <w:rPr>
          <w:rFonts w:hint="eastAsia" w:ascii="宋体" w:hAnsi="宋体" w:eastAsia="宋体" w:cs="宋体"/>
          <w:b/>
          <w:bCs/>
          <w:color w:val="auto"/>
          <w:kern w:val="0"/>
          <w:sz w:val="60"/>
          <w:szCs w:val="60"/>
          <w:highlight w:val="none"/>
          <w:lang w:val="en-US" w:eastAsia="zh-CN"/>
        </w:rPr>
        <w:t>5</w:t>
      </w:r>
      <w:r>
        <w:rPr>
          <w:rFonts w:hint="eastAsia" w:ascii="宋体" w:hAnsi="宋体" w:eastAsia="宋体" w:cs="宋体"/>
          <w:b/>
          <w:bCs/>
          <w:color w:val="auto"/>
          <w:kern w:val="0"/>
          <w:sz w:val="60"/>
          <w:szCs w:val="60"/>
          <w:highlight w:val="none"/>
          <w:lang w:val="zh-CN"/>
        </w:rPr>
        <w:t>年餐厨及清洁服务采购项目</w:t>
      </w:r>
    </w:p>
    <w:p w14:paraId="37C941E9">
      <w:pPr>
        <w:autoSpaceDE w:val="0"/>
        <w:autoSpaceDN w:val="0"/>
        <w:adjustRightInd w:val="0"/>
        <w:spacing w:line="276" w:lineRule="auto"/>
        <w:ind w:left="357" w:leftChars="170" w:right="-23" w:rightChars="-11"/>
        <w:jc w:val="center"/>
        <w:outlineLvl w:val="9"/>
        <w:rPr>
          <w:rFonts w:hint="eastAsia" w:ascii="宋体" w:hAnsi="宋体" w:eastAsia="宋体" w:cs="宋体"/>
          <w:b/>
          <w:bCs/>
          <w:color w:val="auto"/>
          <w:kern w:val="0"/>
          <w:sz w:val="44"/>
          <w:szCs w:val="44"/>
          <w:highlight w:val="none"/>
          <w:lang w:val="zh-CN"/>
        </w:rPr>
      </w:pPr>
    </w:p>
    <w:p w14:paraId="635AEB01">
      <w:pPr>
        <w:autoSpaceDE w:val="0"/>
        <w:autoSpaceDN w:val="0"/>
        <w:adjustRightInd w:val="0"/>
        <w:ind w:right="-23" w:rightChars="-11"/>
        <w:jc w:val="left"/>
        <w:outlineLvl w:val="9"/>
        <w:rPr>
          <w:rFonts w:hint="eastAsia" w:ascii="宋体" w:hAnsi="宋体" w:eastAsia="宋体" w:cs="宋体"/>
          <w:b/>
          <w:bCs/>
          <w:color w:val="auto"/>
          <w:sz w:val="44"/>
          <w:szCs w:val="44"/>
          <w:highlight w:val="none"/>
          <w:lang w:val="zh-CN"/>
        </w:rPr>
      </w:pPr>
    </w:p>
    <w:p w14:paraId="35781E3D">
      <w:pPr>
        <w:autoSpaceDE w:val="0"/>
        <w:autoSpaceDN w:val="0"/>
        <w:adjustRightInd w:val="0"/>
        <w:ind w:right="-23" w:rightChars="-11"/>
        <w:jc w:val="center"/>
        <w:outlineLvl w:val="9"/>
        <w:rPr>
          <w:rFonts w:hint="eastAsia" w:ascii="宋体" w:hAnsi="宋体" w:eastAsia="宋体" w:cs="宋体"/>
          <w:b/>
          <w:bCs/>
          <w:color w:val="auto"/>
          <w:sz w:val="72"/>
          <w:szCs w:val="72"/>
          <w:highlight w:val="none"/>
          <w:lang w:val="zh-CN"/>
        </w:rPr>
      </w:pPr>
    </w:p>
    <w:p w14:paraId="03479E51">
      <w:pPr>
        <w:autoSpaceDE w:val="0"/>
        <w:autoSpaceDN w:val="0"/>
        <w:adjustRightInd w:val="0"/>
        <w:ind w:right="-23" w:rightChars="-11"/>
        <w:jc w:val="center"/>
        <w:outlineLvl w:val="9"/>
        <w:rPr>
          <w:rFonts w:hint="eastAsia" w:ascii="宋体" w:hAnsi="宋体" w:eastAsia="宋体" w:cs="宋体"/>
          <w:b/>
          <w:bCs/>
          <w:color w:val="auto"/>
          <w:sz w:val="72"/>
          <w:szCs w:val="72"/>
          <w:highlight w:val="none"/>
          <w:lang w:val="zh-CN"/>
        </w:rPr>
      </w:pPr>
      <w:r>
        <w:rPr>
          <w:rFonts w:hint="eastAsia" w:ascii="宋体" w:hAnsi="宋体" w:eastAsia="宋体" w:cs="宋体"/>
          <w:b/>
          <w:bCs/>
          <w:color w:val="auto"/>
          <w:sz w:val="72"/>
          <w:szCs w:val="72"/>
          <w:highlight w:val="none"/>
          <w:lang w:val="zh-CN"/>
        </w:rPr>
        <w:t>招</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文</w:t>
      </w:r>
      <w:r>
        <w:rPr>
          <w:rFonts w:hint="eastAsia" w:ascii="宋体" w:hAnsi="宋体" w:eastAsia="宋体" w:cs="宋体"/>
          <w:b/>
          <w:bCs/>
          <w:color w:val="auto"/>
          <w:sz w:val="72"/>
          <w:szCs w:val="72"/>
          <w:highlight w:val="none"/>
        </w:rPr>
        <w:t xml:space="preserve"> </w:t>
      </w:r>
      <w:r>
        <w:rPr>
          <w:rFonts w:hint="eastAsia" w:ascii="宋体" w:hAnsi="宋体" w:eastAsia="宋体" w:cs="宋体"/>
          <w:b/>
          <w:bCs/>
          <w:color w:val="auto"/>
          <w:sz w:val="72"/>
          <w:szCs w:val="72"/>
          <w:highlight w:val="none"/>
          <w:lang w:val="zh-CN"/>
        </w:rPr>
        <w:t>件</w:t>
      </w:r>
    </w:p>
    <w:p w14:paraId="046C38E6">
      <w:pPr>
        <w:autoSpaceDE w:val="0"/>
        <w:autoSpaceDN w:val="0"/>
        <w:adjustRightInd w:val="0"/>
        <w:ind w:right="-23" w:rightChars="-11"/>
        <w:jc w:val="center"/>
        <w:outlineLvl w:val="9"/>
        <w:rPr>
          <w:rFonts w:hint="eastAsia" w:ascii="宋体" w:hAnsi="宋体" w:eastAsia="宋体" w:cs="宋体"/>
          <w:b/>
          <w:bCs/>
          <w:color w:val="auto"/>
          <w:sz w:val="32"/>
          <w:szCs w:val="32"/>
          <w:highlight w:val="none"/>
          <w:lang w:val="zh-CN"/>
        </w:rPr>
      </w:pPr>
    </w:p>
    <w:p w14:paraId="0DFFDDDE">
      <w:pPr>
        <w:autoSpaceDE w:val="0"/>
        <w:autoSpaceDN w:val="0"/>
        <w:adjustRightInd w:val="0"/>
        <w:ind w:right="-23" w:rightChars="-11"/>
        <w:jc w:val="center"/>
        <w:outlineLvl w:val="9"/>
        <w:rPr>
          <w:rFonts w:hint="eastAsia" w:ascii="宋体" w:hAnsi="宋体" w:eastAsia="宋体" w:cs="宋体"/>
          <w:b/>
          <w:bCs/>
          <w:color w:val="auto"/>
          <w:sz w:val="44"/>
          <w:szCs w:val="44"/>
          <w:highlight w:val="none"/>
          <w:lang w:val="zh-CN"/>
        </w:rPr>
      </w:pPr>
    </w:p>
    <w:p w14:paraId="6B798600">
      <w:pPr>
        <w:autoSpaceDE w:val="0"/>
        <w:autoSpaceDN w:val="0"/>
        <w:adjustRightInd w:val="0"/>
        <w:ind w:right="-23" w:rightChars="-11"/>
        <w:jc w:val="left"/>
        <w:outlineLvl w:val="9"/>
        <w:rPr>
          <w:rFonts w:hint="eastAsia" w:ascii="宋体" w:hAnsi="宋体" w:eastAsia="宋体" w:cs="宋体"/>
          <w:b/>
          <w:bCs/>
          <w:color w:val="auto"/>
          <w:sz w:val="32"/>
          <w:szCs w:val="32"/>
          <w:highlight w:val="none"/>
          <w:u w:val="single"/>
          <w:lang w:val="zh-CN"/>
        </w:rPr>
      </w:pPr>
    </w:p>
    <w:p w14:paraId="2F4C08BC">
      <w:pPr>
        <w:tabs>
          <w:tab w:val="left" w:pos="9240"/>
        </w:tabs>
        <w:autoSpaceDE w:val="0"/>
        <w:autoSpaceDN w:val="0"/>
        <w:adjustRightInd w:val="0"/>
        <w:spacing w:line="700" w:lineRule="exact"/>
        <w:ind w:right="-23" w:rightChars="-11"/>
        <w:jc w:val="left"/>
        <w:outlineLvl w:val="9"/>
        <w:rPr>
          <w:rFonts w:hint="eastAsia" w:ascii="宋体" w:hAnsi="宋体" w:eastAsia="宋体" w:cs="宋体"/>
          <w:b/>
          <w:bCs/>
          <w:color w:val="auto"/>
          <w:sz w:val="32"/>
          <w:szCs w:val="32"/>
          <w:highlight w:val="none"/>
          <w:lang w:val="zh-CN"/>
        </w:rPr>
      </w:pPr>
    </w:p>
    <w:p w14:paraId="0A7C7265">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编</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号：YDZB25DGQY0006</w:t>
      </w:r>
    </w:p>
    <w:p w14:paraId="15B2130B">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标</w:t>
      </w:r>
      <w:r>
        <w:rPr>
          <w:rFonts w:hint="eastAsia" w:ascii="宋体" w:hAnsi="宋体" w:eastAsia="宋体" w:cs="宋体"/>
          <w:b/>
          <w:bCs/>
          <w:color w:val="auto"/>
          <w:sz w:val="32"/>
          <w:szCs w:val="32"/>
          <w:highlight w:val="none"/>
        </w:rPr>
        <w:t xml:space="preserve"> </w:t>
      </w:r>
      <w:r>
        <w:rPr>
          <w:rFonts w:hint="eastAsia" w:ascii="宋体" w:hAnsi="宋体" w:eastAsia="宋体" w:cs="宋体"/>
          <w:b/>
          <w:bCs/>
          <w:color w:val="auto"/>
          <w:sz w:val="32"/>
          <w:szCs w:val="32"/>
          <w:highlight w:val="none"/>
          <w:lang w:val="zh-CN"/>
        </w:rPr>
        <w:t>人：东莞市水务集团管网有限公司</w:t>
      </w:r>
    </w:p>
    <w:p w14:paraId="3D9FF73E">
      <w:pPr>
        <w:autoSpaceDE w:val="0"/>
        <w:autoSpaceDN w:val="0"/>
        <w:adjustRightInd w:val="0"/>
        <w:spacing w:line="480" w:lineRule="auto"/>
        <w:ind w:left="1842" w:leftChars="877" w:firstLine="19" w:firstLineChars="6"/>
        <w:jc w:val="left"/>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招标代理机构：广东有德招标采购有限公司</w:t>
      </w:r>
    </w:p>
    <w:p w14:paraId="26CB89C5">
      <w:pPr>
        <w:autoSpaceDE w:val="0"/>
        <w:autoSpaceDN w:val="0"/>
        <w:adjustRightInd w:val="0"/>
        <w:ind w:right="-23" w:rightChars="-11"/>
        <w:jc w:val="left"/>
        <w:outlineLvl w:val="9"/>
        <w:rPr>
          <w:rFonts w:hint="eastAsia" w:ascii="宋体" w:hAnsi="宋体" w:eastAsia="宋体" w:cs="宋体"/>
          <w:b/>
          <w:bCs/>
          <w:color w:val="auto"/>
          <w:kern w:val="0"/>
          <w:sz w:val="32"/>
          <w:szCs w:val="32"/>
          <w:highlight w:val="none"/>
          <w:lang w:val="zh-CN"/>
        </w:rPr>
      </w:pPr>
    </w:p>
    <w:p w14:paraId="09D16B61">
      <w:pPr>
        <w:autoSpaceDE w:val="0"/>
        <w:autoSpaceDN w:val="0"/>
        <w:adjustRightInd w:val="0"/>
        <w:ind w:right="-23" w:rightChars="-11"/>
        <w:jc w:val="center"/>
        <w:outlineLvl w:val="9"/>
        <w:rPr>
          <w:rFonts w:hint="eastAsia" w:ascii="宋体" w:hAnsi="宋体" w:eastAsia="宋体" w:cs="宋体"/>
          <w:b/>
          <w:bCs/>
          <w:color w:val="auto"/>
          <w:kern w:val="0"/>
          <w:sz w:val="84"/>
          <w:szCs w:val="84"/>
          <w:highlight w:val="none"/>
          <w:lang w:val="zh-CN"/>
        </w:rPr>
      </w:pPr>
    </w:p>
    <w:p w14:paraId="11E92D54">
      <w:pPr>
        <w:keepNext w:val="0"/>
        <w:keepLines w:val="0"/>
        <w:pageBreakBefore w:val="0"/>
        <w:widowControl w:val="0"/>
        <w:kinsoku/>
        <w:wordWrap/>
        <w:overflowPunct/>
        <w:topLinePunct w:val="0"/>
        <w:autoSpaceDE w:val="0"/>
        <w:autoSpaceDN w:val="0"/>
        <w:bidi w:val="0"/>
        <w:adjustRightInd w:val="0"/>
        <w:snapToGrid/>
        <w:spacing w:line="360" w:lineRule="auto"/>
        <w:ind w:left="357" w:leftChars="170" w:right="-23" w:rightChars="-11" w:firstLine="0" w:firstLineChars="0"/>
        <w:jc w:val="center"/>
        <w:textAlignment w:val="auto"/>
        <w:outlineLvl w:val="9"/>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en-US" w:eastAsia="zh-CN"/>
        </w:rPr>
        <w:t>2025</w:t>
      </w:r>
      <w:r>
        <w:rPr>
          <w:rFonts w:hint="eastAsia" w:ascii="宋体" w:hAnsi="宋体" w:eastAsia="宋体" w:cs="宋体"/>
          <w:b/>
          <w:bCs/>
          <w:color w:val="auto"/>
          <w:sz w:val="32"/>
          <w:szCs w:val="32"/>
          <w:highlight w:val="none"/>
          <w:lang w:val="zh-CN"/>
        </w:rPr>
        <w:t>年</w:t>
      </w:r>
      <w:r>
        <w:rPr>
          <w:rFonts w:hint="eastAsia" w:ascii="宋体" w:hAnsi="宋体" w:eastAsia="宋体" w:cs="宋体"/>
          <w:b/>
          <w:bCs/>
          <w:color w:val="auto"/>
          <w:sz w:val="32"/>
          <w:szCs w:val="32"/>
          <w:highlight w:val="none"/>
          <w:lang w:val="en-US" w:eastAsia="zh-CN"/>
        </w:rPr>
        <w:t>3</w:t>
      </w:r>
      <w:r>
        <w:rPr>
          <w:rFonts w:hint="eastAsia" w:ascii="宋体" w:hAnsi="宋体" w:eastAsia="宋体" w:cs="宋体"/>
          <w:b/>
          <w:bCs/>
          <w:color w:val="auto"/>
          <w:sz w:val="32"/>
          <w:szCs w:val="32"/>
          <w:highlight w:val="none"/>
          <w:lang w:val="zh-CN"/>
        </w:rPr>
        <w:t>月</w:t>
      </w:r>
      <w:r>
        <w:rPr>
          <w:rFonts w:hint="eastAsia" w:ascii="宋体" w:hAnsi="宋体" w:eastAsia="宋体" w:cs="宋体"/>
          <w:b/>
          <w:bCs/>
          <w:color w:val="auto"/>
          <w:sz w:val="32"/>
          <w:szCs w:val="32"/>
          <w:highlight w:val="none"/>
          <w:lang w:val="en-US" w:eastAsia="zh-CN"/>
        </w:rPr>
        <w:t>31</w:t>
      </w:r>
      <w:r>
        <w:rPr>
          <w:rFonts w:hint="eastAsia" w:ascii="宋体" w:hAnsi="宋体" w:eastAsia="宋体" w:cs="宋体"/>
          <w:b/>
          <w:bCs/>
          <w:color w:val="auto"/>
          <w:sz w:val="32"/>
          <w:szCs w:val="32"/>
          <w:highlight w:val="none"/>
          <w:lang w:val="zh-CN"/>
        </w:rPr>
        <w:t>日</w:t>
      </w:r>
    </w:p>
    <w:p w14:paraId="39E74BA3">
      <w:pPr>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br w:type="page"/>
      </w:r>
    </w:p>
    <w:p w14:paraId="42F3001B">
      <w:pPr>
        <w:pStyle w:val="2"/>
        <w:rPr>
          <w:rFonts w:hint="eastAsia" w:ascii="宋体" w:hAnsi="宋体" w:eastAsia="宋体" w:cs="宋体"/>
          <w:color w:val="auto"/>
          <w:highlight w:val="none"/>
        </w:rPr>
      </w:pPr>
    </w:p>
    <w:sdt>
      <w:sdtPr>
        <w:rPr>
          <w:rFonts w:hint="eastAsia" w:ascii="宋体" w:hAnsi="宋体" w:eastAsia="宋体" w:cs="宋体"/>
          <w:color w:val="auto"/>
          <w:kern w:val="2"/>
          <w:sz w:val="21"/>
          <w:szCs w:val="22"/>
          <w:highlight w:val="none"/>
          <w:lang w:val="en-US" w:eastAsia="zh-CN" w:bidi="ar-SA"/>
        </w:rPr>
        <w:id w:val="147473107"/>
        <w15:color w:val="DBDBDB"/>
        <w:docPartObj>
          <w:docPartGallery w:val="Table of Contents"/>
          <w:docPartUnique/>
        </w:docPartObj>
      </w:sdtPr>
      <w:sdtEndPr>
        <w:rPr>
          <w:rFonts w:hint="eastAsia" w:ascii="宋体" w:hAnsi="宋体" w:eastAsia="宋体" w:cs="宋体"/>
          <w:color w:val="auto"/>
          <w:kern w:val="2"/>
          <w:sz w:val="21"/>
          <w:szCs w:val="22"/>
          <w:highlight w:val="none"/>
          <w:lang w:val="en-US" w:eastAsia="zh-CN" w:bidi="ar-SA"/>
        </w:rPr>
      </w:sdtEndPr>
      <w:sdtContent>
        <w:p w14:paraId="047A0B19">
          <w:pPr>
            <w:keepNext w:val="0"/>
            <w:keepLines w:val="0"/>
            <w:pageBreakBefore w:val="0"/>
            <w:widowControl w:val="0"/>
            <w:kinsoku/>
            <w:wordWrap/>
            <w:overflowPunct/>
            <w:topLinePunct w:val="0"/>
            <w:autoSpaceDE/>
            <w:autoSpaceDN/>
            <w:bidi w:val="0"/>
            <w:adjustRightInd/>
            <w:snapToGrid/>
            <w:spacing w:before="0" w:beforeLines="0" w:after="0" w:afterLines="0" w:line="360" w:lineRule="auto"/>
            <w:ind w:left="0" w:leftChars="0" w:right="0" w:rightChars="0" w:firstLine="0" w:firstLineChars="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目</w:t>
          </w:r>
          <w:r>
            <w:rPr>
              <w:rFonts w:hint="eastAsia" w:ascii="宋体" w:hAnsi="宋体" w:eastAsia="宋体" w:cs="宋体"/>
              <w:b/>
              <w:bCs/>
              <w:color w:val="auto"/>
              <w:sz w:val="24"/>
              <w:szCs w:val="24"/>
              <w:highlight w:val="none"/>
              <w:lang w:val="en-US" w:eastAsia="zh-CN"/>
            </w:rPr>
            <w:t xml:space="preserve">  </w:t>
          </w:r>
          <w:r>
            <w:rPr>
              <w:rFonts w:hint="eastAsia" w:ascii="宋体" w:hAnsi="宋体" w:eastAsia="宋体" w:cs="宋体"/>
              <w:b/>
              <w:bCs/>
              <w:color w:val="auto"/>
              <w:sz w:val="24"/>
              <w:szCs w:val="24"/>
              <w:highlight w:val="none"/>
            </w:rPr>
            <w:t>录</w:t>
          </w:r>
        </w:p>
        <w:p w14:paraId="4BD5C1F3">
          <w:pPr>
            <w:pStyle w:val="28"/>
            <w:keepNext w:val="0"/>
            <w:keepLines w:val="0"/>
            <w:pageBreakBefore w:val="0"/>
            <w:tabs>
              <w:tab w:val="right" w:leader="dot" w:pos="976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TOC \o "1-3" \h \u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_Toc585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第一篇 招标公告</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_Toc585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39D1BEE">
          <w:pPr>
            <w:pStyle w:val="28"/>
            <w:keepNext w:val="0"/>
            <w:keepLines w:val="0"/>
            <w:pageBreakBefore w:val="0"/>
            <w:tabs>
              <w:tab w:val="right" w:leader="dot" w:pos="976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_Toc18303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第二篇</w:t>
          </w:r>
          <w:r>
            <w:rPr>
              <w:rFonts w:hint="eastAsia" w:ascii="宋体" w:hAnsi="宋体" w:eastAsia="宋体" w:cs="宋体"/>
              <w:bCs/>
              <w:color w:val="auto"/>
              <w:kern w:val="44"/>
              <w:sz w:val="21"/>
              <w:szCs w:val="21"/>
              <w:highlight w:val="none"/>
            </w:rPr>
            <w:t xml:space="preserve"> </w:t>
          </w:r>
          <w:r>
            <w:rPr>
              <w:rFonts w:hint="eastAsia" w:ascii="宋体" w:hAnsi="宋体" w:eastAsia="宋体" w:cs="宋体"/>
              <w:bCs/>
              <w:color w:val="auto"/>
              <w:kern w:val="44"/>
              <w:sz w:val="21"/>
              <w:szCs w:val="21"/>
              <w:highlight w:val="none"/>
              <w:lang w:val="zh-CN"/>
            </w:rPr>
            <w:t>投标人须知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_Toc18303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780AE9">
          <w:pPr>
            <w:pStyle w:val="31"/>
            <w:keepNext w:val="0"/>
            <w:keepLines w:val="0"/>
            <w:pageBreakBefore w:val="0"/>
            <w:widowControl w:val="0"/>
            <w:tabs>
              <w:tab w:val="right" w:leader="dot" w:pos="976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_Toc10347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一、总则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_Toc10347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68080BF">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_Toc29296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 资金来源：企业自筹资金。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_Toc29296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D98F903">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_Toc4787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 合格的投标人</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_Toc4787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ADDD6DE">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 合格的</w:t>
          </w:r>
          <w:r>
            <w:rPr>
              <w:rFonts w:hint="eastAsia" w:ascii="宋体" w:hAnsi="宋体" w:eastAsia="宋体" w:cs="宋体"/>
              <w:color w:val="auto"/>
              <w:sz w:val="21"/>
              <w:szCs w:val="21"/>
              <w:highlight w:val="none"/>
              <w:lang w:val="en-US" w:eastAsia="zh-CN"/>
            </w:rPr>
            <w:t>服务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A98805">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_Toc27564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4 其它说明</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_Toc27564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209213A">
          <w:pPr>
            <w:pStyle w:val="31"/>
            <w:keepNext w:val="0"/>
            <w:keepLines w:val="0"/>
            <w:pageBreakBefore w:val="0"/>
            <w:widowControl w:val="0"/>
            <w:tabs>
              <w:tab w:val="right" w:leader="dot" w:pos="976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_Toc5315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二、招标文件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_Toc5315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E332A3C">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5 招标文件的构成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BCFFEBF">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_Toc5127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6 招标文件的异议</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_Toc5127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D582F0C">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_Toc28086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7 招标文件的澄清及修改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_Toc28086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3381F77">
          <w:pPr>
            <w:pStyle w:val="31"/>
            <w:keepNext w:val="0"/>
            <w:keepLines w:val="0"/>
            <w:pageBreakBefore w:val="0"/>
            <w:widowControl w:val="0"/>
            <w:tabs>
              <w:tab w:val="right" w:leader="dot" w:pos="976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_Toc6753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三、投标文件的编制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_Toc6753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9CC62E">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_Toc18918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8 投标使用的文字及度量衡单位</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_Toc18918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CFEA8E8">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_Toc12984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9 投标文件的组成</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_Toc12984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5BBDA52">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_Toc2642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10 投标函</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_Toc2642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C58CF46">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_Toc9414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11 投标报价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_Toc9414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5B756FC">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_Toc11090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12 投标报价货币</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_Toc11090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4C7EF3">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_Toc10470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13 证明投标人的合格性和资格的声明文件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_Toc10470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B4A15ED">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_Toc945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14 证明服务的合格性并符合招标文件规定的声明文件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_Toc945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6774CD">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_Toc9000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15 投标保证金</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_Toc9000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0AC8246">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_Toc30188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16 投标有效期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_Toc30188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693EFC">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_Toc26652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17 投标文件的式样和签署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_Toc26652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05055B0">
          <w:pPr>
            <w:pStyle w:val="31"/>
            <w:keepNext w:val="0"/>
            <w:keepLines w:val="0"/>
            <w:pageBreakBefore w:val="0"/>
            <w:widowControl w:val="0"/>
            <w:tabs>
              <w:tab w:val="right" w:leader="dot" w:pos="976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_Toc6216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四、投标文件的递交</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_Toc6216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1D0B557">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_Toc24828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18 投标文件的密封和标记</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_Toc24828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E529641">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_Toc29410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19 递交投标文件的截止日期</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_Toc29410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3FD5366">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_Toc21019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20 迟交的投标文件</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_Toc21019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CF05714">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_Toc10975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21 投标文件的修改和撤回</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_Toc10975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82B5CC8">
          <w:pPr>
            <w:pStyle w:val="31"/>
            <w:keepNext w:val="0"/>
            <w:keepLines w:val="0"/>
            <w:pageBreakBefore w:val="0"/>
            <w:widowControl w:val="0"/>
            <w:tabs>
              <w:tab w:val="right" w:leader="dot" w:pos="976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_Toc23996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五、开标与评标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_Toc23996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E7C1167">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_Toc27740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22 开标</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_Toc27740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C3B840D">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_Toc28357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 xml:space="preserve">23 </w:t>
          </w:r>
          <w:r>
            <w:rPr>
              <w:rFonts w:hint="eastAsia" w:ascii="宋体" w:hAnsi="宋体" w:eastAsia="宋体" w:cs="宋体"/>
              <w:color w:val="auto"/>
              <w:sz w:val="21"/>
              <w:szCs w:val="21"/>
              <w:highlight w:val="none"/>
            </w:rPr>
            <w:t>评标过程的保密性</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_Toc28357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7D00F633">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_Toc12516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24 评标委员会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_Toc12516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F2C3E9B">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_Toc20968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25 投标文件的初审</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_Toc20968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09C5478D">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_Toc11879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26 投标文件的澄清</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_Toc11879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6522ED2">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_Toc14649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27 对投标文件的比较和评价</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_Toc14649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569AFFD">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_Toc23300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28 评标原则及方法</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_Toc23300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00FE2DB">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_Toc1355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2</w:t>
          </w:r>
          <w:r>
            <w:rPr>
              <w:rFonts w:hint="eastAsia" w:ascii="宋体" w:hAnsi="宋体" w:eastAsia="宋体" w:cs="宋体"/>
              <w:color w:val="auto"/>
              <w:sz w:val="21"/>
              <w:szCs w:val="21"/>
              <w:highlight w:val="none"/>
            </w:rPr>
            <w:t xml:space="preserve">9 </w:t>
          </w:r>
          <w:r>
            <w:rPr>
              <w:rFonts w:hint="eastAsia" w:ascii="宋体" w:hAnsi="宋体" w:eastAsia="宋体" w:cs="宋体"/>
              <w:color w:val="auto"/>
              <w:sz w:val="21"/>
              <w:szCs w:val="21"/>
              <w:highlight w:val="none"/>
              <w:lang w:val="zh-CN"/>
            </w:rPr>
            <w:t>评标结果公示及异议、投诉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_Toc1355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1FC1A86">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_Toc5169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30</w:t>
          </w:r>
          <w:r>
            <w:rPr>
              <w:rFonts w:hint="eastAsia" w:ascii="宋体" w:hAnsi="宋体" w:eastAsia="宋体" w:cs="宋体"/>
              <w:color w:val="auto"/>
              <w:sz w:val="21"/>
              <w:szCs w:val="21"/>
              <w:highlight w:val="none"/>
              <w:lang w:val="zh-CN"/>
            </w:rPr>
            <w:t xml:space="preserve"> 真实性审查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_Toc5169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BEE37AE">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_Toc18496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31</w:t>
          </w:r>
          <w:r>
            <w:rPr>
              <w:rFonts w:hint="eastAsia" w:ascii="宋体" w:hAnsi="宋体" w:eastAsia="宋体" w:cs="宋体"/>
              <w:color w:val="auto"/>
              <w:sz w:val="21"/>
              <w:szCs w:val="21"/>
              <w:highlight w:val="none"/>
              <w:lang w:val="zh-CN"/>
            </w:rPr>
            <w:t xml:space="preserve"> 评标委员会和招标人接受或拒绝任何投标或所有投标的权利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_Toc18496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E212D2">
          <w:pPr>
            <w:pStyle w:val="31"/>
            <w:keepNext w:val="0"/>
            <w:keepLines w:val="0"/>
            <w:pageBreakBefore w:val="0"/>
            <w:widowControl w:val="0"/>
            <w:tabs>
              <w:tab w:val="right" w:leader="dot" w:pos="9764"/>
            </w:tabs>
            <w:kinsoku/>
            <w:wordWrap/>
            <w:overflowPunct/>
            <w:topLinePunct w:val="0"/>
            <w:autoSpaceDE/>
            <w:autoSpaceDN/>
            <w:bidi w:val="0"/>
            <w:adjustRightInd/>
            <w:snapToGrid/>
            <w:spacing w:line="400" w:lineRule="exact"/>
            <w:ind w:left="0" w:leftChars="0" w:firstLine="210" w:firstLineChars="1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_Toc11261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六、授予合同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_Toc11261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053C04">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_Toc23167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32</w:t>
          </w:r>
          <w:r>
            <w:rPr>
              <w:rFonts w:hint="eastAsia" w:ascii="宋体" w:hAnsi="宋体" w:eastAsia="宋体" w:cs="宋体"/>
              <w:color w:val="auto"/>
              <w:sz w:val="21"/>
              <w:szCs w:val="21"/>
              <w:highlight w:val="none"/>
              <w:lang w:val="zh-CN"/>
            </w:rPr>
            <w:t xml:space="preserve"> 授予合同的准则</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_Toc23167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62ACD660">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_Toc30076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lang w:val="zh-CN"/>
            </w:rPr>
            <w:t>33 中标通知</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_Toc30076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24BA54D">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_Toc21992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34</w:t>
          </w:r>
          <w:r>
            <w:rPr>
              <w:rFonts w:hint="eastAsia" w:ascii="宋体" w:hAnsi="宋体" w:eastAsia="宋体" w:cs="宋体"/>
              <w:color w:val="auto"/>
              <w:sz w:val="21"/>
              <w:szCs w:val="21"/>
              <w:highlight w:val="none"/>
              <w:lang w:val="zh-CN"/>
            </w:rPr>
            <w:t xml:space="preserve"> 签署合同</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_Toc21992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4AF249F">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_Toc29101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 xml:space="preserve">35 </w:t>
          </w:r>
          <w:r>
            <w:rPr>
              <w:rFonts w:hint="eastAsia" w:ascii="宋体" w:hAnsi="宋体" w:eastAsia="宋体" w:cs="宋体"/>
              <w:color w:val="auto"/>
              <w:sz w:val="21"/>
              <w:szCs w:val="21"/>
              <w:highlight w:val="none"/>
              <w:lang w:val="zh-CN"/>
            </w:rPr>
            <w:t>履约担保</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_Toc29101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FF7979C">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_Toc13235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36</w:t>
          </w:r>
          <w:r>
            <w:rPr>
              <w:rFonts w:hint="eastAsia" w:ascii="宋体" w:hAnsi="宋体" w:eastAsia="宋体" w:cs="宋体"/>
              <w:color w:val="auto"/>
              <w:sz w:val="21"/>
              <w:szCs w:val="21"/>
              <w:highlight w:val="none"/>
              <w:lang w:val="zh-CN"/>
            </w:rPr>
            <w:t xml:space="preserve"> 在合同履行中变更采购范围的权利</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_Toc13235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232ED31">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_Toc2125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lang w:val="zh-CN"/>
            </w:rPr>
            <w:t xml:space="preserve"> 中标服务费</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_Toc2125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5D071402">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_Toc27246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38</w:t>
          </w:r>
          <w:r>
            <w:rPr>
              <w:rFonts w:hint="eastAsia" w:ascii="宋体" w:hAnsi="宋体" w:eastAsia="宋体" w:cs="宋体"/>
              <w:color w:val="auto"/>
              <w:sz w:val="21"/>
              <w:szCs w:val="21"/>
              <w:highlight w:val="none"/>
              <w:lang w:val="zh-CN"/>
            </w:rPr>
            <w:t xml:space="preserve"> 发票</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_Toc27246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4B6DA60">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_Toc21615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39 招标相关补充约定</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_Toc21615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39A5176">
          <w:pPr>
            <w:pStyle w:val="21"/>
            <w:keepNext w:val="0"/>
            <w:keepLines w:val="0"/>
            <w:pageBreakBefore w:val="0"/>
            <w:tabs>
              <w:tab w:val="right" w:leader="dot" w:pos="9764"/>
              <w:tab w:val="clear" w:pos="10144"/>
            </w:tabs>
            <w:kinsoku/>
            <w:wordWrap/>
            <w:overflowPunct/>
            <w:topLinePunct w:val="0"/>
            <w:autoSpaceDE/>
            <w:autoSpaceDN/>
            <w:bidi w:val="0"/>
            <w:adjustRightInd/>
            <w:snapToGrid/>
            <w:spacing w:line="400" w:lineRule="exact"/>
            <w:ind w:left="0" w:leftChars="0" w:firstLine="420" w:firstLineChars="20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_Toc5292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40 本次招标活动的最终解释权归招标代理机构及招标人所有。</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_Toc5292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1CCD2717">
          <w:pPr>
            <w:pStyle w:val="28"/>
            <w:keepNext w:val="0"/>
            <w:keepLines w:val="0"/>
            <w:pageBreakBefore w:val="0"/>
            <w:tabs>
              <w:tab w:val="right" w:leader="dot" w:pos="976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_Toc2788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第三篇 用户需求书</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_Toc2788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41859AC">
          <w:pPr>
            <w:pStyle w:val="28"/>
            <w:keepNext w:val="0"/>
            <w:keepLines w:val="0"/>
            <w:pageBreakBefore w:val="0"/>
            <w:tabs>
              <w:tab w:val="right" w:leader="dot" w:pos="976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_Toc11873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第四篇 合同条款格式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_Toc11873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8FC82FD">
          <w:pPr>
            <w:pStyle w:val="28"/>
            <w:keepNext w:val="0"/>
            <w:keepLines w:val="0"/>
            <w:pageBreakBefore w:val="0"/>
            <w:tabs>
              <w:tab w:val="right" w:leader="dot" w:pos="976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_Toc28840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sz w:val="21"/>
              <w:szCs w:val="21"/>
              <w:highlight w:val="none"/>
              <w:lang w:val="zh-CN"/>
            </w:rPr>
            <w:t>第五篇 相关保函格式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_Toc28840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37</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3A83ED89">
          <w:pPr>
            <w:pStyle w:val="28"/>
            <w:keepNext w:val="0"/>
            <w:keepLines w:val="0"/>
            <w:pageBreakBefore w:val="0"/>
            <w:tabs>
              <w:tab w:val="right" w:leader="dot" w:pos="976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_Toc9738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第六篇 投标文件格式</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_Toc9738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76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21EE8B9A">
          <w:pPr>
            <w:pStyle w:val="28"/>
            <w:keepNext w:val="0"/>
            <w:keepLines w:val="0"/>
            <w:pageBreakBefore w:val="0"/>
            <w:tabs>
              <w:tab w:val="right" w:leader="dot" w:pos="9764"/>
            </w:tabs>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\l _Toc18929 </w:instrText>
          </w:r>
          <w:r>
            <w:rPr>
              <w:rFonts w:hint="eastAsia" w:ascii="宋体" w:hAnsi="宋体" w:eastAsia="宋体" w:cs="宋体"/>
              <w:color w:val="auto"/>
              <w:sz w:val="21"/>
              <w:szCs w:val="21"/>
              <w:highlight w:val="none"/>
            </w:rPr>
            <w:fldChar w:fldCharType="separate"/>
          </w:r>
          <w:r>
            <w:rPr>
              <w:rFonts w:hint="eastAsia" w:ascii="宋体" w:hAnsi="宋体" w:eastAsia="宋体" w:cs="宋体"/>
              <w:bCs/>
              <w:color w:val="auto"/>
              <w:kern w:val="44"/>
              <w:sz w:val="21"/>
              <w:szCs w:val="21"/>
              <w:highlight w:val="none"/>
              <w:lang w:val="zh-CN"/>
            </w:rPr>
            <w:t>附件一：评标工作大纲</w:t>
          </w:r>
          <w:r>
            <w:rPr>
              <w:rFonts w:hint="eastAsia" w:ascii="宋体" w:hAnsi="宋体" w:eastAsia="宋体" w:cs="宋体"/>
              <w:color w:val="auto"/>
              <w:sz w:val="21"/>
              <w:szCs w:val="21"/>
              <w:highlight w:val="none"/>
            </w:rPr>
            <w:tab/>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PAGEREF _Toc18929 \h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116</w:t>
          </w:r>
          <w:r>
            <w:rPr>
              <w:rFonts w:hint="eastAsia" w:ascii="宋体" w:hAnsi="宋体" w:eastAsia="宋体" w:cs="宋体"/>
              <w:color w:val="auto"/>
              <w:sz w:val="21"/>
              <w:szCs w:val="21"/>
              <w:highlight w:val="none"/>
            </w:rPr>
            <w:fldChar w:fldCharType="end"/>
          </w:r>
          <w:r>
            <w:rPr>
              <w:rFonts w:hint="eastAsia" w:ascii="宋体" w:hAnsi="宋体" w:eastAsia="宋体" w:cs="宋体"/>
              <w:color w:val="auto"/>
              <w:sz w:val="21"/>
              <w:szCs w:val="21"/>
              <w:highlight w:val="none"/>
            </w:rPr>
            <w:fldChar w:fldCharType="end"/>
          </w:r>
        </w:p>
        <w:p w14:paraId="4868CCE5">
          <w:pPr>
            <w:keepNext w:val="0"/>
            <w:keepLines w:val="0"/>
            <w:pageBreakBefore w:val="0"/>
            <w:kinsoku/>
            <w:wordWrap/>
            <w:overflowPunct/>
            <w:topLinePunct w:val="0"/>
            <w:autoSpaceDE/>
            <w:autoSpaceDN/>
            <w:bidi w:val="0"/>
            <w:adjustRightInd/>
            <w:snapToGrid/>
            <w:spacing w:line="400" w:lineRule="exact"/>
            <w:ind w:left="0" w:leftChars="0"/>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rPr>
            <w:fldChar w:fldCharType="end"/>
          </w:r>
        </w:p>
      </w:sdtContent>
    </w:sdt>
    <w:p w14:paraId="1D60AF62">
      <w:pPr>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49CEF044">
      <w:pPr>
        <w:keepNext/>
        <w:keepLines/>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44"/>
          <w:szCs w:val="44"/>
          <w:highlight w:val="none"/>
          <w:lang w:val="zh-CN"/>
        </w:rPr>
      </w:pPr>
      <w:bookmarkStart w:id="0" w:name="_Toc20249"/>
      <w:bookmarkStart w:id="1" w:name="_Toc142508310"/>
      <w:bookmarkStart w:id="2" w:name="_Toc2723_WPSOffice_Level1"/>
      <w:bookmarkStart w:id="3" w:name="_Toc450662846"/>
      <w:bookmarkStart w:id="4" w:name="_Toc486167660"/>
      <w:bookmarkStart w:id="5" w:name="_Toc17326"/>
      <w:bookmarkStart w:id="6" w:name="_Toc585"/>
      <w:bookmarkStart w:id="7" w:name="_Toc4869"/>
      <w:r>
        <w:rPr>
          <w:rFonts w:hint="eastAsia" w:ascii="宋体" w:hAnsi="宋体" w:eastAsia="宋体" w:cs="宋体"/>
          <w:b/>
          <w:bCs/>
          <w:color w:val="auto"/>
          <w:kern w:val="44"/>
          <w:sz w:val="32"/>
          <w:szCs w:val="32"/>
          <w:highlight w:val="none"/>
          <w:lang w:val="zh-CN"/>
        </w:rPr>
        <w:t>第一篇 招标公告</w:t>
      </w:r>
      <w:bookmarkEnd w:id="0"/>
      <w:bookmarkEnd w:id="1"/>
      <w:bookmarkEnd w:id="2"/>
      <w:bookmarkEnd w:id="3"/>
      <w:bookmarkEnd w:id="4"/>
      <w:bookmarkEnd w:id="5"/>
      <w:bookmarkEnd w:id="6"/>
      <w:bookmarkEnd w:id="7"/>
    </w:p>
    <w:p w14:paraId="2BDC43BD">
      <w:pPr>
        <w:outlineLvl w:val="9"/>
        <w:rPr>
          <w:rFonts w:hint="eastAsia" w:ascii="宋体" w:hAnsi="宋体" w:eastAsia="宋体" w:cs="宋体"/>
          <w:color w:val="auto"/>
          <w:highlight w:val="none"/>
        </w:rPr>
      </w:pPr>
    </w:p>
    <w:p w14:paraId="7B81CD07">
      <w:pPr>
        <w:autoSpaceDE w:val="0"/>
        <w:autoSpaceDN w:val="0"/>
        <w:adjustRightInd w:val="0"/>
        <w:snapToGrid w:val="0"/>
        <w:spacing w:line="360" w:lineRule="auto"/>
        <w:ind w:right="-34"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广东有德招标采购有限公司</w:t>
      </w:r>
      <w:r>
        <w:rPr>
          <w:rFonts w:hint="eastAsia" w:ascii="宋体" w:hAnsi="宋体" w:eastAsia="宋体" w:cs="宋体"/>
          <w:color w:val="auto"/>
          <w:szCs w:val="21"/>
          <w:highlight w:val="none"/>
          <w:lang w:val="zh-CN"/>
        </w:rPr>
        <w:t>（以下简称“招标代理机构”）受</w:t>
      </w:r>
      <w:r>
        <w:rPr>
          <w:rFonts w:hint="eastAsia" w:ascii="宋体" w:hAnsi="宋体" w:eastAsia="宋体" w:cs="宋体"/>
          <w:color w:val="auto"/>
          <w:kern w:val="0"/>
          <w:szCs w:val="21"/>
          <w:highlight w:val="none"/>
        </w:rPr>
        <w:t>东莞市水务集团管网有限公司</w:t>
      </w:r>
      <w:r>
        <w:rPr>
          <w:rFonts w:hint="eastAsia" w:ascii="宋体" w:hAnsi="宋体" w:eastAsia="宋体" w:cs="宋体"/>
          <w:color w:val="auto"/>
          <w:szCs w:val="21"/>
          <w:highlight w:val="none"/>
          <w:lang w:val="zh-CN"/>
        </w:rPr>
        <w:t>（以下简称“招标人”）的委托，对</w:t>
      </w:r>
      <w:bookmarkStart w:id="8" w:name="_Hlk41903390"/>
      <w:r>
        <w:rPr>
          <w:rFonts w:hint="eastAsia" w:ascii="宋体" w:hAnsi="宋体" w:eastAsia="宋体" w:cs="宋体"/>
          <w:color w:val="auto"/>
          <w:kern w:val="0"/>
          <w:szCs w:val="21"/>
          <w:highlight w:val="none"/>
        </w:rPr>
        <w:t>东莞市水务集团管网有限公司202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年餐厨及清洁服务采购项目</w:t>
      </w:r>
      <w:r>
        <w:rPr>
          <w:rFonts w:hint="eastAsia" w:ascii="宋体" w:hAnsi="宋体" w:eastAsia="宋体" w:cs="宋体"/>
          <w:color w:val="auto"/>
          <w:szCs w:val="21"/>
          <w:highlight w:val="none"/>
          <w:lang w:val="zh-CN"/>
        </w:rPr>
        <w:t>(招标编号：YDZB25DGQY0006)</w:t>
      </w:r>
      <w:bookmarkEnd w:id="8"/>
      <w:r>
        <w:rPr>
          <w:rFonts w:hint="eastAsia" w:ascii="宋体" w:hAnsi="宋体" w:eastAsia="宋体" w:cs="宋体"/>
          <w:color w:val="auto"/>
          <w:szCs w:val="21"/>
          <w:highlight w:val="none"/>
          <w:lang w:val="zh-CN"/>
        </w:rPr>
        <w:t>进行国内公开招标，</w:t>
      </w:r>
      <w:r>
        <w:rPr>
          <w:rFonts w:hint="eastAsia" w:ascii="宋体" w:hAnsi="宋体" w:eastAsia="宋体" w:cs="宋体"/>
          <w:bCs/>
          <w:color w:val="auto"/>
          <w:kern w:val="0"/>
          <w:szCs w:val="21"/>
          <w:highlight w:val="none"/>
        </w:rPr>
        <w:t>详情请参见本招标文件。</w:t>
      </w:r>
      <w:r>
        <w:rPr>
          <w:rFonts w:hint="eastAsia" w:ascii="宋体" w:hAnsi="宋体" w:eastAsia="宋体" w:cs="宋体"/>
          <w:color w:val="auto"/>
          <w:kern w:val="0"/>
          <w:szCs w:val="21"/>
          <w:highlight w:val="none"/>
        </w:rPr>
        <w:t>欢迎符合条件的合格投标人参加投标，</w:t>
      </w:r>
      <w:r>
        <w:rPr>
          <w:rFonts w:hint="eastAsia" w:ascii="宋体" w:hAnsi="宋体" w:eastAsia="宋体" w:cs="宋体"/>
          <w:bCs/>
          <w:color w:val="auto"/>
          <w:kern w:val="0"/>
          <w:szCs w:val="21"/>
          <w:highlight w:val="none"/>
        </w:rPr>
        <w:t>有关事项如下：</w:t>
      </w:r>
    </w:p>
    <w:p w14:paraId="66AB154E">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22E7793A">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招标范围：</w:t>
      </w:r>
      <w:r>
        <w:rPr>
          <w:rFonts w:hint="eastAsia" w:ascii="宋体" w:hAnsi="宋体" w:eastAsia="宋体" w:cs="宋体"/>
          <w:color w:val="auto"/>
          <w:szCs w:val="21"/>
          <w:highlight w:val="none"/>
          <w:u w:val="single"/>
        </w:rPr>
        <w:t>东莞市水务集团管网有限公司202</w:t>
      </w:r>
      <w:r>
        <w:rPr>
          <w:rFonts w:hint="eastAsia" w:ascii="宋体" w:hAnsi="宋体" w:eastAsia="宋体" w:cs="宋体"/>
          <w:color w:val="auto"/>
          <w:szCs w:val="21"/>
          <w:highlight w:val="none"/>
          <w:u w:val="single"/>
          <w:lang w:val="en-US" w:eastAsia="zh-CN"/>
        </w:rPr>
        <w:t>5</w:t>
      </w:r>
      <w:r>
        <w:rPr>
          <w:rFonts w:hint="eastAsia" w:ascii="宋体" w:hAnsi="宋体" w:eastAsia="宋体" w:cs="宋体"/>
          <w:color w:val="auto"/>
          <w:szCs w:val="21"/>
          <w:highlight w:val="none"/>
          <w:u w:val="single"/>
        </w:rPr>
        <w:t>年餐厨及清洁服务</w:t>
      </w:r>
      <w:r>
        <w:rPr>
          <w:rFonts w:hint="eastAsia" w:ascii="宋体" w:hAnsi="宋体" w:eastAsia="宋体" w:cs="宋体"/>
          <w:color w:val="auto"/>
          <w:szCs w:val="21"/>
          <w:highlight w:val="none"/>
          <w:lang w:val="zh-CN"/>
        </w:rPr>
        <w:t>（具体内容详见：第三篇用户需求书）。</w:t>
      </w:r>
    </w:p>
    <w:p w14:paraId="6E734CF8">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p>
    <w:p w14:paraId="4341283F">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合格投标人资格要求：</w:t>
      </w:r>
    </w:p>
    <w:p w14:paraId="23570A37">
      <w:pPr>
        <w:pStyle w:val="160"/>
        <w:spacing w:line="360" w:lineRule="auto"/>
        <w:ind w:left="422" w:right="-29" w:rightChars="-14" w:hanging="422" w:hangingChars="20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zh-CN"/>
        </w:rPr>
        <w:t>2.1 在中华人民共和国境内登记注册、合法存续、正常经营且具有独立承担民事责任能力的法人或其他组织；</w:t>
      </w:r>
    </w:p>
    <w:p w14:paraId="498478D6">
      <w:pPr>
        <w:pStyle w:val="160"/>
        <w:spacing w:line="360" w:lineRule="auto"/>
        <w:ind w:left="422" w:right="-29" w:rightChars="-14" w:hanging="422" w:hangingChars="200"/>
        <w:jc w:val="both"/>
        <w:outlineLvl w:val="9"/>
        <w:rPr>
          <w:rFonts w:hint="eastAsia" w:ascii="宋体" w:hAnsi="宋体" w:eastAsia="宋体" w:cs="宋体"/>
          <w:b/>
          <w:color w:val="auto"/>
          <w:sz w:val="21"/>
          <w:szCs w:val="21"/>
          <w:highlight w:val="none"/>
          <w:lang w:val="en-US" w:eastAsia="zh-CN"/>
        </w:rPr>
      </w:pPr>
      <w:bookmarkStart w:id="9" w:name="_Toc25819"/>
      <w:r>
        <w:rPr>
          <w:rFonts w:hint="eastAsia" w:ascii="宋体" w:hAnsi="宋体" w:eastAsia="宋体" w:cs="宋体"/>
          <w:b/>
          <w:color w:val="auto"/>
          <w:sz w:val="21"/>
          <w:szCs w:val="21"/>
          <w:highlight w:val="none"/>
          <w:lang w:val="zh-CN"/>
        </w:rPr>
        <w:t>2.2 投标人</w:t>
      </w:r>
      <w:r>
        <w:rPr>
          <w:rFonts w:hint="eastAsia" w:ascii="宋体" w:hAnsi="宋体" w:eastAsia="宋体" w:cs="宋体"/>
          <w:b/>
          <w:color w:val="auto"/>
          <w:sz w:val="21"/>
          <w:szCs w:val="21"/>
          <w:highlight w:val="none"/>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rPr>
        <w:t>年1月1日</w:t>
      </w:r>
      <w:r>
        <w:rPr>
          <w:rFonts w:hint="eastAsia" w:ascii="宋体" w:hAnsi="宋体" w:eastAsia="宋体" w:cs="宋体"/>
          <w:b/>
          <w:color w:val="auto"/>
          <w:sz w:val="21"/>
          <w:szCs w:val="21"/>
          <w:highlight w:val="none"/>
          <w:lang w:val="zh-CN"/>
        </w:rPr>
        <w:t>以来具有一份劳务</w:t>
      </w:r>
      <w:r>
        <w:rPr>
          <w:rFonts w:hint="eastAsia" w:ascii="宋体" w:hAnsi="宋体" w:eastAsia="宋体" w:cs="宋体"/>
          <w:b/>
          <w:color w:val="auto"/>
          <w:sz w:val="21"/>
          <w:szCs w:val="21"/>
          <w:highlight w:val="none"/>
        </w:rPr>
        <w:t>外包服务项目</w:t>
      </w:r>
      <w:r>
        <w:rPr>
          <w:rFonts w:hint="eastAsia" w:ascii="宋体" w:hAnsi="宋体" w:eastAsia="宋体" w:cs="宋体"/>
          <w:b/>
          <w:color w:val="auto"/>
          <w:sz w:val="21"/>
          <w:szCs w:val="21"/>
          <w:highlight w:val="none"/>
          <w:lang w:val="zh-CN"/>
        </w:rPr>
        <w:t>业绩（合同签订日期为</w:t>
      </w:r>
      <w:r>
        <w:rPr>
          <w:rFonts w:hint="eastAsia" w:ascii="宋体" w:hAnsi="宋体" w:eastAsia="宋体" w:cs="宋体"/>
          <w:b/>
          <w:color w:val="auto"/>
          <w:sz w:val="21"/>
          <w:szCs w:val="21"/>
          <w:highlight w:val="none"/>
        </w:rPr>
        <w:t>202</w:t>
      </w:r>
      <w:r>
        <w:rPr>
          <w:rFonts w:hint="eastAsia" w:ascii="宋体" w:hAnsi="宋体" w:eastAsia="宋体" w:cs="宋体"/>
          <w:b/>
          <w:color w:val="auto"/>
          <w:sz w:val="21"/>
          <w:szCs w:val="21"/>
          <w:highlight w:val="none"/>
          <w:lang w:val="en-US" w:eastAsia="zh-CN"/>
        </w:rPr>
        <w:t>2</w:t>
      </w:r>
      <w:r>
        <w:rPr>
          <w:rFonts w:hint="eastAsia" w:ascii="宋体" w:hAnsi="宋体" w:eastAsia="宋体" w:cs="宋体"/>
          <w:b/>
          <w:color w:val="auto"/>
          <w:sz w:val="21"/>
          <w:szCs w:val="21"/>
          <w:highlight w:val="none"/>
          <w:lang w:val="zh-CN"/>
        </w:rPr>
        <w:t>年</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月</w:t>
      </w:r>
      <w:r>
        <w:rPr>
          <w:rFonts w:hint="eastAsia" w:ascii="宋体" w:hAnsi="宋体" w:eastAsia="宋体" w:cs="宋体"/>
          <w:b/>
          <w:color w:val="auto"/>
          <w:sz w:val="21"/>
          <w:szCs w:val="21"/>
          <w:highlight w:val="none"/>
        </w:rPr>
        <w:t>1</w:t>
      </w:r>
      <w:r>
        <w:rPr>
          <w:rFonts w:hint="eastAsia" w:ascii="宋体" w:hAnsi="宋体" w:eastAsia="宋体" w:cs="宋体"/>
          <w:b/>
          <w:color w:val="auto"/>
          <w:sz w:val="21"/>
          <w:szCs w:val="21"/>
          <w:highlight w:val="none"/>
          <w:lang w:val="zh-CN"/>
        </w:rPr>
        <w:t>日或以后，合同内容须包含厨师劳务服务）；</w:t>
      </w:r>
    </w:p>
    <w:p w14:paraId="5F07A281">
      <w:pPr>
        <w:pStyle w:val="160"/>
        <w:spacing w:line="360" w:lineRule="auto"/>
        <w:ind w:right="-29" w:rightChars="-14" w:firstLine="0" w:firstLineChars="0"/>
        <w:jc w:val="both"/>
        <w:outlineLvl w:val="9"/>
        <w:rPr>
          <w:rFonts w:hint="eastAsia" w:ascii="宋体" w:hAnsi="宋体" w:eastAsia="宋体" w:cs="宋体"/>
          <w:b/>
          <w:color w:val="auto"/>
          <w:sz w:val="21"/>
          <w:szCs w:val="21"/>
          <w:highlight w:val="none"/>
          <w:lang w:val="zh-CN"/>
        </w:rPr>
      </w:pPr>
      <w:r>
        <w:rPr>
          <w:rFonts w:hint="eastAsia" w:ascii="宋体" w:hAnsi="宋体" w:eastAsia="宋体" w:cs="宋体"/>
          <w:b/>
          <w:color w:val="auto"/>
          <w:sz w:val="21"/>
          <w:szCs w:val="21"/>
          <w:highlight w:val="none"/>
          <w:lang w:val="en-US" w:eastAsia="zh-CN"/>
        </w:rPr>
        <w:t xml:space="preserve">2.3 </w:t>
      </w:r>
      <w:r>
        <w:rPr>
          <w:rFonts w:hint="eastAsia" w:ascii="宋体" w:hAnsi="宋体" w:eastAsia="宋体" w:cs="宋体"/>
          <w:b/>
          <w:color w:val="auto"/>
          <w:sz w:val="21"/>
          <w:szCs w:val="21"/>
          <w:highlight w:val="none"/>
          <w:lang w:val="zh-CN"/>
        </w:rPr>
        <w:t>本项目不接受联合体投标。</w:t>
      </w:r>
      <w:bookmarkEnd w:id="9"/>
    </w:p>
    <w:p w14:paraId="6BCB10F7">
      <w:pPr>
        <w:autoSpaceDE w:val="0"/>
        <w:autoSpaceDN w:val="0"/>
        <w:adjustRightInd w:val="0"/>
        <w:spacing w:line="360" w:lineRule="auto"/>
        <w:ind w:right="-29" w:rightChars="-14" w:firstLine="420" w:firstLineChars="200"/>
        <w:outlineLvl w:val="9"/>
        <w:rPr>
          <w:rFonts w:hint="eastAsia" w:ascii="宋体" w:hAnsi="宋体" w:eastAsia="宋体" w:cs="宋体"/>
          <w:color w:val="auto"/>
          <w:szCs w:val="21"/>
          <w:highlight w:val="none"/>
          <w:lang w:val="zh-CN"/>
        </w:rPr>
      </w:pPr>
    </w:p>
    <w:p w14:paraId="619039AA">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获取招标文件的方式：本项目采用“不记名网上下载”的方式发布招标文件，有意向的投标人可于本项目投标截止时间前，在本项目招标信息发布媒介</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详见本招标公告第7点（除中国招标投标公共服务平台外）</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lang w:val="zh-CN"/>
        </w:rPr>
        <w:t>下载招标文件。</w:t>
      </w:r>
    </w:p>
    <w:p w14:paraId="7431DDC1">
      <w:pPr>
        <w:autoSpaceDE w:val="0"/>
        <w:autoSpaceDN w:val="0"/>
        <w:adjustRightInd w:val="0"/>
        <w:spacing w:line="360" w:lineRule="auto"/>
        <w:ind w:left="630" w:leftChars="100" w:right="-29" w:rightChars="-14" w:hanging="420" w:hangingChars="200"/>
        <w:outlineLvl w:val="9"/>
        <w:rPr>
          <w:rFonts w:hint="eastAsia" w:ascii="宋体" w:hAnsi="宋体" w:eastAsia="宋体" w:cs="宋体"/>
          <w:color w:val="auto"/>
          <w:szCs w:val="21"/>
          <w:highlight w:val="none"/>
          <w:lang w:val="zh-CN"/>
        </w:rPr>
      </w:pPr>
    </w:p>
    <w:p w14:paraId="6CD1BCC5">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招标代理机构在递交投标文件截止时间当天通过“信用中国”网站（www.creditchina.gov.cn）查询投标人（含其不具有独立法人资格的分支机构）信用记录。招标代理机构对投标人信用记录进行甄别，对列入失信被执行人、重大税收违法失信主体、</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严重违法失信行为记录名单的投标人，做好相关记录（处罚期限届满的除外）。</w:t>
      </w:r>
    </w:p>
    <w:p w14:paraId="1306A64F">
      <w:pPr>
        <w:autoSpaceDE w:val="0"/>
        <w:autoSpaceDN w:val="0"/>
        <w:adjustRightInd w:val="0"/>
        <w:spacing w:line="360" w:lineRule="auto"/>
        <w:ind w:right="-29" w:rightChars="-14" w:firstLine="420"/>
        <w:outlineLvl w:val="9"/>
        <w:rPr>
          <w:rFonts w:hint="eastAsia" w:ascii="宋体" w:hAnsi="宋体" w:eastAsia="宋体" w:cs="宋体"/>
          <w:color w:val="auto"/>
          <w:szCs w:val="21"/>
          <w:highlight w:val="none"/>
          <w:lang w:val="zh-CN"/>
        </w:rPr>
      </w:pPr>
    </w:p>
    <w:p w14:paraId="1002CC46">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投标、开标时间及地点：</w:t>
      </w:r>
    </w:p>
    <w:p w14:paraId="46D63395">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 投标文件递交时间：</w:t>
      </w:r>
      <w:r>
        <w:rPr>
          <w:rFonts w:hint="eastAsia" w:ascii="宋体" w:hAnsi="宋体" w:eastAsia="宋体" w:cs="宋体"/>
          <w:color w:val="auto"/>
          <w:szCs w:val="21"/>
          <w:highlight w:val="none"/>
          <w:u w:val="single"/>
          <w:lang w:val="zh-CN"/>
        </w:rPr>
        <w:t>2025</w:t>
      </w:r>
      <w:r>
        <w:rPr>
          <w:rFonts w:hint="eastAsia" w:ascii="宋体" w:hAnsi="宋体" w:eastAsia="宋体" w:cs="宋体"/>
          <w:color w:val="auto"/>
          <w:szCs w:val="21"/>
          <w:highlight w:val="none"/>
          <w:lang w:val="zh-CN"/>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r>
        <w:rPr>
          <w:rFonts w:hint="eastAsia" w:ascii="宋体" w:hAnsi="宋体" w:eastAsia="宋体" w:cs="宋体"/>
          <w:color w:val="auto"/>
          <w:szCs w:val="21"/>
          <w:highlight w:val="none"/>
          <w:u w:val="single"/>
          <w:lang w:val="zh-CN"/>
        </w:rPr>
        <w:t>13：30</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u w:val="single"/>
          <w:lang w:val="zh-CN"/>
        </w:rPr>
        <w:t>14：00</w:t>
      </w:r>
      <w:r>
        <w:rPr>
          <w:rFonts w:hint="eastAsia" w:ascii="宋体" w:hAnsi="宋体" w:eastAsia="宋体" w:cs="宋体"/>
          <w:color w:val="auto"/>
          <w:szCs w:val="21"/>
          <w:highlight w:val="none"/>
          <w:lang w:val="zh-CN"/>
        </w:rPr>
        <w:t>；</w:t>
      </w:r>
    </w:p>
    <w:p w14:paraId="7386055A">
      <w:pPr>
        <w:autoSpaceDE w:val="0"/>
        <w:autoSpaceDN w:val="0"/>
        <w:adjustRightInd w:val="0"/>
        <w:spacing w:line="360" w:lineRule="auto"/>
        <w:ind w:right="-29" w:rightChars="-14"/>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5.2 投标截止及开标时间：</w:t>
      </w:r>
      <w:r>
        <w:rPr>
          <w:rFonts w:hint="eastAsia" w:ascii="宋体" w:hAnsi="宋体" w:cs="宋体"/>
          <w:color w:val="auto"/>
          <w:sz w:val="21"/>
          <w:szCs w:val="21"/>
          <w:highlight w:val="none"/>
          <w:u w:val="single"/>
          <w:lang w:val="en-US" w:eastAsia="zh-CN"/>
        </w:rPr>
        <w:t>2025</w:t>
      </w:r>
      <w:r>
        <w:rPr>
          <w:rFonts w:hint="eastAsia" w:ascii="宋体" w:hAnsi="宋体" w:eastAsia="宋体" w:cs="宋体"/>
          <w:bCs/>
          <w:color w:val="auto"/>
          <w:kern w:val="0"/>
          <w:sz w:val="21"/>
          <w:szCs w:val="21"/>
          <w:highlight w:val="none"/>
        </w:rPr>
        <w:t>年</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月</w:t>
      </w:r>
      <w:r>
        <w:rPr>
          <w:rFonts w:hint="eastAsia" w:ascii="宋体" w:hAnsi="宋体" w:eastAsia="宋体" w:cs="宋体"/>
          <w:color w:val="auto"/>
          <w:sz w:val="21"/>
          <w:szCs w:val="21"/>
          <w:highlight w:val="none"/>
          <w:u w:val="single"/>
          <w:lang w:val="zh-CN"/>
        </w:rPr>
        <w:t xml:space="preserve"> </w:t>
      </w:r>
      <w:r>
        <w:rPr>
          <w:rFonts w:hint="eastAsia" w:ascii="宋体" w:hAnsi="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lang w:val="zh-CN"/>
        </w:rPr>
        <w:t xml:space="preserve"> </w:t>
      </w:r>
      <w:r>
        <w:rPr>
          <w:rFonts w:hint="eastAsia" w:ascii="宋体" w:hAnsi="宋体" w:eastAsia="宋体" w:cs="宋体"/>
          <w:color w:val="auto"/>
          <w:sz w:val="21"/>
          <w:szCs w:val="21"/>
          <w:highlight w:val="none"/>
          <w:lang w:val="zh-CN"/>
        </w:rPr>
        <w:t>日</w:t>
      </w:r>
      <w:bookmarkStart w:id="692" w:name="_GoBack"/>
      <w:bookmarkEnd w:id="692"/>
      <w:r>
        <w:rPr>
          <w:rFonts w:hint="eastAsia" w:ascii="宋体" w:hAnsi="宋体" w:cs="宋体"/>
          <w:color w:val="auto"/>
          <w:sz w:val="21"/>
          <w:szCs w:val="21"/>
          <w:highlight w:val="none"/>
          <w:u w:val="single"/>
          <w:lang w:val="en-US" w:eastAsia="zh-CN"/>
        </w:rPr>
        <w:t>14</w:t>
      </w:r>
      <w:r>
        <w:rPr>
          <w:rFonts w:hint="eastAsia" w:ascii="宋体" w:hAnsi="宋体" w:eastAsia="宋体" w:cs="宋体"/>
          <w:color w:val="auto"/>
          <w:szCs w:val="21"/>
          <w:highlight w:val="none"/>
          <w:u w:val="single"/>
          <w:lang w:val="zh-CN"/>
        </w:rPr>
        <w:t>：</w:t>
      </w:r>
      <w:r>
        <w:rPr>
          <w:rFonts w:hint="eastAsia" w:ascii="宋体" w:hAnsi="宋体" w:cs="宋体"/>
          <w:color w:val="auto"/>
          <w:sz w:val="21"/>
          <w:szCs w:val="21"/>
          <w:highlight w:val="none"/>
          <w:u w:val="single"/>
          <w:lang w:val="en-US" w:eastAsia="zh-CN"/>
        </w:rPr>
        <w:t>00</w:t>
      </w:r>
      <w:r>
        <w:rPr>
          <w:rFonts w:hint="eastAsia" w:ascii="宋体" w:hAnsi="宋体" w:eastAsia="宋体" w:cs="宋体"/>
          <w:bCs/>
          <w:color w:val="auto"/>
          <w:kern w:val="0"/>
          <w:szCs w:val="21"/>
          <w:highlight w:val="none"/>
        </w:rPr>
        <w:t>；</w:t>
      </w:r>
    </w:p>
    <w:p w14:paraId="4617A034">
      <w:pPr>
        <w:autoSpaceDE w:val="0"/>
        <w:autoSpaceDN w:val="0"/>
        <w:adjustRightInd w:val="0"/>
        <w:spacing w:line="360" w:lineRule="auto"/>
        <w:ind w:right="-29" w:rightChars="-14"/>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5.3 投标及开标地点：</w:t>
      </w:r>
      <w:r>
        <w:rPr>
          <w:rFonts w:hint="eastAsia" w:ascii="宋体" w:hAnsi="宋体" w:eastAsia="宋体" w:cs="宋体"/>
          <w:color w:val="auto"/>
          <w:kern w:val="0"/>
          <w:szCs w:val="21"/>
          <w:highlight w:val="none"/>
          <w:u w:val="single"/>
        </w:rPr>
        <w:t>广东省东莞市东城街道新源路海德琥珀台6栋1703室</w:t>
      </w:r>
      <w:r>
        <w:rPr>
          <w:rFonts w:hint="eastAsia" w:ascii="宋体" w:hAnsi="宋体" w:eastAsia="宋体" w:cs="宋体"/>
          <w:color w:val="auto"/>
          <w:kern w:val="0"/>
          <w:szCs w:val="21"/>
          <w:highlight w:val="none"/>
        </w:rPr>
        <w:t>。</w:t>
      </w:r>
    </w:p>
    <w:p w14:paraId="02D947DF">
      <w:pPr>
        <w:autoSpaceDE w:val="0"/>
        <w:autoSpaceDN w:val="0"/>
        <w:adjustRightInd w:val="0"/>
        <w:spacing w:line="360" w:lineRule="auto"/>
        <w:ind w:right="-29" w:rightChars="-14" w:firstLine="210" w:firstLineChars="100"/>
        <w:outlineLvl w:val="9"/>
        <w:rPr>
          <w:rFonts w:hint="eastAsia" w:ascii="宋体" w:hAnsi="宋体" w:eastAsia="宋体" w:cs="宋体"/>
          <w:color w:val="auto"/>
          <w:kern w:val="0"/>
          <w:szCs w:val="21"/>
          <w:highlight w:val="none"/>
        </w:rPr>
      </w:pPr>
    </w:p>
    <w:p w14:paraId="3467EE39">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招标代理机构只接受在递交投标文件截止日当天由投标人法定代表人或其授权代表于递交投标文件截止时间前亲自递交的投标文件</w:t>
      </w:r>
      <w:r>
        <w:rPr>
          <w:rFonts w:hint="eastAsia" w:ascii="宋体" w:hAnsi="宋体" w:eastAsia="宋体" w:cs="宋体"/>
          <w:color w:val="auto"/>
          <w:szCs w:val="21"/>
          <w:highlight w:val="none"/>
          <w:lang w:val="zh-CN"/>
        </w:rPr>
        <w:t>。电报、传真形式的投标概不接受。</w:t>
      </w:r>
    </w:p>
    <w:p w14:paraId="6A23F0F8">
      <w:pPr>
        <w:autoSpaceDE w:val="0"/>
        <w:autoSpaceDN w:val="0"/>
        <w:adjustRightInd w:val="0"/>
        <w:spacing w:line="360" w:lineRule="auto"/>
        <w:ind w:left="210" w:leftChars="100" w:right="-29" w:rightChars="-14"/>
        <w:outlineLvl w:val="9"/>
        <w:rPr>
          <w:rFonts w:hint="eastAsia" w:ascii="宋体" w:hAnsi="宋体" w:eastAsia="宋体" w:cs="宋体"/>
          <w:color w:val="auto"/>
          <w:szCs w:val="21"/>
          <w:highlight w:val="none"/>
          <w:lang w:val="zh-CN"/>
        </w:rPr>
      </w:pPr>
    </w:p>
    <w:p w14:paraId="7B09C61A">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本项目相关公告在以下媒介发布：</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bCs/>
          <w:color w:val="auto"/>
          <w:szCs w:val="21"/>
          <w:highlight w:val="none"/>
        </w:rPr>
        <w:t>中国招标投标公共服务平台（www.cebpubservice.com）、东莞市水务集团有限公司网（www.dgswjt.cn）、招标代理</w:t>
      </w:r>
      <w:r>
        <w:rPr>
          <w:rFonts w:hint="eastAsia" w:ascii="宋体" w:hAnsi="宋体" w:eastAsia="宋体" w:cs="宋体"/>
          <w:bCs/>
          <w:color w:val="auto"/>
          <w:szCs w:val="21"/>
          <w:highlight w:val="none"/>
          <w:lang w:val="en-US" w:eastAsia="zh-CN"/>
        </w:rPr>
        <w:t>机构</w:t>
      </w:r>
      <w:r>
        <w:rPr>
          <w:rFonts w:hint="eastAsia" w:ascii="宋体" w:hAnsi="宋体" w:eastAsia="宋体" w:cs="宋体"/>
          <w:bCs/>
          <w:color w:val="auto"/>
          <w:szCs w:val="21"/>
          <w:highlight w:val="none"/>
        </w:rPr>
        <w:t>网站（www.youde.net）</w:t>
      </w:r>
      <w:r>
        <w:rPr>
          <w:rFonts w:hint="eastAsia" w:ascii="宋体" w:hAnsi="宋体" w:eastAsia="宋体" w:cs="宋体"/>
          <w:color w:val="auto"/>
          <w:szCs w:val="21"/>
          <w:highlight w:val="none"/>
          <w:lang w:val="zh-CN"/>
        </w:rPr>
        <w:t>。</w:t>
      </w:r>
    </w:p>
    <w:p w14:paraId="2725B756">
      <w:pPr>
        <w:pStyle w:val="2"/>
        <w:outlineLvl w:val="9"/>
        <w:rPr>
          <w:rFonts w:hint="eastAsia" w:ascii="宋体" w:hAnsi="宋体" w:eastAsia="宋体" w:cs="宋体"/>
          <w:color w:val="auto"/>
          <w:highlight w:val="none"/>
        </w:rPr>
      </w:pPr>
    </w:p>
    <w:p w14:paraId="46FDB4EE">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bCs/>
          <w:color w:val="auto"/>
          <w:szCs w:val="21"/>
          <w:highlight w:val="none"/>
          <w:lang w:val="zh-CN"/>
        </w:rPr>
        <w:t>招标人联系方式</w:t>
      </w:r>
    </w:p>
    <w:p w14:paraId="5CF618D9">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招标人：东莞市水务集团管网有限公司</w:t>
      </w:r>
    </w:p>
    <w:p w14:paraId="0D5BA6DD">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址：广东省东莞市东城街道东城运河路5号108室</w:t>
      </w:r>
    </w:p>
    <w:p w14:paraId="2B4CDD1C">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w:t>
      </w:r>
      <w:r>
        <w:rPr>
          <w:rFonts w:hint="eastAsia" w:ascii="宋体" w:hAnsi="宋体" w:eastAsia="宋体" w:cs="宋体"/>
          <w:color w:val="auto"/>
          <w:kern w:val="0"/>
          <w:szCs w:val="21"/>
          <w:highlight w:val="none"/>
          <w:lang w:val="en-US" w:eastAsia="zh-CN"/>
        </w:rPr>
        <w:t>王晓华</w:t>
      </w:r>
    </w:p>
    <w:p w14:paraId="17F2035E">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电  话：（0769）</w:t>
      </w:r>
      <w:r>
        <w:rPr>
          <w:rFonts w:hint="eastAsia" w:ascii="宋体" w:hAnsi="宋体" w:eastAsia="宋体" w:cs="宋体"/>
          <w:color w:val="auto"/>
          <w:kern w:val="0"/>
          <w:szCs w:val="21"/>
          <w:highlight w:val="none"/>
          <w:lang w:val="en-US" w:eastAsia="zh-CN"/>
        </w:rPr>
        <w:t>22001387</w:t>
      </w:r>
    </w:p>
    <w:p w14:paraId="6155F9A6">
      <w:pPr>
        <w:autoSpaceDE w:val="0"/>
        <w:autoSpaceDN w:val="0"/>
        <w:adjustRightInd w:val="0"/>
        <w:spacing w:line="360" w:lineRule="auto"/>
        <w:ind w:right="-29" w:rightChars="-14" w:firstLine="420"/>
        <w:outlineLvl w:val="9"/>
        <w:rPr>
          <w:rFonts w:hint="eastAsia" w:ascii="宋体" w:hAnsi="宋体" w:eastAsia="宋体" w:cs="宋体"/>
          <w:color w:val="auto"/>
          <w:kern w:val="0"/>
          <w:szCs w:val="21"/>
          <w:highlight w:val="none"/>
        </w:rPr>
      </w:pPr>
    </w:p>
    <w:p w14:paraId="7867C01A">
      <w:pPr>
        <w:numPr>
          <w:ilvl w:val="0"/>
          <w:numId w:val="1"/>
        </w:numPr>
        <w:autoSpaceDE w:val="0"/>
        <w:autoSpaceDN w:val="0"/>
        <w:adjustRightInd w:val="0"/>
        <w:snapToGrid w:val="0"/>
        <w:spacing w:line="360" w:lineRule="auto"/>
        <w:ind w:right="-34"/>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招标代理机构</w:t>
      </w:r>
      <w:r>
        <w:rPr>
          <w:rFonts w:hint="eastAsia" w:ascii="宋体" w:hAnsi="宋体" w:eastAsia="宋体" w:cs="宋体"/>
          <w:color w:val="auto"/>
          <w:szCs w:val="21"/>
          <w:highlight w:val="none"/>
          <w:lang w:val="en-US" w:eastAsia="zh-CN"/>
        </w:rPr>
        <w:t>及异议受理</w:t>
      </w:r>
      <w:r>
        <w:rPr>
          <w:rFonts w:hint="eastAsia" w:ascii="宋体" w:hAnsi="宋体" w:eastAsia="宋体" w:cs="宋体"/>
          <w:color w:val="auto"/>
          <w:szCs w:val="21"/>
          <w:highlight w:val="none"/>
        </w:rPr>
        <w:t>联系方式</w:t>
      </w:r>
    </w:p>
    <w:p w14:paraId="6BBA1973">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bookmarkStart w:id="10" w:name="_Toc450662847"/>
      <w:bookmarkStart w:id="11" w:name="_Toc486167661"/>
      <w:bookmarkStart w:id="12" w:name="_Toc31764_WPSOffice_Level1"/>
      <w:r>
        <w:rPr>
          <w:rFonts w:hint="eastAsia" w:ascii="宋体" w:hAnsi="宋体" w:eastAsia="宋体" w:cs="宋体"/>
          <w:color w:val="auto"/>
          <w:kern w:val="0"/>
          <w:szCs w:val="21"/>
          <w:highlight w:val="none"/>
        </w:rPr>
        <w:t>招标代理机构：广东有德招标采购有限公司</w:t>
      </w:r>
    </w:p>
    <w:p w14:paraId="4E89D490">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  址：广东省</w:t>
      </w:r>
      <w:r>
        <w:rPr>
          <w:rFonts w:hint="eastAsia" w:ascii="宋体" w:hAnsi="宋体" w:eastAsia="宋体" w:cs="宋体"/>
          <w:color w:val="auto"/>
          <w:szCs w:val="21"/>
          <w:highlight w:val="none"/>
        </w:rPr>
        <w:t>东莞市东城街道新源路海德琥珀台6栋1703室</w:t>
      </w:r>
    </w:p>
    <w:p w14:paraId="068B37E8">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联系人：缪俊豪</w:t>
      </w:r>
    </w:p>
    <w:p w14:paraId="047C912A">
      <w:pPr>
        <w:widowControl/>
        <w:autoSpaceDE w:val="0"/>
        <w:autoSpaceDN w:val="0"/>
        <w:adjustRightInd w:val="0"/>
        <w:spacing w:line="360" w:lineRule="auto"/>
        <w:ind w:right="-31" w:rightChars="-15" w:firstLine="424" w:firstLineChars="202"/>
        <w:jc w:val="left"/>
        <w:textAlignment w:val="bottom"/>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电  话：（0769）</w:t>
      </w:r>
      <w:r>
        <w:rPr>
          <w:rFonts w:hint="eastAsia" w:ascii="宋体" w:hAnsi="宋体" w:eastAsia="宋体" w:cs="宋体"/>
          <w:color w:val="auto"/>
          <w:szCs w:val="21"/>
          <w:highlight w:val="none"/>
        </w:rPr>
        <w:t>23362836-8018</w:t>
      </w:r>
    </w:p>
    <w:p w14:paraId="21B0A0B0">
      <w:pPr>
        <w:pageBreakBefore/>
        <w:tabs>
          <w:tab w:val="left" w:pos="1080"/>
        </w:tabs>
        <w:autoSpaceDE w:val="0"/>
        <w:autoSpaceDN w:val="0"/>
        <w:adjustRightInd w:val="0"/>
        <w:spacing w:line="360" w:lineRule="auto"/>
        <w:ind w:left="-167" w:leftChars="-100" w:hanging="43"/>
        <w:jc w:val="center"/>
        <w:outlineLvl w:val="0"/>
        <w:rPr>
          <w:rFonts w:hint="eastAsia" w:ascii="宋体" w:hAnsi="宋体" w:eastAsia="宋体" w:cs="宋体"/>
          <w:b/>
          <w:bCs/>
          <w:color w:val="auto"/>
          <w:kern w:val="44"/>
          <w:sz w:val="32"/>
          <w:szCs w:val="32"/>
          <w:highlight w:val="none"/>
        </w:rPr>
      </w:pPr>
      <w:bookmarkStart w:id="13" w:name="_Toc15111"/>
      <w:bookmarkStart w:id="14" w:name="_Toc18303"/>
      <w:bookmarkStart w:id="15" w:name="_Toc18212"/>
      <w:bookmarkStart w:id="16" w:name="_Toc142508311"/>
      <w:r>
        <w:rPr>
          <w:rFonts w:hint="eastAsia" w:ascii="宋体" w:hAnsi="宋体" w:eastAsia="宋体" w:cs="宋体"/>
          <w:b/>
          <w:bCs/>
          <w:color w:val="auto"/>
          <w:kern w:val="44"/>
          <w:sz w:val="32"/>
          <w:szCs w:val="32"/>
          <w:highlight w:val="none"/>
          <w:lang w:val="zh-CN"/>
        </w:rPr>
        <w:t>第二篇</w:t>
      </w:r>
      <w:r>
        <w:rPr>
          <w:rFonts w:hint="eastAsia" w:ascii="宋体" w:hAnsi="宋体" w:eastAsia="宋体" w:cs="宋体"/>
          <w:b/>
          <w:bCs/>
          <w:color w:val="auto"/>
          <w:kern w:val="44"/>
          <w:sz w:val="32"/>
          <w:szCs w:val="32"/>
          <w:highlight w:val="none"/>
        </w:rPr>
        <w:t xml:space="preserve"> </w:t>
      </w:r>
      <w:r>
        <w:rPr>
          <w:rFonts w:hint="eastAsia" w:ascii="宋体" w:hAnsi="宋体" w:eastAsia="宋体" w:cs="宋体"/>
          <w:b/>
          <w:bCs/>
          <w:color w:val="auto"/>
          <w:kern w:val="44"/>
          <w:sz w:val="32"/>
          <w:szCs w:val="32"/>
          <w:highlight w:val="none"/>
          <w:lang w:val="zh-CN"/>
        </w:rPr>
        <w:t>投标人须知</w:t>
      </w:r>
      <w:bookmarkEnd w:id="10"/>
      <w:bookmarkEnd w:id="11"/>
      <w:bookmarkEnd w:id="12"/>
      <w:bookmarkEnd w:id="13"/>
      <w:bookmarkEnd w:id="14"/>
      <w:bookmarkEnd w:id="15"/>
      <w:bookmarkEnd w:id="16"/>
    </w:p>
    <w:p w14:paraId="5FDC313A">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17" w:name="_Toc10347"/>
      <w:bookmarkStart w:id="18" w:name="_Toc24479"/>
      <w:bookmarkStart w:id="19" w:name="_Toc486167662"/>
      <w:bookmarkStart w:id="20" w:name="_Toc9555"/>
      <w:bookmarkStart w:id="21" w:name="_Toc140596871"/>
      <w:bookmarkStart w:id="22" w:name="_Toc142508312"/>
      <w:bookmarkStart w:id="23" w:name="_Toc450662848"/>
      <w:bookmarkStart w:id="24" w:name="_Toc15366_WPSOffice_Level2"/>
      <w:r>
        <w:rPr>
          <w:rFonts w:hint="eastAsia" w:ascii="宋体" w:hAnsi="宋体" w:eastAsia="宋体" w:cs="宋体"/>
          <w:b/>
          <w:bCs/>
          <w:color w:val="auto"/>
          <w:kern w:val="44"/>
          <w:szCs w:val="21"/>
          <w:highlight w:val="none"/>
          <w:lang w:val="zh-CN"/>
        </w:rPr>
        <w:t>一、总则</w:t>
      </w:r>
      <w:bookmarkEnd w:id="17"/>
      <w:bookmarkEnd w:id="18"/>
      <w:bookmarkEnd w:id="19"/>
      <w:bookmarkEnd w:id="20"/>
      <w:bookmarkEnd w:id="21"/>
      <w:bookmarkEnd w:id="22"/>
      <w:bookmarkEnd w:id="23"/>
      <w:bookmarkEnd w:id="24"/>
    </w:p>
    <w:p w14:paraId="57F13AF3">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 w:name="_Toc450662849"/>
      <w:bookmarkStart w:id="26" w:name="_Toc21710_WPSOffice_Level3"/>
      <w:bookmarkStart w:id="27" w:name="_Toc23333"/>
      <w:bookmarkStart w:id="28" w:name="_Toc9608"/>
      <w:bookmarkStart w:id="29" w:name="_Toc142508313"/>
      <w:bookmarkStart w:id="30" w:name="_Toc486167663"/>
      <w:bookmarkStart w:id="31" w:name="_Toc29296"/>
      <w:r>
        <w:rPr>
          <w:rFonts w:hint="eastAsia" w:ascii="宋体" w:hAnsi="宋体" w:eastAsia="宋体" w:cs="宋体"/>
          <w:color w:val="auto"/>
          <w:szCs w:val="21"/>
          <w:highlight w:val="none"/>
          <w:lang w:val="zh-CN"/>
        </w:rPr>
        <w:t>1 资金来源：企业自筹资金。</w:t>
      </w:r>
      <w:bookmarkEnd w:id="25"/>
      <w:bookmarkEnd w:id="26"/>
      <w:bookmarkEnd w:id="27"/>
      <w:bookmarkEnd w:id="28"/>
      <w:bookmarkEnd w:id="29"/>
      <w:bookmarkEnd w:id="30"/>
      <w:bookmarkEnd w:id="31"/>
    </w:p>
    <w:p w14:paraId="71142812">
      <w:pPr>
        <w:autoSpaceDE w:val="0"/>
        <w:autoSpaceDN w:val="0"/>
        <w:adjustRightInd w:val="0"/>
        <w:jc w:val="left"/>
        <w:outlineLvl w:val="9"/>
        <w:rPr>
          <w:rFonts w:hint="eastAsia" w:ascii="宋体" w:hAnsi="宋体" w:eastAsia="宋体" w:cs="宋体"/>
          <w:color w:val="auto"/>
          <w:kern w:val="0"/>
          <w:sz w:val="24"/>
          <w:szCs w:val="24"/>
          <w:highlight w:val="none"/>
        </w:rPr>
      </w:pPr>
    </w:p>
    <w:p w14:paraId="013E076E">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32" w:name="_Toc32244"/>
      <w:bookmarkStart w:id="33" w:name="_Toc80_WPSOffice_Level3"/>
      <w:bookmarkStart w:id="34" w:name="_Toc4787"/>
      <w:bookmarkStart w:id="35" w:name="_Toc18557"/>
      <w:bookmarkStart w:id="36" w:name="_Toc142508314"/>
      <w:bookmarkStart w:id="37" w:name="_Toc486167664"/>
      <w:bookmarkStart w:id="38" w:name="_Toc450662850"/>
      <w:r>
        <w:rPr>
          <w:rFonts w:hint="eastAsia" w:ascii="宋体" w:hAnsi="宋体" w:eastAsia="宋体" w:cs="宋体"/>
          <w:b/>
          <w:color w:val="auto"/>
          <w:szCs w:val="21"/>
          <w:highlight w:val="none"/>
          <w:lang w:val="zh-CN"/>
        </w:rPr>
        <w:t>2 合格的投标人</w:t>
      </w:r>
      <w:bookmarkEnd w:id="32"/>
      <w:bookmarkEnd w:id="33"/>
      <w:bookmarkEnd w:id="34"/>
      <w:bookmarkEnd w:id="35"/>
      <w:bookmarkEnd w:id="36"/>
      <w:bookmarkEnd w:id="37"/>
      <w:bookmarkEnd w:id="38"/>
    </w:p>
    <w:p w14:paraId="267EFDA0">
      <w:pPr>
        <w:autoSpaceDE w:val="0"/>
        <w:autoSpaceDN w:val="0"/>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2.1  合格的投标人条件见第一篇《招标公告》中第2条的“合格投标人资格要求”及本条以下2.2款至2.</w:t>
      </w:r>
      <w:r>
        <w:rPr>
          <w:rFonts w:hint="eastAsia" w:ascii="宋体" w:hAnsi="宋体" w:eastAsia="宋体" w:cs="宋体"/>
          <w:b/>
          <w:color w:val="auto"/>
          <w:szCs w:val="21"/>
          <w:highlight w:val="none"/>
          <w:lang w:val="en-US" w:eastAsia="zh-CN"/>
        </w:rPr>
        <w:t>5</w:t>
      </w:r>
      <w:r>
        <w:rPr>
          <w:rFonts w:hint="eastAsia" w:ascii="宋体" w:hAnsi="宋体" w:eastAsia="宋体" w:cs="宋体"/>
          <w:b/>
          <w:color w:val="auto"/>
          <w:szCs w:val="21"/>
          <w:highlight w:val="none"/>
          <w:lang w:val="zh-CN"/>
        </w:rPr>
        <w:t>款的通用要求。</w:t>
      </w:r>
    </w:p>
    <w:p w14:paraId="42DE8B16">
      <w:pPr>
        <w:autoSpaceDE w:val="0"/>
        <w:autoSpaceDN w:val="0"/>
        <w:adjustRightInd w:val="0"/>
        <w:spacing w:line="360" w:lineRule="auto"/>
        <w:ind w:left="359" w:leftChars="-100" w:hanging="569" w:hangingChars="27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2.2  </w:t>
      </w:r>
      <w:r>
        <w:rPr>
          <w:rFonts w:hint="eastAsia" w:ascii="宋体" w:hAnsi="宋体" w:eastAsia="宋体" w:cs="宋体"/>
          <w:b/>
          <w:color w:val="auto"/>
          <w:kern w:val="0"/>
          <w:szCs w:val="21"/>
          <w:highlight w:val="none"/>
        </w:rPr>
        <w:t>投标人在参加本项目投标前的三年内不得在投标活动中存在《中华人民共和国招标投标法》第五十三条（相互串通投标或者与招标人串通投标，以向招标人或者评标委员会成员行贿的手段谋取中标）、第五十四条（以他人名义投标或者以其他方式弄虚作假，骗取中标）、第六十条（中标人不履行与招标人订立的合同）、《中华人民共和国招标投标法实施条例》第七十六条（将中标项目转让给他人的，将中标项目肢解后分别转让给他人的，违反招标投标法和本条例规定将中标项目的部分主体、关键性工作分包给他人的，或者分包人再次分包）、第七十七条（捏造事实、伪造材料或者以非法手段取得证明材料进行投诉）规定的违法行为，而受到各级管理部门的处罚。投标人存在前述处罚的，在投标文件中必须主动按招标文件的要求填报“最近3年投标人牵涉的其他（失信和违法）</w:t>
      </w:r>
      <w:r>
        <w:rPr>
          <w:rFonts w:hint="eastAsia" w:ascii="宋体" w:hAnsi="宋体" w:eastAsia="宋体" w:cs="宋体"/>
          <w:b/>
          <w:color w:val="auto"/>
          <w:kern w:val="0"/>
          <w:szCs w:val="21"/>
          <w:highlight w:val="none"/>
          <w:lang w:val="zh-CN"/>
        </w:rPr>
        <w:t>处罚说明</w:t>
      </w:r>
      <w:r>
        <w:rPr>
          <w:rFonts w:hint="eastAsia" w:ascii="宋体" w:hAnsi="宋体" w:eastAsia="宋体" w:cs="宋体"/>
          <w:b/>
          <w:color w:val="auto"/>
          <w:kern w:val="0"/>
          <w:szCs w:val="21"/>
          <w:highlight w:val="none"/>
        </w:rPr>
        <w:t>”，如果不主动填报而被事后发现的，将取消其投标（中标）资格，并按有关规定从重处理。</w:t>
      </w:r>
    </w:p>
    <w:p w14:paraId="5123894A">
      <w:pPr>
        <w:autoSpaceDE w:val="0"/>
        <w:autoSpaceDN w:val="0"/>
        <w:adjustRightInd w:val="0"/>
        <w:spacing w:line="360" w:lineRule="auto"/>
        <w:ind w:left="317" w:leftChars="-100" w:hanging="527" w:hangingChars="250"/>
        <w:outlineLvl w:val="9"/>
        <w:rPr>
          <w:rFonts w:hint="eastAsia" w:ascii="宋体" w:hAnsi="宋体" w:eastAsia="宋体" w:cs="宋体"/>
          <w:b/>
          <w:color w:val="auto"/>
          <w:szCs w:val="21"/>
          <w:highlight w:val="none"/>
          <w:lang w:val="zh-CN"/>
        </w:rPr>
      </w:pPr>
      <w:r>
        <w:rPr>
          <w:rFonts w:hint="eastAsia" w:ascii="宋体" w:hAnsi="宋体" w:eastAsia="宋体" w:cs="宋体"/>
          <w:b/>
          <w:color w:val="auto"/>
          <w:kern w:val="0"/>
          <w:szCs w:val="21"/>
          <w:highlight w:val="none"/>
          <w:lang w:val="zh-CN"/>
        </w:rPr>
        <w:t>2.3  投标人</w:t>
      </w:r>
      <w:r>
        <w:rPr>
          <w:rFonts w:hint="eastAsia" w:ascii="宋体" w:hAnsi="宋体" w:eastAsia="宋体" w:cs="宋体"/>
          <w:b/>
          <w:color w:val="auto"/>
          <w:szCs w:val="21"/>
          <w:highlight w:val="none"/>
          <w:lang w:val="zh-CN"/>
        </w:rPr>
        <w:t>符合《中华人民共和国招标投标法》第二十六条规定。</w:t>
      </w:r>
    </w:p>
    <w:p w14:paraId="50DB134B">
      <w:pPr>
        <w:autoSpaceDE w:val="0"/>
        <w:autoSpaceDN w:val="0"/>
        <w:adjustRightInd w:val="0"/>
        <w:spacing w:line="360" w:lineRule="auto"/>
        <w:ind w:left="359" w:leftChars="-99" w:hanging="567" w:hangingChars="269"/>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2.4  投标人（含其不具有独立法人资格的分支机构）未被列入“信用中国”网站（ 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126C1FDE">
      <w:pPr>
        <w:autoSpaceDE w:val="0"/>
        <w:autoSpaceDN w:val="0"/>
        <w:adjustRightInd w:val="0"/>
        <w:spacing w:line="360" w:lineRule="auto"/>
        <w:ind w:left="317" w:leftChars="-100" w:hanging="527" w:hangingChars="25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szCs w:val="21"/>
          <w:highlight w:val="none"/>
          <w:lang w:val="zh-CN"/>
        </w:rPr>
        <w:t xml:space="preserve">2.5  </w:t>
      </w:r>
      <w:r>
        <w:rPr>
          <w:rFonts w:hint="eastAsia" w:ascii="宋体" w:hAnsi="宋体" w:eastAsia="宋体" w:cs="宋体"/>
          <w:b/>
          <w:color w:val="auto"/>
          <w:kern w:val="0"/>
          <w:szCs w:val="21"/>
          <w:highlight w:val="none"/>
        </w:rPr>
        <w:t>根据《中华人民共和国招标投标法实施条例》第三十四条规定，与招标人存在利害关系可能影响招标公正性的法人、其他组织或者个人，不得参加投标；投标人负责人为同一人或者存在控股、管理关系的不同投标人，不得参加同一项目投标。上述情况一经发现，相关投标均无效</w:t>
      </w:r>
      <w:r>
        <w:rPr>
          <w:rFonts w:hint="eastAsia" w:ascii="宋体" w:hAnsi="宋体" w:eastAsia="宋体" w:cs="宋体"/>
          <w:b/>
          <w:color w:val="auto"/>
          <w:szCs w:val="21"/>
          <w:highlight w:val="none"/>
          <w:lang w:val="zh-CN"/>
        </w:rPr>
        <w:t>。</w:t>
      </w:r>
    </w:p>
    <w:p w14:paraId="72DF5319">
      <w:pPr>
        <w:tabs>
          <w:tab w:val="left" w:pos="426"/>
        </w:tabs>
        <w:autoSpaceDE w:val="0"/>
        <w:autoSpaceDN w:val="0"/>
        <w:adjustRightInd w:val="0"/>
        <w:spacing w:line="360" w:lineRule="auto"/>
        <w:ind w:left="319" w:leftChars="-100" w:hanging="529" w:hangingChars="252"/>
        <w:outlineLvl w:val="9"/>
        <w:rPr>
          <w:rFonts w:hint="eastAsia" w:ascii="宋体" w:hAnsi="宋体" w:eastAsia="宋体" w:cs="宋体"/>
          <w:color w:val="auto"/>
          <w:kern w:val="0"/>
          <w:szCs w:val="24"/>
          <w:highlight w:val="none"/>
        </w:rPr>
      </w:pPr>
    </w:p>
    <w:p w14:paraId="7E53B827">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en-US" w:eastAsia="zh-CN"/>
        </w:rPr>
      </w:pPr>
      <w:bookmarkStart w:id="39" w:name="_Toc142508315"/>
      <w:bookmarkStart w:id="40" w:name="_Toc23847_WPSOffice_Level3"/>
      <w:bookmarkStart w:id="41" w:name="_Toc19774"/>
      <w:bookmarkStart w:id="42" w:name="_Toc10464"/>
      <w:bookmarkStart w:id="43" w:name="_Toc11689"/>
      <w:bookmarkStart w:id="44" w:name="_Toc486167665"/>
      <w:bookmarkStart w:id="45" w:name="_Toc450662851"/>
      <w:r>
        <w:rPr>
          <w:rFonts w:hint="eastAsia" w:ascii="宋体" w:hAnsi="宋体" w:eastAsia="宋体" w:cs="宋体"/>
          <w:b/>
          <w:color w:val="auto"/>
          <w:szCs w:val="21"/>
          <w:highlight w:val="none"/>
          <w:lang w:val="zh-CN"/>
        </w:rPr>
        <w:t>3 合格的</w:t>
      </w:r>
      <w:bookmarkEnd w:id="39"/>
      <w:bookmarkEnd w:id="40"/>
      <w:r>
        <w:rPr>
          <w:rFonts w:hint="eastAsia" w:ascii="宋体" w:hAnsi="宋体" w:eastAsia="宋体" w:cs="宋体"/>
          <w:b/>
          <w:color w:val="auto"/>
          <w:szCs w:val="21"/>
          <w:highlight w:val="none"/>
          <w:lang w:val="en-US" w:eastAsia="zh-CN"/>
        </w:rPr>
        <w:t>服务</w:t>
      </w:r>
      <w:bookmarkEnd w:id="41"/>
      <w:bookmarkEnd w:id="42"/>
      <w:bookmarkEnd w:id="43"/>
    </w:p>
    <w:p w14:paraId="7B451827">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3.1</w:t>
      </w:r>
      <w:r>
        <w:rPr>
          <w:rFonts w:hint="eastAsia" w:ascii="宋体" w:hAnsi="宋体" w:eastAsia="宋体" w:cs="宋体"/>
          <w:color w:val="auto"/>
          <w:szCs w:val="21"/>
          <w:highlight w:val="none"/>
        </w:rPr>
        <w:t xml:space="preserve"> “服务”是指投标人按招标文件规定完成的全部服务内容，其中包括完成服务所需的货物和工程，及须承担的技术支持、培训和其它伴随服务。</w:t>
      </w:r>
    </w:p>
    <w:p w14:paraId="0363D752">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46" w:name="_Toc1977663"/>
      <w:bookmarkStart w:id="47" w:name="_Toc533708063"/>
      <w:r>
        <w:rPr>
          <w:rFonts w:hint="eastAsia" w:ascii="宋体" w:hAnsi="宋体" w:eastAsia="宋体" w:cs="宋体"/>
          <w:color w:val="auto"/>
          <w:szCs w:val="21"/>
          <w:highlight w:val="none"/>
          <w:lang w:val="zh-CN"/>
        </w:rPr>
        <w:t xml:space="preserve">3.2  </w:t>
      </w:r>
      <w:bookmarkEnd w:id="46"/>
      <w:bookmarkEnd w:id="47"/>
      <w:bookmarkStart w:id="48" w:name="_Toc1977665"/>
      <w:bookmarkStart w:id="49" w:name="_Toc533708065"/>
      <w:r>
        <w:rPr>
          <w:rFonts w:hint="eastAsia" w:ascii="宋体" w:hAnsi="宋体" w:eastAsia="宋体" w:cs="宋体"/>
          <w:color w:val="auto"/>
          <w:szCs w:val="21"/>
          <w:highlight w:val="none"/>
          <w:lang w:val="zh-CN"/>
        </w:rPr>
        <w:t>投标人必须保证提供的所有</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或</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的任何部分均为最新正式版本。</w:t>
      </w:r>
      <w:bookmarkEnd w:id="48"/>
      <w:bookmarkEnd w:id="49"/>
    </w:p>
    <w:p w14:paraId="245DE114">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0" w:name="_Toc533708066"/>
      <w:bookmarkStart w:id="51" w:name="_Toc1977666"/>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val="zh-CN"/>
        </w:rPr>
        <w:t xml:space="preserve">  </w:t>
      </w:r>
      <w:bookmarkEnd w:id="50"/>
      <w:bookmarkEnd w:id="51"/>
      <w:bookmarkStart w:id="52" w:name="_Toc533708067"/>
      <w:bookmarkStart w:id="53" w:name="_Toc1977667"/>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应保证招标人在中华人民共和国使用</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或</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任何一部分时，招标人免受第三方提出侵犯其专利权、商标权或其它知识产权的起诉。如果投标人不拥有相应的知识产权，则须在报价中包括合法获取该知识产权的相关费用，并在招标文件中附有相关证明文件。如有违反，造成招标人任何经济损失或其他损失的，由投标人承担全部赔偿责任</w:t>
      </w:r>
      <w:r>
        <w:rPr>
          <w:rFonts w:hint="eastAsia" w:ascii="宋体" w:hAnsi="宋体" w:eastAsia="宋体" w:cs="宋体"/>
          <w:color w:val="auto"/>
          <w:szCs w:val="21"/>
          <w:highlight w:val="none"/>
          <w:lang w:val="zh-CN"/>
        </w:rPr>
        <w:t>。</w:t>
      </w:r>
      <w:bookmarkEnd w:id="52"/>
      <w:bookmarkEnd w:id="53"/>
    </w:p>
    <w:p w14:paraId="5A3F1C2F">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54" w:name="_Toc533708068"/>
      <w:bookmarkStart w:id="55" w:name="_Toc1977668"/>
      <w:r>
        <w:rPr>
          <w:rFonts w:hint="eastAsia" w:ascii="宋体" w:hAnsi="宋体" w:eastAsia="宋体" w:cs="宋体"/>
          <w:color w:val="auto"/>
          <w:szCs w:val="21"/>
          <w:highlight w:val="none"/>
          <w:lang w:val="zh-CN"/>
        </w:rPr>
        <w:t>3.</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 xml:space="preserve"> </w:t>
      </w:r>
      <w:bookmarkEnd w:id="54"/>
      <w:bookmarkEnd w:id="55"/>
      <w:r>
        <w:rPr>
          <w:rFonts w:hint="eastAsia" w:ascii="宋体" w:hAnsi="宋体" w:eastAsia="宋体" w:cs="宋体"/>
          <w:color w:val="auto"/>
          <w:szCs w:val="21"/>
          <w:highlight w:val="none"/>
          <w:lang w:val="zh-CN"/>
        </w:rPr>
        <w:t>无论投标人</w:t>
      </w:r>
      <w:r>
        <w:rPr>
          <w:rFonts w:hint="eastAsia" w:ascii="宋体" w:hAnsi="宋体" w:eastAsia="宋体" w:cs="宋体"/>
          <w:color w:val="auto"/>
          <w:kern w:val="0"/>
          <w:szCs w:val="21"/>
          <w:highlight w:val="none"/>
        </w:rPr>
        <w:t>是否在投标报价表中明示，均视为投标报价已包含所有应支付的对专利权</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商标权和版权、设计或其他知识产权而需要向其他方支付的版税和使用费等相关费用。如投标人未依法向第三方支付应缴版税和使用费等相关费用</w:t>
      </w:r>
      <w:r>
        <w:rPr>
          <w:rFonts w:hint="eastAsia" w:ascii="宋体" w:hAnsi="宋体" w:eastAsia="宋体" w:cs="宋体"/>
          <w:color w:val="auto"/>
          <w:kern w:val="0"/>
          <w:szCs w:val="21"/>
          <w:highlight w:val="none"/>
          <w:lang w:val="en-US" w:eastAsia="zh-CN"/>
        </w:rPr>
        <w:t>的</w:t>
      </w:r>
      <w:r>
        <w:rPr>
          <w:rFonts w:hint="eastAsia" w:ascii="宋体" w:hAnsi="宋体" w:eastAsia="宋体" w:cs="宋体"/>
          <w:color w:val="auto"/>
          <w:kern w:val="0"/>
          <w:szCs w:val="21"/>
          <w:highlight w:val="none"/>
        </w:rPr>
        <w:t>，造成招标人任何经济损失的，由投标人承担全部赔偿责任</w:t>
      </w:r>
      <w:r>
        <w:rPr>
          <w:rFonts w:hint="eastAsia" w:ascii="宋体" w:hAnsi="宋体" w:eastAsia="宋体" w:cs="宋体"/>
          <w:color w:val="auto"/>
          <w:szCs w:val="21"/>
          <w:highlight w:val="none"/>
          <w:lang w:val="zh-CN"/>
        </w:rPr>
        <w:t>。</w:t>
      </w:r>
    </w:p>
    <w:p w14:paraId="4B0E1F76">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p>
    <w:p w14:paraId="10F20951">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56" w:name="_Toc27564"/>
      <w:bookmarkStart w:id="57" w:name="_Toc11533"/>
      <w:bookmarkStart w:id="58" w:name="_Toc142508316"/>
      <w:bookmarkStart w:id="59" w:name="_Toc9658_WPSOffice_Level3"/>
      <w:bookmarkStart w:id="60" w:name="_Toc3404"/>
      <w:r>
        <w:rPr>
          <w:rFonts w:hint="eastAsia" w:ascii="宋体" w:hAnsi="宋体" w:eastAsia="宋体" w:cs="宋体"/>
          <w:color w:val="auto"/>
          <w:szCs w:val="21"/>
          <w:highlight w:val="none"/>
          <w:lang w:val="zh-CN"/>
        </w:rPr>
        <w:t>4 其它说明</w:t>
      </w:r>
      <w:bookmarkEnd w:id="56"/>
      <w:bookmarkEnd w:id="57"/>
      <w:bookmarkEnd w:id="58"/>
      <w:bookmarkEnd w:id="59"/>
      <w:bookmarkEnd w:id="60"/>
    </w:p>
    <w:p w14:paraId="13330E2F">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1" w:name="_Toc533708070"/>
      <w:bookmarkStart w:id="62" w:name="_Toc1977670"/>
      <w:r>
        <w:rPr>
          <w:rFonts w:hint="eastAsia" w:ascii="宋体" w:hAnsi="宋体" w:eastAsia="宋体" w:cs="宋体"/>
          <w:color w:val="auto"/>
          <w:szCs w:val="21"/>
          <w:highlight w:val="none"/>
          <w:lang w:val="zh-CN"/>
        </w:rPr>
        <w:t>4.1  投标费用</w:t>
      </w:r>
      <w:bookmarkEnd w:id="61"/>
      <w:bookmarkEnd w:id="62"/>
    </w:p>
    <w:p w14:paraId="6C337C78">
      <w:pPr>
        <w:autoSpaceDE w:val="0"/>
        <w:autoSpaceDN w:val="0"/>
        <w:adjustRightInd w:val="0"/>
        <w:spacing w:line="360" w:lineRule="auto"/>
        <w:ind w:left="210" w:leftChars="100" w:firstLine="420" w:firstLineChars="200"/>
        <w:outlineLvl w:val="9"/>
        <w:rPr>
          <w:rFonts w:hint="eastAsia" w:ascii="宋体" w:hAnsi="宋体" w:eastAsia="宋体" w:cs="宋体"/>
          <w:color w:val="auto"/>
          <w:szCs w:val="21"/>
          <w:highlight w:val="none"/>
          <w:lang w:val="zh-CN"/>
        </w:rPr>
      </w:pPr>
      <w:bookmarkStart w:id="63" w:name="_Toc533708072"/>
      <w:bookmarkStart w:id="64" w:name="_Toc1977672"/>
      <w:r>
        <w:rPr>
          <w:rFonts w:hint="eastAsia" w:ascii="宋体" w:hAnsi="宋体" w:eastAsia="宋体" w:cs="宋体"/>
          <w:color w:val="auto"/>
          <w:szCs w:val="21"/>
          <w:highlight w:val="none"/>
          <w:lang w:val="zh-CN"/>
        </w:rPr>
        <w:t>无论招标过程中的做法和结果如何，投标人须承担所有与编写和递交投标文件有关的费用，招标人和招标代理机构在任何情况下不负担这些费用。</w:t>
      </w:r>
      <w:bookmarkEnd w:id="63"/>
      <w:bookmarkEnd w:id="64"/>
    </w:p>
    <w:p w14:paraId="45EEC277">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bookmarkStart w:id="65" w:name="_Toc1977673"/>
      <w:bookmarkStart w:id="66" w:name="_Toc533708073"/>
      <w:r>
        <w:rPr>
          <w:rFonts w:hint="eastAsia" w:ascii="宋体" w:hAnsi="宋体" w:eastAsia="宋体" w:cs="宋体"/>
          <w:color w:val="auto"/>
          <w:szCs w:val="21"/>
          <w:highlight w:val="none"/>
          <w:lang w:val="zh-CN"/>
        </w:rPr>
        <w:t>4.2  踏勘现场</w:t>
      </w:r>
      <w:bookmarkEnd w:id="65"/>
      <w:bookmarkEnd w:id="66"/>
    </w:p>
    <w:p w14:paraId="0D7378A6">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bookmarkStart w:id="67" w:name="_Toc1977676"/>
      <w:bookmarkStart w:id="68" w:name="_Toc533708076"/>
      <w:r>
        <w:rPr>
          <w:rFonts w:hint="eastAsia" w:ascii="宋体" w:hAnsi="宋体" w:eastAsia="宋体" w:cs="宋体"/>
          <w:color w:val="auto"/>
          <w:kern w:val="0"/>
          <w:szCs w:val="21"/>
          <w:highlight w:val="none"/>
        </w:rPr>
        <w:t>（1）本项目不组织集中踏勘现场和答疑，投标人应自行到实地踏勘考察。</w:t>
      </w:r>
    </w:p>
    <w:p w14:paraId="44F46F61">
      <w:pPr>
        <w:autoSpaceDE w:val="0"/>
        <w:autoSpaceDN w:val="0"/>
        <w:adjustRightInd w:val="0"/>
        <w:spacing w:line="360" w:lineRule="auto"/>
        <w:ind w:left="300" w:leftChars="-59"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（2）潜在投标人应承担踏勘现场自身所发生的费用。</w:t>
      </w:r>
    </w:p>
    <w:p w14:paraId="5C7AEE52">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（3）招标人和招标代理机构在踏勘现场中介绍的有关现场和相关的周边环境情况，供投标人在编制投标文件时参考，招标人不对投标人据此作出的判断和决策负责。</w:t>
      </w:r>
    </w:p>
    <w:p w14:paraId="57851788">
      <w:pPr>
        <w:spacing w:line="360" w:lineRule="auto"/>
        <w:ind w:left="300" w:leftChars="-59" w:hanging="424" w:hangingChars="202"/>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（4）潜在投标人可为踏勘需要而进入招标人的项目现场，但潜在投标人不得因此使招标人承担有关的责任和蒙受损失。潜在投标人应承担踏勘现场的责任和风险。</w:t>
      </w:r>
    </w:p>
    <w:p w14:paraId="529D148D">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纪律与保密事项</w:t>
      </w:r>
      <w:bookmarkEnd w:id="44"/>
      <w:bookmarkEnd w:id="45"/>
      <w:bookmarkEnd w:id="67"/>
      <w:bookmarkEnd w:id="68"/>
    </w:p>
    <w:p w14:paraId="6605DFC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（1）获得本招标文件的投标人，不得用作本次投标以外的任何用途。</w:t>
      </w:r>
    </w:p>
    <w:p w14:paraId="47D7993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rPr>
        <w:t>（2</w:t>
      </w:r>
      <w:r>
        <w:rPr>
          <w:rFonts w:hint="eastAsia" w:ascii="宋体" w:hAnsi="宋体" w:eastAsia="宋体" w:cs="宋体"/>
          <w:color w:val="auto"/>
          <w:kern w:val="0"/>
          <w:szCs w:val="21"/>
          <w:highlight w:val="none"/>
        </w:rPr>
        <w:t>）凡参与招标工作的有关人员均应自觉接受有关主管部门的监督，不得向他人透露可能影响公平竞争的情况。</w:t>
      </w:r>
    </w:p>
    <w:p w14:paraId="7D14C1EC">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（3）开标后，直至向中标人</w:t>
      </w:r>
      <w:r>
        <w:rPr>
          <w:rFonts w:hint="eastAsia" w:ascii="宋体" w:hAnsi="宋体" w:eastAsia="宋体" w:cs="宋体"/>
          <w:color w:val="auto"/>
          <w:kern w:val="0"/>
          <w:szCs w:val="21"/>
          <w:highlight w:val="none"/>
          <w:lang w:eastAsia="zh-CN"/>
        </w:rPr>
        <w:t>授予合同期间</w:t>
      </w:r>
      <w:r>
        <w:rPr>
          <w:rFonts w:hint="eastAsia" w:ascii="宋体" w:hAnsi="宋体" w:eastAsia="宋体" w:cs="宋体"/>
          <w:color w:val="auto"/>
          <w:kern w:val="0"/>
          <w:szCs w:val="21"/>
          <w:highlight w:val="none"/>
        </w:rPr>
        <w:t>，凡与审查、澄清、评价和比较报价的有关资料以及授标意见等，参与评标工作的有关人员均不得向投标人及与评标无关的其他人透露。</w:t>
      </w:r>
    </w:p>
    <w:p w14:paraId="11A496C1">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（4）除投标人被要求对投标文件进行澄清外，从递交投标文件截止之时起至授予合同期间，投标人不得就与其投标文件有关的事项主动与评标委员会、招标代理机构以及招标人联系。</w:t>
      </w:r>
    </w:p>
    <w:p w14:paraId="0AEBB7E2">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从开标之日起至授予合同期间，在投标文件的审查、澄清、比较和评价阶段，投标人试图对评标委员会和招标代理机构施加任何影响或对招标人的比较及授予合同的决定产生影响，都可能导致其投标文件被拒绝。</w:t>
      </w:r>
    </w:p>
    <w:p w14:paraId="3FC72D69">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（6）投标人不得串通作弊，以不正当的手段妨碍、排挤其他投标人，扰乱采购市场，破坏公平竞争原则。</w:t>
      </w:r>
    </w:p>
    <w:p w14:paraId="21B942F9">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rPr>
      </w:pPr>
    </w:p>
    <w:p w14:paraId="24236885">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69" w:name="_Toc30507_WPSOffice_Level2"/>
      <w:bookmarkStart w:id="70" w:name="_Toc5395"/>
      <w:bookmarkStart w:id="71" w:name="_Toc1565"/>
      <w:bookmarkStart w:id="72" w:name="_Toc5315"/>
      <w:bookmarkStart w:id="73" w:name="_Toc140596876"/>
      <w:bookmarkStart w:id="74" w:name="_Toc142508317"/>
      <w:bookmarkStart w:id="75" w:name="_Toc450662853"/>
      <w:bookmarkStart w:id="76" w:name="_Toc486167667"/>
      <w:r>
        <w:rPr>
          <w:rFonts w:hint="eastAsia" w:ascii="宋体" w:hAnsi="宋体" w:eastAsia="宋体" w:cs="宋体"/>
          <w:b/>
          <w:bCs/>
          <w:color w:val="auto"/>
          <w:kern w:val="44"/>
          <w:szCs w:val="21"/>
          <w:highlight w:val="none"/>
          <w:lang w:val="zh-CN"/>
        </w:rPr>
        <w:t>二、招标文件</w:t>
      </w:r>
      <w:bookmarkEnd w:id="69"/>
      <w:bookmarkEnd w:id="70"/>
      <w:bookmarkEnd w:id="71"/>
      <w:bookmarkEnd w:id="72"/>
      <w:bookmarkEnd w:id="73"/>
      <w:bookmarkEnd w:id="74"/>
      <w:bookmarkEnd w:id="75"/>
      <w:bookmarkEnd w:id="76"/>
    </w:p>
    <w:p w14:paraId="6FE3299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77" w:name="_Toc486167668"/>
      <w:bookmarkStart w:id="78" w:name="_Toc26635_WPSOffice_Level3"/>
      <w:bookmarkStart w:id="79" w:name="_Toc450662854"/>
      <w:bookmarkStart w:id="80" w:name="_Toc2406"/>
      <w:bookmarkStart w:id="81" w:name="_Toc187"/>
      <w:bookmarkStart w:id="82" w:name="_Toc28893"/>
      <w:bookmarkStart w:id="83" w:name="_Toc142508318"/>
      <w:r>
        <w:rPr>
          <w:rFonts w:hint="eastAsia" w:ascii="宋体" w:hAnsi="宋体" w:eastAsia="宋体" w:cs="宋体"/>
          <w:color w:val="auto"/>
          <w:szCs w:val="21"/>
          <w:highlight w:val="none"/>
          <w:lang w:val="zh-CN"/>
        </w:rPr>
        <w:t>5 招标文件的构成</w:t>
      </w:r>
      <w:bookmarkEnd w:id="77"/>
      <w:bookmarkEnd w:id="78"/>
      <w:bookmarkEnd w:id="79"/>
      <w:bookmarkEnd w:id="80"/>
      <w:bookmarkEnd w:id="81"/>
      <w:bookmarkEnd w:id="82"/>
      <w:bookmarkEnd w:id="83"/>
    </w:p>
    <w:p w14:paraId="085FF6B4">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5.1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招标文件包括：</w:t>
      </w:r>
    </w:p>
    <w:p w14:paraId="0797B466">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第一篇 招标公告</w:t>
      </w:r>
    </w:p>
    <w:p w14:paraId="293C18BE">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第二篇 投标人须知</w:t>
      </w:r>
    </w:p>
    <w:p w14:paraId="6185376A">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第三篇 用户需求书</w:t>
      </w:r>
    </w:p>
    <w:p w14:paraId="74540FA5">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第四篇 合同条款</w:t>
      </w:r>
    </w:p>
    <w:p w14:paraId="367A0DCB">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第五篇 相关保函格式</w:t>
      </w:r>
    </w:p>
    <w:p w14:paraId="5A95CDAC">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第六篇 投标文件格式</w:t>
      </w:r>
    </w:p>
    <w:p w14:paraId="2B22736B">
      <w:pPr>
        <w:tabs>
          <w:tab w:val="left" w:pos="1890"/>
        </w:tabs>
        <w:autoSpaceDE w:val="0"/>
        <w:autoSpaceDN w:val="0"/>
        <w:adjustRightInd w:val="0"/>
        <w:spacing w:line="360" w:lineRule="auto"/>
        <w:ind w:firstLine="424" w:firstLineChars="20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附件一：评标工作大纲</w:t>
      </w:r>
    </w:p>
    <w:p w14:paraId="202E5BC7">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lang w:val="zh-CN"/>
        </w:rPr>
      </w:pPr>
      <w:r>
        <w:rPr>
          <w:rFonts w:hint="eastAsia" w:ascii="宋体" w:hAnsi="宋体" w:eastAsia="宋体" w:cs="宋体"/>
          <w:bCs/>
          <w:color w:val="auto"/>
          <w:szCs w:val="21"/>
          <w:highlight w:val="none"/>
          <w:lang w:val="zh-CN"/>
        </w:rPr>
        <w:t>5.2</w:t>
      </w:r>
      <w:r>
        <w:rPr>
          <w:rFonts w:hint="eastAsia" w:ascii="宋体" w:hAnsi="宋体" w:eastAsia="宋体" w:cs="宋体"/>
          <w:b/>
          <w:bCs/>
          <w:color w:val="auto"/>
          <w:szCs w:val="21"/>
          <w:highlight w:val="none"/>
          <w:lang w:val="zh-CN"/>
        </w:rPr>
        <w:tab/>
      </w:r>
      <w:r>
        <w:rPr>
          <w:rFonts w:hint="eastAsia" w:ascii="宋体" w:hAnsi="宋体" w:eastAsia="宋体" w:cs="宋体"/>
          <w:b/>
          <w:bCs/>
          <w:color w:val="auto"/>
          <w:szCs w:val="21"/>
          <w:highlight w:val="none"/>
          <w:u w:val="single"/>
          <w:lang w:val="zh-CN"/>
        </w:rPr>
        <w:t>投标人应审阅招标文件中所有须知、格式、条款和规格。投标人未按招标文件要求提供全部资料或提交的投标文件未对招标文件作出实质性响应（★标志的部分为投标人、投标拟供服务必备的条件或重要指示），那么投标人的投标文件将有可能被拒绝接收或评审为无效投标文件。</w:t>
      </w:r>
    </w:p>
    <w:p w14:paraId="38FC2AE3">
      <w:pPr>
        <w:autoSpaceDE w:val="0"/>
        <w:autoSpaceDN w:val="0"/>
        <w:adjustRightInd w:val="0"/>
        <w:spacing w:line="360" w:lineRule="auto"/>
        <w:ind w:left="356" w:leftChars="-99" w:hanging="564" w:hangingChars="269"/>
        <w:outlineLvl w:val="9"/>
        <w:rPr>
          <w:rFonts w:hint="eastAsia" w:ascii="宋体" w:hAnsi="宋体" w:eastAsia="宋体" w:cs="宋体"/>
          <w:b/>
          <w:bCs/>
          <w:color w:val="auto"/>
          <w:szCs w:val="21"/>
          <w:highlight w:val="none"/>
          <w:u w:val="single"/>
        </w:rPr>
      </w:pPr>
      <w:r>
        <w:rPr>
          <w:rFonts w:hint="eastAsia" w:ascii="宋体" w:hAnsi="宋体" w:eastAsia="宋体" w:cs="宋体"/>
          <w:color w:val="auto"/>
          <w:szCs w:val="21"/>
          <w:highlight w:val="none"/>
          <w:lang w:val="zh-CN"/>
        </w:rPr>
        <w:t>5.3  本招标文件使用的词语有如下定义：</w:t>
      </w:r>
    </w:p>
    <w:p w14:paraId="584201F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（1）“招标人”指东莞市水务集团管网有限公司；</w:t>
      </w:r>
    </w:p>
    <w:p w14:paraId="4409A00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（2）“招标代理机构”指广东有德招标采购有限公司；</w:t>
      </w:r>
    </w:p>
    <w:p w14:paraId="43098B05">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（3）“投标人”指参加</w:t>
      </w:r>
      <w:r>
        <w:rPr>
          <w:rFonts w:hint="eastAsia" w:ascii="宋体" w:hAnsi="宋体" w:eastAsia="宋体" w:cs="宋体"/>
          <w:color w:val="auto"/>
          <w:szCs w:val="21"/>
          <w:highlight w:val="none"/>
        </w:rPr>
        <w:t>东莞市水务集团管网有限公司202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年餐厨及清洁服务采购项目</w:t>
      </w:r>
      <w:r>
        <w:rPr>
          <w:rFonts w:hint="eastAsia" w:ascii="宋体" w:hAnsi="宋体" w:eastAsia="宋体" w:cs="宋体"/>
          <w:color w:val="auto"/>
          <w:kern w:val="0"/>
          <w:szCs w:val="21"/>
          <w:highlight w:val="none"/>
        </w:rPr>
        <w:t>所需的</w:t>
      </w:r>
      <w:r>
        <w:rPr>
          <w:rFonts w:hint="eastAsia" w:ascii="宋体" w:hAnsi="宋体" w:eastAsia="宋体" w:cs="宋体"/>
          <w:color w:val="auto"/>
          <w:kern w:val="0"/>
          <w:szCs w:val="21"/>
          <w:highlight w:val="none"/>
          <w:lang w:val="en-US" w:eastAsia="zh-CN"/>
        </w:rPr>
        <w:t>服务</w:t>
      </w:r>
      <w:r>
        <w:rPr>
          <w:rFonts w:hint="eastAsia" w:ascii="宋体" w:hAnsi="宋体" w:eastAsia="宋体" w:cs="宋体"/>
          <w:color w:val="auto"/>
          <w:kern w:val="0"/>
          <w:szCs w:val="21"/>
          <w:highlight w:val="none"/>
        </w:rPr>
        <w:t>的投标，并向招标代理机构提交投标文件的当事人；</w:t>
      </w:r>
    </w:p>
    <w:p w14:paraId="289E8C5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（4）“评标委员会”是依照《中华人民共和国招标投标法》等法规组建的专门负责本次评标工作的临时性机构；</w:t>
      </w:r>
    </w:p>
    <w:p w14:paraId="3ABE9116">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（5）“中标人”指其投标被招标人接受，并与招标人签订合同的当事人；</w:t>
      </w:r>
    </w:p>
    <w:p w14:paraId="4198975F">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（6）“甲方”指在合同条款中指明的购买服务的单位，即东莞市水务集团管网有限公司</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含其下属子公司</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rPr>
        <w:t>；</w:t>
      </w:r>
    </w:p>
    <w:p w14:paraId="68853911">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（7）“乙方”指在合同条款中指明的本合同项下提供服务的公司或实体；</w:t>
      </w:r>
    </w:p>
    <w:p w14:paraId="7438265C">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（8）“招标文件”指由招标代理机构发出的本招标文件，包括全部章节和附件；</w:t>
      </w:r>
    </w:p>
    <w:p w14:paraId="56B486EE">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（9）“投标文件”指投标人根据本招标文件向招标代理机构提交的全部文件；</w:t>
      </w:r>
    </w:p>
    <w:p w14:paraId="6E5977FB">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（10）“书面函件”指手写、打字或印刷的函件，包括电传、电报和传真；</w:t>
      </w:r>
    </w:p>
    <w:p w14:paraId="69C7C260">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（11）“合同”指由本次招标所产生的合同或合约文件；</w:t>
      </w:r>
    </w:p>
    <w:p w14:paraId="681F1247">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（12）“日期”指公历日，“时间”指北京时间；</w:t>
      </w:r>
    </w:p>
    <w:p w14:paraId="55ABB8F4">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（13）本招标文件中的“境内”特指中华人民共和国海关关境以内，“境外”特指中华人民共和国海关关境以外；</w:t>
      </w:r>
    </w:p>
    <w:p w14:paraId="617A26BD">
      <w:pPr>
        <w:autoSpaceDE w:val="0"/>
        <w:autoSpaceDN w:val="0"/>
        <w:adjustRightInd w:val="0"/>
        <w:spacing w:line="360" w:lineRule="auto"/>
        <w:ind w:left="441" w:leftChars="-6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不含税价，即为《中华人民共和国增值税暂行条例》（国务院令第691号修订版）规定的销售额。本招标文件所称的不含税价和不含税合同价是指不含本采购项目投标人的销项税额，包含了投标人完成合同义务（含投标人代缴代扣、分包及委外服务、施工、采购货物等所产生的价税）的其他全部费用。本采购项目投标人的销项税额由招标人承担，不计入投标报价。</w:t>
      </w:r>
    </w:p>
    <w:p w14:paraId="1708A5B1">
      <w:pPr>
        <w:autoSpaceDE w:val="0"/>
        <w:autoSpaceDN w:val="0"/>
        <w:adjustRightInd w:val="0"/>
        <w:spacing w:line="360" w:lineRule="auto"/>
        <w:ind w:left="951" w:leftChars="78" w:hanging="787" w:hangingChars="375"/>
        <w:outlineLvl w:val="9"/>
        <w:rPr>
          <w:rFonts w:hint="eastAsia" w:ascii="宋体" w:hAnsi="宋体" w:eastAsia="宋体" w:cs="宋体"/>
          <w:color w:val="auto"/>
          <w:szCs w:val="21"/>
          <w:highlight w:val="none"/>
          <w:lang w:val="zh-CN"/>
        </w:rPr>
      </w:pPr>
    </w:p>
    <w:p w14:paraId="4131847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84" w:name="_Toc450662855"/>
      <w:bookmarkStart w:id="85" w:name="_Toc11346"/>
      <w:bookmarkStart w:id="86" w:name="_Toc29125_WPSOffice_Level3"/>
      <w:bookmarkStart w:id="87" w:name="_Toc142508319"/>
      <w:bookmarkStart w:id="88" w:name="_Toc3727"/>
      <w:bookmarkStart w:id="89" w:name="_Toc5127"/>
      <w:bookmarkStart w:id="90" w:name="_Toc486167669"/>
      <w:r>
        <w:rPr>
          <w:rFonts w:hint="eastAsia" w:ascii="宋体" w:hAnsi="宋体" w:eastAsia="宋体" w:cs="宋体"/>
          <w:color w:val="auto"/>
          <w:szCs w:val="21"/>
          <w:highlight w:val="none"/>
          <w:lang w:val="zh-CN"/>
        </w:rPr>
        <w:t>6 招标文件的异议</w:t>
      </w:r>
      <w:bookmarkEnd w:id="84"/>
      <w:bookmarkEnd w:id="85"/>
      <w:bookmarkEnd w:id="86"/>
      <w:bookmarkEnd w:id="87"/>
      <w:bookmarkEnd w:id="88"/>
      <w:bookmarkEnd w:id="89"/>
      <w:bookmarkEnd w:id="90"/>
    </w:p>
    <w:p w14:paraId="2145D346">
      <w:pPr>
        <w:autoSpaceDE w:val="0"/>
        <w:autoSpaceDN w:val="0"/>
        <w:adjustRightInd w:val="0"/>
        <w:spacing w:line="360" w:lineRule="auto"/>
        <w:ind w:left="288" w:leftChars="137" w:firstLine="420" w:firstLineChars="200"/>
        <w:outlineLvl w:val="9"/>
        <w:rPr>
          <w:rFonts w:hint="eastAsia" w:ascii="宋体" w:hAnsi="宋体" w:eastAsia="宋体" w:cs="宋体"/>
          <w:bCs/>
          <w:color w:val="auto"/>
          <w:szCs w:val="21"/>
          <w:highlight w:val="none"/>
          <w:lang w:val="zh-CN"/>
        </w:rPr>
      </w:pPr>
      <w:r>
        <w:rPr>
          <w:rFonts w:hint="eastAsia" w:ascii="宋体" w:hAnsi="宋体" w:eastAsia="宋体" w:cs="宋体"/>
          <w:bCs/>
          <w:color w:val="auto"/>
          <w:szCs w:val="21"/>
          <w:highlight w:val="none"/>
          <w:lang w:val="zh-CN"/>
        </w:rPr>
        <w:t>投标人或者其他利害关系人对招标文件有异议的，应当在投标截止时间10日前</w:t>
      </w:r>
      <w:r>
        <w:rPr>
          <w:rFonts w:hint="eastAsia" w:ascii="宋体" w:hAnsi="宋体" w:eastAsia="宋体" w:cs="宋体"/>
          <w:color w:val="auto"/>
          <w:szCs w:val="21"/>
          <w:highlight w:val="none"/>
          <w:lang w:val="zh-CN"/>
        </w:rPr>
        <w:t>以书面形式向招标代理机构提出，并将材料原件送达招标代理机构，逾期则视为对招标文件所有内容无异议。</w:t>
      </w:r>
      <w:r>
        <w:rPr>
          <w:rFonts w:hint="eastAsia" w:ascii="宋体" w:hAnsi="宋体" w:eastAsia="宋体" w:cs="宋体"/>
          <w:bCs/>
          <w:color w:val="auto"/>
          <w:szCs w:val="21"/>
          <w:highlight w:val="none"/>
          <w:lang w:val="zh-CN"/>
        </w:rPr>
        <w:t>异议</w:t>
      </w:r>
      <w:r>
        <w:rPr>
          <w:rFonts w:hint="eastAsia" w:ascii="宋体" w:hAnsi="宋体" w:eastAsia="宋体" w:cs="宋体"/>
          <w:color w:val="auto"/>
          <w:szCs w:val="21"/>
          <w:highlight w:val="none"/>
          <w:lang w:val="zh-CN"/>
        </w:rPr>
        <w:t>书面材料必须加盖投标人法人公章，并注明联系人、联系电话、联系地址。</w:t>
      </w:r>
      <w:r>
        <w:rPr>
          <w:rFonts w:hint="eastAsia" w:ascii="宋体" w:hAnsi="宋体" w:eastAsia="宋体" w:cs="宋体"/>
          <w:bCs/>
          <w:color w:val="auto"/>
          <w:szCs w:val="21"/>
          <w:highlight w:val="none"/>
          <w:lang w:val="zh-CN"/>
        </w:rPr>
        <w:t>超出</w:t>
      </w:r>
      <w:r>
        <w:rPr>
          <w:rFonts w:hint="eastAsia" w:ascii="宋体" w:hAnsi="宋体" w:eastAsia="宋体" w:cs="宋体"/>
          <w:color w:val="auto"/>
          <w:szCs w:val="21"/>
          <w:highlight w:val="none"/>
          <w:lang w:val="zh-CN"/>
        </w:rPr>
        <w:t>提交接收异议截止时间而</w:t>
      </w:r>
      <w:r>
        <w:rPr>
          <w:rFonts w:hint="eastAsia" w:ascii="宋体" w:hAnsi="宋体" w:eastAsia="宋体" w:cs="宋体"/>
          <w:bCs/>
          <w:color w:val="auto"/>
          <w:szCs w:val="21"/>
          <w:highlight w:val="none"/>
          <w:lang w:val="zh-CN"/>
        </w:rPr>
        <w:t>提出的任何疑问，招标代理机构可不予答复。</w:t>
      </w:r>
      <w:r>
        <w:rPr>
          <w:rFonts w:hint="eastAsia" w:ascii="宋体" w:hAnsi="宋体" w:eastAsia="宋体" w:cs="宋体"/>
          <w:b/>
          <w:bCs/>
          <w:color w:val="auto"/>
          <w:szCs w:val="21"/>
          <w:highlight w:val="none"/>
          <w:u w:val="single"/>
          <w:lang w:val="zh-CN"/>
        </w:rPr>
        <w:t>投标人必须在投标文件中提供投标承诺书（格式详见第六篇投标文件格式）</w:t>
      </w:r>
      <w:r>
        <w:rPr>
          <w:rFonts w:hint="eastAsia" w:ascii="宋体" w:hAnsi="宋体" w:eastAsia="宋体" w:cs="宋体"/>
          <w:b/>
          <w:bCs/>
          <w:color w:val="auto"/>
          <w:szCs w:val="21"/>
          <w:highlight w:val="none"/>
          <w:lang w:val="zh-CN"/>
        </w:rPr>
        <w:t>。</w:t>
      </w:r>
    </w:p>
    <w:p w14:paraId="0C23D917">
      <w:pPr>
        <w:autoSpaceDE w:val="0"/>
        <w:autoSpaceDN w:val="0"/>
        <w:adjustRightInd w:val="0"/>
        <w:spacing w:line="360" w:lineRule="auto"/>
        <w:ind w:left="290" w:leftChars="137" w:hanging="2" w:hangingChars="1"/>
        <w:outlineLvl w:val="9"/>
        <w:rPr>
          <w:rFonts w:hint="eastAsia" w:ascii="宋体" w:hAnsi="宋体" w:eastAsia="宋体" w:cs="宋体"/>
          <w:b/>
          <w:bCs/>
          <w:color w:val="auto"/>
          <w:szCs w:val="21"/>
          <w:highlight w:val="none"/>
          <w:lang w:val="zh-CN"/>
        </w:rPr>
      </w:pPr>
    </w:p>
    <w:p w14:paraId="0764872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91" w:name="_Toc450662856"/>
      <w:bookmarkStart w:id="92" w:name="_Toc17145"/>
      <w:bookmarkStart w:id="93" w:name="_Toc28086"/>
      <w:bookmarkStart w:id="94" w:name="_Toc29864"/>
      <w:bookmarkStart w:id="95" w:name="_Toc23483_WPSOffice_Level3"/>
      <w:bookmarkStart w:id="96" w:name="_Toc486167670"/>
      <w:bookmarkStart w:id="97" w:name="_Toc142508320"/>
      <w:r>
        <w:rPr>
          <w:rFonts w:hint="eastAsia" w:ascii="宋体" w:hAnsi="宋体" w:eastAsia="宋体" w:cs="宋体"/>
          <w:color w:val="auto"/>
          <w:szCs w:val="21"/>
          <w:highlight w:val="none"/>
          <w:lang w:val="zh-CN"/>
        </w:rPr>
        <w:t>7 招标文件的澄清及修改</w:t>
      </w:r>
      <w:bookmarkEnd w:id="91"/>
      <w:bookmarkEnd w:id="92"/>
      <w:bookmarkEnd w:id="93"/>
      <w:bookmarkEnd w:id="94"/>
      <w:bookmarkEnd w:id="95"/>
      <w:bookmarkEnd w:id="96"/>
      <w:bookmarkEnd w:id="97"/>
    </w:p>
    <w:p w14:paraId="37E5CF92">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7.1  招标代理机构对已发出的招标文件进行必要澄清或者修改的，将在招标文件要求提交投标文件截止时间15日前，在招标信息发布媒介上发布更正公告，请各投标人密切留意。该澄清或者修改的内容为招标文件的组成部分。</w:t>
      </w:r>
    </w:p>
    <w:p w14:paraId="1809F333">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项目特定情况下，招标代理机构必须延长投标截止时间和开标时间时，将在招标文件要求提交投标文件的截止时间前，在招标信息发布媒介上发布变更公告。</w:t>
      </w:r>
    </w:p>
    <w:p w14:paraId="04E7E3A5">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7.3  招标文件的修改、补充通知在</w:t>
      </w:r>
      <w:r>
        <w:rPr>
          <w:rFonts w:hint="eastAsia" w:ascii="宋体" w:hAnsi="宋体" w:eastAsia="宋体" w:cs="宋体"/>
          <w:bCs/>
          <w:color w:val="auto"/>
          <w:szCs w:val="21"/>
          <w:highlight w:val="none"/>
          <w:lang w:eastAsia="zh-CN"/>
        </w:rPr>
        <w:t>广东省公共资源交易平台（ygp.gdzwfw.gov.cn）、</w:t>
      </w:r>
      <w:r>
        <w:rPr>
          <w:rFonts w:hint="eastAsia" w:ascii="宋体" w:hAnsi="宋体" w:eastAsia="宋体" w:cs="宋体"/>
          <w:color w:val="auto"/>
          <w:szCs w:val="21"/>
          <w:highlight w:val="none"/>
          <w:lang w:val="zh-CN"/>
        </w:rPr>
        <w:t>中国招标投标公共服务平台</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"http://www.cebpubservice.com）、广东省招标投标监管"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rPr>
        <w:t>www.cebpubservice.com）</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东莞市水务集团有限公司网</w:t>
      </w:r>
      <w:r>
        <w:rPr>
          <w:rFonts w:hint="eastAsia" w:ascii="宋体" w:hAnsi="宋体" w:eastAsia="宋体" w:cs="宋体"/>
          <w:color w:val="auto"/>
          <w:szCs w:val="21"/>
          <w:highlight w:val="none"/>
        </w:rPr>
        <w:t>（</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"www.dgswjt.cn）、招标代理公司网站（http://%20%20%20%20%20%20%20%20%20%20%20%20%20%20）" </w:instrText>
      </w:r>
      <w:r>
        <w:rPr>
          <w:rFonts w:hint="eastAsia" w:ascii="宋体" w:hAnsi="宋体" w:eastAsia="宋体" w:cs="宋体"/>
          <w:color w:val="auto"/>
          <w:highlight w:val="none"/>
        </w:rPr>
        <w:fldChar w:fldCharType="separate"/>
      </w:r>
      <w:r>
        <w:rPr>
          <w:rStyle w:val="45"/>
          <w:rFonts w:hint="eastAsia" w:ascii="宋体" w:hAnsi="宋体" w:eastAsia="宋体" w:cs="宋体"/>
          <w:color w:val="auto"/>
          <w:sz w:val="21"/>
          <w:szCs w:val="21"/>
          <w:highlight w:val="none"/>
        </w:rPr>
        <w:t>www.dgswjt.cn）</w:t>
      </w:r>
      <w:r>
        <w:rPr>
          <w:rStyle w:val="45"/>
          <w:rFonts w:hint="eastAsia" w:ascii="宋体" w:hAnsi="宋体" w:eastAsia="宋体" w:cs="宋体"/>
          <w:color w:val="auto"/>
          <w:sz w:val="21"/>
          <w:szCs w:val="21"/>
          <w:highlight w:val="none"/>
          <w:lang w:val="zh-CN"/>
        </w:rPr>
        <w:t>、</w:t>
      </w:r>
      <w:r>
        <w:rPr>
          <w:rStyle w:val="45"/>
          <w:rFonts w:hint="eastAsia" w:ascii="宋体" w:hAnsi="宋体" w:eastAsia="宋体" w:cs="宋体"/>
          <w:bCs/>
          <w:color w:val="auto"/>
          <w:kern w:val="0"/>
          <w:sz w:val="21"/>
          <w:szCs w:val="21"/>
          <w:highlight w:val="none"/>
        </w:rPr>
        <w:t>招标代理</w:t>
      </w:r>
      <w:r>
        <w:rPr>
          <w:rStyle w:val="45"/>
          <w:rFonts w:hint="eastAsia" w:ascii="宋体" w:hAnsi="宋体" w:eastAsia="宋体" w:cs="宋体"/>
          <w:bCs/>
          <w:color w:val="auto"/>
          <w:kern w:val="0"/>
          <w:sz w:val="21"/>
          <w:szCs w:val="21"/>
          <w:highlight w:val="none"/>
          <w:lang w:val="en-US" w:eastAsia="zh-CN"/>
        </w:rPr>
        <w:t>机构</w:t>
      </w:r>
      <w:r>
        <w:rPr>
          <w:rStyle w:val="45"/>
          <w:rFonts w:hint="eastAsia" w:ascii="宋体" w:hAnsi="宋体" w:eastAsia="宋体" w:cs="宋体"/>
          <w:bCs/>
          <w:color w:val="auto"/>
          <w:kern w:val="0"/>
          <w:sz w:val="21"/>
          <w:szCs w:val="21"/>
          <w:highlight w:val="none"/>
        </w:rPr>
        <w:t>网站（</w:t>
      </w:r>
      <w:r>
        <w:rPr>
          <w:rFonts w:hint="eastAsia" w:ascii="宋体" w:hAnsi="宋体" w:eastAsia="宋体" w:cs="宋体"/>
          <w:color w:val="auto"/>
          <w:szCs w:val="21"/>
          <w:highlight w:val="none"/>
        </w:rPr>
        <w:t>www.youde.net</w:t>
      </w:r>
      <w:r>
        <w:rPr>
          <w:rStyle w:val="45"/>
          <w:rFonts w:hint="eastAsia" w:ascii="宋体" w:hAnsi="宋体" w:eastAsia="宋体" w:cs="宋体"/>
          <w:bCs/>
          <w:color w:val="auto"/>
          <w:kern w:val="0"/>
          <w:sz w:val="21"/>
          <w:szCs w:val="21"/>
          <w:highlight w:val="none"/>
        </w:rPr>
        <w:t>）</w:t>
      </w:r>
      <w:r>
        <w:rPr>
          <w:rStyle w:val="45"/>
          <w:rFonts w:hint="eastAsia" w:ascii="宋体" w:hAnsi="宋体" w:eastAsia="宋体" w:cs="宋体"/>
          <w:bCs/>
          <w:color w:val="auto"/>
          <w:kern w:val="0"/>
          <w:sz w:val="21"/>
          <w:szCs w:val="21"/>
          <w:highlight w:val="none"/>
        </w:rPr>
        <w:fldChar w:fldCharType="end"/>
      </w:r>
      <w:r>
        <w:rPr>
          <w:rFonts w:hint="eastAsia" w:ascii="宋体" w:hAnsi="宋体" w:eastAsia="宋体" w:cs="宋体"/>
          <w:color w:val="auto"/>
          <w:szCs w:val="21"/>
          <w:highlight w:val="none"/>
          <w:lang w:val="zh-CN"/>
        </w:rPr>
        <w:t>公布，请各投标人密切留意。</w:t>
      </w:r>
    </w:p>
    <w:p w14:paraId="712DCB7E">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rPr>
      </w:pPr>
    </w:p>
    <w:p w14:paraId="6BEBA530">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98" w:name="_Toc8711"/>
      <w:bookmarkStart w:id="99" w:name="_Toc29659_WPSOffice_Level2"/>
      <w:bookmarkStart w:id="100" w:name="_Toc140596880"/>
      <w:bookmarkStart w:id="101" w:name="_Toc23342"/>
      <w:bookmarkStart w:id="102" w:name="_Toc142508321"/>
      <w:bookmarkStart w:id="103" w:name="_Toc6753"/>
      <w:bookmarkStart w:id="104" w:name="_Toc486167671"/>
      <w:bookmarkStart w:id="105" w:name="_Toc450662857"/>
      <w:r>
        <w:rPr>
          <w:rFonts w:hint="eastAsia" w:ascii="宋体" w:hAnsi="宋体" w:eastAsia="宋体" w:cs="宋体"/>
          <w:b/>
          <w:bCs/>
          <w:color w:val="auto"/>
          <w:kern w:val="44"/>
          <w:szCs w:val="21"/>
          <w:highlight w:val="none"/>
          <w:lang w:val="zh-CN"/>
        </w:rPr>
        <w:t>三、投标文件的编制</w:t>
      </w:r>
      <w:bookmarkEnd w:id="98"/>
      <w:bookmarkEnd w:id="99"/>
      <w:bookmarkEnd w:id="100"/>
      <w:bookmarkEnd w:id="101"/>
      <w:bookmarkEnd w:id="102"/>
      <w:bookmarkEnd w:id="103"/>
      <w:bookmarkEnd w:id="104"/>
      <w:bookmarkEnd w:id="105"/>
    </w:p>
    <w:p w14:paraId="2E7CCE6F">
      <w:pPr>
        <w:tabs>
          <w:tab w:val="left" w:pos="67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06" w:name="_Toc450662858"/>
      <w:bookmarkStart w:id="107" w:name="_Toc6244"/>
      <w:bookmarkStart w:id="108" w:name="_Toc31162"/>
      <w:bookmarkStart w:id="109" w:name="_Toc18918"/>
      <w:bookmarkStart w:id="110" w:name="_Toc142508322"/>
      <w:bookmarkStart w:id="111" w:name="_Toc10015_WPSOffice_Level3"/>
      <w:bookmarkStart w:id="112" w:name="_Toc486167672"/>
      <w:r>
        <w:rPr>
          <w:rFonts w:hint="eastAsia" w:ascii="宋体" w:hAnsi="宋体" w:eastAsia="宋体" w:cs="宋体"/>
          <w:color w:val="auto"/>
          <w:szCs w:val="21"/>
          <w:highlight w:val="none"/>
          <w:lang w:val="zh-CN"/>
        </w:rPr>
        <w:t>8 投标使用的文字及度量衡单位</w:t>
      </w:r>
      <w:bookmarkEnd w:id="106"/>
      <w:bookmarkEnd w:id="107"/>
      <w:bookmarkEnd w:id="108"/>
      <w:bookmarkEnd w:id="109"/>
      <w:bookmarkEnd w:id="110"/>
      <w:bookmarkEnd w:id="111"/>
      <w:bookmarkEnd w:id="112"/>
    </w:p>
    <w:p w14:paraId="4C049D1F">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8.1  投标人的投标文件以及投标人与招标代理机构就有关投标的所有往来函电均应使用简体中文。</w:t>
      </w:r>
    </w:p>
    <w:p w14:paraId="04AEB342">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8.2  投标文件使用的度量衡单位采用中华人民共和国法定计量单位。</w:t>
      </w:r>
    </w:p>
    <w:p w14:paraId="01E697CF">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35884997">
      <w:pPr>
        <w:tabs>
          <w:tab w:val="left" w:pos="540"/>
        </w:tabs>
        <w:autoSpaceDE w:val="0"/>
        <w:autoSpaceDN w:val="0"/>
        <w:adjustRightInd w:val="0"/>
        <w:spacing w:line="360" w:lineRule="auto"/>
        <w:ind w:left="357" w:leftChars="-100" w:hanging="567"/>
        <w:jc w:val="left"/>
        <w:outlineLvl w:val="2"/>
        <w:rPr>
          <w:rFonts w:hint="eastAsia" w:ascii="宋体" w:hAnsi="宋体" w:eastAsia="宋体" w:cs="宋体"/>
          <w:color w:val="auto"/>
          <w:sz w:val="24"/>
          <w:szCs w:val="24"/>
          <w:highlight w:val="none"/>
          <w:lang w:val="zh-CN"/>
        </w:rPr>
      </w:pPr>
      <w:bookmarkStart w:id="113" w:name="_Toc14943"/>
      <w:bookmarkStart w:id="114" w:name="_Toc24916_WPSOffice_Level3"/>
      <w:bookmarkStart w:id="115" w:name="_Toc7348"/>
      <w:bookmarkStart w:id="116" w:name="_Toc450662859"/>
      <w:bookmarkStart w:id="117" w:name="_Toc142508323"/>
      <w:bookmarkStart w:id="118" w:name="_Toc12984"/>
      <w:bookmarkStart w:id="119" w:name="_Toc486167673"/>
      <w:r>
        <w:rPr>
          <w:rFonts w:hint="eastAsia" w:ascii="宋体" w:hAnsi="宋体" w:eastAsia="宋体" w:cs="宋体"/>
          <w:color w:val="auto"/>
          <w:szCs w:val="21"/>
          <w:highlight w:val="none"/>
          <w:lang w:val="zh-CN"/>
        </w:rPr>
        <w:t>9</w:t>
      </w:r>
      <w:r>
        <w:rPr>
          <w:rFonts w:hint="eastAsia" w:ascii="宋体" w:hAnsi="宋体" w:eastAsia="宋体" w:cs="宋体"/>
          <w:color w:val="auto"/>
          <w:sz w:val="24"/>
          <w:szCs w:val="24"/>
          <w:highlight w:val="none"/>
          <w:lang w:val="zh-CN"/>
        </w:rPr>
        <w:t xml:space="preserve"> </w:t>
      </w:r>
      <w:r>
        <w:rPr>
          <w:rFonts w:hint="eastAsia" w:ascii="宋体" w:hAnsi="宋体" w:eastAsia="宋体" w:cs="宋体"/>
          <w:color w:val="auto"/>
          <w:szCs w:val="21"/>
          <w:highlight w:val="none"/>
          <w:lang w:val="zh-CN"/>
        </w:rPr>
        <w:t>投标文件的组成</w:t>
      </w:r>
      <w:bookmarkEnd w:id="113"/>
      <w:bookmarkEnd w:id="114"/>
      <w:bookmarkEnd w:id="115"/>
      <w:bookmarkEnd w:id="116"/>
      <w:bookmarkEnd w:id="117"/>
      <w:bookmarkEnd w:id="118"/>
      <w:bookmarkEnd w:id="119"/>
    </w:p>
    <w:p w14:paraId="6B13EC5B">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 xml:space="preserve">9.1  </w:t>
      </w:r>
      <w:r>
        <w:rPr>
          <w:rFonts w:hint="eastAsia" w:ascii="宋体" w:hAnsi="宋体" w:eastAsia="宋体" w:cs="宋体"/>
          <w:color w:val="auto"/>
          <w:kern w:val="0"/>
          <w:szCs w:val="24"/>
          <w:highlight w:val="none"/>
        </w:rPr>
        <w:t>投标文件的组成：</w:t>
      </w:r>
      <w:r>
        <w:rPr>
          <w:rFonts w:hint="eastAsia" w:ascii="宋体" w:hAnsi="宋体" w:eastAsia="宋体" w:cs="宋体"/>
          <w:b/>
          <w:color w:val="auto"/>
          <w:kern w:val="0"/>
          <w:szCs w:val="21"/>
          <w:highlight w:val="none"/>
          <w:u w:val="single"/>
        </w:rPr>
        <w:t>商务文件、技术文件由投标人根据各自文件的实际情况决定是否分册装订，招标文件不做限制</w:t>
      </w:r>
      <w:r>
        <w:rPr>
          <w:rFonts w:hint="eastAsia" w:ascii="宋体" w:hAnsi="宋体" w:eastAsia="宋体" w:cs="宋体"/>
          <w:b/>
          <w:color w:val="auto"/>
          <w:kern w:val="0"/>
          <w:szCs w:val="21"/>
          <w:highlight w:val="none"/>
        </w:rPr>
        <w:t>。</w:t>
      </w:r>
    </w:p>
    <w:p w14:paraId="157A49A0">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4"/>
          <w:highlight w:val="none"/>
        </w:rPr>
        <w:t>9.1.1 商务文件：</w:t>
      </w:r>
    </w:p>
    <w:p w14:paraId="1C7F07D6">
      <w:pPr>
        <w:autoSpaceDE w:val="0"/>
        <w:autoSpaceDN w:val="0"/>
        <w:adjustRightInd w:val="0"/>
        <w:spacing w:line="360" w:lineRule="auto"/>
        <w:jc w:val="left"/>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 w:val="24"/>
          <w:szCs w:val="24"/>
          <w:highlight w:val="none"/>
          <w:lang w:val="zh-CN"/>
        </w:rPr>
        <w:t xml:space="preserve">   </w:t>
      </w:r>
      <w:r>
        <w:rPr>
          <w:rFonts w:hint="eastAsia" w:ascii="宋体" w:hAnsi="宋体" w:eastAsia="宋体" w:cs="宋体"/>
          <w:b/>
          <w:color w:val="auto"/>
          <w:kern w:val="0"/>
          <w:szCs w:val="21"/>
          <w:highlight w:val="none"/>
          <w:lang w:val="zh-CN"/>
        </w:rPr>
        <w:t>目录：</w:t>
      </w:r>
    </w:p>
    <w:p w14:paraId="49898CE2">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（1）投标函；</w:t>
      </w:r>
    </w:p>
    <w:p w14:paraId="15FAC8EE">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（2）投标承诺书；</w:t>
      </w:r>
    </w:p>
    <w:p w14:paraId="5CDDEAC1">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（3）供货及/或提供服务过程承诺函；</w:t>
      </w:r>
    </w:p>
    <w:p w14:paraId="42051B7F">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val="zh-CN"/>
        </w:rPr>
        <w:t>）投标报价表(含投标报价表和分项报价表)；</w:t>
      </w:r>
    </w:p>
    <w:p w14:paraId="7BB8456C">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）投标人资格证明文件：</w:t>
      </w:r>
    </w:p>
    <w:p w14:paraId="4E38E27D">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1）多证合一营业执照</w:t>
      </w:r>
      <w:r>
        <w:rPr>
          <w:rFonts w:hint="eastAsia" w:ascii="宋体" w:hAnsi="宋体" w:eastAsia="宋体" w:cs="宋体"/>
          <w:color w:val="auto"/>
          <w:kern w:val="0"/>
          <w:szCs w:val="21"/>
          <w:highlight w:val="none"/>
        </w:rPr>
        <w:t>（或事业单位法人证书）</w:t>
      </w:r>
      <w:r>
        <w:rPr>
          <w:rFonts w:hint="eastAsia" w:ascii="宋体" w:hAnsi="宋体" w:eastAsia="宋体" w:cs="宋体"/>
          <w:color w:val="auto"/>
          <w:szCs w:val="21"/>
          <w:highlight w:val="none"/>
          <w:lang w:val="zh-CN"/>
        </w:rPr>
        <w:t>复印件；</w:t>
      </w:r>
    </w:p>
    <w:p w14:paraId="39A58DCD">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p>
    <w:p w14:paraId="3523A785">
      <w:pPr>
        <w:autoSpaceDE w:val="0"/>
        <w:autoSpaceDN w:val="0"/>
        <w:adjustRightInd w:val="0"/>
        <w:spacing w:line="360" w:lineRule="auto"/>
        <w:ind w:left="283" w:hanging="283" w:hangingChars="1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zh-CN"/>
        </w:rPr>
        <w:t>）法定代表人身份证明书和法定代表人授权书原件（法定代表人投标时只提供法定代表人身份证明书，委托</w:t>
      </w:r>
      <w:r>
        <w:rPr>
          <w:rFonts w:hint="eastAsia" w:ascii="宋体" w:hAnsi="宋体" w:eastAsia="宋体" w:cs="宋体"/>
          <w:color w:val="auto"/>
          <w:szCs w:val="21"/>
          <w:highlight w:val="none"/>
        </w:rPr>
        <w:t>他人</w:t>
      </w:r>
      <w:r>
        <w:rPr>
          <w:rFonts w:hint="eastAsia" w:ascii="宋体" w:hAnsi="宋体" w:eastAsia="宋体" w:cs="宋体"/>
          <w:color w:val="auto"/>
          <w:szCs w:val="21"/>
          <w:highlight w:val="none"/>
          <w:lang w:val="zh-CN"/>
        </w:rPr>
        <w:t>为投标代表时同时提供法定代表人授权书）；</w:t>
      </w:r>
    </w:p>
    <w:p w14:paraId="5D22A58D">
      <w:pPr>
        <w:tabs>
          <w:tab w:val="left" w:pos="1276"/>
        </w:tabs>
        <w:spacing w:line="360" w:lineRule="auto"/>
        <w:ind w:left="283" w:hanging="283" w:hangingChars="135"/>
        <w:outlineLvl w:val="9"/>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lang w:val="zh-CN"/>
        </w:rPr>
        <w:t>4</w:t>
      </w:r>
      <w:r>
        <w:rPr>
          <w:rFonts w:hint="eastAsia" w:ascii="宋体" w:hAnsi="宋体" w:eastAsia="宋体" w:cs="宋体"/>
          <w:color w:val="auto"/>
          <w:szCs w:val="21"/>
          <w:highlight w:val="none"/>
        </w:rPr>
        <w:t>）资格业绩【投标人提供一份</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日以来</w:t>
      </w:r>
      <w:r>
        <w:rPr>
          <w:rFonts w:hint="eastAsia" w:ascii="宋体" w:hAnsi="宋体" w:eastAsia="宋体" w:cs="宋体"/>
          <w:b/>
          <w:color w:val="auto"/>
          <w:sz w:val="21"/>
          <w:szCs w:val="21"/>
          <w:highlight w:val="none"/>
          <w:lang w:val="zh-CN"/>
        </w:rPr>
        <w:t>劳务外包服务项目业绩</w:t>
      </w:r>
      <w:r>
        <w:rPr>
          <w:rFonts w:hint="eastAsia" w:ascii="宋体" w:hAnsi="宋体" w:eastAsia="宋体" w:cs="宋体"/>
          <w:color w:val="auto"/>
          <w:szCs w:val="21"/>
          <w:highlight w:val="none"/>
        </w:rPr>
        <w:t>（合同签订日期为</w:t>
      </w:r>
      <w:r>
        <w:rPr>
          <w:rFonts w:hint="eastAsia" w:ascii="宋体" w:hAnsi="宋体" w:eastAsia="宋体" w:cs="宋体"/>
          <w:color w:val="auto"/>
          <w:szCs w:val="21"/>
          <w:highlight w:val="none"/>
          <w:lang w:val="en-US" w:eastAsia="zh-CN"/>
        </w:rPr>
        <w:t>2022</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日或以后），资格业绩证明材料提交要求详见招标文件第六篇投标文件格式</w:t>
      </w:r>
      <w:r>
        <w:rPr>
          <w:rFonts w:hint="eastAsia" w:ascii="宋体" w:hAnsi="宋体" w:eastAsia="宋体" w:cs="宋体"/>
          <w:color w:val="auto"/>
          <w:szCs w:val="21"/>
          <w:highlight w:val="none"/>
          <w:u w:val="none"/>
          <w:lang w:val="en-US" w:eastAsia="zh-CN"/>
        </w:rPr>
        <w:t>5</w:t>
      </w:r>
      <w:r>
        <w:rPr>
          <w:rFonts w:hint="eastAsia" w:ascii="宋体" w:hAnsi="宋体" w:eastAsia="宋体" w:cs="宋体"/>
          <w:color w:val="auto"/>
          <w:szCs w:val="21"/>
          <w:highlight w:val="none"/>
          <w:u w:val="none"/>
        </w:rPr>
        <w:t>.4</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w:t>
      </w:r>
    </w:p>
    <w:p w14:paraId="5321D96E">
      <w:pPr>
        <w:autoSpaceDE w:val="0"/>
        <w:autoSpaceDN w:val="0"/>
        <w:adjustRightInd w:val="0"/>
        <w:spacing w:line="360" w:lineRule="auto"/>
        <w:ind w:left="913" w:hanging="913" w:hangingChars="43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lang w:val="zh-CN"/>
        </w:rPr>
        <w:t>最近3年投标人牵涉的其他（失信和违法）</w:t>
      </w:r>
      <w:r>
        <w:rPr>
          <w:rFonts w:hint="eastAsia" w:ascii="宋体" w:hAnsi="宋体" w:eastAsia="宋体" w:cs="宋体"/>
          <w:color w:val="auto"/>
          <w:kern w:val="0"/>
          <w:szCs w:val="21"/>
          <w:highlight w:val="none"/>
        </w:rPr>
        <w:t>处罚说明</w:t>
      </w:r>
      <w:r>
        <w:rPr>
          <w:rFonts w:hint="eastAsia" w:ascii="宋体" w:hAnsi="宋体" w:eastAsia="宋体" w:cs="宋体"/>
          <w:color w:val="auto"/>
          <w:szCs w:val="21"/>
          <w:highlight w:val="none"/>
          <w:lang w:val="zh-CN"/>
        </w:rPr>
        <w:t>；</w:t>
      </w:r>
    </w:p>
    <w:p w14:paraId="396B2743">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lang w:val="zh-CN"/>
        </w:rPr>
        <w:t>）投标人基本情况一览表；</w:t>
      </w:r>
    </w:p>
    <w:p w14:paraId="442CBD8A">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lang w:val="zh-CN"/>
        </w:rPr>
        <w:t>）投标人财务状况表；</w:t>
      </w:r>
    </w:p>
    <w:p w14:paraId="2852A444">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8</w:t>
      </w:r>
      <w:r>
        <w:rPr>
          <w:rFonts w:hint="eastAsia" w:ascii="宋体" w:hAnsi="宋体" w:eastAsia="宋体" w:cs="宋体"/>
          <w:color w:val="auto"/>
          <w:kern w:val="0"/>
          <w:szCs w:val="21"/>
          <w:highlight w:val="none"/>
        </w:rPr>
        <w:t>）标准化体系认证；</w:t>
      </w:r>
    </w:p>
    <w:p w14:paraId="45A947E6">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9</w:t>
      </w:r>
      <w:r>
        <w:rPr>
          <w:rFonts w:hint="eastAsia" w:ascii="宋体" w:hAnsi="宋体" w:eastAsia="宋体" w:cs="宋体"/>
          <w:color w:val="auto"/>
          <w:kern w:val="0"/>
          <w:szCs w:val="21"/>
          <w:highlight w:val="none"/>
        </w:rPr>
        <w:t>）合同条款响应程度（合同条款偏离表）；</w:t>
      </w:r>
    </w:p>
    <w:p w14:paraId="328B1048">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10</w:t>
      </w:r>
      <w:r>
        <w:rPr>
          <w:rFonts w:hint="eastAsia" w:ascii="宋体" w:hAnsi="宋体" w:eastAsia="宋体" w:cs="宋体"/>
          <w:color w:val="auto"/>
          <w:szCs w:val="21"/>
          <w:highlight w:val="none"/>
          <w:lang w:val="zh-CN"/>
        </w:rPr>
        <w:t>）业绩表；</w:t>
      </w:r>
    </w:p>
    <w:p w14:paraId="6A1E8B94">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11</w:t>
      </w:r>
      <w:r>
        <w:rPr>
          <w:rFonts w:hint="eastAsia" w:ascii="宋体" w:hAnsi="宋体" w:eastAsia="宋体" w:cs="宋体"/>
          <w:color w:val="auto"/>
          <w:szCs w:val="21"/>
          <w:highlight w:val="none"/>
          <w:lang w:val="zh-CN"/>
        </w:rPr>
        <w:t>）服务便利性响应时间承诺表；</w:t>
      </w:r>
    </w:p>
    <w:p w14:paraId="68F410D2">
      <w:pPr>
        <w:tabs>
          <w:tab w:val="left" w:pos="567"/>
        </w:tabs>
        <w:autoSpaceDE w:val="0"/>
        <w:autoSpaceDN w:val="0"/>
        <w:adjustRightInd w:val="0"/>
        <w:spacing w:line="360" w:lineRule="auto"/>
        <w:ind w:left="105" w:leftChars="-100" w:hanging="315" w:hanging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12</w:t>
      </w:r>
      <w:r>
        <w:rPr>
          <w:rFonts w:hint="eastAsia" w:ascii="宋体" w:hAnsi="宋体" w:eastAsia="宋体" w:cs="宋体"/>
          <w:color w:val="auto"/>
          <w:szCs w:val="21"/>
          <w:highlight w:val="none"/>
          <w:lang w:val="zh-CN"/>
        </w:rPr>
        <w:t>）投标保证金汇入情况说明；</w:t>
      </w:r>
    </w:p>
    <w:p w14:paraId="178D6229">
      <w:pPr>
        <w:tabs>
          <w:tab w:val="left" w:pos="567"/>
        </w:tabs>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en-US" w:eastAsia="zh-CN"/>
        </w:rPr>
        <w:t>13</w:t>
      </w:r>
      <w:r>
        <w:rPr>
          <w:rFonts w:hint="eastAsia" w:ascii="宋体" w:hAnsi="宋体" w:eastAsia="宋体" w:cs="宋体"/>
          <w:color w:val="auto"/>
          <w:szCs w:val="21"/>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p>
    <w:p w14:paraId="60032DCA">
      <w:pPr>
        <w:autoSpaceDE w:val="0"/>
        <w:autoSpaceDN w:val="0"/>
        <w:adjustRightInd w:val="0"/>
        <w:spacing w:line="360" w:lineRule="auto"/>
        <w:ind w:left="422" w:leftChars="-100" w:hanging="632" w:hangingChars="300"/>
        <w:outlineLvl w:val="9"/>
        <w:rPr>
          <w:rFonts w:hint="eastAsia" w:ascii="宋体" w:hAnsi="宋体" w:eastAsia="宋体" w:cs="宋体"/>
          <w:b/>
          <w:color w:val="auto"/>
          <w:kern w:val="0"/>
          <w:szCs w:val="24"/>
          <w:highlight w:val="none"/>
        </w:rPr>
      </w:pPr>
      <w:r>
        <w:rPr>
          <w:rFonts w:hint="eastAsia" w:ascii="宋体" w:hAnsi="宋体" w:eastAsia="宋体" w:cs="宋体"/>
          <w:b/>
          <w:color w:val="auto"/>
          <w:kern w:val="0"/>
          <w:szCs w:val="24"/>
          <w:highlight w:val="none"/>
        </w:rPr>
        <w:t>9.1.2 技术文件：</w:t>
      </w:r>
    </w:p>
    <w:p w14:paraId="52192867">
      <w:pPr>
        <w:autoSpaceDE w:val="0"/>
        <w:autoSpaceDN w:val="0"/>
        <w:adjustRightInd w:val="0"/>
        <w:spacing w:line="360" w:lineRule="auto"/>
        <w:ind w:right="-23" w:rightChars="-11"/>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 xml:space="preserve">    目录：</w:t>
      </w:r>
    </w:p>
    <w:p w14:paraId="1F94890D">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（1）用户需求响应程度（即用户需求偏离表格式）；</w:t>
      </w:r>
    </w:p>
    <w:p w14:paraId="4CB82639">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（2）总体服务方案（投标人自行编写）</w:t>
      </w:r>
      <w:r>
        <w:rPr>
          <w:rFonts w:hint="eastAsia" w:ascii="宋体" w:hAnsi="宋体" w:eastAsia="宋体" w:cs="宋体"/>
          <w:color w:val="auto"/>
          <w:kern w:val="0"/>
          <w:szCs w:val="21"/>
          <w:highlight w:val="none"/>
          <w:lang w:val="zh-CN"/>
        </w:rPr>
        <w:t>；</w:t>
      </w:r>
    </w:p>
    <w:p w14:paraId="42CA09A4">
      <w:pPr>
        <w:spacing w:line="360" w:lineRule="auto"/>
        <w:ind w:left="315" w:leftChars="-100" w:hanging="525" w:hangingChars="25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rPr>
        <w:t>（3）拟投入本项目管理人员情况</w:t>
      </w:r>
      <w:r>
        <w:rPr>
          <w:rFonts w:hint="eastAsia" w:ascii="宋体" w:hAnsi="宋体" w:eastAsia="宋体" w:cs="宋体"/>
          <w:color w:val="auto"/>
          <w:kern w:val="0"/>
          <w:szCs w:val="21"/>
          <w:highlight w:val="none"/>
          <w:lang w:eastAsia="zh-CN"/>
        </w:rPr>
        <w:t>；</w:t>
      </w:r>
    </w:p>
    <w:p w14:paraId="18E7490C">
      <w:pPr>
        <w:spacing w:line="360" w:lineRule="auto"/>
        <w:ind w:left="315" w:leftChars="-100" w:hanging="525" w:hangingChars="25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Cs w:val="21"/>
          <w:highlight w:val="none"/>
        </w:rPr>
        <w:t>应急预案和保障措施</w:t>
      </w:r>
      <w:r>
        <w:rPr>
          <w:rFonts w:hint="eastAsia" w:ascii="宋体" w:hAnsi="宋体" w:eastAsia="宋体" w:cs="宋体"/>
          <w:color w:val="auto"/>
          <w:kern w:val="0"/>
          <w:szCs w:val="21"/>
          <w:highlight w:val="none"/>
        </w:rPr>
        <w:t>（投标人自行编写）</w:t>
      </w:r>
      <w:r>
        <w:rPr>
          <w:rFonts w:hint="eastAsia" w:ascii="宋体" w:hAnsi="宋体" w:eastAsia="宋体" w:cs="宋体"/>
          <w:color w:val="auto"/>
          <w:kern w:val="0"/>
          <w:szCs w:val="21"/>
          <w:highlight w:val="none"/>
          <w:lang w:eastAsia="zh-CN"/>
        </w:rPr>
        <w:t>；</w:t>
      </w:r>
    </w:p>
    <w:p w14:paraId="63190FF0">
      <w:pPr>
        <w:spacing w:line="360" w:lineRule="auto"/>
        <w:ind w:left="315" w:leftChars="-100" w:hanging="525" w:hangingChars="250"/>
        <w:outlineLvl w:val="9"/>
        <w:rPr>
          <w:rFonts w:hint="eastAsia" w:ascii="宋体" w:hAnsi="宋体" w:eastAsia="宋体" w:cs="宋体"/>
          <w:color w:val="auto"/>
          <w:kern w:val="0"/>
          <w:szCs w:val="21"/>
          <w:highlight w:val="none"/>
          <w:lang w:eastAsia="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购买食品安全责任险承诺书；</w:t>
      </w:r>
    </w:p>
    <w:p w14:paraId="49CBAC69">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投标人认为有必要提供的其它材料（不做强制要求）。</w:t>
      </w:r>
    </w:p>
    <w:p w14:paraId="58D0810F">
      <w:pPr>
        <w:autoSpaceDE w:val="0"/>
        <w:autoSpaceDN w:val="0"/>
        <w:adjustRightInd w:val="0"/>
        <w:spacing w:line="360" w:lineRule="auto"/>
        <w:ind w:left="422" w:leftChars="-100" w:hanging="632" w:hangingChars="300"/>
        <w:outlineLvl w:val="9"/>
        <w:rPr>
          <w:rFonts w:hint="eastAsia" w:ascii="宋体" w:hAnsi="宋体" w:eastAsia="宋体" w:cs="宋体"/>
          <w:color w:val="auto"/>
          <w:kern w:val="0"/>
          <w:szCs w:val="21"/>
          <w:highlight w:val="none"/>
          <w:lang w:val="zh-CN"/>
        </w:rPr>
      </w:pPr>
      <w:r>
        <w:rPr>
          <w:rFonts w:hint="eastAsia" w:ascii="宋体" w:hAnsi="宋体" w:eastAsia="宋体" w:cs="宋体"/>
          <w:b/>
          <w:color w:val="auto"/>
          <w:kern w:val="0"/>
          <w:szCs w:val="21"/>
          <w:highlight w:val="none"/>
        </w:rPr>
        <w:t>9.1.3</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bCs/>
          <w:color w:val="auto"/>
          <w:kern w:val="0"/>
          <w:szCs w:val="21"/>
          <w:highlight w:val="none"/>
          <w:lang w:val="zh-CN"/>
        </w:rPr>
        <w:t>投标文件电子文件</w:t>
      </w:r>
      <w:r>
        <w:rPr>
          <w:rFonts w:hint="eastAsia" w:ascii="宋体" w:hAnsi="宋体" w:eastAsia="宋体" w:cs="宋体"/>
          <w:color w:val="auto"/>
          <w:kern w:val="0"/>
          <w:szCs w:val="21"/>
          <w:highlight w:val="none"/>
          <w:lang w:val="zh-CN"/>
        </w:rPr>
        <w:t>（详细要求见本篇第17.5款）</w:t>
      </w:r>
    </w:p>
    <w:p w14:paraId="16ACFC6B">
      <w:pPr>
        <w:autoSpaceDE w:val="0"/>
        <w:autoSpaceDN w:val="0"/>
        <w:adjustRightInd w:val="0"/>
        <w:spacing w:line="360" w:lineRule="auto"/>
        <w:ind w:left="35" w:leftChars="-118" w:hanging="283" w:hangingChars="135"/>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（1）签字、盖章后的投标文件扫描版PDF格式电子文件。</w:t>
      </w:r>
    </w:p>
    <w:p w14:paraId="11ED5321">
      <w:pPr>
        <w:autoSpaceDE w:val="0"/>
        <w:autoSpaceDN w:val="0"/>
        <w:adjustRightInd w:val="0"/>
        <w:spacing w:line="360" w:lineRule="auto"/>
        <w:ind w:left="422" w:leftChars="-100" w:hanging="632" w:hangingChars="300"/>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9.1.4 唱标信封（单独密封）</w:t>
      </w:r>
    </w:p>
    <w:p w14:paraId="15EC8476">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（1）投标报价表；</w:t>
      </w:r>
    </w:p>
    <w:p w14:paraId="1B4F3A95">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（2）投标分项报价表；</w:t>
      </w:r>
    </w:p>
    <w:p w14:paraId="1328B87A">
      <w:pPr>
        <w:spacing w:line="360" w:lineRule="auto"/>
        <w:ind w:left="105" w:leftChars="-100" w:hanging="315" w:hangingChars="15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val="zh-CN"/>
        </w:rPr>
        <w:t>）投标保证金汇入情况说明（一式两份）。</w:t>
      </w:r>
    </w:p>
    <w:p w14:paraId="6E52C110">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9.2  投标人按照投标文件的组成目录编制投标文件应包括上述内容，但不限于上述内容。招标文件提供了相关格式的，严格按照招标文件的要求编制，投标文件未含格式的，投标人自行编制。投标文件编制中要求的复印件、照片可为该资料扫描件的打印件。</w:t>
      </w:r>
    </w:p>
    <w:p w14:paraId="74CF300D">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9.3  </w:t>
      </w:r>
      <w:r>
        <w:rPr>
          <w:rFonts w:hint="eastAsia" w:ascii="宋体" w:hAnsi="宋体" w:eastAsia="宋体" w:cs="宋体"/>
          <w:b/>
          <w:color w:val="auto"/>
          <w:szCs w:val="21"/>
          <w:highlight w:val="none"/>
          <w:u w:val="single"/>
          <w:lang w:val="zh-CN"/>
        </w:rPr>
        <w:t>投标文件中相关证件、证书、合同、发票、照片等证明材料中的原始印章、签名、关键内容必须清晰、可辨认，否则视为无效证明材料；投标文件中存在外文资料的，投标人必须同时提供中文译本，且必须保证中文译本的准确，否则招标人不予认可，视为无效材料；投标人须承担因此对应造成投标无效，或评标时因无效证明材料不得分，或拒绝接受投标的风险</w:t>
      </w:r>
      <w:r>
        <w:rPr>
          <w:rFonts w:hint="eastAsia" w:ascii="宋体" w:hAnsi="宋体" w:eastAsia="宋体" w:cs="宋体"/>
          <w:color w:val="auto"/>
          <w:szCs w:val="21"/>
          <w:highlight w:val="none"/>
          <w:lang w:val="zh-CN"/>
        </w:rPr>
        <w:t>。</w:t>
      </w:r>
    </w:p>
    <w:p w14:paraId="3809CA99">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p>
    <w:p w14:paraId="05DC8AC2">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20" w:name="_Toc2642"/>
      <w:bookmarkStart w:id="121" w:name="_Toc8675_WPSOffice_Level3"/>
      <w:bookmarkStart w:id="122" w:name="_Toc13214"/>
      <w:bookmarkStart w:id="123" w:name="_Toc11170"/>
      <w:bookmarkStart w:id="124" w:name="_Toc450662860"/>
      <w:bookmarkStart w:id="125" w:name="_Toc486167674"/>
      <w:bookmarkStart w:id="126" w:name="_Toc142508324"/>
      <w:r>
        <w:rPr>
          <w:rFonts w:hint="eastAsia" w:ascii="宋体" w:hAnsi="宋体" w:eastAsia="宋体" w:cs="宋体"/>
          <w:color w:val="auto"/>
          <w:szCs w:val="21"/>
          <w:highlight w:val="none"/>
          <w:lang w:val="zh-CN"/>
        </w:rPr>
        <w:t>10 投标函</w:t>
      </w:r>
      <w:bookmarkEnd w:id="120"/>
      <w:bookmarkEnd w:id="121"/>
      <w:bookmarkEnd w:id="122"/>
      <w:bookmarkEnd w:id="123"/>
      <w:bookmarkEnd w:id="124"/>
      <w:bookmarkEnd w:id="125"/>
      <w:bookmarkEnd w:id="126"/>
    </w:p>
    <w:p w14:paraId="0A5B0CFD">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投标人应完整填写投标文件格式中规定的投标函。</w:t>
      </w:r>
    </w:p>
    <w:p w14:paraId="2BA36BB1">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lang w:val="zh-CN"/>
        </w:rPr>
      </w:pPr>
    </w:p>
    <w:p w14:paraId="4236AFF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27" w:name="_Toc142508325"/>
      <w:bookmarkStart w:id="128" w:name="_Toc24311"/>
      <w:bookmarkStart w:id="129" w:name="_Toc9414"/>
      <w:bookmarkStart w:id="130" w:name="_Toc4385_WPSOffice_Level3"/>
      <w:bookmarkStart w:id="131" w:name="_Toc450662861"/>
      <w:bookmarkStart w:id="132" w:name="_Toc15427"/>
      <w:bookmarkStart w:id="133" w:name="_Toc486167675"/>
      <w:r>
        <w:rPr>
          <w:rFonts w:hint="eastAsia" w:ascii="宋体" w:hAnsi="宋体" w:eastAsia="宋体" w:cs="宋体"/>
          <w:color w:val="auto"/>
          <w:szCs w:val="21"/>
          <w:highlight w:val="none"/>
          <w:lang w:val="zh-CN"/>
        </w:rPr>
        <w:t>11 投标报价</w:t>
      </w:r>
      <w:bookmarkEnd w:id="127"/>
      <w:bookmarkEnd w:id="128"/>
      <w:bookmarkEnd w:id="129"/>
      <w:bookmarkEnd w:id="130"/>
      <w:bookmarkEnd w:id="131"/>
      <w:bookmarkEnd w:id="132"/>
      <w:bookmarkEnd w:id="133"/>
    </w:p>
    <w:p w14:paraId="30DEDD76">
      <w:pPr>
        <w:tabs>
          <w:tab w:val="left" w:pos="567"/>
        </w:tabs>
        <w:autoSpaceDE w:val="0"/>
        <w:autoSpaceDN w:val="0"/>
        <w:adjustRightInd w:val="0"/>
        <w:spacing w:line="360" w:lineRule="auto"/>
        <w:ind w:left="357" w:leftChars="-100" w:hanging="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11.1 本项目只允许有一个报价价格。任何有选择的或</w:t>
      </w:r>
      <w:r>
        <w:rPr>
          <w:rFonts w:hint="eastAsia" w:ascii="宋体" w:hAnsi="宋体" w:eastAsia="宋体" w:cs="宋体"/>
          <w:b/>
          <w:color w:val="auto"/>
          <w:kern w:val="0"/>
          <w:szCs w:val="21"/>
          <w:highlight w:val="none"/>
          <w:lang w:val="zh-CN"/>
        </w:rPr>
        <w:t>不是固定价的</w:t>
      </w:r>
      <w:r>
        <w:rPr>
          <w:rFonts w:hint="eastAsia" w:ascii="宋体" w:hAnsi="宋体" w:eastAsia="宋体" w:cs="宋体"/>
          <w:b/>
          <w:color w:val="auto"/>
          <w:szCs w:val="21"/>
          <w:highlight w:val="none"/>
          <w:lang w:val="zh-CN"/>
        </w:rPr>
        <w:t>投标报价将不予接受，</w:t>
      </w:r>
      <w:r>
        <w:rPr>
          <w:rFonts w:hint="eastAsia" w:ascii="宋体" w:hAnsi="宋体" w:eastAsia="宋体" w:cs="宋体"/>
          <w:b/>
          <w:color w:val="auto"/>
          <w:kern w:val="0"/>
          <w:szCs w:val="21"/>
          <w:highlight w:val="none"/>
          <w:lang w:val="zh-CN"/>
        </w:rPr>
        <w:t>作为非实质性响应投标而予以拒绝。</w:t>
      </w:r>
      <w:r>
        <w:rPr>
          <w:rFonts w:hint="eastAsia" w:ascii="宋体" w:hAnsi="宋体" w:eastAsia="宋体" w:cs="宋体"/>
          <w:b/>
          <w:color w:val="auto"/>
          <w:kern w:val="0"/>
          <w:szCs w:val="21"/>
          <w:highlight w:val="none"/>
        </w:rPr>
        <w:t>投标人不得以低于企业自身成本的价格竞投</w:t>
      </w:r>
      <w:r>
        <w:rPr>
          <w:rFonts w:hint="eastAsia" w:ascii="宋体" w:hAnsi="宋体" w:eastAsia="宋体" w:cs="宋体"/>
          <w:b/>
          <w:color w:val="auto"/>
          <w:szCs w:val="21"/>
          <w:highlight w:val="none"/>
          <w:lang w:val="zh-CN"/>
        </w:rPr>
        <w:t>。</w:t>
      </w:r>
    </w:p>
    <w:p w14:paraId="6B22FC8B">
      <w:pPr>
        <w:tabs>
          <w:tab w:val="left" w:pos="567"/>
        </w:tabs>
        <w:autoSpaceDE w:val="0"/>
        <w:autoSpaceDN w:val="0"/>
        <w:adjustRightInd w:val="0"/>
        <w:spacing w:line="360" w:lineRule="auto"/>
        <w:ind w:firstLine="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若投标人出现超低报价，有可能影响服务质量和不能诚信履约的，评标委员会将要求该投标人作出书面说明并提供相关证明材料，以确定投标人是否以低于企业成本价报价。若投标人不能合理说明或不能提供相关证明材料的，评标委员会将认定其投标报价低于成本，同时否决其投标。</w:t>
      </w:r>
    </w:p>
    <w:p w14:paraId="23BD296A">
      <w:pPr>
        <w:tabs>
          <w:tab w:val="left" w:pos="567"/>
        </w:tabs>
        <w:autoSpaceDE w:val="0"/>
        <w:autoSpaceDN w:val="0"/>
        <w:adjustRightInd w:val="0"/>
        <w:spacing w:line="360" w:lineRule="auto"/>
        <w:ind w:firstLine="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对是否低于企业成本价报价的事宜有争议的投标文件，评标委员会成员将以记名方式表决，</w:t>
      </w:r>
      <w:r>
        <w:rPr>
          <w:rFonts w:hint="eastAsia" w:ascii="宋体" w:hAnsi="宋体" w:eastAsia="宋体" w:cs="宋体"/>
          <w:b/>
          <w:color w:val="auto"/>
          <w:szCs w:val="21"/>
          <w:highlight w:val="none"/>
          <w:lang w:val="en-US" w:eastAsia="zh-CN"/>
        </w:rPr>
        <w:t>根据少数服从多数的原则，获多数表决通过</w:t>
      </w:r>
      <w:r>
        <w:rPr>
          <w:rFonts w:hint="eastAsia" w:ascii="宋体" w:hAnsi="宋体" w:eastAsia="宋体" w:cs="宋体"/>
          <w:b/>
          <w:color w:val="auto"/>
          <w:szCs w:val="21"/>
          <w:highlight w:val="none"/>
          <w:lang w:val="zh-CN"/>
        </w:rPr>
        <w:t>的投标人才有资格进入下一阶段的评审，否则将按无效投标处理。</w:t>
      </w:r>
    </w:p>
    <w:p w14:paraId="563CB768">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11.2</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本项目投标报价为不含税价，即为《中华人民共和国增值税暂行条例》（国务院令第691号修订版）规定的销售额</w:t>
      </w:r>
      <w:r>
        <w:rPr>
          <w:rFonts w:hint="eastAsia" w:ascii="宋体" w:hAnsi="宋体" w:eastAsia="宋体" w:cs="宋体"/>
          <w:color w:val="auto"/>
          <w:szCs w:val="21"/>
          <w:highlight w:val="none"/>
          <w:lang w:val="zh-CN"/>
        </w:rPr>
        <w:t>。本招标文件所称的不含税价和不含税合同价是指不含本采购项目投标人的销项税额，包含了投标人完成合同义务（含投标人代缴代扣、分包及委外服务、安装、采购货物等所产生的价税）的其他全部费用。本采购项目的销项税额由招标人承担，不计入投标报价。</w:t>
      </w:r>
      <w:r>
        <w:rPr>
          <w:rFonts w:hint="eastAsia" w:ascii="宋体" w:hAnsi="宋体" w:eastAsia="宋体" w:cs="宋体"/>
          <w:color w:val="auto"/>
          <w:kern w:val="0"/>
          <w:szCs w:val="21"/>
          <w:highlight w:val="none"/>
        </w:rPr>
        <w:t>本采购项目投标报价已含投标人履行本招标内容全部义务的一切费用，包括但不限于：</w:t>
      </w:r>
    </w:p>
    <w:p w14:paraId="091E79C0">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kern w:val="2"/>
          <w:sz w:val="21"/>
          <w:szCs w:val="21"/>
          <w:highlight w:val="none"/>
        </w:rPr>
        <w:t>人工费（工资及福利、社保、膳食、意外伤害保险、加班费、住宿补贴等）</w:t>
      </w:r>
      <w:r>
        <w:rPr>
          <w:rFonts w:hint="eastAsia" w:ascii="宋体" w:hAnsi="宋体" w:eastAsia="宋体" w:cs="宋体"/>
          <w:color w:val="auto"/>
          <w:szCs w:val="21"/>
          <w:highlight w:val="none"/>
          <w:lang w:val="zh-CN"/>
        </w:rPr>
        <w:t>；</w:t>
      </w:r>
    </w:p>
    <w:p w14:paraId="452E6753">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kern w:val="2"/>
          <w:sz w:val="21"/>
          <w:szCs w:val="21"/>
          <w:highlight w:val="none"/>
          <w:lang w:val="zh-CN"/>
        </w:rPr>
        <w:t>办公费</w:t>
      </w:r>
      <w:r>
        <w:rPr>
          <w:rFonts w:hint="eastAsia" w:ascii="宋体" w:hAnsi="宋体" w:eastAsia="宋体" w:cs="宋体"/>
          <w:color w:val="auto"/>
          <w:szCs w:val="21"/>
          <w:highlight w:val="none"/>
          <w:lang w:val="zh-CN"/>
        </w:rPr>
        <w:t>；</w:t>
      </w:r>
    </w:p>
    <w:p w14:paraId="223E4E47">
      <w:pPr>
        <w:autoSpaceDE/>
        <w:autoSpaceDN/>
        <w:adjustRightInd/>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w:t>
      </w:r>
      <w:r>
        <w:rPr>
          <w:rFonts w:hint="eastAsia" w:ascii="宋体" w:hAnsi="宋体" w:eastAsia="宋体" w:cs="宋体"/>
          <w:color w:val="auto"/>
          <w:kern w:val="2"/>
          <w:sz w:val="21"/>
          <w:szCs w:val="21"/>
          <w:highlight w:val="none"/>
          <w:lang w:val="zh-CN"/>
        </w:rPr>
        <w:t>交通费</w:t>
      </w:r>
      <w:r>
        <w:rPr>
          <w:rFonts w:hint="eastAsia" w:ascii="宋体" w:hAnsi="宋体" w:eastAsia="宋体" w:cs="宋体"/>
          <w:color w:val="auto"/>
          <w:szCs w:val="21"/>
          <w:highlight w:val="none"/>
          <w:lang w:val="zh-CN"/>
        </w:rPr>
        <w:t>；</w:t>
      </w:r>
    </w:p>
    <w:p w14:paraId="59DBCA54">
      <w:pPr>
        <w:spacing w:line="360" w:lineRule="auto"/>
        <w:ind w:left="315" w:leftChars="-100" w:hanging="525" w:hangingChars="250"/>
        <w:outlineLvl w:val="9"/>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lang w:val="zh-CN" w:eastAsia="zh-CN"/>
        </w:rPr>
        <w:t>4</w:t>
      </w:r>
      <w:r>
        <w:rPr>
          <w:rFonts w:hint="eastAsia" w:ascii="宋体" w:hAnsi="宋体" w:eastAsia="宋体" w:cs="宋体"/>
          <w:color w:val="auto"/>
          <w:szCs w:val="21"/>
          <w:highlight w:val="none"/>
          <w:lang w:val="zh-CN"/>
        </w:rPr>
        <w:t>）</w:t>
      </w:r>
      <w:r>
        <w:rPr>
          <w:rFonts w:hint="eastAsia" w:ascii="宋体" w:hAnsi="宋体" w:eastAsia="宋体" w:cs="宋体"/>
          <w:color w:val="auto"/>
          <w:kern w:val="2"/>
          <w:sz w:val="21"/>
          <w:szCs w:val="21"/>
          <w:highlight w:val="none"/>
          <w:lang w:val="zh-CN"/>
        </w:rPr>
        <w:t>管理费用</w:t>
      </w:r>
      <w:r>
        <w:rPr>
          <w:rFonts w:hint="eastAsia" w:ascii="宋体" w:hAnsi="宋体" w:eastAsia="宋体" w:cs="宋体"/>
          <w:color w:val="auto"/>
          <w:kern w:val="2"/>
          <w:sz w:val="21"/>
          <w:szCs w:val="21"/>
          <w:highlight w:val="none"/>
          <w:lang w:val="zh-CN" w:eastAsia="zh-CN"/>
        </w:rPr>
        <w:t>；</w:t>
      </w:r>
    </w:p>
    <w:p w14:paraId="51260D31">
      <w:pPr>
        <w:spacing w:line="360" w:lineRule="auto"/>
        <w:ind w:left="315" w:leftChars="-100" w:hanging="525" w:hangingChars="250"/>
        <w:outlineLvl w:val="9"/>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（5）</w:t>
      </w:r>
      <w:r>
        <w:rPr>
          <w:rFonts w:hint="eastAsia" w:ascii="宋体" w:hAnsi="宋体" w:eastAsia="宋体" w:cs="宋体"/>
          <w:color w:val="auto"/>
          <w:kern w:val="2"/>
          <w:sz w:val="21"/>
          <w:szCs w:val="21"/>
          <w:highlight w:val="none"/>
          <w:lang w:val="zh-CN"/>
        </w:rPr>
        <w:t>保险</w:t>
      </w:r>
      <w:r>
        <w:rPr>
          <w:rFonts w:hint="eastAsia" w:ascii="宋体" w:hAnsi="宋体" w:eastAsia="宋体" w:cs="宋体"/>
          <w:color w:val="auto"/>
          <w:kern w:val="2"/>
          <w:sz w:val="21"/>
          <w:szCs w:val="21"/>
          <w:highlight w:val="none"/>
          <w:lang w:val="zh-CN" w:eastAsia="zh-CN"/>
        </w:rPr>
        <w:t>；</w:t>
      </w:r>
    </w:p>
    <w:p w14:paraId="68BB3181">
      <w:pPr>
        <w:spacing w:line="360" w:lineRule="auto"/>
        <w:ind w:left="315" w:leftChars="-100" w:hanging="525" w:hangingChars="250"/>
        <w:outlineLvl w:val="9"/>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（6）</w:t>
      </w:r>
      <w:r>
        <w:rPr>
          <w:rFonts w:hint="eastAsia" w:ascii="宋体" w:hAnsi="宋体" w:eastAsia="宋体" w:cs="宋体"/>
          <w:color w:val="auto"/>
          <w:kern w:val="2"/>
          <w:sz w:val="21"/>
          <w:szCs w:val="21"/>
          <w:highlight w:val="none"/>
          <w:lang w:val="zh-CN"/>
        </w:rPr>
        <w:t>利润</w:t>
      </w:r>
      <w:r>
        <w:rPr>
          <w:rFonts w:hint="eastAsia" w:ascii="宋体" w:hAnsi="宋体" w:eastAsia="宋体" w:cs="宋体"/>
          <w:color w:val="auto"/>
          <w:kern w:val="2"/>
          <w:sz w:val="21"/>
          <w:szCs w:val="21"/>
          <w:highlight w:val="none"/>
          <w:lang w:val="zh-CN" w:eastAsia="zh-CN"/>
        </w:rPr>
        <w:t>；</w:t>
      </w:r>
    </w:p>
    <w:p w14:paraId="392B6A24">
      <w:pPr>
        <w:spacing w:line="360" w:lineRule="auto"/>
        <w:ind w:left="315" w:leftChars="-100" w:hanging="525" w:hangingChars="250"/>
        <w:outlineLvl w:val="9"/>
        <w:rPr>
          <w:rFonts w:hint="eastAsia" w:ascii="宋体" w:hAnsi="宋体" w:eastAsia="宋体" w:cs="宋体"/>
          <w:color w:val="auto"/>
          <w:kern w:val="2"/>
          <w:sz w:val="21"/>
          <w:szCs w:val="21"/>
          <w:highlight w:val="none"/>
          <w:lang w:val="zh-CN" w:eastAsia="zh-CN"/>
        </w:rPr>
      </w:pPr>
      <w:r>
        <w:rPr>
          <w:rFonts w:hint="eastAsia" w:ascii="宋体" w:hAnsi="宋体" w:eastAsia="宋体" w:cs="宋体"/>
          <w:color w:val="auto"/>
          <w:kern w:val="2"/>
          <w:sz w:val="21"/>
          <w:szCs w:val="21"/>
          <w:highlight w:val="none"/>
          <w:lang w:val="zh-CN" w:eastAsia="zh-CN"/>
        </w:rPr>
        <w:t>（7）</w:t>
      </w:r>
      <w:r>
        <w:rPr>
          <w:rFonts w:hint="eastAsia" w:ascii="宋体" w:hAnsi="宋体" w:eastAsia="宋体" w:cs="宋体"/>
          <w:color w:val="auto"/>
          <w:kern w:val="2"/>
          <w:sz w:val="21"/>
          <w:szCs w:val="21"/>
          <w:highlight w:val="none"/>
          <w:lang w:val="zh-CN"/>
        </w:rPr>
        <w:t>本项目所发生的供应商销项税额以外的税费</w:t>
      </w:r>
      <w:r>
        <w:rPr>
          <w:rFonts w:hint="eastAsia" w:ascii="宋体" w:hAnsi="宋体" w:eastAsia="宋体" w:cs="宋体"/>
          <w:color w:val="auto"/>
          <w:kern w:val="2"/>
          <w:sz w:val="21"/>
          <w:szCs w:val="21"/>
          <w:highlight w:val="none"/>
          <w:lang w:val="zh-CN" w:eastAsia="zh-CN"/>
        </w:rPr>
        <w:t>；</w:t>
      </w:r>
    </w:p>
    <w:p w14:paraId="72AC91A8">
      <w:pPr>
        <w:spacing w:line="360" w:lineRule="auto"/>
        <w:ind w:left="315" w:leftChars="-100" w:hanging="525" w:hangingChars="250"/>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kern w:val="2"/>
          <w:sz w:val="21"/>
          <w:szCs w:val="21"/>
          <w:highlight w:val="none"/>
          <w:lang w:val="zh-CN" w:eastAsia="zh-CN"/>
        </w:rPr>
        <w:t>（8）</w:t>
      </w:r>
      <w:r>
        <w:rPr>
          <w:rFonts w:hint="eastAsia" w:ascii="宋体" w:hAnsi="宋体" w:eastAsia="宋体" w:cs="宋体"/>
          <w:color w:val="auto"/>
          <w:kern w:val="2"/>
          <w:sz w:val="21"/>
          <w:szCs w:val="21"/>
          <w:highlight w:val="none"/>
          <w:lang w:val="zh-CN"/>
        </w:rPr>
        <w:t>其他完成本合同下服务相关的直接及间接费用（如劳务</w:t>
      </w:r>
      <w:r>
        <w:rPr>
          <w:rFonts w:hint="eastAsia" w:ascii="宋体" w:hAnsi="宋体" w:eastAsia="宋体" w:cs="宋体"/>
          <w:color w:val="auto"/>
          <w:kern w:val="2"/>
          <w:sz w:val="21"/>
          <w:szCs w:val="21"/>
          <w:highlight w:val="none"/>
          <w:lang w:val="zh-CN" w:eastAsia="zh-CN"/>
        </w:rPr>
        <w:t>服务人员</w:t>
      </w:r>
      <w:r>
        <w:rPr>
          <w:rFonts w:hint="eastAsia" w:ascii="宋体" w:hAnsi="宋体" w:eastAsia="宋体" w:cs="宋体"/>
          <w:color w:val="auto"/>
          <w:kern w:val="2"/>
          <w:sz w:val="21"/>
          <w:szCs w:val="21"/>
          <w:highlight w:val="none"/>
          <w:lang w:val="zh-CN"/>
        </w:rPr>
        <w:t>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r>
        <w:rPr>
          <w:rFonts w:hint="eastAsia" w:ascii="宋体" w:hAnsi="宋体" w:eastAsia="宋体" w:cs="宋体"/>
          <w:color w:val="auto"/>
          <w:kern w:val="2"/>
          <w:sz w:val="21"/>
          <w:szCs w:val="21"/>
          <w:highlight w:val="none"/>
          <w:lang w:val="zh-CN" w:eastAsia="zh-CN"/>
        </w:rPr>
        <w:t>。</w:t>
      </w:r>
    </w:p>
    <w:p w14:paraId="15E4BE6A">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11.3 </w:t>
      </w:r>
      <w:r>
        <w:rPr>
          <w:rFonts w:hint="eastAsia" w:ascii="宋体" w:hAnsi="宋体" w:eastAsia="宋体" w:cs="宋体"/>
          <w:color w:val="auto"/>
          <w:szCs w:val="21"/>
          <w:highlight w:val="none"/>
          <w:lang w:val="zh-CN"/>
        </w:rPr>
        <w:t>投标人根据</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file:///E:\\招标文件\\用户目录\\Documents\\WeChat%20Files\\wxid_d71qzxy6fjr811\\FileStorage\\File\\2021-09\\1、挂网资料、呈批表-抽取专家模板\\挂网资料（东莞市水务集团净水有限公司保安服务定点采购项目）\\挂网资料（东莞市长安锦厦三洲水质净化厂提标工程新增格栅机、闸门等设备采购项目）\\石鼓工作（201807）\\01%20%20项目资料\\Administrator\\AppData\\Roaming\\Microsoft\\Word\\AppData\\审核工作\\审核的文件\\l" </w:instrText>
      </w:r>
      <w:r>
        <w:rPr>
          <w:rFonts w:hint="eastAsia" w:ascii="宋体" w:hAnsi="宋体" w:eastAsia="宋体" w:cs="宋体"/>
          <w:color w:val="auto"/>
          <w:highlight w:val="none"/>
        </w:rPr>
        <w:fldChar w:fldCharType="separate"/>
      </w:r>
      <w:r>
        <w:rPr>
          <w:rFonts w:hint="eastAsia" w:ascii="宋体" w:hAnsi="宋体" w:eastAsia="宋体" w:cs="宋体"/>
          <w:color w:val="auto"/>
          <w:szCs w:val="21"/>
          <w:highlight w:val="none"/>
          <w:lang w:val="zh-CN"/>
        </w:rPr>
        <w:t>第11.</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款</w:t>
      </w:r>
      <w:r>
        <w:rPr>
          <w:rFonts w:hint="eastAsia" w:ascii="宋体" w:hAnsi="宋体" w:eastAsia="宋体" w:cs="宋体"/>
          <w:color w:val="auto"/>
          <w:szCs w:val="21"/>
          <w:highlight w:val="none"/>
          <w:lang w:val="zh-CN"/>
        </w:rPr>
        <w:fldChar w:fldCharType="end"/>
      </w:r>
      <w:r>
        <w:rPr>
          <w:rFonts w:hint="eastAsia" w:ascii="宋体" w:hAnsi="宋体" w:eastAsia="宋体" w:cs="宋体"/>
          <w:color w:val="auto"/>
          <w:szCs w:val="21"/>
          <w:highlight w:val="none"/>
          <w:lang w:val="zh-CN"/>
        </w:rPr>
        <w:t>所报的价格分项仅供评标委员会评审时使用；在任何情况下不限制投标人以不同的条件中标的权利。</w:t>
      </w:r>
    </w:p>
    <w:p w14:paraId="35611C1C">
      <w:pPr>
        <w:autoSpaceDE w:val="0"/>
        <w:autoSpaceDN w:val="0"/>
        <w:adjustRightInd w:val="0"/>
        <w:spacing w:line="360" w:lineRule="auto"/>
        <w:ind w:left="268" w:leftChars="-100" w:hanging="478" w:hangingChars="228"/>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11.4 在合同期间，投标报价不随国家政策或法规、标准、市场因素及采购数量的变化而进行调整</w:t>
      </w: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rPr>
        <w:t xml:space="preserve"> </w:t>
      </w:r>
    </w:p>
    <w:p w14:paraId="605DCEED">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 xml:space="preserve">11.5 </w:t>
      </w:r>
      <w:r>
        <w:rPr>
          <w:rFonts w:hint="eastAsia" w:ascii="宋体" w:hAnsi="宋体" w:eastAsia="宋体" w:cs="宋体"/>
          <w:b/>
          <w:bCs/>
          <w:color w:val="auto"/>
          <w:szCs w:val="21"/>
          <w:highlight w:val="none"/>
          <w:lang w:val="zh-CN"/>
        </w:rPr>
        <w:t>合同项下，招标人需要的</w:t>
      </w:r>
      <w:r>
        <w:rPr>
          <w:rFonts w:hint="eastAsia" w:ascii="宋体" w:hAnsi="宋体" w:eastAsia="宋体" w:cs="宋体"/>
          <w:b/>
          <w:bCs/>
          <w:color w:val="auto"/>
          <w:szCs w:val="21"/>
          <w:highlight w:val="none"/>
          <w:lang w:val="en-US" w:eastAsia="zh-CN"/>
        </w:rPr>
        <w:t>相关</w:t>
      </w:r>
      <w:r>
        <w:rPr>
          <w:rFonts w:hint="eastAsia" w:ascii="宋体" w:hAnsi="宋体" w:eastAsia="宋体" w:cs="宋体"/>
          <w:b/>
          <w:bCs/>
          <w:color w:val="auto"/>
          <w:szCs w:val="21"/>
          <w:highlight w:val="none"/>
          <w:lang w:val="zh-CN"/>
        </w:rPr>
        <w:t>服务所需的费用，投标人都应计入投标报价总价。</w:t>
      </w:r>
    </w:p>
    <w:p w14:paraId="0668EE5C">
      <w:pPr>
        <w:autoSpaceDE w:val="0"/>
        <w:autoSpaceDN w:val="0"/>
        <w:adjustRightInd w:val="0"/>
        <w:spacing w:line="360" w:lineRule="auto"/>
        <w:ind w:left="357" w:leftChars="-100" w:hanging="567"/>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11.6</w:t>
      </w:r>
      <w:r>
        <w:rPr>
          <w:rFonts w:hint="eastAsia" w:ascii="宋体" w:hAnsi="宋体" w:eastAsia="宋体" w:cs="宋体"/>
          <w:b/>
          <w:bCs/>
          <w:color w:val="auto"/>
          <w:szCs w:val="21"/>
          <w:highlight w:val="none"/>
          <w:u w:val="single"/>
        </w:rPr>
        <w:t xml:space="preserve"> </w:t>
      </w:r>
      <w:r>
        <w:rPr>
          <w:rFonts w:hint="eastAsia" w:ascii="宋体" w:hAnsi="宋体" w:eastAsia="宋体" w:cs="宋体"/>
          <w:b/>
          <w:color w:val="auto"/>
          <w:szCs w:val="21"/>
          <w:highlight w:val="none"/>
          <w:u w:val="single"/>
          <w:lang w:val="zh-CN"/>
        </w:rPr>
        <w:t>投标人</w:t>
      </w:r>
      <w:r>
        <w:rPr>
          <w:rFonts w:hint="eastAsia" w:ascii="宋体" w:hAnsi="宋体" w:eastAsia="宋体" w:cs="宋体"/>
          <w:b/>
          <w:bCs/>
          <w:color w:val="auto"/>
          <w:kern w:val="0"/>
          <w:szCs w:val="24"/>
          <w:highlight w:val="none"/>
          <w:u w:val="single"/>
        </w:rPr>
        <w:t>的投标报价高于最高投标限价</w:t>
      </w:r>
      <w:r>
        <w:rPr>
          <w:rFonts w:hint="eastAsia" w:ascii="宋体" w:hAnsi="宋体" w:eastAsia="宋体" w:cs="宋体"/>
          <w:b/>
          <w:color w:val="auto"/>
          <w:szCs w:val="21"/>
          <w:highlight w:val="none"/>
          <w:u w:val="single"/>
          <w:lang w:val="zh-CN"/>
        </w:rPr>
        <w:t>或各岗位类型人员每人每月的投标综合单价超过综合单价采购限价</w:t>
      </w:r>
      <w:r>
        <w:rPr>
          <w:rFonts w:hint="eastAsia" w:ascii="宋体" w:hAnsi="宋体" w:eastAsia="宋体" w:cs="宋体"/>
          <w:b/>
          <w:bCs/>
          <w:color w:val="auto"/>
          <w:kern w:val="0"/>
          <w:szCs w:val="24"/>
          <w:highlight w:val="none"/>
          <w:u w:val="single"/>
        </w:rPr>
        <w:t>的，该投标人的投标文件将被视为无效投标</w:t>
      </w:r>
      <w:r>
        <w:rPr>
          <w:rFonts w:hint="eastAsia" w:ascii="宋体" w:hAnsi="宋体" w:eastAsia="宋体" w:cs="宋体"/>
          <w:b/>
          <w:color w:val="auto"/>
          <w:szCs w:val="21"/>
          <w:highlight w:val="none"/>
          <w:u w:val="single"/>
          <w:lang w:val="zh-CN"/>
        </w:rPr>
        <w:t>。本项目的不含税最高投标限价</w:t>
      </w:r>
      <w:r>
        <w:rPr>
          <w:rFonts w:hint="eastAsia" w:ascii="宋体" w:hAnsi="宋体" w:eastAsia="宋体" w:cs="宋体"/>
          <w:b/>
          <w:bCs/>
          <w:color w:val="auto"/>
          <w:szCs w:val="21"/>
          <w:highlight w:val="none"/>
          <w:u w:val="single"/>
          <w:lang w:val="zh-CN"/>
        </w:rPr>
        <w:t>为</w:t>
      </w:r>
      <w:r>
        <w:rPr>
          <w:rFonts w:hint="eastAsia" w:ascii="宋体" w:hAnsi="宋体" w:eastAsia="宋体" w:cs="宋体"/>
          <w:b/>
          <w:bCs/>
          <w:color w:val="auto"/>
          <w:szCs w:val="21"/>
          <w:highlight w:val="none"/>
          <w:u w:val="single"/>
          <w:lang w:val="en-US" w:eastAsia="zh-CN"/>
        </w:rPr>
        <w:t>3,233,281.44</w:t>
      </w:r>
      <w:r>
        <w:rPr>
          <w:rFonts w:hint="eastAsia" w:ascii="宋体" w:hAnsi="宋体" w:eastAsia="宋体" w:cs="宋体"/>
          <w:b/>
          <w:bCs/>
          <w:color w:val="auto"/>
          <w:szCs w:val="21"/>
          <w:highlight w:val="none"/>
          <w:u w:val="single"/>
          <w:lang w:val="zh-CN"/>
        </w:rPr>
        <w:t>元（大写</w:t>
      </w:r>
      <w:r>
        <w:rPr>
          <w:rFonts w:hint="eastAsia" w:ascii="宋体" w:hAnsi="宋体" w:eastAsia="宋体" w:cs="宋体"/>
          <w:b/>
          <w:color w:val="auto"/>
          <w:szCs w:val="21"/>
          <w:highlight w:val="none"/>
          <w:u w:val="single"/>
          <w:lang w:val="zh-CN"/>
        </w:rPr>
        <w:t>：人民币</w:t>
      </w:r>
      <w:r>
        <w:rPr>
          <w:rFonts w:hint="eastAsia" w:ascii="宋体" w:hAnsi="宋体" w:eastAsia="宋体" w:cs="宋体"/>
          <w:b/>
          <w:color w:val="auto"/>
          <w:szCs w:val="21"/>
          <w:highlight w:val="none"/>
          <w:u w:val="single"/>
          <w:lang w:val="en-US" w:eastAsia="zh-CN"/>
        </w:rPr>
        <w:t>叁佰贰拾叁万叁仟贰佰捌拾壹元肆角肆分</w:t>
      </w:r>
      <w:r>
        <w:rPr>
          <w:rFonts w:hint="eastAsia" w:ascii="宋体" w:hAnsi="宋体" w:eastAsia="宋体" w:cs="宋体"/>
          <w:b/>
          <w:color w:val="auto"/>
          <w:szCs w:val="21"/>
          <w:highlight w:val="none"/>
          <w:u w:val="single"/>
          <w:lang w:val="zh-CN"/>
        </w:rPr>
        <w:t>），各岗位类型人员每人每月综合单价采购限价（不含税）：厨师</w:t>
      </w:r>
      <w:r>
        <w:rPr>
          <w:rFonts w:hint="eastAsia" w:ascii="宋体" w:hAnsi="宋体" w:eastAsia="宋体" w:cs="宋体"/>
          <w:b/>
          <w:color w:val="auto"/>
          <w:szCs w:val="21"/>
          <w:highlight w:val="none"/>
          <w:u w:val="single"/>
          <w:lang w:val="en-US" w:eastAsia="zh-CN"/>
        </w:rPr>
        <w:t>8,069.58</w:t>
      </w:r>
      <w:r>
        <w:rPr>
          <w:rFonts w:hint="eastAsia" w:ascii="宋体" w:hAnsi="宋体" w:eastAsia="宋体" w:cs="宋体"/>
          <w:b/>
          <w:color w:val="auto"/>
          <w:szCs w:val="21"/>
          <w:highlight w:val="none"/>
          <w:u w:val="single"/>
          <w:lang w:val="zh-CN"/>
        </w:rPr>
        <w:t>元/人/月，厨工</w:t>
      </w:r>
      <w:r>
        <w:rPr>
          <w:rFonts w:hint="eastAsia" w:ascii="宋体" w:hAnsi="宋体" w:eastAsia="宋体" w:cs="宋体"/>
          <w:b/>
          <w:color w:val="auto"/>
          <w:szCs w:val="21"/>
          <w:highlight w:val="none"/>
          <w:u w:val="single"/>
          <w:lang w:val="en-US" w:eastAsia="zh-CN"/>
        </w:rPr>
        <w:t>5,243.63</w:t>
      </w:r>
      <w:r>
        <w:rPr>
          <w:rFonts w:hint="eastAsia" w:ascii="宋体" w:hAnsi="宋体" w:eastAsia="宋体" w:cs="宋体"/>
          <w:b/>
          <w:color w:val="auto"/>
          <w:szCs w:val="21"/>
          <w:highlight w:val="none"/>
          <w:u w:val="single"/>
          <w:lang w:val="zh-CN"/>
        </w:rPr>
        <w:t>元/人/月，清洁工</w:t>
      </w:r>
      <w:r>
        <w:rPr>
          <w:rFonts w:hint="eastAsia" w:ascii="宋体" w:hAnsi="宋体" w:eastAsia="宋体" w:cs="宋体"/>
          <w:b/>
          <w:color w:val="auto"/>
          <w:szCs w:val="21"/>
          <w:highlight w:val="none"/>
          <w:u w:val="single"/>
          <w:lang w:val="en-US" w:eastAsia="zh-CN"/>
        </w:rPr>
        <w:t>4,610.85</w:t>
      </w:r>
      <w:r>
        <w:rPr>
          <w:rFonts w:hint="eastAsia" w:ascii="宋体" w:hAnsi="宋体" w:eastAsia="宋体" w:cs="宋体"/>
          <w:b/>
          <w:color w:val="auto"/>
          <w:szCs w:val="21"/>
          <w:highlight w:val="none"/>
          <w:u w:val="single"/>
          <w:lang w:val="zh-CN"/>
        </w:rPr>
        <w:t>元/人/月，服务员（</w:t>
      </w:r>
      <w:r>
        <w:rPr>
          <w:rFonts w:hint="eastAsia" w:ascii="宋体" w:hAnsi="宋体" w:eastAsia="宋体" w:cs="宋体"/>
          <w:b/>
          <w:color w:val="auto"/>
          <w:szCs w:val="21"/>
          <w:highlight w:val="none"/>
          <w:u w:val="single"/>
          <w:lang w:val="en-US" w:eastAsia="zh-CN"/>
        </w:rPr>
        <w:t>兼前台</w:t>
      </w:r>
      <w:r>
        <w:rPr>
          <w:rFonts w:hint="eastAsia" w:ascii="宋体" w:hAnsi="宋体" w:eastAsia="宋体" w:cs="宋体"/>
          <w:b/>
          <w:color w:val="auto"/>
          <w:szCs w:val="21"/>
          <w:highlight w:val="none"/>
          <w:u w:val="single"/>
          <w:lang w:val="zh-CN"/>
        </w:rPr>
        <w:t>）</w:t>
      </w:r>
      <w:r>
        <w:rPr>
          <w:rFonts w:hint="eastAsia" w:ascii="宋体" w:hAnsi="宋体" w:eastAsia="宋体" w:cs="宋体"/>
          <w:b/>
          <w:color w:val="auto"/>
          <w:szCs w:val="21"/>
          <w:highlight w:val="none"/>
          <w:u w:val="single"/>
          <w:lang w:val="en-US" w:eastAsia="zh-CN"/>
        </w:rPr>
        <w:t>6,233.49</w:t>
      </w:r>
      <w:r>
        <w:rPr>
          <w:rFonts w:hint="eastAsia" w:ascii="宋体" w:hAnsi="宋体" w:eastAsia="宋体" w:cs="宋体"/>
          <w:b/>
          <w:color w:val="auto"/>
          <w:szCs w:val="21"/>
          <w:highlight w:val="none"/>
          <w:u w:val="single"/>
          <w:lang w:val="zh-CN"/>
        </w:rPr>
        <w:t>元/人/月。</w:t>
      </w:r>
    </w:p>
    <w:p w14:paraId="607F7603">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 xml:space="preserve">     </w:t>
      </w:r>
    </w:p>
    <w:p w14:paraId="009B6919">
      <w:pPr>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134" w:name="_Toc3469"/>
      <w:bookmarkStart w:id="135" w:name="_Toc142508326"/>
      <w:bookmarkStart w:id="136" w:name="_Toc20312"/>
      <w:bookmarkStart w:id="137" w:name="_Toc30042_WPSOffice_Level3"/>
      <w:bookmarkStart w:id="138" w:name="_Toc450662862"/>
      <w:bookmarkStart w:id="139" w:name="_Toc486167676"/>
      <w:bookmarkStart w:id="140" w:name="_Toc11090"/>
      <w:r>
        <w:rPr>
          <w:rFonts w:hint="eastAsia" w:ascii="宋体" w:hAnsi="宋体" w:eastAsia="宋体" w:cs="宋体"/>
          <w:b/>
          <w:color w:val="auto"/>
          <w:szCs w:val="21"/>
          <w:highlight w:val="none"/>
          <w:lang w:val="zh-CN"/>
        </w:rPr>
        <w:t>12 投标报价货币</w:t>
      </w:r>
      <w:bookmarkEnd w:id="134"/>
      <w:bookmarkEnd w:id="135"/>
      <w:bookmarkEnd w:id="136"/>
      <w:bookmarkEnd w:id="137"/>
      <w:bookmarkEnd w:id="138"/>
      <w:bookmarkEnd w:id="139"/>
      <w:bookmarkEnd w:id="140"/>
    </w:p>
    <w:p w14:paraId="0863E426">
      <w:pPr>
        <w:autoSpaceDE w:val="0"/>
        <w:autoSpaceDN w:val="0"/>
        <w:adjustRightInd w:val="0"/>
        <w:spacing w:line="360" w:lineRule="auto"/>
        <w:ind w:left="265" w:leftChars="119" w:hanging="15"/>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投标报价表上的价格须以人民币报价，以其</w:t>
      </w:r>
      <w:r>
        <w:rPr>
          <w:rFonts w:hint="eastAsia" w:ascii="宋体" w:hAnsi="宋体" w:eastAsia="宋体" w:cs="宋体"/>
          <w:b/>
          <w:color w:val="auto"/>
          <w:szCs w:val="21"/>
          <w:highlight w:val="none"/>
          <w:lang w:val="en-US" w:eastAsia="zh-CN"/>
        </w:rPr>
        <w:t>他</w:t>
      </w:r>
      <w:r>
        <w:rPr>
          <w:rFonts w:hint="eastAsia" w:ascii="宋体" w:hAnsi="宋体" w:eastAsia="宋体" w:cs="宋体"/>
          <w:b/>
          <w:color w:val="auto"/>
          <w:szCs w:val="21"/>
          <w:highlight w:val="none"/>
          <w:lang w:val="zh-CN"/>
        </w:rPr>
        <w:t>货币标价的投标将予以拒绝。</w:t>
      </w:r>
    </w:p>
    <w:p w14:paraId="4F45AF18">
      <w:pPr>
        <w:autoSpaceDE w:val="0"/>
        <w:autoSpaceDN w:val="0"/>
        <w:adjustRightInd w:val="0"/>
        <w:spacing w:line="360" w:lineRule="auto"/>
        <w:ind w:left="265" w:leftChars="119" w:hanging="15"/>
        <w:outlineLvl w:val="9"/>
        <w:rPr>
          <w:rFonts w:hint="eastAsia" w:ascii="宋体" w:hAnsi="宋体" w:eastAsia="宋体" w:cs="宋体"/>
          <w:color w:val="auto"/>
          <w:szCs w:val="21"/>
          <w:highlight w:val="none"/>
        </w:rPr>
      </w:pPr>
    </w:p>
    <w:p w14:paraId="620B01CF">
      <w:pPr>
        <w:tabs>
          <w:tab w:val="left" w:pos="570"/>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41" w:name="_Toc10470"/>
      <w:bookmarkStart w:id="142" w:name="_Toc142508327"/>
      <w:bookmarkStart w:id="143" w:name="_Toc9411_WPSOffice_Level3"/>
      <w:bookmarkStart w:id="144" w:name="_Toc3961"/>
      <w:bookmarkStart w:id="145" w:name="_Toc20031"/>
      <w:bookmarkStart w:id="146" w:name="_Toc450662863"/>
      <w:bookmarkStart w:id="147" w:name="_Toc486167677"/>
      <w:r>
        <w:rPr>
          <w:rFonts w:hint="eastAsia" w:ascii="宋体" w:hAnsi="宋体" w:eastAsia="宋体" w:cs="宋体"/>
          <w:color w:val="auto"/>
          <w:szCs w:val="21"/>
          <w:highlight w:val="none"/>
          <w:lang w:val="zh-CN"/>
        </w:rPr>
        <w:t>13 证明投标人的合格性和资格的声明文件</w:t>
      </w:r>
      <w:bookmarkEnd w:id="141"/>
      <w:bookmarkEnd w:id="142"/>
      <w:bookmarkEnd w:id="143"/>
      <w:bookmarkEnd w:id="144"/>
      <w:bookmarkEnd w:id="145"/>
      <w:bookmarkEnd w:id="146"/>
      <w:bookmarkEnd w:id="147"/>
    </w:p>
    <w:p w14:paraId="63FF65F8">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根据第2条、第13.2款规定，投标人须提交证明其有资格进行投标和有能力履行合同的文件，作为投标文件的一部分。</w:t>
      </w:r>
    </w:p>
    <w:p w14:paraId="0666FA02">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vertAlign w:val="superscript"/>
          <w:lang w:val="zh-CN"/>
        </w:rPr>
      </w:pPr>
      <w:r>
        <w:rPr>
          <w:rFonts w:hint="eastAsia" w:ascii="宋体" w:hAnsi="宋体" w:eastAsia="宋体" w:cs="宋体"/>
          <w:color w:val="auto"/>
          <w:szCs w:val="21"/>
          <w:highlight w:val="none"/>
          <w:lang w:val="zh-CN"/>
        </w:rPr>
        <w:t>13.2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投标人提供的履行合同的资格声明文件应符合：</w:t>
      </w:r>
    </w:p>
    <w:p w14:paraId="469D1E43">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（1）符合《中华人民共和国招标投标法》《中华人民共和国招标投标法实施条例》投标人应当具备的条件；</w:t>
      </w:r>
    </w:p>
    <w:p w14:paraId="55909429">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（2）投标人具有履行本项目所必须的证明文件；</w:t>
      </w:r>
    </w:p>
    <w:p w14:paraId="3149E6A1">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（3）投标人证明其相应资格符合或优于招标文件要求的其它文件。</w:t>
      </w:r>
    </w:p>
    <w:p w14:paraId="6334D12F">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13.3 投标人根据招标文件载明的相关服务要求的实际情况，拟在中标后将中标项目的非主体、非关键性专业工作交由他人完成的，应当在投标文件中载明，并提供他人的资质、能力证明材料。</w:t>
      </w:r>
    </w:p>
    <w:p w14:paraId="257D773A">
      <w:pPr>
        <w:autoSpaceDE w:val="0"/>
        <w:autoSpaceDN w:val="0"/>
        <w:adjustRightInd w:val="0"/>
        <w:spacing w:line="360" w:lineRule="auto"/>
        <w:ind w:left="560" w:leftChars="128" w:hanging="291" w:hangingChars="139"/>
        <w:outlineLvl w:val="9"/>
        <w:rPr>
          <w:rFonts w:hint="eastAsia" w:ascii="宋体" w:hAnsi="宋体" w:eastAsia="宋体" w:cs="宋体"/>
          <w:color w:val="auto"/>
          <w:szCs w:val="21"/>
          <w:highlight w:val="none"/>
        </w:rPr>
      </w:pPr>
    </w:p>
    <w:p w14:paraId="26F4D05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en-US" w:eastAsia="zh-CN"/>
        </w:rPr>
      </w:pPr>
      <w:bookmarkStart w:id="148" w:name="_Toc450662864"/>
      <w:bookmarkStart w:id="149" w:name="_Toc8615"/>
      <w:bookmarkStart w:id="150" w:name="_Toc142508328"/>
      <w:bookmarkStart w:id="151" w:name="_Toc29754"/>
      <w:bookmarkStart w:id="152" w:name="_Toc27771_WPSOffice_Level3"/>
      <w:bookmarkStart w:id="153" w:name="_Toc945"/>
      <w:bookmarkStart w:id="154" w:name="_Toc486167678"/>
      <w:r>
        <w:rPr>
          <w:rFonts w:hint="eastAsia" w:ascii="宋体" w:hAnsi="宋体" w:eastAsia="宋体" w:cs="宋体"/>
          <w:color w:val="auto"/>
          <w:szCs w:val="21"/>
          <w:highlight w:val="none"/>
          <w:lang w:val="zh-CN"/>
        </w:rPr>
        <w:t>14 证明服务的合格性并符合招标文件规定的声明文件</w:t>
      </w:r>
      <w:bookmarkEnd w:id="148"/>
      <w:bookmarkEnd w:id="149"/>
      <w:bookmarkEnd w:id="150"/>
      <w:bookmarkEnd w:id="151"/>
      <w:bookmarkEnd w:id="152"/>
      <w:bookmarkEnd w:id="153"/>
      <w:bookmarkEnd w:id="154"/>
    </w:p>
    <w:p w14:paraId="3E151109">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w:t>
      </w:r>
      <w:r>
        <w:rPr>
          <w:rFonts w:hint="eastAsia" w:ascii="宋体" w:hAnsi="宋体" w:eastAsia="宋体" w:cs="宋体"/>
          <w:color w:val="auto"/>
          <w:kern w:val="0"/>
          <w:szCs w:val="21"/>
          <w:highlight w:val="none"/>
        </w:rPr>
        <w:t>第9</w:t>
      </w:r>
      <w:r>
        <w:rPr>
          <w:rFonts w:hint="eastAsia" w:ascii="宋体" w:hAnsi="宋体" w:eastAsia="宋体" w:cs="宋体"/>
          <w:color w:val="auto"/>
          <w:szCs w:val="21"/>
          <w:highlight w:val="none"/>
          <w:lang w:val="zh-CN"/>
        </w:rPr>
        <w:t>条规定，投标人须提交证明其拟供</w:t>
      </w:r>
      <w:r>
        <w:rPr>
          <w:rFonts w:hint="eastAsia" w:ascii="宋体" w:hAnsi="宋体" w:eastAsia="宋体" w:cs="宋体"/>
          <w:color w:val="auto"/>
          <w:szCs w:val="21"/>
          <w:highlight w:val="none"/>
          <w:lang w:val="en-US" w:eastAsia="zh-CN"/>
        </w:rPr>
        <w:t>服务</w:t>
      </w:r>
      <w:r>
        <w:rPr>
          <w:rFonts w:hint="eastAsia" w:ascii="宋体" w:hAnsi="宋体" w:eastAsia="宋体" w:cs="宋体"/>
          <w:color w:val="auto"/>
          <w:szCs w:val="21"/>
          <w:highlight w:val="none"/>
          <w:lang w:val="zh-CN"/>
        </w:rPr>
        <w:t>的合格性并符合招标文件规定的声明文件，作为投标文件的一部分。</w:t>
      </w:r>
    </w:p>
    <w:p w14:paraId="6C52BF10">
      <w:pPr>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14.2  证明</w:t>
      </w:r>
      <w:r>
        <w:rPr>
          <w:rFonts w:hint="eastAsia" w:ascii="宋体" w:hAnsi="宋体" w:eastAsia="宋体" w:cs="宋体"/>
          <w:color w:val="auto"/>
          <w:kern w:val="0"/>
          <w:szCs w:val="21"/>
          <w:highlight w:val="none"/>
          <w:lang w:eastAsia="zh-CN"/>
        </w:rPr>
        <w:t>相关</w:t>
      </w:r>
      <w:r>
        <w:rPr>
          <w:rFonts w:hint="eastAsia" w:ascii="宋体" w:hAnsi="宋体" w:eastAsia="宋体" w:cs="宋体"/>
          <w:color w:val="auto"/>
          <w:kern w:val="0"/>
          <w:szCs w:val="21"/>
          <w:highlight w:val="none"/>
        </w:rPr>
        <w:t>服务</w:t>
      </w:r>
      <w:r>
        <w:rPr>
          <w:rFonts w:hint="eastAsia" w:ascii="宋体" w:hAnsi="宋体" w:eastAsia="宋体" w:cs="宋体"/>
          <w:color w:val="auto"/>
          <w:szCs w:val="21"/>
          <w:highlight w:val="none"/>
          <w:lang w:val="zh-CN"/>
        </w:rPr>
        <w:t>与招标文件的要求相一致的文件可以是文字资料、图纸和数据资料。</w:t>
      </w:r>
    </w:p>
    <w:p w14:paraId="0A3FEC65">
      <w:pPr>
        <w:autoSpaceDE w:val="0"/>
        <w:autoSpaceDN w:val="0"/>
        <w:adjustRightInd w:val="0"/>
        <w:spacing w:line="360" w:lineRule="auto"/>
        <w:ind w:left="317" w:leftChars="-100" w:hanging="527" w:hangingChars="251"/>
        <w:outlineLvl w:val="9"/>
        <w:rPr>
          <w:rFonts w:hint="eastAsia" w:ascii="宋体" w:hAnsi="宋体" w:eastAsia="宋体" w:cs="宋体"/>
          <w:b/>
          <w:color w:val="auto"/>
          <w:szCs w:val="21"/>
          <w:highlight w:val="none"/>
          <w:lang w:val="zh-CN"/>
        </w:rPr>
      </w:pPr>
      <w:r>
        <w:rPr>
          <w:rFonts w:hint="eastAsia" w:ascii="宋体" w:hAnsi="宋体" w:eastAsia="宋体" w:cs="宋体"/>
          <w:color w:val="auto"/>
          <w:szCs w:val="21"/>
          <w:highlight w:val="none"/>
          <w:lang w:val="zh-CN"/>
        </w:rPr>
        <w:t xml:space="preserve">14.3 </w:t>
      </w:r>
      <w:r>
        <w:rPr>
          <w:rFonts w:hint="eastAsia" w:ascii="宋体" w:hAnsi="宋体" w:eastAsia="宋体" w:cs="宋体"/>
          <w:b/>
          <w:color w:val="auto"/>
          <w:szCs w:val="21"/>
          <w:highlight w:val="none"/>
          <w:lang w:val="zh-CN"/>
        </w:rPr>
        <w:t>为说明第14.2款的规定，投标人应注意本招标文件在《用户需求书》中对服务要求</w:t>
      </w:r>
      <w:r>
        <w:rPr>
          <w:rFonts w:hint="eastAsia" w:ascii="宋体" w:hAnsi="宋体" w:eastAsia="宋体" w:cs="宋体"/>
          <w:b/>
          <w:color w:val="auto"/>
          <w:szCs w:val="21"/>
          <w:highlight w:val="none"/>
          <w:lang w:val="en-US" w:eastAsia="zh-CN"/>
        </w:rPr>
        <w:t>的</w:t>
      </w:r>
      <w:r>
        <w:rPr>
          <w:rFonts w:hint="eastAsia" w:ascii="宋体" w:hAnsi="宋体" w:eastAsia="宋体" w:cs="宋体"/>
          <w:b/>
          <w:color w:val="auto"/>
          <w:szCs w:val="21"/>
          <w:highlight w:val="none"/>
          <w:lang w:val="zh-CN"/>
        </w:rPr>
        <w:t>说明只是概括性的，不能理解为所需要的全部服务的要求，投标人应按国家、行业相关技术标准、规范和以往的服务经验，合格优质的完成采购内容和包含的全部服务。但凡标有“★”的地方均被视为重要的技术指标要求或性能要求。投标人要特别加以注意，必须对此回答并完全满足这些要求，否则若有一项带“★”的指标未响应或不满足，将按无效投标处理。</w:t>
      </w:r>
    </w:p>
    <w:p w14:paraId="49A270EC">
      <w:pPr>
        <w:autoSpaceDE w:val="0"/>
        <w:autoSpaceDN w:val="0"/>
        <w:adjustRightInd w:val="0"/>
        <w:spacing w:line="360" w:lineRule="auto"/>
        <w:outlineLvl w:val="9"/>
        <w:rPr>
          <w:rFonts w:hint="eastAsia" w:ascii="宋体" w:hAnsi="宋体" w:eastAsia="宋体" w:cs="宋体"/>
          <w:color w:val="auto"/>
          <w:kern w:val="0"/>
          <w:sz w:val="24"/>
          <w:szCs w:val="24"/>
          <w:highlight w:val="none"/>
        </w:rPr>
      </w:pPr>
    </w:p>
    <w:p w14:paraId="12FB6C4D">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55" w:name="_Toc5356_WPSOffice_Level3"/>
      <w:bookmarkStart w:id="156" w:name="_Toc30555"/>
      <w:bookmarkStart w:id="157" w:name="_Toc486167679"/>
      <w:bookmarkStart w:id="158" w:name="_Toc9000"/>
      <w:bookmarkStart w:id="159" w:name="_Toc8644"/>
      <w:bookmarkStart w:id="160" w:name="_Toc142508329"/>
      <w:r>
        <w:rPr>
          <w:rFonts w:hint="eastAsia" w:ascii="宋体" w:hAnsi="宋体" w:eastAsia="宋体" w:cs="宋体"/>
          <w:color w:val="auto"/>
          <w:szCs w:val="21"/>
          <w:highlight w:val="none"/>
          <w:lang w:val="zh-CN"/>
        </w:rPr>
        <w:t>15 投标保证金</w:t>
      </w:r>
      <w:bookmarkEnd w:id="155"/>
      <w:bookmarkEnd w:id="156"/>
      <w:bookmarkEnd w:id="157"/>
      <w:bookmarkEnd w:id="158"/>
      <w:bookmarkEnd w:id="159"/>
      <w:bookmarkEnd w:id="160"/>
    </w:p>
    <w:p w14:paraId="3F3AC9B0">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lang w:val="zh-CN"/>
        </w:rPr>
        <w:t>15.1</w:t>
      </w:r>
      <w:r>
        <w:rPr>
          <w:rFonts w:hint="eastAsia" w:ascii="宋体" w:hAnsi="宋体" w:eastAsia="宋体" w:cs="宋体"/>
          <w:b/>
          <w:bCs/>
          <w:color w:val="auto"/>
          <w:kern w:val="0"/>
          <w:szCs w:val="21"/>
          <w:highlight w:val="none"/>
          <w:lang w:val="zh-CN"/>
        </w:rPr>
        <w:t xml:space="preserve"> </w:t>
      </w:r>
      <w:r>
        <w:rPr>
          <w:rFonts w:hint="eastAsia" w:ascii="宋体" w:hAnsi="宋体" w:eastAsia="宋体" w:cs="宋体"/>
          <w:b/>
          <w:bCs/>
          <w:color w:val="auto"/>
          <w:kern w:val="0"/>
          <w:szCs w:val="21"/>
          <w:highlight w:val="none"/>
          <w:u w:val="single"/>
          <w:lang w:val="zh-CN"/>
        </w:rPr>
        <w:t>投标人投标时须附有投标保证金</w:t>
      </w:r>
      <w:r>
        <w:rPr>
          <w:rFonts w:hint="eastAsia" w:ascii="宋体" w:hAnsi="宋体" w:eastAsia="宋体" w:cs="宋体"/>
          <w:b/>
          <w:bCs/>
          <w:color w:val="auto"/>
          <w:szCs w:val="21"/>
          <w:highlight w:val="none"/>
          <w:u w:val="single"/>
          <w:lang w:val="en-US" w:eastAsia="zh-CN"/>
        </w:rPr>
        <w:t>64,000.00</w:t>
      </w:r>
      <w:r>
        <w:rPr>
          <w:rFonts w:hint="eastAsia" w:ascii="宋体" w:hAnsi="宋体" w:eastAsia="宋体" w:cs="宋体"/>
          <w:b/>
          <w:color w:val="auto"/>
          <w:kern w:val="0"/>
          <w:szCs w:val="21"/>
          <w:highlight w:val="none"/>
          <w:u w:val="single"/>
        </w:rPr>
        <w:t>元（大写：人民币</w:t>
      </w:r>
      <w:r>
        <w:rPr>
          <w:rFonts w:hint="eastAsia" w:ascii="宋体" w:hAnsi="宋体" w:eastAsia="宋体" w:cs="宋体"/>
          <w:b/>
          <w:color w:val="auto"/>
          <w:kern w:val="0"/>
          <w:szCs w:val="21"/>
          <w:highlight w:val="none"/>
          <w:u w:val="single"/>
          <w:lang w:val="en-US" w:eastAsia="zh-CN"/>
        </w:rPr>
        <w:t>陆万肆仟元整</w:t>
      </w:r>
      <w:r>
        <w:rPr>
          <w:rFonts w:hint="eastAsia" w:ascii="宋体" w:hAnsi="宋体" w:eastAsia="宋体" w:cs="宋体"/>
          <w:b/>
          <w:color w:val="auto"/>
          <w:kern w:val="0"/>
          <w:szCs w:val="21"/>
          <w:highlight w:val="none"/>
          <w:u w:val="single"/>
        </w:rPr>
        <w:t>）</w:t>
      </w:r>
      <w:r>
        <w:rPr>
          <w:rFonts w:hint="eastAsia" w:ascii="宋体" w:hAnsi="宋体" w:eastAsia="宋体" w:cs="宋体"/>
          <w:b/>
          <w:color w:val="auto"/>
          <w:kern w:val="0"/>
          <w:szCs w:val="21"/>
          <w:highlight w:val="none"/>
        </w:rPr>
        <w:t>。</w:t>
      </w:r>
    </w:p>
    <w:p w14:paraId="7255ED03">
      <w:pPr>
        <w:spacing w:line="360" w:lineRule="auto"/>
        <w:ind w:left="315" w:leftChars="-100" w:hanging="525" w:hangingChars="250"/>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val="zh-CN"/>
        </w:rPr>
        <w:t xml:space="preserve">15.2 </w:t>
      </w: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rPr>
        <w:t>应按要求提交投标保证金，</w:t>
      </w:r>
      <w:r>
        <w:rPr>
          <w:rFonts w:hint="eastAsia" w:ascii="宋体" w:hAnsi="宋体" w:eastAsia="宋体" w:cs="宋体"/>
          <w:b/>
          <w:color w:val="auto"/>
          <w:kern w:val="0"/>
          <w:szCs w:val="21"/>
          <w:highlight w:val="none"/>
          <w:u w:val="single"/>
        </w:rPr>
        <w:t>投标人必须通过本单位银行基本账户采用银行转账、电汇形式缴交，投标人与交款人名称必须一致，非投标人缴纳的或未通过其基本账户提交的投标保证金无效</w:t>
      </w:r>
      <w:r>
        <w:rPr>
          <w:rFonts w:hint="eastAsia" w:ascii="宋体" w:hAnsi="宋体" w:eastAsia="宋体" w:cs="宋体"/>
          <w:b/>
          <w:color w:val="auto"/>
          <w:kern w:val="0"/>
          <w:szCs w:val="21"/>
          <w:highlight w:val="none"/>
        </w:rPr>
        <w:t>。</w:t>
      </w:r>
    </w:p>
    <w:p w14:paraId="24FBFA94">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15.3 提交保证金时应符合下列规定：</w:t>
      </w:r>
    </w:p>
    <w:p w14:paraId="72AB9E7D">
      <w:pPr>
        <w:spacing w:line="360" w:lineRule="auto"/>
        <w:ind w:firstLine="777" w:firstLineChars="3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必须通过本单位基本账户采用银行转账、电汇方式提交，且在递交投标文件截止时间前到达以下账户上</w:t>
      </w:r>
      <w:r>
        <w:rPr>
          <w:rFonts w:hint="eastAsia" w:ascii="宋体" w:hAnsi="宋体" w:eastAsia="宋体" w:cs="宋体"/>
          <w:b/>
          <w:bCs/>
          <w:color w:val="auto"/>
          <w:kern w:val="0"/>
          <w:szCs w:val="21"/>
          <w:highlight w:val="none"/>
          <w:lang w:val="en-US" w:eastAsia="zh-CN"/>
        </w:rPr>
        <w:t>并注明招标编号</w:t>
      </w:r>
      <w:r>
        <w:rPr>
          <w:rFonts w:hint="eastAsia" w:ascii="宋体" w:hAnsi="宋体" w:eastAsia="宋体" w:cs="宋体"/>
          <w:color w:val="auto"/>
          <w:kern w:val="0"/>
          <w:szCs w:val="21"/>
          <w:highlight w:val="none"/>
        </w:rPr>
        <w:t>。</w:t>
      </w:r>
    </w:p>
    <w:p w14:paraId="4125294A">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1"/>
          <w:highlight w:val="none"/>
          <w:lang w:val="zh-CN"/>
        </w:rPr>
        <w:t>开户名称：东莞市水务集团管网有限公司</w:t>
      </w:r>
    </w:p>
    <w:p w14:paraId="0BB6279D">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u w:val="single"/>
          <w:lang w:val="zh-CN"/>
        </w:rPr>
      </w:pPr>
      <w:r>
        <w:rPr>
          <w:rFonts w:hint="eastAsia" w:ascii="宋体" w:hAnsi="宋体" w:eastAsia="宋体" w:cs="宋体"/>
          <w:b/>
          <w:bCs/>
          <w:color w:val="auto"/>
          <w:kern w:val="0"/>
          <w:szCs w:val="21"/>
          <w:highlight w:val="none"/>
          <w:lang w:val="zh-CN"/>
        </w:rPr>
        <w:t>开户银行：中信银行东莞分行营业部</w:t>
      </w:r>
    </w:p>
    <w:p w14:paraId="0B7A933D">
      <w:pPr>
        <w:autoSpaceDE w:val="0"/>
        <w:autoSpaceDN w:val="0"/>
        <w:adjustRightInd w:val="0"/>
        <w:spacing w:line="360" w:lineRule="auto"/>
        <w:ind w:left="225" w:leftChars="107" w:firstLine="491" w:firstLineChars="233"/>
        <w:jc w:val="left"/>
        <w:outlineLvl w:val="9"/>
        <w:rPr>
          <w:rFonts w:hint="eastAsia" w:ascii="宋体" w:hAnsi="宋体" w:eastAsia="宋体" w:cs="宋体"/>
          <w:b/>
          <w:bCs/>
          <w:color w:val="auto"/>
          <w:kern w:val="0"/>
          <w:szCs w:val="21"/>
          <w:highlight w:val="none"/>
          <w:u w:val="single"/>
        </w:rPr>
      </w:pPr>
      <w:r>
        <w:rPr>
          <w:rFonts w:hint="eastAsia" w:ascii="宋体" w:hAnsi="宋体" w:eastAsia="宋体" w:cs="宋体"/>
          <w:b/>
          <w:bCs/>
          <w:color w:val="auto"/>
          <w:kern w:val="0"/>
          <w:szCs w:val="21"/>
          <w:highlight w:val="none"/>
          <w:lang w:val="zh-CN"/>
        </w:rPr>
        <w:t>银行账号：8114801014000043052</w:t>
      </w:r>
    </w:p>
    <w:p w14:paraId="6D600143">
      <w:pPr>
        <w:spacing w:line="360" w:lineRule="auto"/>
        <w:ind w:left="210" w:leftChars="100" w:firstLine="211" w:firstLineChars="1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u w:val="single"/>
        </w:rPr>
        <w:t>投标保证金未按规定时间到达指定账户或提交金额不足的，将被视为无效投标保证金</w:t>
      </w:r>
      <w:r>
        <w:rPr>
          <w:rFonts w:hint="eastAsia" w:ascii="宋体" w:hAnsi="宋体" w:eastAsia="宋体" w:cs="宋体"/>
          <w:b/>
          <w:color w:val="auto"/>
          <w:kern w:val="0"/>
          <w:szCs w:val="21"/>
          <w:highlight w:val="none"/>
        </w:rPr>
        <w:t>。</w:t>
      </w:r>
    </w:p>
    <w:p w14:paraId="1FB184BF">
      <w:pPr>
        <w:autoSpaceDE w:val="0"/>
        <w:autoSpaceDN w:val="0"/>
        <w:adjustRightInd w:val="0"/>
        <w:spacing w:line="360" w:lineRule="auto"/>
        <w:ind w:left="357" w:leftChars="-100" w:hanging="567" w:hangingChars="270"/>
        <w:jc w:val="left"/>
        <w:outlineLvl w:val="9"/>
        <w:rPr>
          <w:rFonts w:hint="eastAsia" w:ascii="宋体" w:hAnsi="宋体" w:eastAsia="宋体" w:cs="宋体"/>
          <w:b/>
          <w:bCs/>
          <w:color w:val="auto"/>
          <w:kern w:val="0"/>
          <w:szCs w:val="24"/>
          <w:highlight w:val="none"/>
        </w:rPr>
      </w:pPr>
      <w:r>
        <w:rPr>
          <w:rFonts w:hint="eastAsia" w:ascii="宋体" w:hAnsi="宋体" w:eastAsia="宋体" w:cs="宋体"/>
          <w:bCs/>
          <w:color w:val="auto"/>
          <w:szCs w:val="21"/>
          <w:highlight w:val="none"/>
          <w:lang w:val="zh-CN"/>
        </w:rPr>
        <w:t xml:space="preserve">15.4 </w:t>
      </w:r>
      <w:r>
        <w:rPr>
          <w:rFonts w:hint="eastAsia" w:ascii="宋体" w:hAnsi="宋体" w:eastAsia="宋体" w:cs="宋体"/>
          <w:b/>
          <w:color w:val="auto"/>
          <w:kern w:val="0"/>
          <w:szCs w:val="24"/>
          <w:highlight w:val="none"/>
          <w:u w:val="single"/>
        </w:rPr>
        <w:t>任何未按第15.1款、第15.2款、第15.3款规定提交投标保证金的投标，将被视为无效投标</w:t>
      </w:r>
      <w:r>
        <w:rPr>
          <w:rFonts w:hint="eastAsia" w:ascii="宋体" w:hAnsi="宋体" w:eastAsia="宋体" w:cs="宋体"/>
          <w:b/>
          <w:color w:val="auto"/>
          <w:kern w:val="0"/>
          <w:szCs w:val="24"/>
          <w:highlight w:val="none"/>
        </w:rPr>
        <w:t>。</w:t>
      </w:r>
    </w:p>
    <w:p w14:paraId="62132546">
      <w:pPr>
        <w:spacing w:line="360" w:lineRule="auto"/>
        <w:ind w:left="315" w:leftChars="-100" w:hanging="525" w:hangingChars="25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15.5 </w:t>
      </w:r>
      <w:r>
        <w:rPr>
          <w:rFonts w:hint="eastAsia" w:ascii="宋体" w:hAnsi="宋体" w:eastAsia="宋体" w:cs="宋体"/>
          <w:color w:val="auto"/>
          <w:kern w:val="0"/>
          <w:szCs w:val="21"/>
          <w:highlight w:val="none"/>
        </w:rPr>
        <w:t>未</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1"/>
          <w:highlight w:val="none"/>
        </w:rPr>
        <w:t>的投标人的投标保证金，最迟应</w:t>
      </w:r>
      <w:r>
        <w:rPr>
          <w:rFonts w:hint="eastAsia" w:ascii="宋体" w:hAnsi="宋体" w:eastAsia="宋体" w:cs="宋体"/>
          <w:color w:val="auto"/>
          <w:kern w:val="0"/>
          <w:szCs w:val="21"/>
          <w:highlight w:val="none"/>
          <w:lang w:eastAsia="zh-CN"/>
        </w:rPr>
        <w:t>在本项目的书面合同签订后5日内</w:t>
      </w:r>
      <w:r>
        <w:rPr>
          <w:rFonts w:hint="eastAsia" w:ascii="宋体" w:hAnsi="宋体" w:eastAsia="宋体" w:cs="宋体"/>
          <w:color w:val="auto"/>
          <w:kern w:val="0"/>
          <w:szCs w:val="21"/>
          <w:highlight w:val="none"/>
        </w:rPr>
        <w:t>，按照其投标保证金支付凭证上注明的收款人名称和账号予以退还，除非投标保证金有效期已延长。</w:t>
      </w:r>
    </w:p>
    <w:p w14:paraId="3ED58C4B">
      <w:pPr>
        <w:spacing w:line="360" w:lineRule="auto"/>
        <w:ind w:left="357" w:leftChars="-100"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lang w:val="zh-CN"/>
        </w:rPr>
        <w:t xml:space="preserve">15.6 </w:t>
      </w:r>
      <w:r>
        <w:rPr>
          <w:rFonts w:hint="eastAsia" w:ascii="宋体" w:hAnsi="宋体" w:eastAsia="宋体" w:cs="宋体"/>
          <w:color w:val="auto"/>
          <w:kern w:val="0"/>
          <w:szCs w:val="21"/>
          <w:highlight w:val="none"/>
        </w:rPr>
        <w:t>中标人的投标保证金，满足下列要求，并最迟应在合同签订后的5日内退还。</w:t>
      </w:r>
    </w:p>
    <w:p w14:paraId="3B972A0A">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（1）中标</w:t>
      </w:r>
      <w:r>
        <w:rPr>
          <w:rFonts w:hint="eastAsia" w:ascii="宋体" w:hAnsi="宋体" w:eastAsia="宋体" w:cs="宋体"/>
          <w:color w:val="auto"/>
          <w:szCs w:val="21"/>
          <w:highlight w:val="none"/>
          <w:lang w:val="zh-CN"/>
        </w:rPr>
        <w:t>人提交了履约担保；</w:t>
      </w:r>
    </w:p>
    <w:p w14:paraId="4E18AC68">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（2）在投标过程中</w:t>
      </w:r>
      <w:r>
        <w:rPr>
          <w:rFonts w:hint="eastAsia" w:ascii="宋体" w:hAnsi="宋体" w:eastAsia="宋体" w:cs="宋体"/>
          <w:color w:val="auto"/>
          <w:kern w:val="0"/>
          <w:szCs w:val="21"/>
          <w:highlight w:val="none"/>
        </w:rPr>
        <w:t>不存在违反本招标文件或《中华人民共和国招标投标法》及其实施条例等规定的行为。</w:t>
      </w:r>
    </w:p>
    <w:p w14:paraId="6BB9B86E">
      <w:pPr>
        <w:spacing w:line="360" w:lineRule="auto"/>
        <w:ind w:left="315" w:leftChars="-100" w:hanging="525" w:hangingChars="250"/>
        <w:outlineLvl w:val="9"/>
        <w:rPr>
          <w:rFonts w:hint="eastAsia" w:ascii="宋体" w:hAnsi="宋体" w:eastAsia="宋体" w:cs="宋体"/>
          <w:b/>
          <w:bCs/>
          <w:color w:val="auto"/>
          <w:kern w:val="0"/>
          <w:szCs w:val="20"/>
          <w:highlight w:val="none"/>
        </w:rPr>
      </w:pPr>
      <w:r>
        <w:rPr>
          <w:rFonts w:hint="eastAsia" w:ascii="宋体" w:hAnsi="宋体" w:eastAsia="宋体" w:cs="宋体"/>
          <w:bCs/>
          <w:color w:val="auto"/>
          <w:szCs w:val="21"/>
          <w:highlight w:val="none"/>
          <w:lang w:val="zh-CN"/>
        </w:rPr>
        <w:t xml:space="preserve">15.7 </w:t>
      </w:r>
      <w:r>
        <w:rPr>
          <w:rFonts w:hint="eastAsia" w:ascii="宋体" w:hAnsi="宋体" w:eastAsia="宋体" w:cs="宋体"/>
          <w:color w:val="auto"/>
          <w:kern w:val="0"/>
          <w:szCs w:val="20"/>
          <w:highlight w:val="none"/>
        </w:rPr>
        <w:t>若</w:t>
      </w:r>
      <w:r>
        <w:rPr>
          <w:rFonts w:hint="eastAsia" w:ascii="宋体" w:hAnsi="宋体" w:eastAsia="宋体" w:cs="宋体"/>
          <w:color w:val="auto"/>
          <w:szCs w:val="21"/>
          <w:highlight w:val="none"/>
          <w:lang w:val="zh-CN"/>
        </w:rPr>
        <w:t>发生</w:t>
      </w:r>
      <w:r>
        <w:rPr>
          <w:rFonts w:hint="eastAsia" w:ascii="宋体" w:hAnsi="宋体" w:eastAsia="宋体" w:cs="宋体"/>
          <w:color w:val="auto"/>
          <w:kern w:val="0"/>
          <w:szCs w:val="20"/>
          <w:highlight w:val="none"/>
        </w:rPr>
        <w:t>下列情况，招标人在书面通知投标人（或中标人）后有权不予退还投标保证金：</w:t>
      </w:r>
    </w:p>
    <w:p w14:paraId="0C055F50">
      <w:pPr>
        <w:numPr>
          <w:ilvl w:val="2"/>
          <w:numId w:val="0"/>
        </w:numPr>
        <w:autoSpaceDE w:val="0"/>
        <w:autoSpaceDN w:val="0"/>
        <w:adjustRightInd w:val="0"/>
        <w:spacing w:line="360" w:lineRule="auto"/>
        <w:ind w:left="853" w:leftChars="136" w:hanging="567"/>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如果投标人（或中标人）：</w:t>
      </w:r>
    </w:p>
    <w:p w14:paraId="630F16ED">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（1）投标</w:t>
      </w:r>
      <w:r>
        <w:rPr>
          <w:rFonts w:hint="eastAsia" w:ascii="宋体" w:hAnsi="宋体" w:eastAsia="宋体" w:cs="宋体"/>
          <w:color w:val="auto"/>
          <w:szCs w:val="21"/>
          <w:highlight w:val="none"/>
          <w:lang w:val="zh-CN"/>
        </w:rPr>
        <w:t>人在规定的投标截止时间后至投标有效期满之前撤销或修改其投标文件；</w:t>
      </w:r>
    </w:p>
    <w:p w14:paraId="625AAA53">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（2）中标人未能在规定期限内提交履约担保；</w:t>
      </w:r>
    </w:p>
    <w:p w14:paraId="4D02609A">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（3）未根据第34条规定签署合同；</w:t>
      </w:r>
    </w:p>
    <w:p w14:paraId="012BC95C">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（4）将中标项目转让给他人，或者在投标文件中未说明，且未经招标人同意，将中标项目的合同的权利义务转让给第三方的；</w:t>
      </w:r>
    </w:p>
    <w:p w14:paraId="00CC91E8">
      <w:pPr>
        <w:autoSpaceDE w:val="0"/>
        <w:autoSpaceDN w:val="0"/>
        <w:adjustRightInd w:val="0"/>
        <w:spacing w:line="360" w:lineRule="auto"/>
        <w:ind w:left="357" w:leftChars="-100" w:hanging="567"/>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（5）提供虚假投标文</w:t>
      </w:r>
      <w:r>
        <w:rPr>
          <w:rFonts w:hint="eastAsia" w:ascii="宋体" w:hAnsi="宋体" w:eastAsia="宋体" w:cs="宋体"/>
          <w:color w:val="auto"/>
          <w:kern w:val="0"/>
          <w:szCs w:val="21"/>
          <w:highlight w:val="none"/>
        </w:rPr>
        <w:t>件或虚假补充文件的，或违反《中华人民共和国招标投标法》等有关法律、法规、规章及招标投标相关规定的行为。</w:t>
      </w:r>
    </w:p>
    <w:p w14:paraId="0D76A8C1">
      <w:pPr>
        <w:tabs>
          <w:tab w:val="left" w:pos="1134"/>
        </w:tabs>
        <w:autoSpaceDE w:val="0"/>
        <w:autoSpaceDN w:val="0"/>
        <w:adjustRightInd w:val="0"/>
        <w:spacing w:line="360" w:lineRule="auto"/>
        <w:ind w:left="840" w:leftChars="150" w:hanging="525" w:hangingChars="250"/>
        <w:jc w:val="left"/>
        <w:outlineLvl w:val="9"/>
        <w:rPr>
          <w:rFonts w:hint="eastAsia" w:ascii="宋体" w:hAnsi="宋体" w:eastAsia="宋体" w:cs="宋体"/>
          <w:color w:val="auto"/>
          <w:kern w:val="0"/>
          <w:szCs w:val="21"/>
          <w:highlight w:val="none"/>
        </w:rPr>
      </w:pPr>
    </w:p>
    <w:p w14:paraId="34768BC6">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1" w:name="_Toc450662865"/>
      <w:bookmarkStart w:id="162" w:name="_Toc29607"/>
      <w:bookmarkStart w:id="163" w:name="_Toc30188"/>
      <w:bookmarkStart w:id="164" w:name="_Toc22649_WPSOffice_Level3"/>
      <w:bookmarkStart w:id="165" w:name="_Toc142508330"/>
      <w:bookmarkStart w:id="166" w:name="_Toc486167680"/>
      <w:bookmarkStart w:id="167" w:name="_Toc1458"/>
      <w:r>
        <w:rPr>
          <w:rFonts w:hint="eastAsia" w:ascii="宋体" w:hAnsi="宋体" w:eastAsia="宋体" w:cs="宋体"/>
          <w:color w:val="auto"/>
          <w:szCs w:val="21"/>
          <w:highlight w:val="none"/>
          <w:lang w:val="zh-CN"/>
        </w:rPr>
        <w:t>16 投标有效期</w:t>
      </w:r>
      <w:bookmarkEnd w:id="161"/>
      <w:bookmarkEnd w:id="162"/>
      <w:bookmarkEnd w:id="163"/>
      <w:bookmarkEnd w:id="164"/>
      <w:bookmarkEnd w:id="165"/>
      <w:bookmarkEnd w:id="166"/>
      <w:bookmarkEnd w:id="167"/>
    </w:p>
    <w:p w14:paraId="1D25C365">
      <w:pPr>
        <w:tabs>
          <w:tab w:val="left" w:pos="567"/>
        </w:tabs>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16.1</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u w:val="single"/>
          <w:lang w:val="zh-CN"/>
        </w:rPr>
        <w:t>投标文件将在递交投标文件截止时间届满后90日内有效。投标有效期比规定时间短的按无效投标文件处理</w:t>
      </w:r>
      <w:r>
        <w:rPr>
          <w:rFonts w:hint="eastAsia" w:ascii="宋体" w:hAnsi="宋体" w:eastAsia="宋体" w:cs="宋体"/>
          <w:b/>
          <w:bCs/>
          <w:color w:val="auto"/>
          <w:szCs w:val="21"/>
          <w:highlight w:val="none"/>
          <w:lang w:val="zh-CN"/>
        </w:rPr>
        <w:t>。</w:t>
      </w:r>
    </w:p>
    <w:p w14:paraId="75541B54">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中标人的投标文件作为合同附件，合同失效时同时失效。</w:t>
      </w:r>
    </w:p>
    <w:p w14:paraId="76A2F9D8">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16.3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在特殊情况下，招标代理机构可于投标有效期满之前要求投标人同意延长投标有效期。要求与答复均应为书面形式往来。投标人可以拒绝上述要求，招标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将退还其投标保证金。对于同意该要求的投标人，既不要求也不允许其修改投标文件，但将要求其相应延长投标保证金的有效期。第15条投标保证金的有关规定在投标保证金延长期内仍适用。</w:t>
      </w:r>
    </w:p>
    <w:p w14:paraId="10085AC9">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71966850">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68" w:name="_Toc20422"/>
      <w:bookmarkStart w:id="169" w:name="_Toc26652"/>
      <w:bookmarkStart w:id="170" w:name="_Toc932"/>
      <w:bookmarkStart w:id="171" w:name="_Toc25637_WPSOffice_Level3"/>
      <w:bookmarkStart w:id="172" w:name="_Toc450662866"/>
      <w:bookmarkStart w:id="173" w:name="_Toc142508331"/>
      <w:bookmarkStart w:id="174" w:name="_Toc486167681"/>
      <w:r>
        <w:rPr>
          <w:rFonts w:hint="eastAsia" w:ascii="宋体" w:hAnsi="宋体" w:eastAsia="宋体" w:cs="宋体"/>
          <w:color w:val="auto"/>
          <w:szCs w:val="21"/>
          <w:highlight w:val="none"/>
          <w:lang w:val="zh-CN"/>
        </w:rPr>
        <w:t>17 投标文件的式样和签署</w:t>
      </w:r>
      <w:bookmarkEnd w:id="168"/>
      <w:bookmarkEnd w:id="169"/>
      <w:bookmarkEnd w:id="170"/>
      <w:bookmarkEnd w:id="171"/>
      <w:bookmarkEnd w:id="172"/>
      <w:bookmarkEnd w:id="173"/>
      <w:bookmarkEnd w:id="174"/>
    </w:p>
    <w:p w14:paraId="0B84D19C">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投标人应准备一份“唱标信封”、一份投标文件电子文件、一份正本和五份副本“投标文件”</w:t>
      </w:r>
      <w:r>
        <w:rPr>
          <w:rFonts w:hint="eastAsia" w:ascii="宋体" w:hAnsi="宋体" w:eastAsia="宋体" w:cs="宋体"/>
          <w:color w:val="auto"/>
          <w:szCs w:val="21"/>
          <w:highlight w:val="none"/>
          <w:lang w:val="zh-CN"/>
        </w:rPr>
        <w:t>，在每一份投标文件上编上目录（目录内的页码必须与实际内容对应）、页次，装订成册（不允许使用活页夹），并要明确注明“正本”或“副本”，一旦正本和副本发现差异，以正本为准。</w:t>
      </w:r>
    </w:p>
    <w:p w14:paraId="70646BDB">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17.2</w:t>
      </w:r>
      <w:r>
        <w:rPr>
          <w:rFonts w:hint="eastAsia" w:ascii="宋体" w:hAnsi="宋体" w:eastAsia="宋体" w:cs="宋体"/>
          <w:color w:val="auto"/>
          <w:szCs w:val="21"/>
          <w:highlight w:val="none"/>
          <w:lang w:val="zh-CN"/>
        </w:rPr>
        <w:tab/>
      </w:r>
      <w:r>
        <w:rPr>
          <w:rFonts w:hint="eastAsia" w:ascii="宋体" w:hAnsi="宋体" w:eastAsia="宋体" w:cs="宋体"/>
          <w:bCs/>
          <w:color w:val="auto"/>
          <w:szCs w:val="21"/>
          <w:highlight w:val="none"/>
          <w:lang w:val="zh-CN"/>
        </w:rPr>
        <w:t>投标文件正本和副本须打印或用不褪色墨水书写，招标文件提供的格式文件或投标文件中明确要求签署的，由投标人法定代表人或其授权代表签字（或盖私章），后者须将“法定代表人授权书”以书面形式附在投标文件中。</w:t>
      </w:r>
      <w:r>
        <w:rPr>
          <w:rFonts w:hint="eastAsia" w:ascii="宋体" w:hAnsi="宋体" w:eastAsia="宋体" w:cs="宋体"/>
          <w:color w:val="auto"/>
          <w:szCs w:val="21"/>
          <w:highlight w:val="none"/>
          <w:lang w:val="zh-CN"/>
        </w:rPr>
        <w:t>副本文件可由正本文件复印而成。</w:t>
      </w:r>
    </w:p>
    <w:p w14:paraId="7DDE29A4">
      <w:pPr>
        <w:autoSpaceDE w:val="0"/>
        <w:autoSpaceDN w:val="0"/>
        <w:adjustRightInd w:val="0"/>
        <w:spacing w:line="360" w:lineRule="auto"/>
        <w:ind w:left="357" w:leftChars="-100" w:hanging="567"/>
        <w:outlineLvl w:val="9"/>
        <w:rPr>
          <w:rFonts w:hint="eastAsia" w:ascii="宋体" w:hAnsi="宋体" w:eastAsia="宋体" w:cs="宋体"/>
          <w:bCs/>
          <w:color w:val="auto"/>
          <w:szCs w:val="21"/>
          <w:highlight w:val="none"/>
          <w:lang w:val="zh-CN"/>
        </w:rPr>
      </w:pPr>
      <w:r>
        <w:rPr>
          <w:rFonts w:hint="eastAsia" w:ascii="宋体" w:hAnsi="宋体" w:eastAsia="宋体" w:cs="宋体"/>
          <w:color w:val="auto"/>
          <w:szCs w:val="21"/>
          <w:highlight w:val="none"/>
          <w:lang w:val="zh-CN"/>
        </w:rPr>
        <w:t>17.3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除投标人对错处作必要修改外，投标文件中不许有加行、涂抹或改写。</w:t>
      </w:r>
      <w:r>
        <w:rPr>
          <w:rFonts w:hint="eastAsia" w:ascii="宋体" w:hAnsi="宋体" w:eastAsia="宋体" w:cs="宋体"/>
          <w:bCs/>
          <w:color w:val="auto"/>
          <w:szCs w:val="21"/>
          <w:highlight w:val="none"/>
          <w:lang w:val="zh-CN"/>
        </w:rPr>
        <w:t>若有修改须由签署投标文件的人进行签字（或盖私章），并加盖投标人法人公章。</w:t>
      </w:r>
    </w:p>
    <w:p w14:paraId="1D49F2BE">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17.4  投标文件的封面应注明“项目名称、招标编号、投标人名称、投标日期等”。</w:t>
      </w:r>
    </w:p>
    <w:p w14:paraId="2D851D35">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lang w:val="zh-CN"/>
        </w:rPr>
      </w:pPr>
      <w:r>
        <w:rPr>
          <w:rFonts w:hint="eastAsia" w:ascii="宋体" w:hAnsi="宋体" w:eastAsia="宋体" w:cs="宋体"/>
          <w:color w:val="auto"/>
          <w:szCs w:val="21"/>
          <w:highlight w:val="none"/>
          <w:lang w:val="zh-CN"/>
        </w:rPr>
        <w:t>17.5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电子文件内容包括：电子文件不可设置密码，用DVD或CD-R光盘或U盘储存，可密封于“唱标信封”内（若电子文件单独密封，其包装封面需注明项目名称、招标编号、投标人单位名称，并加盖投标人法人公章）。</w:t>
      </w:r>
    </w:p>
    <w:p w14:paraId="5645AC1B">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电报、电传、传真的投标概不接受。</w:t>
      </w:r>
    </w:p>
    <w:p w14:paraId="27B124DD">
      <w:pPr>
        <w:autoSpaceDE w:val="0"/>
        <w:autoSpaceDN w:val="0"/>
        <w:adjustRightInd w:val="0"/>
        <w:jc w:val="left"/>
        <w:outlineLvl w:val="9"/>
        <w:rPr>
          <w:rFonts w:hint="eastAsia" w:ascii="宋体" w:hAnsi="宋体" w:eastAsia="宋体" w:cs="宋体"/>
          <w:color w:val="auto"/>
          <w:kern w:val="0"/>
          <w:sz w:val="24"/>
          <w:szCs w:val="24"/>
          <w:highlight w:val="none"/>
        </w:rPr>
      </w:pPr>
      <w:bookmarkStart w:id="175" w:name="_Toc450662867"/>
    </w:p>
    <w:p w14:paraId="126DE0FE">
      <w:pPr>
        <w:keepNext/>
        <w:keepLines/>
        <w:tabs>
          <w:tab w:val="left" w:pos="509"/>
        </w:tabs>
        <w:autoSpaceDE w:val="0"/>
        <w:autoSpaceDN w:val="0"/>
        <w:adjustRightInd w:val="0"/>
        <w:spacing w:line="360" w:lineRule="auto"/>
        <w:jc w:val="left"/>
        <w:outlineLvl w:val="1"/>
        <w:rPr>
          <w:rFonts w:hint="eastAsia" w:ascii="宋体" w:hAnsi="宋体" w:eastAsia="宋体" w:cs="宋体"/>
          <w:color w:val="auto"/>
          <w:kern w:val="0"/>
          <w:sz w:val="24"/>
          <w:szCs w:val="24"/>
          <w:highlight w:val="none"/>
        </w:rPr>
      </w:pPr>
      <w:bookmarkStart w:id="176" w:name="_Toc142508332"/>
      <w:bookmarkStart w:id="177" w:name="_Toc140596891"/>
      <w:bookmarkStart w:id="178" w:name="_Toc22356_WPSOffice_Level2"/>
      <w:bookmarkStart w:id="179" w:name="_Toc17199"/>
      <w:bookmarkStart w:id="180" w:name="_Toc486167682"/>
      <w:bookmarkStart w:id="181" w:name="_Toc6216"/>
      <w:bookmarkStart w:id="182" w:name="_Toc26605"/>
      <w:r>
        <w:rPr>
          <w:rFonts w:hint="eastAsia" w:ascii="宋体" w:hAnsi="宋体" w:eastAsia="宋体" w:cs="宋体"/>
          <w:b/>
          <w:bCs/>
          <w:color w:val="auto"/>
          <w:kern w:val="44"/>
          <w:szCs w:val="21"/>
          <w:highlight w:val="none"/>
          <w:lang w:val="zh-CN"/>
        </w:rPr>
        <w:t>四、投标文件的递交</w:t>
      </w:r>
      <w:bookmarkEnd w:id="175"/>
      <w:bookmarkEnd w:id="176"/>
      <w:bookmarkEnd w:id="177"/>
      <w:bookmarkEnd w:id="178"/>
      <w:bookmarkEnd w:id="179"/>
      <w:bookmarkEnd w:id="180"/>
      <w:bookmarkEnd w:id="181"/>
      <w:bookmarkEnd w:id="182"/>
    </w:p>
    <w:p w14:paraId="6A7391BF">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83" w:name="_Toc486167683"/>
      <w:bookmarkStart w:id="184" w:name="_Toc29885"/>
      <w:bookmarkStart w:id="185" w:name="_Toc12192_WPSOffice_Level3"/>
      <w:bookmarkStart w:id="186" w:name="_Toc142508333"/>
      <w:bookmarkStart w:id="187" w:name="_Toc31551"/>
      <w:bookmarkStart w:id="188" w:name="_Toc450662868"/>
      <w:bookmarkStart w:id="189" w:name="_Toc24828"/>
      <w:r>
        <w:rPr>
          <w:rFonts w:hint="eastAsia" w:ascii="宋体" w:hAnsi="宋体" w:eastAsia="宋体" w:cs="宋体"/>
          <w:color w:val="auto"/>
          <w:szCs w:val="21"/>
          <w:highlight w:val="none"/>
          <w:lang w:val="zh-CN"/>
        </w:rPr>
        <w:t>18 投标文件的密封和标记</w:t>
      </w:r>
      <w:bookmarkEnd w:id="183"/>
      <w:bookmarkEnd w:id="184"/>
      <w:bookmarkEnd w:id="185"/>
      <w:bookmarkEnd w:id="186"/>
      <w:bookmarkEnd w:id="187"/>
      <w:bookmarkEnd w:id="188"/>
      <w:bookmarkEnd w:id="189"/>
    </w:p>
    <w:p w14:paraId="5C795A60">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投标人应将正本和副本投标文件（本处不含唱标信封、投标文件电子文件）密封在不透明的外层封装中。</w:t>
      </w:r>
    </w:p>
    <w:p w14:paraId="2C134195">
      <w:pPr>
        <w:autoSpaceDE w:val="0"/>
        <w:autoSpaceDN w:val="0"/>
        <w:adjustRightInd w:val="0"/>
        <w:spacing w:line="360" w:lineRule="auto"/>
        <w:ind w:left="357" w:leftChars="-100" w:hanging="567"/>
        <w:outlineLvl w:val="9"/>
        <w:rPr>
          <w:rFonts w:hint="eastAsia" w:ascii="宋体" w:hAnsi="宋体" w:eastAsia="宋体" w:cs="宋体"/>
          <w:b/>
          <w:bCs/>
          <w:color w:val="auto"/>
          <w:szCs w:val="21"/>
          <w:highlight w:val="none"/>
          <w:u w:val="single"/>
          <w:lang w:val="zh-CN"/>
        </w:rPr>
      </w:pPr>
      <w:r>
        <w:rPr>
          <w:rFonts w:hint="eastAsia" w:ascii="宋体" w:hAnsi="宋体" w:eastAsia="宋体" w:cs="宋体"/>
          <w:color w:val="auto"/>
          <w:szCs w:val="21"/>
          <w:highlight w:val="none"/>
          <w:lang w:val="zh-CN"/>
        </w:rPr>
        <w:t>18.2</w:t>
      </w:r>
      <w:r>
        <w:rPr>
          <w:rFonts w:hint="eastAsia" w:ascii="宋体" w:hAnsi="宋体" w:eastAsia="宋体" w:cs="宋体"/>
          <w:color w:val="auto"/>
          <w:szCs w:val="21"/>
          <w:highlight w:val="none"/>
          <w:lang w:val="zh-CN"/>
        </w:rPr>
        <w:tab/>
      </w:r>
      <w:r>
        <w:rPr>
          <w:rFonts w:hint="eastAsia" w:ascii="宋体" w:hAnsi="宋体" w:eastAsia="宋体" w:cs="宋体"/>
          <w:b/>
          <w:bCs/>
          <w:color w:val="auto"/>
          <w:szCs w:val="21"/>
          <w:highlight w:val="none"/>
          <w:lang w:val="zh-CN"/>
        </w:rPr>
        <w:t>唱标信封应单独密封，与18.1款的投标文件一同提交。</w:t>
      </w:r>
    </w:p>
    <w:p w14:paraId="7BC29DDA">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投标文件密封封装标记：</w:t>
      </w:r>
    </w:p>
    <w:p w14:paraId="2E4D2056">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zh-CN"/>
        </w:rPr>
        <w:t>）外层密封封装表面应正确注明项目名称、招标编号、投标人单位名称、并注明投标文件递交截止时间之前不得开封（在封口位置的封条上标注注明），封口位置的封条上须加盖投标人法人公章；</w:t>
      </w:r>
    </w:p>
    <w:p w14:paraId="03929257">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zh-CN"/>
        </w:rPr>
        <w:t>）投标文件已密封但不按前述标志封包，由此而引起的提前开封或错放责任由投标人承担；</w:t>
      </w:r>
    </w:p>
    <w:p w14:paraId="38CE1B3E">
      <w:pPr>
        <w:autoSpaceDE w:val="0"/>
        <w:autoSpaceDN w:val="0"/>
        <w:adjustRightInd w:val="0"/>
        <w:spacing w:line="360" w:lineRule="auto"/>
        <w:ind w:left="319" w:leftChars="-118"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（3）不足以造成投标文件可以从外包装内散出而导致投标文件泄密的，不认定为投标文件未密封。</w:t>
      </w:r>
    </w:p>
    <w:p w14:paraId="778781BD">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18.4</w:t>
      </w:r>
      <w:r>
        <w:rPr>
          <w:rFonts w:hint="eastAsia" w:ascii="宋体" w:hAnsi="宋体" w:eastAsia="宋体" w:cs="宋体"/>
          <w:b/>
          <w:color w:val="auto"/>
          <w:szCs w:val="21"/>
          <w:highlight w:val="none"/>
          <w:lang w:val="zh-CN"/>
        </w:rPr>
        <w:tab/>
      </w:r>
      <w:r>
        <w:rPr>
          <w:rFonts w:hint="eastAsia" w:ascii="宋体" w:hAnsi="宋体" w:eastAsia="宋体" w:cs="宋体"/>
          <w:b/>
          <w:color w:val="auto"/>
          <w:szCs w:val="21"/>
          <w:highlight w:val="none"/>
          <w:lang w:val="zh-CN"/>
        </w:rPr>
        <w:t>如果密封封装未按本款规定密封和标记，招标代理机构对投标文件的误投或提前拆封不负责任。对由此造成提前开封的投标文件，招标代理机构予以拒绝，并退回投标人。</w:t>
      </w:r>
    </w:p>
    <w:p w14:paraId="632B3D14">
      <w:pPr>
        <w:autoSpaceDE w:val="0"/>
        <w:autoSpaceDN w:val="0"/>
        <w:adjustRightInd w:val="0"/>
        <w:spacing w:line="360" w:lineRule="auto"/>
        <w:ind w:left="355" w:leftChars="-101" w:right="15" w:rightChars="7"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18.5 开标前，由投标人代表（第一位递交投标文件的投标人代表及主动自愿参与检查的投标人代表）和招标人代表</w:t>
      </w:r>
      <w:r>
        <w:rPr>
          <w:rFonts w:hint="eastAsia" w:ascii="宋体" w:hAnsi="宋体" w:eastAsia="宋体" w:cs="宋体"/>
          <w:color w:val="auto"/>
          <w:kern w:val="0"/>
          <w:szCs w:val="21"/>
          <w:highlight w:val="none"/>
          <w:lang w:val="zh-CN"/>
        </w:rPr>
        <w:t>将对所有的投标文件的密封性进行检查</w:t>
      </w:r>
      <w:r>
        <w:rPr>
          <w:rFonts w:hint="eastAsia" w:ascii="宋体" w:hAnsi="宋体" w:eastAsia="宋体" w:cs="宋体"/>
          <w:color w:val="auto"/>
          <w:szCs w:val="21"/>
          <w:highlight w:val="none"/>
          <w:lang w:val="zh-CN"/>
        </w:rPr>
        <w:t>，并签署进行确认。</w:t>
      </w:r>
    </w:p>
    <w:p w14:paraId="391E5942">
      <w:pPr>
        <w:tabs>
          <w:tab w:val="left" w:pos="567"/>
        </w:tabs>
        <w:autoSpaceDE w:val="0"/>
        <w:autoSpaceDN w:val="0"/>
        <w:adjustRightInd w:val="0"/>
        <w:spacing w:line="360" w:lineRule="auto"/>
        <w:ind w:right="15" w:rightChars="7" w:firstLine="525" w:firstLineChars="250"/>
        <w:outlineLvl w:val="9"/>
        <w:rPr>
          <w:rFonts w:hint="eastAsia" w:ascii="宋体" w:hAnsi="宋体" w:eastAsia="宋体" w:cs="宋体"/>
          <w:color w:val="auto"/>
          <w:szCs w:val="21"/>
          <w:highlight w:val="none"/>
          <w:lang w:val="zh-CN"/>
        </w:rPr>
      </w:pPr>
    </w:p>
    <w:p w14:paraId="6C94ABC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190" w:name="_Toc142508334"/>
      <w:bookmarkStart w:id="191" w:name="_Toc29665_WPSOffice_Level3"/>
      <w:bookmarkStart w:id="192" w:name="_Toc12582"/>
      <w:bookmarkStart w:id="193" w:name="_Toc450662869"/>
      <w:bookmarkStart w:id="194" w:name="_Toc4979"/>
      <w:bookmarkStart w:id="195" w:name="_Toc486167684"/>
      <w:bookmarkStart w:id="196" w:name="_Toc29410"/>
      <w:r>
        <w:rPr>
          <w:rFonts w:hint="eastAsia" w:ascii="宋体" w:hAnsi="宋体" w:eastAsia="宋体" w:cs="宋体"/>
          <w:color w:val="auto"/>
          <w:szCs w:val="21"/>
          <w:highlight w:val="none"/>
          <w:lang w:val="zh-CN"/>
        </w:rPr>
        <w:t>19 递交投标文件的截止日期</w:t>
      </w:r>
      <w:bookmarkEnd w:id="190"/>
      <w:bookmarkEnd w:id="191"/>
      <w:bookmarkEnd w:id="192"/>
      <w:bookmarkEnd w:id="193"/>
      <w:bookmarkEnd w:id="194"/>
      <w:bookmarkEnd w:id="195"/>
      <w:bookmarkEnd w:id="196"/>
    </w:p>
    <w:p w14:paraId="46CF9EEA">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招标代理机构收到投标文件的时间不得迟于第一篇“招标公告”中规定的截止时间。</w:t>
      </w:r>
    </w:p>
    <w:p w14:paraId="675109B1">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19.2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招标代理机构可按照第7条的规定修改招标文件并酌情延长递交投标文件的截止时间，因此，已规定的招标代理机构和投标人的一切权利和义务将按延期后的递交投标文件截止时间履行。</w:t>
      </w:r>
    </w:p>
    <w:p w14:paraId="32975661">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1F1AC7A8">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kern w:val="0"/>
          <w:sz w:val="24"/>
          <w:szCs w:val="24"/>
          <w:highlight w:val="none"/>
        </w:rPr>
      </w:pPr>
      <w:bookmarkStart w:id="197" w:name="_Toc21019"/>
      <w:bookmarkStart w:id="198" w:name="_Toc450662870"/>
      <w:bookmarkStart w:id="199" w:name="_Toc20835"/>
      <w:bookmarkStart w:id="200" w:name="_Toc22431_WPSOffice_Level3"/>
      <w:bookmarkStart w:id="201" w:name="_Toc30287"/>
      <w:bookmarkStart w:id="202" w:name="_Toc142508335"/>
      <w:bookmarkStart w:id="203" w:name="_Toc486167685"/>
      <w:r>
        <w:rPr>
          <w:rFonts w:hint="eastAsia" w:ascii="宋体" w:hAnsi="宋体" w:eastAsia="宋体" w:cs="宋体"/>
          <w:color w:val="auto"/>
          <w:szCs w:val="21"/>
          <w:highlight w:val="none"/>
          <w:lang w:val="zh-CN"/>
        </w:rPr>
        <w:t>20 迟交的投标文件</w:t>
      </w:r>
      <w:bookmarkEnd w:id="197"/>
      <w:bookmarkEnd w:id="198"/>
      <w:bookmarkEnd w:id="199"/>
      <w:bookmarkEnd w:id="200"/>
      <w:bookmarkEnd w:id="201"/>
      <w:bookmarkEnd w:id="202"/>
      <w:bookmarkEnd w:id="203"/>
    </w:p>
    <w:p w14:paraId="16AD6932">
      <w:pPr>
        <w:autoSpaceDE w:val="0"/>
        <w:autoSpaceDN w:val="0"/>
        <w:adjustRightInd w:val="0"/>
        <w:spacing w:line="360" w:lineRule="auto"/>
        <w:ind w:firstLine="315" w:firstLineChars="1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根据第19条规定，招标代理机构将拒绝任何晚于递交投标文件的截止时间交到的投标文件。</w:t>
      </w:r>
    </w:p>
    <w:p w14:paraId="50EFE090">
      <w:pPr>
        <w:autoSpaceDE w:val="0"/>
        <w:autoSpaceDN w:val="0"/>
        <w:adjustRightInd w:val="0"/>
        <w:jc w:val="left"/>
        <w:outlineLvl w:val="9"/>
        <w:rPr>
          <w:rFonts w:hint="eastAsia" w:ascii="宋体" w:hAnsi="宋体" w:eastAsia="宋体" w:cs="宋体"/>
          <w:color w:val="auto"/>
          <w:kern w:val="0"/>
          <w:sz w:val="24"/>
          <w:szCs w:val="24"/>
          <w:highlight w:val="none"/>
        </w:rPr>
      </w:pPr>
    </w:p>
    <w:p w14:paraId="2147D8E1">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04" w:name="_Toc4883_WPSOffice_Level3"/>
      <w:bookmarkStart w:id="205" w:name="_Toc10975"/>
      <w:bookmarkStart w:id="206" w:name="_Toc142508336"/>
      <w:bookmarkStart w:id="207" w:name="_Toc486167686"/>
      <w:bookmarkStart w:id="208" w:name="_Toc450662871"/>
      <w:bookmarkStart w:id="209" w:name="_Toc27851"/>
      <w:bookmarkStart w:id="210" w:name="_Toc3814"/>
      <w:r>
        <w:rPr>
          <w:rFonts w:hint="eastAsia" w:ascii="宋体" w:hAnsi="宋体" w:eastAsia="宋体" w:cs="宋体"/>
          <w:color w:val="auto"/>
          <w:szCs w:val="21"/>
          <w:highlight w:val="none"/>
          <w:lang w:val="zh-CN"/>
        </w:rPr>
        <w:t>21 投标文件的修改和撤回</w:t>
      </w:r>
      <w:bookmarkEnd w:id="204"/>
      <w:bookmarkEnd w:id="205"/>
      <w:bookmarkEnd w:id="206"/>
      <w:bookmarkEnd w:id="207"/>
      <w:bookmarkEnd w:id="208"/>
      <w:bookmarkEnd w:id="209"/>
      <w:bookmarkEnd w:id="210"/>
    </w:p>
    <w:p w14:paraId="2B1C9D1D">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投标人在提交投标文件后可对其投标文件进行修改或撤回，但招标代理机构须在提交投标文件截止日期前收到该修改或撤回的书面通知。</w:t>
      </w:r>
    </w:p>
    <w:p w14:paraId="6E6581D3">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投标人对投标文件的修改或撤回的通知应按第17条和第18条规定进行准备、密封、标注和递送。</w:t>
      </w:r>
    </w:p>
    <w:p w14:paraId="7112DD80">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递交投标文件截止时间后不得修改投标文件。</w:t>
      </w:r>
    </w:p>
    <w:p w14:paraId="17572BEA">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21.4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投标人不得在递交投标文件截止时间起至第16条规定的投标文件有效期期满前撤销投标文件。否则招标</w:t>
      </w:r>
      <w:r>
        <w:rPr>
          <w:rFonts w:hint="eastAsia" w:ascii="宋体" w:hAnsi="宋体" w:eastAsia="宋体" w:cs="宋体"/>
          <w:color w:val="auto"/>
          <w:szCs w:val="21"/>
          <w:highlight w:val="none"/>
          <w:lang w:val="en-US" w:eastAsia="zh-CN"/>
        </w:rPr>
        <w:t>人</w:t>
      </w:r>
      <w:r>
        <w:rPr>
          <w:rFonts w:hint="eastAsia" w:ascii="宋体" w:hAnsi="宋体" w:eastAsia="宋体" w:cs="宋体"/>
          <w:color w:val="auto"/>
          <w:szCs w:val="21"/>
          <w:highlight w:val="none"/>
          <w:lang w:val="zh-CN"/>
        </w:rPr>
        <w:t>将按第15.7款（1）规定不予退还其投标保证金。</w:t>
      </w:r>
    </w:p>
    <w:p w14:paraId="7884BAD6">
      <w:pPr>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p>
    <w:p w14:paraId="220C2C16">
      <w:pPr>
        <w:keepNext/>
        <w:keepLines/>
        <w:tabs>
          <w:tab w:val="left" w:pos="509"/>
        </w:tab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211" w:name="_Toc30428"/>
      <w:bookmarkStart w:id="212" w:name="_Toc142508337"/>
      <w:bookmarkStart w:id="213" w:name="_Toc28824"/>
      <w:bookmarkStart w:id="214" w:name="_Toc450662872"/>
      <w:bookmarkStart w:id="215" w:name="_Toc486167687"/>
      <w:bookmarkStart w:id="216" w:name="_Toc140596896"/>
      <w:bookmarkStart w:id="217" w:name="_Toc23996"/>
      <w:bookmarkStart w:id="218" w:name="_Toc1049_WPSOffice_Level2"/>
      <w:r>
        <w:rPr>
          <w:rFonts w:hint="eastAsia" w:ascii="宋体" w:hAnsi="宋体" w:eastAsia="宋体" w:cs="宋体"/>
          <w:b/>
          <w:bCs/>
          <w:color w:val="auto"/>
          <w:kern w:val="44"/>
          <w:szCs w:val="21"/>
          <w:highlight w:val="none"/>
          <w:lang w:val="zh-CN"/>
        </w:rPr>
        <w:t>五、开标与评标</w:t>
      </w:r>
      <w:bookmarkEnd w:id="211"/>
      <w:bookmarkEnd w:id="212"/>
      <w:bookmarkEnd w:id="213"/>
      <w:bookmarkEnd w:id="214"/>
      <w:bookmarkEnd w:id="215"/>
      <w:bookmarkEnd w:id="216"/>
      <w:bookmarkEnd w:id="217"/>
      <w:bookmarkEnd w:id="218"/>
    </w:p>
    <w:p w14:paraId="594D900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19" w:name="_Toc144_WPSOffice_Level3"/>
      <w:bookmarkStart w:id="220" w:name="_Toc486167688"/>
      <w:bookmarkStart w:id="221" w:name="_Toc11256"/>
      <w:bookmarkStart w:id="222" w:name="_Toc142508338"/>
      <w:bookmarkStart w:id="223" w:name="_Toc450662873"/>
      <w:bookmarkStart w:id="224" w:name="_Toc8728"/>
      <w:bookmarkStart w:id="225" w:name="_Toc27740"/>
      <w:r>
        <w:rPr>
          <w:rFonts w:hint="eastAsia" w:ascii="宋体" w:hAnsi="宋体" w:eastAsia="宋体" w:cs="宋体"/>
          <w:color w:val="auto"/>
          <w:szCs w:val="21"/>
          <w:highlight w:val="none"/>
          <w:lang w:val="zh-CN"/>
        </w:rPr>
        <w:t>22 开标</w:t>
      </w:r>
      <w:bookmarkEnd w:id="219"/>
      <w:bookmarkEnd w:id="220"/>
      <w:bookmarkEnd w:id="221"/>
      <w:bookmarkEnd w:id="222"/>
      <w:bookmarkEnd w:id="223"/>
      <w:bookmarkEnd w:id="224"/>
      <w:bookmarkEnd w:id="225"/>
    </w:p>
    <w:p w14:paraId="33526456">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招标代理机构在投标人代表自愿出席的情况下，在第一篇“招标公告”规定的地点和时间开标, 出席代表需登记以示出席。</w:t>
      </w:r>
    </w:p>
    <w:p w14:paraId="59CDB2A7">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按照第21条规定，提交了可接受的“撤回”通知的投标文件将不予开封。</w:t>
      </w:r>
    </w:p>
    <w:p w14:paraId="3187ABA2">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22.3 开标时，招标代理机构将当众宣读投标人名称、投标报价以及招标代理机构认为合适的其他内容。若招标代理机构宣读的结果与投标文件不符时，投标人有权在开标现场提出异议，经招标人采购活动的监督人员</w:t>
      </w:r>
      <w:r>
        <w:rPr>
          <w:rFonts w:hint="eastAsia" w:ascii="宋体" w:hAnsi="宋体" w:eastAsia="宋体" w:cs="宋体"/>
          <w:color w:val="auto"/>
          <w:szCs w:val="21"/>
          <w:highlight w:val="none"/>
          <w:lang w:val="en-US" w:eastAsia="zh-CN"/>
        </w:rPr>
        <w:t>当</w:t>
      </w:r>
      <w:r>
        <w:rPr>
          <w:rFonts w:hint="eastAsia" w:ascii="宋体" w:hAnsi="宋体" w:eastAsia="宋体" w:cs="宋体"/>
          <w:color w:val="auto"/>
          <w:szCs w:val="21"/>
          <w:highlight w:val="none"/>
          <w:lang w:val="zh-CN"/>
        </w:rPr>
        <w:t>场核查确认之后，可重新宣读其投标文件</w:t>
      </w:r>
      <w:r>
        <w:rPr>
          <w:rFonts w:hint="eastAsia" w:ascii="宋体" w:hAnsi="宋体" w:eastAsia="宋体" w:cs="宋体"/>
          <w:color w:val="auto"/>
          <w:szCs w:val="21"/>
          <w:highlight w:val="none"/>
          <w:lang w:val="en-US" w:eastAsia="zh-CN"/>
        </w:rPr>
        <w:t>相关内容</w:t>
      </w:r>
      <w:r>
        <w:rPr>
          <w:rFonts w:hint="eastAsia" w:ascii="宋体" w:hAnsi="宋体" w:eastAsia="宋体" w:cs="宋体"/>
          <w:color w:val="auto"/>
          <w:szCs w:val="21"/>
          <w:highlight w:val="none"/>
          <w:lang w:val="zh-CN"/>
        </w:rPr>
        <w:t>。若投标人现场未提出异议，则视为投标人确认宣读的结果。</w:t>
      </w:r>
    </w:p>
    <w:p w14:paraId="01593877">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投标文件的投标报价大写金额和小写金额不一致的，以大写金额为准。对不同文字文本投标文件的解释发生异议的，以中文文本为准。</w:t>
      </w:r>
    </w:p>
    <w:p w14:paraId="1DB1200C">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22.5 投标人对开标有异议的，应当在开标现场提出，招标代理机构应当当场作出答复，并制作记录。投标人法定代表人或其授权代表未出席的，视同认可开标结果。</w:t>
      </w:r>
    </w:p>
    <w:p w14:paraId="615648B3">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22.6 招标代理机构将做开标记录，开标记录包括第22.5款发生的异议及答复、按第22.3款的规定在开标时宣读的全部内容。</w:t>
      </w:r>
    </w:p>
    <w:p w14:paraId="3928015A">
      <w:pPr>
        <w:autoSpaceDE w:val="0"/>
        <w:autoSpaceDN w:val="0"/>
        <w:adjustRightInd w:val="0"/>
        <w:spacing w:line="360" w:lineRule="auto"/>
        <w:ind w:left="357" w:leftChars="-100" w:right="15" w:rightChars="7" w:hanging="567"/>
        <w:outlineLvl w:val="9"/>
        <w:rPr>
          <w:rFonts w:hint="eastAsia" w:ascii="宋体" w:hAnsi="宋体" w:eastAsia="宋体" w:cs="宋体"/>
          <w:color w:val="auto"/>
          <w:kern w:val="0"/>
          <w:szCs w:val="21"/>
          <w:highlight w:val="none"/>
        </w:rPr>
      </w:pPr>
    </w:p>
    <w:p w14:paraId="760503A5">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26" w:name="_Toc32534"/>
      <w:bookmarkStart w:id="227" w:name="_Toc486167689"/>
      <w:bookmarkStart w:id="228" w:name="_Toc450662874"/>
      <w:bookmarkStart w:id="229" w:name="_Toc12165_WPSOffice_Level3"/>
      <w:bookmarkStart w:id="230" w:name="_Toc23059"/>
      <w:bookmarkStart w:id="231" w:name="_Toc28357"/>
      <w:bookmarkStart w:id="232" w:name="_Toc142508339"/>
      <w:r>
        <w:rPr>
          <w:rFonts w:hint="eastAsia" w:ascii="宋体" w:hAnsi="宋体" w:eastAsia="宋体" w:cs="宋体"/>
          <w:color w:val="auto"/>
          <w:szCs w:val="21"/>
          <w:highlight w:val="none"/>
          <w:lang w:val="zh-CN"/>
        </w:rPr>
        <w:t xml:space="preserve">23 </w:t>
      </w:r>
      <w:r>
        <w:rPr>
          <w:rFonts w:hint="eastAsia" w:ascii="宋体" w:hAnsi="宋体" w:eastAsia="宋体" w:cs="宋体"/>
          <w:color w:val="auto"/>
          <w:kern w:val="0"/>
          <w:szCs w:val="24"/>
          <w:highlight w:val="none"/>
        </w:rPr>
        <w:t>评标过程的保密性</w:t>
      </w:r>
      <w:bookmarkEnd w:id="226"/>
      <w:bookmarkEnd w:id="227"/>
      <w:bookmarkEnd w:id="228"/>
      <w:bookmarkEnd w:id="229"/>
      <w:bookmarkEnd w:id="230"/>
      <w:bookmarkEnd w:id="231"/>
      <w:bookmarkEnd w:id="232"/>
    </w:p>
    <w:p w14:paraId="2F711D88">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递交投标文件后，直至向中标人授予合同期间，凡与审查、澄清、评估和比较投标报价的有关资料以及意见等，均不得向投标人及与评审无关的其他人透露，否则追究有关当事人的法律责任。</w:t>
      </w:r>
    </w:p>
    <w:p w14:paraId="7D725F76">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在评标过程中，如果投标人试图在投标文件审查、澄清、比较及授予合同方面向招标代理机构和招标人施加任何影响，其投标文件将被拒绝。</w:t>
      </w:r>
    </w:p>
    <w:p w14:paraId="0FB6543D">
      <w:pPr>
        <w:tabs>
          <w:tab w:val="left" w:pos="567"/>
        </w:tabs>
        <w:autoSpaceDE w:val="0"/>
        <w:autoSpaceDN w:val="0"/>
        <w:adjustRightInd w:val="0"/>
        <w:spacing w:line="360" w:lineRule="auto"/>
        <w:ind w:left="357" w:leftChars="-100" w:right="15" w:rightChars="7" w:hanging="567"/>
        <w:outlineLvl w:val="9"/>
        <w:rPr>
          <w:rFonts w:hint="eastAsia" w:ascii="宋体" w:hAnsi="宋体" w:eastAsia="宋体" w:cs="宋体"/>
          <w:color w:val="auto"/>
          <w:szCs w:val="21"/>
          <w:highlight w:val="none"/>
          <w:lang w:val="zh-CN"/>
        </w:rPr>
      </w:pPr>
    </w:p>
    <w:p w14:paraId="6A3077E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33" w:name="_Toc800"/>
      <w:bookmarkStart w:id="234" w:name="_Toc486167690"/>
      <w:bookmarkStart w:id="235" w:name="_Toc15565_WPSOffice_Level3"/>
      <w:bookmarkStart w:id="236" w:name="_Toc142508340"/>
      <w:bookmarkStart w:id="237" w:name="_Toc450662875"/>
      <w:bookmarkStart w:id="238" w:name="_Toc16920"/>
      <w:bookmarkStart w:id="239" w:name="_Toc12516"/>
      <w:r>
        <w:rPr>
          <w:rFonts w:hint="eastAsia" w:ascii="宋体" w:hAnsi="宋体" w:eastAsia="宋体" w:cs="宋体"/>
          <w:color w:val="auto"/>
          <w:szCs w:val="21"/>
          <w:highlight w:val="none"/>
          <w:lang w:val="zh-CN"/>
        </w:rPr>
        <w:t>24 评标委员会</w:t>
      </w:r>
      <w:bookmarkEnd w:id="233"/>
      <w:bookmarkEnd w:id="234"/>
      <w:bookmarkEnd w:id="235"/>
      <w:bookmarkEnd w:id="236"/>
      <w:bookmarkEnd w:id="237"/>
      <w:bookmarkEnd w:id="238"/>
      <w:bookmarkEnd w:id="239"/>
    </w:p>
    <w:p w14:paraId="13420874">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依法组建评标委员会。评标委员会的成员在评审过程中必须严格遵守国家及地方招标投标的有关规定。</w:t>
      </w:r>
    </w:p>
    <w:p w14:paraId="4811136D">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24.2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评标委员会依法根据招标文件的规定，进行投标文件的评审、得出评审结果，并向招标人推荐中标候选人。</w:t>
      </w:r>
    </w:p>
    <w:p w14:paraId="5EDED307">
      <w:pPr>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p>
    <w:p w14:paraId="30720E1E">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b/>
          <w:color w:val="auto"/>
          <w:szCs w:val="21"/>
          <w:highlight w:val="none"/>
          <w:lang w:val="zh-CN"/>
        </w:rPr>
      </w:pPr>
      <w:bookmarkStart w:id="240" w:name="_Toc28910_WPSOffice_Level3"/>
      <w:bookmarkStart w:id="241" w:name="_Toc12715"/>
      <w:bookmarkStart w:id="242" w:name="_Toc450662876"/>
      <w:bookmarkStart w:id="243" w:name="_Toc142508341"/>
      <w:bookmarkStart w:id="244" w:name="_Toc486167691"/>
      <w:bookmarkStart w:id="245" w:name="_Toc18668"/>
      <w:bookmarkStart w:id="246" w:name="_Toc20968"/>
      <w:r>
        <w:rPr>
          <w:rFonts w:hint="eastAsia" w:ascii="宋体" w:hAnsi="宋体" w:eastAsia="宋体" w:cs="宋体"/>
          <w:b/>
          <w:color w:val="auto"/>
          <w:szCs w:val="21"/>
          <w:highlight w:val="none"/>
          <w:lang w:val="zh-CN"/>
        </w:rPr>
        <w:t>25 投标文件的初审</w:t>
      </w:r>
      <w:bookmarkEnd w:id="240"/>
      <w:bookmarkEnd w:id="241"/>
      <w:bookmarkEnd w:id="242"/>
      <w:bookmarkEnd w:id="243"/>
      <w:bookmarkEnd w:id="244"/>
      <w:bookmarkEnd w:id="245"/>
      <w:bookmarkEnd w:id="246"/>
    </w:p>
    <w:p w14:paraId="4ECC4B5E">
      <w:pPr>
        <w:autoSpaceDE w:val="0"/>
        <w:autoSpaceDN w:val="0"/>
        <w:adjustRightInd w:val="0"/>
        <w:spacing w:line="360" w:lineRule="auto"/>
        <w:ind w:left="357" w:leftChars="-100" w:hanging="567"/>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zh-CN"/>
        </w:rPr>
        <w:t>25.1 资格性检查：依据法律法规和招标文件的规定，对投标文件中的资格证明、投标保证金等进行审查，以确定投标人是否具备投标资格。</w:t>
      </w:r>
    </w:p>
    <w:p w14:paraId="4110198F">
      <w:pPr>
        <w:autoSpaceDE w:val="0"/>
        <w:autoSpaceDN w:val="0"/>
        <w:adjustRightInd w:val="0"/>
        <w:spacing w:line="360" w:lineRule="auto"/>
        <w:ind w:left="330" w:leftChars="-100" w:hanging="540"/>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25.2 符合性检查：依据招标文件的规定，从投标文件的有效性、完整性和对招标文件的响应程度进行审查，以确定是否对招标文件的实质性要求作出响应。</w:t>
      </w:r>
    </w:p>
    <w:p w14:paraId="2F0D29BE">
      <w:pPr>
        <w:autoSpaceDE w:val="0"/>
        <w:autoSpaceDN w:val="0"/>
        <w:adjustRightInd w:val="0"/>
        <w:spacing w:line="360" w:lineRule="auto"/>
        <w:ind w:left="330" w:leftChars="-100" w:hanging="540"/>
        <w:outlineLvl w:val="9"/>
        <w:rPr>
          <w:rFonts w:hint="eastAsia" w:ascii="宋体" w:hAnsi="宋体" w:eastAsia="宋体" w:cs="宋体"/>
          <w:b/>
          <w:color w:val="auto"/>
          <w:szCs w:val="21"/>
          <w:highlight w:val="none"/>
          <w:lang w:val="zh-CN"/>
        </w:rPr>
      </w:pPr>
    </w:p>
    <w:p w14:paraId="7EC6D25C">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47" w:name="_Toc450662877"/>
      <w:bookmarkStart w:id="248" w:name="_Toc142508342"/>
      <w:bookmarkStart w:id="249" w:name="_Toc4837"/>
      <w:bookmarkStart w:id="250" w:name="_Toc11879"/>
      <w:bookmarkStart w:id="251" w:name="_Toc338_WPSOffice_Level3"/>
      <w:bookmarkStart w:id="252" w:name="_Toc30225"/>
      <w:bookmarkStart w:id="253" w:name="_Toc486167692"/>
      <w:r>
        <w:rPr>
          <w:rFonts w:hint="eastAsia" w:ascii="宋体" w:hAnsi="宋体" w:eastAsia="宋体" w:cs="宋体"/>
          <w:color w:val="auto"/>
          <w:szCs w:val="21"/>
          <w:highlight w:val="none"/>
          <w:lang w:val="zh-CN"/>
        </w:rPr>
        <w:t>26 投标文件的澄清</w:t>
      </w:r>
      <w:bookmarkEnd w:id="247"/>
      <w:bookmarkEnd w:id="248"/>
      <w:bookmarkEnd w:id="249"/>
      <w:bookmarkEnd w:id="250"/>
      <w:bookmarkEnd w:id="251"/>
      <w:bookmarkEnd w:id="252"/>
      <w:bookmarkEnd w:id="253"/>
    </w:p>
    <w:p w14:paraId="5EFBC408">
      <w:pPr>
        <w:autoSpaceDE w:val="0"/>
        <w:autoSpaceDN w:val="0"/>
        <w:adjustRightInd w:val="0"/>
        <w:spacing w:line="360" w:lineRule="auto"/>
        <w:ind w:left="315" w:leftChars="-100" w:hanging="525" w:hangingChars="2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26.1 对投标文件中含义不明确、同类问题表述不一致或者有明显文字和计算错误的内容，评标委员会可以书面形式（应当由评标委员会专家签字）要求投标人作出必要的澄清、说明或者纠正。投标人的澄清、说明或者补正应当采用书面形式，由其授权的代表签字，并不得超出投标文件的范围或者改变投标文件的实质性内容。</w:t>
      </w:r>
    </w:p>
    <w:p w14:paraId="3F70C71E">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bookmarkStart w:id="254" w:name="_Toc450662879"/>
      <w:r>
        <w:rPr>
          <w:rFonts w:hint="eastAsia" w:ascii="宋体" w:hAnsi="宋体" w:eastAsia="宋体" w:cs="宋体"/>
          <w:color w:val="auto"/>
          <w:szCs w:val="21"/>
          <w:highlight w:val="none"/>
          <w:lang w:val="zh-CN"/>
        </w:rPr>
        <w:t xml:space="preserve">26.2 </w:t>
      </w:r>
      <w:r>
        <w:rPr>
          <w:rFonts w:hint="eastAsia" w:ascii="宋体" w:hAnsi="宋体" w:eastAsia="宋体" w:cs="宋体"/>
          <w:color w:val="auto"/>
          <w:szCs w:val="21"/>
          <w:highlight w:val="none"/>
          <w:lang w:val="en-US" w:eastAsia="zh-CN"/>
        </w:rPr>
        <w:t>开标当天</w:t>
      </w:r>
      <w:r>
        <w:rPr>
          <w:rFonts w:hint="eastAsia" w:ascii="宋体" w:hAnsi="宋体" w:eastAsia="宋体" w:cs="宋体"/>
          <w:color w:val="auto"/>
          <w:szCs w:val="21"/>
          <w:highlight w:val="none"/>
          <w:lang w:val="zh-CN"/>
        </w:rPr>
        <w:t>，投标人法定代表人或法定代表人授权书列明的被授权人的联系电话应保持开机状态，以便在评标期间，评标委员会要求投标人对投标文件进行澄清时能够收到有关通知，否则视为投标人放弃澄清的权利，对评标委员会就该项内容的评审意见无异议。</w:t>
      </w:r>
    </w:p>
    <w:p w14:paraId="315F50AD">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p>
    <w:bookmarkEnd w:id="254"/>
    <w:p w14:paraId="64EB4003">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55" w:name="_Toc22065"/>
      <w:bookmarkStart w:id="256" w:name="_Toc10967"/>
      <w:bookmarkStart w:id="257" w:name="_Toc142508343"/>
      <w:bookmarkStart w:id="258" w:name="_Toc14649"/>
      <w:bookmarkStart w:id="259" w:name="_Toc522047355"/>
      <w:bookmarkStart w:id="260" w:name="_Toc521918096"/>
      <w:bookmarkStart w:id="261" w:name="_Toc18368_WPSOffice_Level3"/>
      <w:r>
        <w:rPr>
          <w:rFonts w:hint="eastAsia" w:ascii="宋体" w:hAnsi="宋体" w:eastAsia="宋体" w:cs="宋体"/>
          <w:color w:val="auto"/>
          <w:szCs w:val="21"/>
          <w:highlight w:val="none"/>
          <w:lang w:val="zh-CN"/>
        </w:rPr>
        <w:t>27 对投标文件的比较和评价</w:t>
      </w:r>
      <w:bookmarkEnd w:id="255"/>
      <w:bookmarkEnd w:id="256"/>
      <w:bookmarkEnd w:id="257"/>
      <w:bookmarkEnd w:id="258"/>
      <w:bookmarkEnd w:id="259"/>
      <w:bookmarkEnd w:id="260"/>
      <w:bookmarkEnd w:id="261"/>
    </w:p>
    <w:p w14:paraId="71C7DEF1">
      <w:pPr>
        <w:tabs>
          <w:tab w:val="left" w:pos="540"/>
        </w:tabs>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评标委员会将对资格性检查和符合性检查合格的投标文件进行比较和评价，包括商务、技术和价格的详细评审。</w:t>
      </w:r>
    </w:p>
    <w:p w14:paraId="362F9CAA">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对投标文件商务的评审详见评标工作大纲。</w:t>
      </w:r>
    </w:p>
    <w:p w14:paraId="7B0BE2C9">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27.3</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对投标文件技术的评审详见评标工作大纲。</w:t>
      </w:r>
    </w:p>
    <w:p w14:paraId="447787B9">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27.4</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对投标价格的评审详见评标工作大纲。</w:t>
      </w:r>
    </w:p>
    <w:p w14:paraId="47604CB5">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27.5</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本次评标的评分权重详见评标工作大纲。</w:t>
      </w:r>
    </w:p>
    <w:p w14:paraId="7C408EB7">
      <w:pPr>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27.6</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根据上述商务、技术及价格综合评价的权重分配计算出各投标人的综合得分。</w:t>
      </w:r>
    </w:p>
    <w:p w14:paraId="18529A5E">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color w:val="auto"/>
          <w:szCs w:val="21"/>
          <w:highlight w:val="none"/>
          <w:lang w:val="zh-CN"/>
        </w:rPr>
      </w:pPr>
      <w:bookmarkStart w:id="262" w:name="_Toc522047356"/>
      <w:bookmarkStart w:id="263" w:name="_Toc521918097"/>
    </w:p>
    <w:p w14:paraId="27044E6B">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4" w:name="_Toc142508344"/>
      <w:bookmarkStart w:id="265" w:name="_Toc23300"/>
      <w:bookmarkStart w:id="266" w:name="_Toc21460_WPSOffice_Level3"/>
      <w:bookmarkStart w:id="267" w:name="_Toc14804"/>
      <w:bookmarkStart w:id="268" w:name="_Toc27026"/>
      <w:r>
        <w:rPr>
          <w:rFonts w:hint="eastAsia" w:ascii="宋体" w:hAnsi="宋体" w:eastAsia="宋体" w:cs="宋体"/>
          <w:color w:val="auto"/>
          <w:szCs w:val="21"/>
          <w:highlight w:val="none"/>
          <w:lang w:val="zh-CN"/>
        </w:rPr>
        <w:t>28 评标原则及方法</w:t>
      </w:r>
      <w:bookmarkEnd w:id="262"/>
      <w:bookmarkEnd w:id="263"/>
      <w:bookmarkEnd w:id="264"/>
      <w:bookmarkEnd w:id="265"/>
      <w:bookmarkEnd w:id="266"/>
      <w:bookmarkEnd w:id="267"/>
      <w:bookmarkEnd w:id="268"/>
    </w:p>
    <w:p w14:paraId="333F32C5">
      <w:pPr>
        <w:tabs>
          <w:tab w:val="left" w:pos="567"/>
        </w:tabs>
        <w:autoSpaceDE w:val="0"/>
        <w:autoSpaceDN w:val="0"/>
        <w:adjustRightInd w:val="0"/>
        <w:spacing w:line="360" w:lineRule="auto"/>
        <w:ind w:left="357" w:leftChars="-100" w:hanging="567"/>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对所有投标文件的评审，都采用相同的程序和标准。按步骤先进行初步评审，再进行商务、技术、价格评审。</w:t>
      </w:r>
    </w:p>
    <w:p w14:paraId="7D4609D5">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28.2 评标严格按照招标文件的要求和条件进行。</w:t>
      </w:r>
    </w:p>
    <w:p w14:paraId="26330F75">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在评标时将根据第27条，采用综合评分法的评审方法，对所有实质响应性投标文件进行综合打分。</w:t>
      </w:r>
    </w:p>
    <w:p w14:paraId="1C973594">
      <w:pPr>
        <w:autoSpaceDE w:val="0"/>
        <w:autoSpaceDN w:val="0"/>
        <w:adjustRightInd w:val="0"/>
        <w:spacing w:line="360" w:lineRule="auto"/>
        <w:ind w:left="441" w:leftChars="-60" w:hanging="567" w:hangingChars="27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28.3 </w:t>
      </w:r>
      <w:r>
        <w:rPr>
          <w:rFonts w:hint="eastAsia" w:ascii="宋体" w:hAnsi="宋体" w:eastAsia="宋体" w:cs="宋体"/>
          <w:b/>
          <w:bCs/>
          <w:color w:val="auto"/>
          <w:szCs w:val="21"/>
          <w:highlight w:val="none"/>
          <w:lang w:val="zh-CN"/>
        </w:rPr>
        <w:t>若</w:t>
      </w:r>
      <w:r>
        <w:rPr>
          <w:rFonts w:hint="eastAsia" w:ascii="宋体" w:hAnsi="宋体" w:eastAsia="宋体" w:cs="宋体"/>
          <w:b/>
          <w:bCs/>
          <w:color w:val="auto"/>
          <w:szCs w:val="21"/>
          <w:highlight w:val="none"/>
        </w:rPr>
        <w:t>本次招标过程中有效投标人不足三个时，公开招标失败。</w:t>
      </w:r>
    </w:p>
    <w:p w14:paraId="41C6E0FD">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p>
    <w:p w14:paraId="16817BC4">
      <w:pPr>
        <w:tabs>
          <w:tab w:val="left" w:pos="525"/>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269" w:name="_Toc465358969"/>
      <w:bookmarkStart w:id="270" w:name="_Toc466882017"/>
      <w:bookmarkStart w:id="271" w:name="_Toc486167694"/>
      <w:bookmarkStart w:id="272" w:name="_Toc4819"/>
      <w:bookmarkStart w:id="273" w:name="_Toc32498_WPSOffice_Level3"/>
      <w:bookmarkStart w:id="274" w:name="_Toc11615"/>
      <w:bookmarkStart w:id="275" w:name="_Toc1355"/>
      <w:bookmarkStart w:id="276" w:name="_Toc142508345"/>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 xml:space="preserve">9 </w:t>
      </w:r>
      <w:r>
        <w:rPr>
          <w:rFonts w:hint="eastAsia" w:ascii="宋体" w:hAnsi="宋体" w:eastAsia="宋体" w:cs="宋体"/>
          <w:color w:val="auto"/>
          <w:szCs w:val="21"/>
          <w:highlight w:val="none"/>
          <w:lang w:val="zh-CN"/>
        </w:rPr>
        <w:t>评标结果公示及异议、投诉</w:t>
      </w:r>
      <w:bookmarkEnd w:id="269"/>
      <w:bookmarkEnd w:id="270"/>
      <w:bookmarkEnd w:id="271"/>
      <w:bookmarkEnd w:id="272"/>
      <w:bookmarkEnd w:id="273"/>
      <w:bookmarkEnd w:id="274"/>
      <w:bookmarkEnd w:id="275"/>
      <w:bookmarkEnd w:id="276"/>
    </w:p>
    <w:p w14:paraId="4B84E58A">
      <w:pPr>
        <w:tabs>
          <w:tab w:val="left" w:pos="36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.1 招标代理机构在招标公告发布媒介公示中标候选人，公示期不得少于3日（最后一日是节假日或公休日的，应顺延到节假日或公休日后第一个工作日）。投标人或者其他利害关系人对评标结果有异议的，应当在</w:t>
      </w:r>
      <w:r>
        <w:rPr>
          <w:rFonts w:hint="eastAsia" w:ascii="宋体" w:hAnsi="宋体" w:eastAsia="宋体" w:cs="宋体"/>
          <w:color w:val="auto"/>
          <w:szCs w:val="21"/>
          <w:highlight w:val="none"/>
        </w:rPr>
        <w:t>评标结果</w:t>
      </w:r>
      <w:r>
        <w:rPr>
          <w:rFonts w:hint="eastAsia" w:ascii="宋体" w:hAnsi="宋体" w:eastAsia="宋体" w:cs="宋体"/>
          <w:color w:val="auto"/>
          <w:szCs w:val="21"/>
          <w:highlight w:val="none"/>
          <w:lang w:val="zh-CN"/>
        </w:rPr>
        <w:t>公示期间向招标代理机构以书面的形式提出，并将完整的异议书面材料原件送达招标代理机构，逾期则视为对评标结果无异议。超出提交异议截止时间而提出的任何疑问，招标代理机构可不予答复。</w:t>
      </w:r>
    </w:p>
    <w:p w14:paraId="67E4DC7D">
      <w:pPr>
        <w:autoSpaceDE w:val="0"/>
        <w:autoSpaceDN w:val="0"/>
        <w:adjustRightInd w:val="0"/>
        <w:snapToGrid w:val="0"/>
        <w:spacing w:line="360" w:lineRule="auto"/>
        <w:ind w:left="210" w:leftChars="100" w:firstLine="525" w:firstLineChars="2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招标代理机构将拒收未能提供完整异议书面材料的异议，完整的异议书面材料必须同时包含：异议书（加盖法人公章，并注明联系人、联系电话、联系地址）、授权提交异议的法定代表人授权书原件、反映异议人主体资格的营业执照复印件（加盖法人公章）、以及合法来源的证据证明材料</w:t>
      </w:r>
      <w:r>
        <w:rPr>
          <w:rFonts w:hint="eastAsia" w:ascii="宋体" w:hAnsi="宋体" w:eastAsia="宋体" w:cs="宋体"/>
          <w:color w:val="auto"/>
          <w:kern w:val="0"/>
          <w:szCs w:val="21"/>
          <w:highlight w:val="none"/>
          <w:lang w:val="zh-CN"/>
        </w:rPr>
        <w:t>。</w:t>
      </w:r>
    </w:p>
    <w:p w14:paraId="0907B876">
      <w:pPr>
        <w:autoSpaceDE w:val="0"/>
        <w:autoSpaceDN w:val="0"/>
        <w:adjustRightInd w:val="0"/>
        <w:spacing w:line="360" w:lineRule="auto"/>
        <w:ind w:left="284" w:hanging="568"/>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 xml:space="preserve">29.2 </w:t>
      </w:r>
      <w:r>
        <w:rPr>
          <w:rFonts w:hint="eastAsia" w:ascii="宋体" w:hAnsi="宋体" w:eastAsia="宋体" w:cs="宋体"/>
          <w:b/>
          <w:color w:val="auto"/>
          <w:szCs w:val="21"/>
          <w:highlight w:val="none"/>
          <w:lang w:val="zh-CN"/>
        </w:rPr>
        <w:t>结果公示后，招标人有权要求中标候选人在结果公示之日起3日（最后一日是节假日或公休日的，应顺延到节假日或公休日后第一个工作日）内提交投标文件中所提供的资格证明文件、业绩证明文件、对招标文件实质性条款响应文件、履约能力证明文件的原件供招标人核查。招标人如有需要，中标候选人有义务提供投标文件外其他相关证明资料原件（包括但不限于业绩合同对应的发票等）供招标人核查。招标人如发现投标人提供虚假证明文件、虚假响应文件等弄虚作假行为骗取中标的，招标人将取消其中标资格，不予退还其投标保证金。涉嫌违法犯罪的，将移交司法机关处理。</w:t>
      </w:r>
    </w:p>
    <w:p w14:paraId="0ACF3E17">
      <w:pPr>
        <w:autoSpaceDE w:val="0"/>
        <w:autoSpaceDN w:val="0"/>
        <w:adjustRightInd w:val="0"/>
        <w:snapToGrid w:val="0"/>
        <w:spacing w:line="360" w:lineRule="auto"/>
        <w:ind w:left="246" w:leftChars="117" w:firstLine="422" w:firstLineChars="200"/>
        <w:jc w:val="lef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当招标人（或其委托的招标代理机构）向中标候选人发出提供上述投标文件或投标文件外其他相关（包括但不限于业绩合同对应的发票等）的证明资料原件进行核查的书面通知后，</w:t>
      </w:r>
      <w:r>
        <w:rPr>
          <w:rFonts w:hint="eastAsia" w:ascii="宋体" w:hAnsi="宋体" w:eastAsia="宋体" w:cs="宋体"/>
          <w:b/>
          <w:color w:val="auto"/>
          <w:kern w:val="0"/>
          <w:szCs w:val="21"/>
          <w:highlight w:val="none"/>
        </w:rPr>
        <w:t>第一中标候选人未能在招标人（或其委托的招标代理机构) 书面要求的时间(一般不少于三个工作日) 内提供完整的材料原件进行核查的</w:t>
      </w:r>
      <w:r>
        <w:rPr>
          <w:rFonts w:hint="eastAsia" w:ascii="宋体" w:hAnsi="宋体" w:eastAsia="宋体" w:cs="宋体"/>
          <w:b/>
          <w:color w:val="auto"/>
          <w:szCs w:val="21"/>
          <w:highlight w:val="none"/>
          <w:lang w:val="zh-CN"/>
        </w:rPr>
        <w:t>，视为其无法提供真实的资料，招标人有权取消其中标候选人资格。</w:t>
      </w:r>
    </w:p>
    <w:p w14:paraId="5A92BF0E">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val="zh-CN"/>
        </w:rPr>
        <w:t>.3 投标人或者其他利害关系人认为招标投标活动不符合法律、行政法规规定的，可以自知道或者应当知道之日起10日内，按程序向招标人采购活动的监督部门投诉。投诉应当提供纸质投诉书及必要的证明材料。投诉书应当包括下列内容：</w:t>
      </w:r>
    </w:p>
    <w:p w14:paraId="03CF2516">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（一）投诉人和被投诉人的姓名或者名称、通讯地址、邮编、联系人及联系电话；</w:t>
      </w:r>
    </w:p>
    <w:p w14:paraId="717A1FB3">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（二）异议和异议答复情况说明及相关证明材料；</w:t>
      </w:r>
    </w:p>
    <w:p w14:paraId="66DA1AB2">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（三）具体、明确的投诉事项和与投诉事项相关的投诉请求；</w:t>
      </w:r>
    </w:p>
    <w:p w14:paraId="7A4D3F0C">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（四）事实依据；</w:t>
      </w:r>
    </w:p>
    <w:p w14:paraId="3F9EEFB5">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（五）法律依据；</w:t>
      </w:r>
    </w:p>
    <w:p w14:paraId="08C06BED">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（六）提起投诉的日期。</w:t>
      </w:r>
    </w:p>
    <w:p w14:paraId="1C46DA27">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投诉人为法人或者其他组织的，应当由法定代表人、主要负责人，或者其授权代表签字或者盖章，并加盖公章。</w:t>
      </w:r>
    </w:p>
    <w:p w14:paraId="100D8C96">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投诉人投诉的事项不得超出已异议事项的范围，但基于异议答复内容提出的投诉事项除外。</w:t>
      </w:r>
    </w:p>
    <w:p w14:paraId="05367344">
      <w:pPr>
        <w:autoSpaceDE w:val="0"/>
        <w:autoSpaceDN w:val="0"/>
        <w:adjustRightInd w:val="0"/>
        <w:snapToGrid w:val="0"/>
        <w:spacing w:line="360" w:lineRule="auto"/>
        <w:ind w:left="319" w:leftChars="-100" w:hanging="529" w:hangingChars="252"/>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 xml:space="preserve">     监督部门：东莞市水务集团有限公司，联系人：莫先生，联系电话：0769-28823251。</w:t>
      </w:r>
    </w:p>
    <w:p w14:paraId="3E0984E9">
      <w:pPr>
        <w:autoSpaceDE w:val="0"/>
        <w:autoSpaceDN w:val="0"/>
        <w:adjustRightInd w:val="0"/>
        <w:snapToGrid w:val="0"/>
        <w:spacing w:line="360" w:lineRule="auto"/>
        <w:ind w:left="296" w:leftChars="100" w:hanging="86" w:hangingChars="41"/>
        <w:jc w:val="left"/>
        <w:outlineLvl w:val="9"/>
        <w:rPr>
          <w:rFonts w:hint="eastAsia" w:ascii="宋体" w:hAnsi="宋体" w:eastAsia="宋体" w:cs="宋体"/>
          <w:color w:val="auto"/>
          <w:szCs w:val="21"/>
          <w:highlight w:val="none"/>
          <w:lang w:val="zh-CN"/>
        </w:rPr>
      </w:pPr>
    </w:p>
    <w:p w14:paraId="77F39F56">
      <w:pPr>
        <w:tabs>
          <w:tab w:val="left" w:pos="567"/>
        </w:tabs>
        <w:autoSpaceDE w:val="0"/>
        <w:autoSpaceDN w:val="0"/>
        <w:adjustRightInd w:val="0"/>
        <w:spacing w:line="360" w:lineRule="auto"/>
        <w:ind w:left="288" w:leftChars="-100" w:hanging="498" w:hangingChars="236"/>
        <w:outlineLvl w:val="2"/>
        <w:rPr>
          <w:rFonts w:hint="eastAsia" w:ascii="宋体" w:hAnsi="宋体" w:eastAsia="宋体" w:cs="宋体"/>
          <w:b/>
          <w:color w:val="auto"/>
          <w:szCs w:val="21"/>
          <w:highlight w:val="none"/>
          <w:lang w:val="zh-CN"/>
        </w:rPr>
      </w:pPr>
      <w:bookmarkStart w:id="277" w:name="_Toc1848_WPSOffice_Level3"/>
      <w:bookmarkStart w:id="278" w:name="_Toc3154"/>
      <w:bookmarkStart w:id="279" w:name="_Toc466882018"/>
      <w:bookmarkStart w:id="280" w:name="_Toc26354"/>
      <w:bookmarkStart w:id="281" w:name="_Toc486167695"/>
      <w:bookmarkStart w:id="282" w:name="_Toc5169"/>
      <w:bookmarkStart w:id="283" w:name="_Toc465358970"/>
      <w:bookmarkStart w:id="284" w:name="_Toc142508346"/>
      <w:r>
        <w:rPr>
          <w:rFonts w:hint="eastAsia" w:ascii="宋体" w:hAnsi="宋体" w:eastAsia="宋体" w:cs="宋体"/>
          <w:b/>
          <w:color w:val="auto"/>
          <w:szCs w:val="21"/>
          <w:highlight w:val="none"/>
        </w:rPr>
        <w:t>30</w:t>
      </w:r>
      <w:r>
        <w:rPr>
          <w:rFonts w:hint="eastAsia" w:ascii="宋体" w:hAnsi="宋体" w:eastAsia="宋体" w:cs="宋体"/>
          <w:b/>
          <w:color w:val="auto"/>
          <w:szCs w:val="21"/>
          <w:highlight w:val="none"/>
          <w:lang w:val="zh-CN"/>
        </w:rPr>
        <w:t xml:space="preserve"> 真实性审查</w:t>
      </w:r>
      <w:bookmarkEnd w:id="277"/>
      <w:bookmarkEnd w:id="278"/>
      <w:bookmarkEnd w:id="279"/>
      <w:bookmarkEnd w:id="280"/>
      <w:bookmarkEnd w:id="281"/>
      <w:bookmarkEnd w:id="282"/>
      <w:bookmarkEnd w:id="283"/>
      <w:bookmarkEnd w:id="284"/>
    </w:p>
    <w:p w14:paraId="449DE90F">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30.1 在</w:t>
      </w:r>
      <w:r>
        <w:rPr>
          <w:rFonts w:hint="eastAsia" w:ascii="宋体" w:hAnsi="宋体" w:eastAsia="宋体" w:cs="宋体"/>
          <w:b/>
          <w:color w:val="auto"/>
          <w:kern w:val="0"/>
          <w:szCs w:val="21"/>
          <w:highlight w:val="none"/>
        </w:rPr>
        <w:t>授予合同前，招标人（或其委托的招标代理机构）、或评标委员会有权组织对投标人的真实性审查。包括对投标人的资格证明文件、业绩证明文件、对招标文件实质性条款响应文件、履约能力证明文件的原件真实性进行核查。招标人</w:t>
      </w:r>
      <w:r>
        <w:rPr>
          <w:rFonts w:hint="eastAsia" w:ascii="宋体" w:hAnsi="宋体" w:eastAsia="宋体" w:cs="宋体"/>
          <w:b/>
          <w:color w:val="auto"/>
          <w:szCs w:val="21"/>
          <w:highlight w:val="none"/>
          <w:lang w:val="zh-CN"/>
        </w:rPr>
        <w:t>如有需要，投标人有义务提供投标文件外其他相关证明资料原件（包括但不限于业绩合同对应的发票等）供招标人核查。</w:t>
      </w:r>
      <w:r>
        <w:rPr>
          <w:rFonts w:hint="eastAsia" w:ascii="宋体" w:hAnsi="宋体" w:eastAsia="宋体" w:cs="宋体"/>
          <w:b/>
          <w:color w:val="auto"/>
          <w:kern w:val="0"/>
          <w:szCs w:val="21"/>
          <w:highlight w:val="none"/>
        </w:rPr>
        <w:t>若发现投标人提供虚假证明文件、虚假响应文件等弄虚作假行为的，或经审查确认其经营、财务状况发生较大变化（或者存在违法行为）导致无法按照投标文件的承诺履约的，或其明确表示不按照投标文件承诺履约的，等影响中标结果的行为，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59B607D2">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30.2 投标人</w:t>
      </w:r>
      <w:r>
        <w:rPr>
          <w:rFonts w:hint="eastAsia" w:ascii="宋体" w:hAnsi="宋体" w:eastAsia="宋体" w:cs="宋体"/>
          <w:b/>
          <w:color w:val="auto"/>
          <w:kern w:val="0"/>
          <w:szCs w:val="21"/>
          <w:highlight w:val="none"/>
        </w:rPr>
        <w:t>在招标人（或其委托的招标代理机构）、或评标委员会通知其提供</w:t>
      </w:r>
      <w:r>
        <w:rPr>
          <w:rFonts w:hint="eastAsia" w:ascii="宋体" w:hAnsi="宋体" w:eastAsia="宋体" w:cs="宋体"/>
          <w:b/>
          <w:color w:val="auto"/>
          <w:szCs w:val="21"/>
          <w:highlight w:val="none"/>
          <w:lang w:val="zh-CN"/>
        </w:rPr>
        <w:t>上述投标文件或投标文件外其他相关（包括但不限于业绩合同对应的发票等）的证明资料原件</w:t>
      </w:r>
      <w:r>
        <w:rPr>
          <w:rFonts w:hint="eastAsia" w:ascii="宋体" w:hAnsi="宋体" w:eastAsia="宋体" w:cs="宋体"/>
          <w:b/>
          <w:color w:val="auto"/>
          <w:kern w:val="0"/>
          <w:szCs w:val="21"/>
          <w:highlight w:val="none"/>
        </w:rPr>
        <w:t>进行核查的要求后，未能在约定的时间内提供原件进行核查的，视为投标人无法提供真实的资料，招标人有权按照评标委员会提出的中标候选人名单排序依次确定其他中标候选人为中标人或重新招标</w:t>
      </w:r>
      <w:r>
        <w:rPr>
          <w:rFonts w:hint="eastAsia" w:ascii="宋体" w:hAnsi="宋体" w:eastAsia="宋体" w:cs="宋体"/>
          <w:b/>
          <w:color w:val="auto"/>
          <w:szCs w:val="21"/>
          <w:highlight w:val="none"/>
        </w:rPr>
        <w:t>。</w:t>
      </w:r>
    </w:p>
    <w:p w14:paraId="079F2DCF">
      <w:pPr>
        <w:autoSpaceDE w:val="0"/>
        <w:autoSpaceDN w:val="0"/>
        <w:adjustRightInd w:val="0"/>
        <w:snapToGrid w:val="0"/>
        <w:spacing w:line="360" w:lineRule="auto"/>
        <w:ind w:left="321" w:leftChars="-100" w:hanging="531" w:hangingChars="252"/>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30.3 若投标人在投标或履约过程中存在提供虚假材料、虚假响应招标文件要求等弄虚作假行为，或未能根据本须知29.2款约定按时提供原件进行核查的，或不按照投标文件承诺履约或撤回投标或放弃中标资格或不按要求与招标人签订合同等影响中标结果的行为，因此导致投标人无法参与东莞市水务集团有限公司相关招标采购等活动的，由投标人自行承担全部后果。</w:t>
      </w:r>
    </w:p>
    <w:p w14:paraId="11DFAF8D">
      <w:pPr>
        <w:autoSpaceDE w:val="0"/>
        <w:autoSpaceDN w:val="0"/>
        <w:adjustRightInd w:val="0"/>
        <w:snapToGrid w:val="0"/>
        <w:spacing w:line="360" w:lineRule="auto"/>
        <w:jc w:val="left"/>
        <w:outlineLvl w:val="9"/>
        <w:rPr>
          <w:rFonts w:hint="eastAsia" w:ascii="宋体" w:hAnsi="宋体" w:eastAsia="宋体" w:cs="宋体"/>
          <w:color w:val="auto"/>
          <w:szCs w:val="21"/>
          <w:highlight w:val="none"/>
        </w:rPr>
      </w:pPr>
      <w:bookmarkStart w:id="285" w:name="_Toc466882019"/>
      <w:bookmarkStart w:id="286" w:name="_Toc465358971"/>
    </w:p>
    <w:p w14:paraId="39F4917F">
      <w:pPr>
        <w:tabs>
          <w:tab w:val="left" w:pos="567"/>
        </w:tabs>
        <w:autoSpaceDE w:val="0"/>
        <w:autoSpaceDN w:val="0"/>
        <w:adjustRightInd w:val="0"/>
        <w:spacing w:line="360" w:lineRule="auto"/>
        <w:ind w:left="16" w:leftChars="-59" w:hanging="140" w:hangingChars="67"/>
        <w:outlineLvl w:val="2"/>
        <w:rPr>
          <w:rFonts w:hint="eastAsia" w:ascii="宋体" w:hAnsi="宋体" w:eastAsia="宋体" w:cs="宋体"/>
          <w:color w:val="auto"/>
          <w:szCs w:val="21"/>
          <w:highlight w:val="none"/>
          <w:lang w:val="zh-CN"/>
        </w:rPr>
      </w:pPr>
      <w:bookmarkStart w:id="287" w:name="_Toc486167696"/>
      <w:bookmarkStart w:id="288" w:name="_Toc23672"/>
      <w:bookmarkStart w:id="289" w:name="_Toc10867_WPSOffice_Level3"/>
      <w:bookmarkStart w:id="290" w:name="_Toc18496"/>
      <w:bookmarkStart w:id="291" w:name="_Toc142508347"/>
      <w:bookmarkStart w:id="292" w:name="_Toc8654"/>
      <w:r>
        <w:rPr>
          <w:rFonts w:hint="eastAsia" w:ascii="宋体" w:hAnsi="宋体" w:eastAsia="宋体" w:cs="宋体"/>
          <w:color w:val="auto"/>
          <w:szCs w:val="21"/>
          <w:highlight w:val="none"/>
        </w:rPr>
        <w:t>31</w:t>
      </w:r>
      <w:r>
        <w:rPr>
          <w:rFonts w:hint="eastAsia" w:ascii="宋体" w:hAnsi="宋体" w:eastAsia="宋体" w:cs="宋体"/>
          <w:color w:val="auto"/>
          <w:szCs w:val="21"/>
          <w:highlight w:val="none"/>
          <w:lang w:val="zh-CN"/>
        </w:rPr>
        <w:t xml:space="preserve"> 评标委员会和招标人接受或拒绝任何投标或所有投标的权利</w:t>
      </w:r>
      <w:bookmarkEnd w:id="285"/>
      <w:bookmarkEnd w:id="286"/>
      <w:bookmarkEnd w:id="287"/>
      <w:bookmarkEnd w:id="288"/>
      <w:bookmarkEnd w:id="289"/>
      <w:bookmarkEnd w:id="290"/>
      <w:bookmarkEnd w:id="291"/>
      <w:bookmarkEnd w:id="292"/>
    </w:p>
    <w:p w14:paraId="43103A9E">
      <w:pPr>
        <w:autoSpaceDE w:val="0"/>
        <w:autoSpaceDN w:val="0"/>
        <w:adjustRightInd w:val="0"/>
        <w:spacing w:line="360" w:lineRule="auto"/>
        <w:ind w:left="248" w:leftChars="118" w:firstLine="1"/>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在授予合同前的任何时候，招标人仍保留接受或拒绝任何投标，宣布招标程序无效或拒绝所有投标的权利，无需向受影响的投标人承担任何责任。</w:t>
      </w:r>
    </w:p>
    <w:p w14:paraId="74CE7992">
      <w:pPr>
        <w:autoSpaceDE w:val="0"/>
        <w:autoSpaceDN w:val="0"/>
        <w:adjustRightInd w:val="0"/>
        <w:snapToGrid w:val="0"/>
        <w:spacing w:line="360" w:lineRule="auto"/>
        <w:ind w:left="436" w:leftChars="-158" w:hanging="768" w:hangingChars="320"/>
        <w:jc w:val="left"/>
        <w:outlineLvl w:val="9"/>
        <w:rPr>
          <w:rFonts w:hint="eastAsia" w:ascii="宋体" w:hAnsi="宋体" w:eastAsia="宋体" w:cs="宋体"/>
          <w:color w:val="auto"/>
          <w:kern w:val="44"/>
          <w:sz w:val="24"/>
          <w:szCs w:val="24"/>
          <w:highlight w:val="none"/>
          <w:lang w:val="zh-CN"/>
        </w:rPr>
      </w:pPr>
      <w:bookmarkStart w:id="293" w:name="_Toc450662880"/>
    </w:p>
    <w:p w14:paraId="12628076">
      <w:pPr>
        <w:keepNext/>
        <w:keepLines/>
        <w:autoSpaceDE w:val="0"/>
        <w:autoSpaceDN w:val="0"/>
        <w:adjustRightInd w:val="0"/>
        <w:spacing w:line="360" w:lineRule="auto"/>
        <w:jc w:val="left"/>
        <w:outlineLvl w:val="1"/>
        <w:rPr>
          <w:rFonts w:hint="eastAsia" w:ascii="宋体" w:hAnsi="宋体" w:eastAsia="宋体" w:cs="宋体"/>
          <w:b/>
          <w:bCs/>
          <w:color w:val="auto"/>
          <w:kern w:val="44"/>
          <w:szCs w:val="21"/>
          <w:highlight w:val="none"/>
          <w:lang w:val="zh-CN"/>
        </w:rPr>
      </w:pPr>
      <w:bookmarkStart w:id="294" w:name="_Toc11261"/>
      <w:bookmarkStart w:id="295" w:name="_Toc27936"/>
      <w:bookmarkStart w:id="296" w:name="_Toc16848_WPSOffice_Level2"/>
      <w:bookmarkStart w:id="297" w:name="_Toc486167697"/>
      <w:bookmarkStart w:id="298" w:name="_Toc16789"/>
      <w:bookmarkStart w:id="299" w:name="_Toc142508348"/>
      <w:bookmarkStart w:id="300" w:name="_Toc140596907"/>
      <w:r>
        <w:rPr>
          <w:rFonts w:hint="eastAsia" w:ascii="宋体" w:hAnsi="宋体" w:eastAsia="宋体" w:cs="宋体"/>
          <w:b/>
          <w:bCs/>
          <w:color w:val="auto"/>
          <w:kern w:val="44"/>
          <w:szCs w:val="21"/>
          <w:highlight w:val="none"/>
          <w:lang w:val="zh-CN"/>
        </w:rPr>
        <w:t>六、授予合同</w:t>
      </w:r>
      <w:bookmarkEnd w:id="293"/>
      <w:bookmarkEnd w:id="294"/>
      <w:bookmarkEnd w:id="295"/>
      <w:bookmarkEnd w:id="296"/>
      <w:bookmarkEnd w:id="297"/>
      <w:bookmarkEnd w:id="298"/>
      <w:bookmarkEnd w:id="299"/>
      <w:bookmarkEnd w:id="300"/>
    </w:p>
    <w:p w14:paraId="0BE96317">
      <w:pPr>
        <w:tabs>
          <w:tab w:val="left" w:pos="567"/>
        </w:tabs>
        <w:autoSpaceDE w:val="0"/>
        <w:autoSpaceDN w:val="0"/>
        <w:adjustRightInd w:val="0"/>
        <w:spacing w:line="360" w:lineRule="auto"/>
        <w:ind w:left="357" w:leftChars="-100" w:hanging="567"/>
        <w:jc w:val="left"/>
        <w:outlineLvl w:val="2"/>
        <w:rPr>
          <w:rFonts w:hint="eastAsia" w:ascii="宋体" w:hAnsi="宋体" w:eastAsia="宋体" w:cs="宋体"/>
          <w:color w:val="auto"/>
          <w:szCs w:val="21"/>
          <w:highlight w:val="none"/>
          <w:lang w:val="zh-CN"/>
        </w:rPr>
      </w:pPr>
      <w:bookmarkStart w:id="301" w:name="_Toc23167"/>
      <w:bookmarkStart w:id="302" w:name="_Toc450662881"/>
      <w:bookmarkStart w:id="303" w:name="_Toc142508349"/>
      <w:bookmarkStart w:id="304" w:name="_Toc29383"/>
      <w:bookmarkStart w:id="305" w:name="_Toc31713"/>
      <w:bookmarkStart w:id="306" w:name="_Toc486167698"/>
      <w:bookmarkStart w:id="307" w:name="_Toc6401_WPSOffice_Level3"/>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 xml:space="preserve"> 授予合同的准则</w:t>
      </w:r>
      <w:bookmarkEnd w:id="301"/>
      <w:bookmarkEnd w:id="302"/>
      <w:bookmarkEnd w:id="303"/>
      <w:bookmarkEnd w:id="304"/>
      <w:bookmarkEnd w:id="305"/>
      <w:bookmarkEnd w:id="306"/>
      <w:bookmarkEnd w:id="307"/>
    </w:p>
    <w:p w14:paraId="21F89205">
      <w:pPr>
        <w:tabs>
          <w:tab w:val="left" w:pos="645"/>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32</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除第29条、30条</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Cs w:val="24"/>
          <w:highlight w:val="none"/>
        </w:rPr>
        <w:t>31</w:t>
      </w:r>
      <w:r>
        <w:rPr>
          <w:rFonts w:hint="eastAsia" w:ascii="宋体" w:hAnsi="宋体" w:eastAsia="宋体" w:cs="宋体"/>
          <w:color w:val="auto"/>
          <w:szCs w:val="21"/>
          <w:highlight w:val="none"/>
          <w:lang w:val="zh-CN"/>
        </w:rPr>
        <w:t>条规定外，招标人将合同授予其投标文件符合招标文件要求，并且能承诺履行合同，对招标人最为有利的投标人。</w:t>
      </w:r>
    </w:p>
    <w:p w14:paraId="2397D23B">
      <w:pPr>
        <w:numPr>
          <w:ilvl w:val="1"/>
          <w:numId w:val="0"/>
        </w:numPr>
        <w:tabs>
          <w:tab w:val="left" w:pos="540"/>
        </w:tabs>
        <w:autoSpaceDE w:val="0"/>
        <w:autoSpaceDN w:val="0"/>
        <w:adjustRightInd w:val="0"/>
        <w:spacing w:line="360" w:lineRule="auto"/>
        <w:ind w:left="330" w:leftChars="-100" w:right="44" w:rightChars="21"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32.2 招标人依法</w:t>
      </w:r>
      <w:r>
        <w:rPr>
          <w:rFonts w:hint="eastAsia" w:ascii="宋体" w:hAnsi="宋体" w:eastAsia="宋体" w:cs="宋体"/>
          <w:color w:val="auto"/>
          <w:kern w:val="0"/>
          <w:szCs w:val="21"/>
          <w:highlight w:val="none"/>
        </w:rPr>
        <w:t>按照评标报告中推荐的中标候选人顺序</w:t>
      </w:r>
      <w:r>
        <w:rPr>
          <w:rFonts w:hint="eastAsia" w:ascii="宋体" w:hAnsi="宋体" w:eastAsia="宋体" w:cs="宋体"/>
          <w:color w:val="auto"/>
          <w:szCs w:val="21"/>
          <w:highlight w:val="none"/>
          <w:lang w:val="zh-CN"/>
        </w:rPr>
        <w:t>确定中标人。</w:t>
      </w:r>
    </w:p>
    <w:p w14:paraId="47200678">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1"/>
          <w:highlight w:val="none"/>
          <w:lang w:val="zh-CN"/>
        </w:rPr>
        <w:t>32</w:t>
      </w:r>
      <w:r>
        <w:rPr>
          <w:rFonts w:hint="eastAsia" w:ascii="宋体" w:hAnsi="宋体" w:eastAsia="宋体" w:cs="宋体"/>
          <w:color w:val="auto"/>
          <w:kern w:val="0"/>
          <w:szCs w:val="21"/>
          <w:highlight w:val="none"/>
        </w:rPr>
        <w:t>.3 因不可抗力或自身原因不能履行合同的、不按要求与招标人签订合同、中标人放弃中标、中标资格被依法确认无效的，招标人可以按照评标委员会提出的中标候选人名单排序依次确定其他中标候选人为中标人或重新招标</w:t>
      </w:r>
      <w:r>
        <w:rPr>
          <w:rFonts w:hint="eastAsia" w:ascii="宋体" w:hAnsi="宋体" w:eastAsia="宋体" w:cs="宋体"/>
          <w:b/>
          <w:color w:val="auto"/>
          <w:kern w:val="0"/>
          <w:szCs w:val="21"/>
          <w:highlight w:val="none"/>
        </w:rPr>
        <w:t>。</w:t>
      </w:r>
    </w:p>
    <w:p w14:paraId="2945D5DB">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08" w:name="_Toc450662885"/>
    </w:p>
    <w:p w14:paraId="120FD1EB">
      <w:pPr>
        <w:autoSpaceDE w:val="0"/>
        <w:autoSpaceDN w:val="0"/>
        <w:adjustRightInd w:val="0"/>
        <w:spacing w:line="360" w:lineRule="auto"/>
        <w:ind w:left="357" w:leftChars="-100" w:hanging="567"/>
        <w:jc w:val="left"/>
        <w:outlineLvl w:val="1"/>
        <w:rPr>
          <w:rFonts w:hint="eastAsia" w:ascii="宋体" w:hAnsi="宋体" w:eastAsia="宋体" w:cs="宋体"/>
          <w:color w:val="auto"/>
          <w:szCs w:val="21"/>
          <w:highlight w:val="none"/>
          <w:lang w:val="zh-CN"/>
        </w:rPr>
      </w:pPr>
      <w:bookmarkStart w:id="309" w:name="_Toc8196"/>
      <w:bookmarkStart w:id="310" w:name="_Toc142508350"/>
      <w:bookmarkStart w:id="311" w:name="_Toc6726_WPSOffice_Level3"/>
      <w:bookmarkStart w:id="312" w:name="_Toc486167699"/>
      <w:bookmarkStart w:id="313" w:name="_Toc30076"/>
      <w:bookmarkStart w:id="314" w:name="_Toc18984"/>
      <w:r>
        <w:rPr>
          <w:rFonts w:hint="eastAsia" w:ascii="宋体" w:hAnsi="宋体" w:eastAsia="宋体" w:cs="宋体"/>
          <w:color w:val="auto"/>
          <w:szCs w:val="21"/>
          <w:highlight w:val="none"/>
          <w:lang w:val="zh-CN"/>
        </w:rPr>
        <w:t>33 中标通知</w:t>
      </w:r>
      <w:bookmarkEnd w:id="308"/>
      <w:bookmarkEnd w:id="309"/>
      <w:bookmarkEnd w:id="310"/>
      <w:bookmarkEnd w:id="311"/>
      <w:bookmarkEnd w:id="312"/>
      <w:bookmarkEnd w:id="313"/>
      <w:bookmarkEnd w:id="314"/>
    </w:p>
    <w:p w14:paraId="10BE3462">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15" w:name="_Toc450662886"/>
      <w:r>
        <w:rPr>
          <w:rFonts w:hint="eastAsia" w:ascii="宋体" w:hAnsi="宋体" w:eastAsia="宋体" w:cs="宋体"/>
          <w:color w:val="auto"/>
          <w:szCs w:val="21"/>
          <w:highlight w:val="none"/>
          <w:lang w:val="zh-CN"/>
        </w:rPr>
        <w:t>33.1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招标代理机构向中标人发出书面通知，中标通知书是合同的一个组成部分。</w:t>
      </w:r>
    </w:p>
    <w:p w14:paraId="48865762">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33.2</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招标代理机构向中标人发出书面通知的同时，招标代理机构通知落选的投标人其投标文件未被接受而不提原因。</w:t>
      </w:r>
    </w:p>
    <w:p w14:paraId="451F8BC1">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1FB787B5">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color w:val="auto"/>
          <w:szCs w:val="21"/>
          <w:highlight w:val="none"/>
          <w:lang w:val="zh-CN"/>
        </w:rPr>
      </w:pPr>
      <w:bookmarkStart w:id="316" w:name="_Toc142508351"/>
      <w:bookmarkStart w:id="317" w:name="_Toc19127"/>
      <w:bookmarkStart w:id="318" w:name="_Toc9694_WPSOffice_Level3"/>
      <w:bookmarkStart w:id="319" w:name="_Toc21992"/>
      <w:bookmarkStart w:id="320" w:name="_Toc486167700"/>
      <w:bookmarkStart w:id="321" w:name="_Toc28020"/>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 xml:space="preserve"> 签署合同</w:t>
      </w:r>
      <w:bookmarkEnd w:id="315"/>
      <w:bookmarkEnd w:id="316"/>
      <w:bookmarkEnd w:id="317"/>
      <w:bookmarkEnd w:id="318"/>
      <w:bookmarkEnd w:id="319"/>
      <w:bookmarkEnd w:id="320"/>
      <w:bookmarkEnd w:id="321"/>
    </w:p>
    <w:p w14:paraId="7088148C">
      <w:pPr>
        <w:tabs>
          <w:tab w:val="left" w:pos="540"/>
        </w:tabs>
        <w:autoSpaceDE w:val="0"/>
        <w:autoSpaceDN w:val="0"/>
        <w:adjustRightInd w:val="0"/>
        <w:spacing w:line="360" w:lineRule="auto"/>
        <w:ind w:left="330" w:leftChars="-100" w:right="15" w:rightChars="7" w:hanging="54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lang w:val="zh-CN"/>
        </w:rPr>
        <w:tab/>
      </w:r>
      <w:r>
        <w:rPr>
          <w:rFonts w:hint="eastAsia" w:ascii="宋体" w:hAnsi="宋体" w:eastAsia="宋体" w:cs="宋体"/>
          <w:b/>
          <w:color w:val="auto"/>
          <w:szCs w:val="21"/>
          <w:highlight w:val="none"/>
          <w:u w:val="single"/>
          <w:lang w:val="zh-CN"/>
        </w:rPr>
        <w:t>中标人在自中标通知书发出之日起30日内，按照招标文件和中标人的投标文件的约定，与招标人签订书面合同，具体签订方式以招标人通知为准。否则招标人有权取消中标资格并按招标文件及法律、法规的规定进行处理</w:t>
      </w:r>
      <w:r>
        <w:rPr>
          <w:rFonts w:hint="eastAsia" w:ascii="宋体" w:hAnsi="宋体" w:eastAsia="宋体" w:cs="宋体"/>
          <w:color w:val="auto"/>
          <w:szCs w:val="21"/>
          <w:highlight w:val="none"/>
          <w:lang w:val="zh-CN"/>
        </w:rPr>
        <w:t>。</w:t>
      </w:r>
    </w:p>
    <w:p w14:paraId="66F25226">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34.2 在签署合同前，招标人可对中标人投标报价明细及附表内的算术性错误进行修正，修正原则为：</w:t>
      </w:r>
    </w:p>
    <w:p w14:paraId="6D612DFA">
      <w:pPr>
        <w:autoSpaceDE w:val="0"/>
        <w:autoSpaceDN w:val="0"/>
        <w:adjustRightInd w:val="0"/>
        <w:snapToGrid w:val="0"/>
        <w:spacing w:line="360" w:lineRule="auto"/>
        <w:ind w:left="315" w:leftChars="100" w:hanging="105" w:hangingChars="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当以数字表示的金额与以文字表示的金额不一致时，以文字表示的金额为准；（2）当开标一览表(投标报价表)内总报价金额与按综合单价计算的总价不一致的，以综合单价计算结果为准，单项金额小数点有明显错位的，应以总价为准，并修正综合单价金额；（3）当分项报价表内累计与投标报价表内报价不符时，以投标报价表（开标一览表）为准，修正分项报价表内的各分项报价。按前述修正原则排序依次进行修正至唯一值后的报价表经双方确认后，作为合同文件的组成部分。</w:t>
      </w:r>
    </w:p>
    <w:p w14:paraId="70E46C2E">
      <w:pPr>
        <w:autoSpaceDE w:val="0"/>
        <w:autoSpaceDN w:val="0"/>
        <w:adjustRightInd w:val="0"/>
        <w:snapToGrid w:val="0"/>
        <w:spacing w:line="360" w:lineRule="auto"/>
        <w:ind w:left="317" w:leftChars="-100" w:hanging="527" w:hangingChars="250"/>
        <w:jc w:val="left"/>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34.3 中标人需与东莞市水务集团管网有限公司、东莞市莞泽水环境投资有限公司、东莞市东信水环境投资有限公司、东莞市东泽水环境投资有限公司和东莞市清泽水环境投资有限公司等签订合同。</w:t>
      </w:r>
    </w:p>
    <w:p w14:paraId="2689F3E9">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p>
    <w:p w14:paraId="5C57C45B">
      <w:pPr>
        <w:tabs>
          <w:tab w:val="left" w:pos="360"/>
        </w:tabs>
        <w:autoSpaceDE w:val="0"/>
        <w:autoSpaceDN w:val="0"/>
        <w:adjustRightInd w:val="0"/>
        <w:spacing w:line="360" w:lineRule="auto"/>
        <w:ind w:left="357" w:leftChars="-100" w:hanging="567"/>
        <w:jc w:val="left"/>
        <w:outlineLvl w:val="1"/>
        <w:rPr>
          <w:rFonts w:hint="eastAsia" w:ascii="宋体" w:hAnsi="宋体" w:eastAsia="宋体" w:cs="宋体"/>
          <w:color w:val="auto"/>
          <w:szCs w:val="21"/>
          <w:highlight w:val="none"/>
          <w:lang w:val="zh-CN"/>
        </w:rPr>
      </w:pPr>
      <w:bookmarkStart w:id="322" w:name="_Toc5304"/>
      <w:bookmarkStart w:id="323" w:name="_Toc29101"/>
      <w:bookmarkStart w:id="324" w:name="_Toc10513_WPSOffice_Level3"/>
      <w:bookmarkStart w:id="325" w:name="_Toc142508352"/>
      <w:bookmarkStart w:id="326" w:name="_Toc486167701"/>
      <w:bookmarkStart w:id="327" w:name="_Toc450662887"/>
      <w:bookmarkStart w:id="328" w:name="_Toc8181"/>
      <w:r>
        <w:rPr>
          <w:rFonts w:hint="eastAsia" w:ascii="宋体" w:hAnsi="宋体" w:eastAsia="宋体" w:cs="宋体"/>
          <w:color w:val="auto"/>
          <w:szCs w:val="21"/>
          <w:highlight w:val="none"/>
        </w:rPr>
        <w:t xml:space="preserve">35 </w:t>
      </w:r>
      <w:r>
        <w:rPr>
          <w:rFonts w:hint="eastAsia" w:ascii="宋体" w:hAnsi="宋体" w:eastAsia="宋体" w:cs="宋体"/>
          <w:color w:val="auto"/>
          <w:szCs w:val="21"/>
          <w:highlight w:val="none"/>
          <w:lang w:val="zh-CN"/>
        </w:rPr>
        <w:t>履约担保</w:t>
      </w:r>
      <w:bookmarkEnd w:id="322"/>
      <w:bookmarkEnd w:id="323"/>
      <w:bookmarkEnd w:id="324"/>
      <w:bookmarkEnd w:id="325"/>
      <w:bookmarkEnd w:id="326"/>
      <w:bookmarkEnd w:id="327"/>
      <w:bookmarkEnd w:id="328"/>
    </w:p>
    <w:p w14:paraId="1F4B0FE4">
      <w:pPr>
        <w:numPr>
          <w:ilvl w:val="1"/>
          <w:numId w:val="0"/>
        </w:numPr>
        <w:autoSpaceDE w:val="0"/>
        <w:autoSpaceDN w:val="0"/>
        <w:adjustRightInd w:val="0"/>
        <w:spacing w:line="360" w:lineRule="auto"/>
        <w:ind w:left="354" w:leftChars="-100" w:right="15" w:rightChars="7" w:hanging="564" w:hangingChars="269"/>
        <w:outlineLvl w:val="9"/>
        <w:rPr>
          <w:rFonts w:hint="eastAsia" w:ascii="宋体" w:hAnsi="宋体" w:eastAsia="宋体" w:cs="宋体"/>
          <w:b/>
          <w:bCs/>
          <w:color w:val="auto"/>
          <w:szCs w:val="21"/>
          <w:highlight w:val="none"/>
          <w:lang w:val="zh-CN"/>
        </w:rPr>
      </w:pPr>
      <w:bookmarkStart w:id="329" w:name="_Toc465358977"/>
      <w:bookmarkStart w:id="330" w:name="_Toc466882025"/>
      <w:r>
        <w:rPr>
          <w:rFonts w:hint="eastAsia" w:ascii="宋体" w:hAnsi="宋体" w:eastAsia="宋体" w:cs="宋体"/>
          <w:bCs/>
          <w:color w:val="auto"/>
          <w:szCs w:val="21"/>
          <w:highlight w:val="none"/>
        </w:rPr>
        <w:t>35</w:t>
      </w:r>
      <w:r>
        <w:rPr>
          <w:rFonts w:hint="eastAsia" w:ascii="宋体" w:hAnsi="宋体" w:eastAsia="宋体" w:cs="宋体"/>
          <w:bCs/>
          <w:color w:val="auto"/>
          <w:szCs w:val="21"/>
          <w:highlight w:val="none"/>
          <w:lang w:val="zh-CN"/>
        </w:rPr>
        <w:t>.1</w:t>
      </w:r>
      <w:r>
        <w:rPr>
          <w:rFonts w:hint="eastAsia" w:ascii="宋体" w:hAnsi="宋体" w:eastAsia="宋体" w:cs="宋体"/>
          <w:b/>
          <w:bCs/>
          <w:color w:val="auto"/>
          <w:szCs w:val="21"/>
          <w:highlight w:val="none"/>
          <w:lang w:val="zh-CN"/>
        </w:rPr>
        <w:t xml:space="preserve"> </w:t>
      </w:r>
      <w:r>
        <w:rPr>
          <w:rFonts w:hint="eastAsia" w:ascii="宋体" w:hAnsi="宋体" w:eastAsia="宋体" w:cs="宋体"/>
          <w:b/>
          <w:bCs/>
          <w:color w:val="auto"/>
          <w:szCs w:val="21"/>
          <w:highlight w:val="none"/>
          <w:u w:val="single"/>
          <w:lang w:val="zh-CN"/>
        </w:rPr>
        <w:t>中标人应在签订合同前</w:t>
      </w:r>
      <w:r>
        <w:rPr>
          <w:rFonts w:hint="eastAsia" w:ascii="宋体" w:hAnsi="宋体" w:eastAsia="宋体" w:cs="宋体"/>
          <w:b/>
          <w:bCs/>
          <w:color w:val="auto"/>
          <w:szCs w:val="21"/>
          <w:highlight w:val="none"/>
          <w:u w:val="single"/>
          <w:lang w:val="en-US" w:eastAsia="zh-CN"/>
        </w:rPr>
        <w:t>且中标通知书发出之日起30日内</w:t>
      </w:r>
      <w:r>
        <w:rPr>
          <w:rFonts w:hint="eastAsia" w:ascii="宋体" w:hAnsi="宋体" w:eastAsia="宋体" w:cs="宋体"/>
          <w:b/>
          <w:bCs/>
          <w:color w:val="auto"/>
          <w:szCs w:val="21"/>
          <w:highlight w:val="none"/>
          <w:u w:val="single"/>
          <w:lang w:val="zh-CN"/>
        </w:rPr>
        <w:t>，按本招标文件规定金额及形式要求，向招标人</w:t>
      </w:r>
      <w:r>
        <w:rPr>
          <w:rFonts w:hint="eastAsia" w:ascii="宋体" w:hAnsi="宋体" w:eastAsia="宋体" w:cs="宋体"/>
          <w:b/>
          <w:bCs/>
          <w:color w:val="auto"/>
          <w:szCs w:val="21"/>
          <w:highlight w:val="none"/>
          <w:u w:val="single"/>
        </w:rPr>
        <w:t>（含其下属子公司）</w:t>
      </w:r>
      <w:r>
        <w:rPr>
          <w:rFonts w:hint="eastAsia" w:ascii="宋体" w:hAnsi="宋体" w:eastAsia="宋体" w:cs="宋体"/>
          <w:b/>
          <w:bCs/>
          <w:color w:val="auto"/>
          <w:szCs w:val="21"/>
          <w:highlight w:val="none"/>
          <w:u w:val="single"/>
          <w:lang w:val="zh-CN"/>
        </w:rPr>
        <w:t>提交不可撤销银行履约保函（或履约保证金</w:t>
      </w:r>
      <w:r>
        <w:rPr>
          <w:rFonts w:hint="eastAsia" w:ascii="宋体" w:hAnsi="宋体" w:eastAsia="宋体" w:cs="宋体"/>
          <w:b/>
          <w:bCs/>
          <w:color w:val="auto"/>
          <w:szCs w:val="21"/>
          <w:highlight w:val="none"/>
          <w:u w:val="single"/>
          <w:lang w:val="en-US" w:eastAsia="zh-CN"/>
        </w:rPr>
        <w:t>或履约保证保险</w:t>
      </w:r>
      <w:r>
        <w:rPr>
          <w:rFonts w:hint="eastAsia" w:ascii="宋体" w:hAnsi="宋体" w:eastAsia="宋体" w:cs="宋体"/>
          <w:b/>
          <w:bCs/>
          <w:color w:val="auto"/>
          <w:szCs w:val="21"/>
          <w:highlight w:val="none"/>
          <w:u w:val="single"/>
          <w:lang w:val="zh-CN"/>
        </w:rPr>
        <w:t>或担保公司履约担保书），作为履约担保（所需费用由中标人自行承担），</w:t>
      </w:r>
      <w:r>
        <w:rPr>
          <w:rFonts w:hint="eastAsia" w:ascii="宋体" w:hAnsi="宋体" w:eastAsia="宋体" w:cs="宋体"/>
          <w:b/>
          <w:bCs/>
          <w:color w:val="auto"/>
          <w:kern w:val="0"/>
          <w:szCs w:val="24"/>
          <w:highlight w:val="none"/>
          <w:u w:val="single"/>
        </w:rPr>
        <w:t>否则招标人可取消中标人的中标资格，不予退还其投标保证金。</w:t>
      </w:r>
      <w:r>
        <w:rPr>
          <w:rFonts w:hint="eastAsia" w:ascii="宋体" w:hAnsi="宋体" w:eastAsia="宋体" w:cs="宋体"/>
          <w:b/>
          <w:bCs/>
          <w:color w:val="auto"/>
          <w:szCs w:val="21"/>
          <w:highlight w:val="none"/>
          <w:u w:val="single"/>
          <w:lang w:val="zh-CN"/>
        </w:rPr>
        <w:t>其中，采用履约保证金（银行转账形式）的金额为暂定合同含税总价的5%，</w:t>
      </w:r>
      <w:r>
        <w:rPr>
          <w:rFonts w:hint="eastAsia" w:ascii="宋体" w:hAnsi="宋体" w:eastAsia="宋体" w:cs="宋体"/>
          <w:b/>
          <w:bCs/>
          <w:color w:val="auto"/>
          <w:szCs w:val="21"/>
          <w:highlight w:val="none"/>
          <w:u w:val="single"/>
        </w:rPr>
        <w:t>统一由东莞市水务集团管网有限公司收取；</w:t>
      </w:r>
      <w:r>
        <w:rPr>
          <w:rFonts w:hint="eastAsia" w:ascii="宋体" w:hAnsi="宋体" w:eastAsia="宋体" w:cs="宋体"/>
          <w:b/>
          <w:bCs/>
          <w:color w:val="auto"/>
          <w:szCs w:val="21"/>
          <w:highlight w:val="none"/>
          <w:u w:val="single"/>
          <w:lang w:val="zh-CN"/>
        </w:rPr>
        <w:t>采用不可撤销银行履约保函</w:t>
      </w:r>
      <w:r>
        <w:rPr>
          <w:rFonts w:hint="eastAsia" w:ascii="宋体" w:hAnsi="宋体" w:eastAsia="宋体" w:cs="宋体"/>
          <w:b/>
          <w:bCs/>
          <w:color w:val="auto"/>
          <w:szCs w:val="21"/>
          <w:highlight w:val="none"/>
          <w:u w:val="single"/>
        </w:rPr>
        <w:t>（或履约保证保险）</w:t>
      </w:r>
      <w:r>
        <w:rPr>
          <w:rFonts w:hint="eastAsia" w:ascii="宋体" w:hAnsi="宋体" w:eastAsia="宋体" w:cs="宋体"/>
          <w:b/>
          <w:bCs/>
          <w:color w:val="auto"/>
          <w:szCs w:val="21"/>
          <w:highlight w:val="none"/>
          <w:u w:val="single"/>
          <w:lang w:val="zh-CN"/>
        </w:rPr>
        <w:t>形式的金额为暂定合同含税总价的8%，</w:t>
      </w:r>
      <w:r>
        <w:rPr>
          <w:rFonts w:hint="eastAsia" w:ascii="宋体" w:hAnsi="宋体" w:eastAsia="宋体" w:cs="宋体"/>
          <w:b/>
          <w:bCs/>
          <w:color w:val="auto"/>
          <w:szCs w:val="21"/>
          <w:highlight w:val="none"/>
          <w:u w:val="single"/>
        </w:rPr>
        <w:t>中标人需开具一份受益人为东莞市水务集团管网有限公司、东莞市莞泽水环境投资有限公司、东莞市东信水环境投资有限公司、东莞市东泽水环境投资有限公司和东莞市清泽水环境投资有限公司的不可撤销银行履约保函（或履约保证保险）；</w:t>
      </w:r>
      <w:r>
        <w:rPr>
          <w:rFonts w:hint="eastAsia" w:ascii="宋体" w:hAnsi="宋体" w:eastAsia="宋体" w:cs="宋体"/>
          <w:b/>
          <w:bCs/>
          <w:color w:val="auto"/>
          <w:szCs w:val="21"/>
          <w:highlight w:val="none"/>
          <w:u w:val="single"/>
          <w:lang w:val="zh-CN"/>
        </w:rPr>
        <w:t>采用担保公司履约担保书形式的金额为暂定合同含税总价的10%，</w:t>
      </w:r>
      <w:r>
        <w:rPr>
          <w:rFonts w:hint="eastAsia" w:ascii="宋体" w:hAnsi="宋体" w:eastAsia="宋体" w:cs="宋体"/>
          <w:b/>
          <w:bCs/>
          <w:color w:val="auto"/>
          <w:szCs w:val="21"/>
          <w:highlight w:val="none"/>
          <w:u w:val="single"/>
        </w:rPr>
        <w:t>中标人需开具一份受益人为东莞市水务集团管网有限公司、东莞市莞泽水环境投资有限公司、东莞市东信水环境投资有限公司、东莞市东泽水环境投资有限公司和东莞市清泽水环境投资有限公司的履约担保书。任何一个合同甲方均有权就全部的担保金额进行索赔</w:t>
      </w:r>
      <w:r>
        <w:rPr>
          <w:rFonts w:hint="eastAsia" w:ascii="宋体" w:hAnsi="宋体" w:eastAsia="宋体" w:cs="宋体"/>
          <w:b/>
          <w:bCs/>
          <w:color w:val="auto"/>
          <w:szCs w:val="21"/>
          <w:highlight w:val="none"/>
          <w:u w:val="single"/>
          <w:lang w:val="zh-CN"/>
        </w:rPr>
        <w:t>。</w:t>
      </w:r>
      <w:r>
        <w:rPr>
          <w:rFonts w:hint="eastAsia" w:ascii="宋体" w:hAnsi="宋体" w:eastAsia="宋体" w:cs="宋体"/>
          <w:bCs/>
          <w:color w:val="auto"/>
          <w:kern w:val="0"/>
          <w:szCs w:val="24"/>
          <w:highlight w:val="none"/>
        </w:rPr>
        <w:t>合同履行过程中，中标人</w:t>
      </w:r>
      <w:r>
        <w:rPr>
          <w:rFonts w:hint="eastAsia" w:ascii="宋体" w:hAnsi="宋体" w:eastAsia="宋体" w:cs="宋体"/>
          <w:color w:val="auto"/>
          <w:kern w:val="0"/>
          <w:szCs w:val="24"/>
          <w:highlight w:val="none"/>
        </w:rPr>
        <w:t>给招标人造成的损失超过履约担保数额的，中标人还应当对超过部分予以赔偿，招标人并依法追究中标人的相应责任。</w:t>
      </w:r>
    </w:p>
    <w:p w14:paraId="0E4D3011">
      <w:pPr>
        <w:tabs>
          <w:tab w:val="left" w:pos="360"/>
          <w:tab w:val="left" w:pos="4725"/>
        </w:tabs>
        <w:autoSpaceDE w:val="0"/>
        <w:autoSpaceDN w:val="0"/>
        <w:adjustRightInd w:val="0"/>
        <w:spacing w:line="360" w:lineRule="auto"/>
        <w:ind w:left="315" w:leftChars="-100" w:hanging="525" w:hangingChars="25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35.2 履约担保用于补偿</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因中标人不能完全履行其合同义务而蒙受的损失或其他合同约定的事项。如发生下列任一情况时，</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有权依合同追究违约责任外，同时有权提取履约担保并进行相应处理：</w:t>
      </w:r>
    </w:p>
    <w:p w14:paraId="3AA5E485">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（1）中标人将合同项下中标人的权利义务全部转让给第三方，或未经</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书面同意将部分权利义务转让给第三方的，</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有权没收其履约担保。</w:t>
      </w:r>
    </w:p>
    <w:p w14:paraId="5F393848">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（2）在合同履行期间，中标人怠于履行合同义务，经</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通知或要求承担违约金后仍拒不改正的，</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可依法没收或适当扣除其履约担保。</w:t>
      </w:r>
    </w:p>
    <w:p w14:paraId="230975AD">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（3）在合同履行期间，因中标人货物、服务质量问题造成损害、侵权损失（包括但不限于</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经济损失、第三人人身财产损失等）、拖欠原材料供应商货款或与其所雇用员工发生劳资纠纷、上访、闹事或其他影响</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生产经营等情况而其未及时妥善处理的，</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有权使用履约担保予以支付或作出相应处理，由此产生的一切法律后果由中标人承担。</w:t>
      </w:r>
    </w:p>
    <w:p w14:paraId="44AAFBCA">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（4）在合同履行期间，中标人违约产生的违约金、赔偿、罚款或其他应付费用等款项，</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有权直接从未付款项中直接扣除或启用履约担保予以支付。</w:t>
      </w:r>
    </w:p>
    <w:p w14:paraId="043F6852">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（5）合同期内，中标人不能及时完成合同某项义务的，</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有权提取履约担保用于处理该项工作。</w:t>
      </w:r>
    </w:p>
    <w:p w14:paraId="11624D10">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（6）其他根据本合同约定或法律规定，</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可启用履约担保的情形。</w:t>
      </w:r>
    </w:p>
    <w:p w14:paraId="7C97B618">
      <w:pPr>
        <w:tabs>
          <w:tab w:val="left" w:pos="360"/>
          <w:tab w:val="left" w:pos="4725"/>
        </w:tabs>
        <w:autoSpaceDE w:val="0"/>
        <w:autoSpaceDN w:val="0"/>
        <w:adjustRightInd w:val="0"/>
        <w:spacing w:line="360" w:lineRule="auto"/>
        <w:ind w:left="315" w:leftChars="-100" w:hanging="525" w:hangingChars="250"/>
        <w:jc w:val="left"/>
        <w:outlineLvl w:val="1"/>
        <w:rPr>
          <w:rFonts w:hint="eastAsia" w:ascii="宋体" w:hAnsi="宋体" w:eastAsia="宋体" w:cs="宋体"/>
          <w:color w:val="auto"/>
          <w:kern w:val="0"/>
          <w:szCs w:val="21"/>
          <w:highlight w:val="none"/>
        </w:rPr>
      </w:pPr>
      <w:bookmarkStart w:id="331" w:name="_Toc16242"/>
      <w:r>
        <w:rPr>
          <w:rFonts w:hint="eastAsia" w:ascii="宋体" w:hAnsi="宋体" w:eastAsia="宋体" w:cs="宋体"/>
          <w:color w:val="auto"/>
          <w:kern w:val="0"/>
          <w:szCs w:val="21"/>
          <w:highlight w:val="none"/>
        </w:rPr>
        <w:t>35.3  履约担保应符合如下规定：</w:t>
      </w:r>
      <w:bookmarkEnd w:id="331"/>
    </w:p>
    <w:p w14:paraId="3E6CAB66">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（1）出具履约保函的银行必须是境内支行一级以上机构，并经</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同意，执行本款时所发生的费用由中标人承担。</w:t>
      </w:r>
    </w:p>
    <w:p w14:paraId="21042579">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（2）履约担保格式应采用招标文件中提供的（格式参见第五篇），投标人如以履约保函（或履约保证保险或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履约担保书）形式提供履约担保的，投标前应当自行向其拟申请开具保函的银行（</w:t>
      </w:r>
      <w:r>
        <w:rPr>
          <w:rFonts w:hint="eastAsia" w:ascii="宋体" w:hAnsi="宋体" w:eastAsia="宋体" w:cs="宋体"/>
          <w:color w:val="auto"/>
          <w:kern w:val="0"/>
          <w:szCs w:val="21"/>
          <w:highlight w:val="none"/>
          <w:lang w:val="en-US" w:eastAsia="zh-CN"/>
        </w:rPr>
        <w:t>或保险</w:t>
      </w:r>
      <w:r>
        <w:rPr>
          <w:rFonts w:hint="eastAsia" w:ascii="宋体" w:hAnsi="宋体" w:eastAsia="宋体" w:cs="宋体"/>
          <w:color w:val="auto"/>
          <w:kern w:val="0"/>
          <w:szCs w:val="21"/>
          <w:highlight w:val="none"/>
        </w:rPr>
        <w:t>或担保）机构落实履约保函（或履约保证保险或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履约担保书）格式情况，以确保能按本招标文件规定的格式提供保函。如使用其他格式的履约保函（或履约保证保险或</w:t>
      </w:r>
      <w:r>
        <w:rPr>
          <w:rFonts w:hint="eastAsia" w:ascii="宋体" w:hAnsi="宋体" w:eastAsia="宋体" w:cs="宋体"/>
          <w:color w:val="auto"/>
          <w:kern w:val="0"/>
          <w:szCs w:val="21"/>
          <w:highlight w:val="none"/>
          <w:lang w:val="en-US" w:eastAsia="zh-CN"/>
        </w:rPr>
        <w:t>担保公司</w:t>
      </w:r>
      <w:r>
        <w:rPr>
          <w:rFonts w:hint="eastAsia" w:ascii="宋体" w:hAnsi="宋体" w:eastAsia="宋体" w:cs="宋体"/>
          <w:color w:val="auto"/>
          <w:kern w:val="0"/>
          <w:szCs w:val="21"/>
          <w:highlight w:val="none"/>
        </w:rPr>
        <w:t>履约担保书），须事先经</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的书面同意。</w:t>
      </w:r>
    </w:p>
    <w:p w14:paraId="384541E1">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（3）提供担保的担保机构经济性质须为</w:t>
      </w:r>
      <w:r>
        <w:rPr>
          <w:rFonts w:hint="eastAsia" w:ascii="宋体" w:hAnsi="宋体" w:eastAsia="宋体" w:cs="宋体"/>
          <w:color w:val="auto"/>
          <w:kern w:val="0"/>
          <w:szCs w:val="21"/>
          <w:highlight w:val="none"/>
          <w:lang w:val="en-US" w:eastAsia="zh-CN"/>
        </w:rPr>
        <w:t>东莞</w:t>
      </w:r>
      <w:r>
        <w:rPr>
          <w:rFonts w:hint="eastAsia" w:ascii="宋体" w:hAnsi="宋体" w:eastAsia="宋体" w:cs="宋体"/>
          <w:color w:val="auto"/>
          <w:kern w:val="0"/>
          <w:szCs w:val="21"/>
          <w:highlight w:val="none"/>
        </w:rPr>
        <w:t>市国有企业，或政府性融资担保机构（中标人须提供能证明其属于政府性融资担保机构的证明文件），并经</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同意，执行本款时所发生的费用由中标人承担。如</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合同条款接受担保公司预付款担保函的，对担保机构要求参照本条执行。</w:t>
      </w:r>
    </w:p>
    <w:p w14:paraId="4892570C">
      <w:pPr>
        <w:tabs>
          <w:tab w:val="left" w:pos="360"/>
          <w:tab w:val="left" w:pos="4725"/>
        </w:tabs>
        <w:autoSpaceDE w:val="0"/>
        <w:autoSpaceDN w:val="0"/>
        <w:adjustRightInd w:val="0"/>
        <w:spacing w:line="360" w:lineRule="auto"/>
        <w:ind w:left="357" w:leftChars="-100" w:hanging="567" w:hangingChars="27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（4）如果中标人提交的履约担保的有效期届满时间先于招标文件、合同文件要求的，中标人应在原提交的履约担保有效期届满前15日内，无条件办理符合</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要求的履约担保延期手续，否则视为中标人违约，</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有权在不可撤销银行履约保函或履约保证保险或担保公司履约担保书到期前向出具履约担保的机构提取履约担保金。在不可撤销银行履约保函</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1"/>
          <w:highlight w:val="none"/>
          <w:lang w:val="en-US" w:eastAsia="zh-CN"/>
        </w:rPr>
        <w:t>或</w:t>
      </w:r>
      <w:r>
        <w:rPr>
          <w:rFonts w:hint="eastAsia" w:ascii="宋体" w:hAnsi="宋体" w:eastAsia="宋体" w:cs="宋体"/>
          <w:color w:val="auto"/>
          <w:kern w:val="0"/>
          <w:szCs w:val="21"/>
          <w:highlight w:val="none"/>
        </w:rPr>
        <w:t>担保公司履约担保书</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到期后中标人未按</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要求重新提供的，</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有权要求中标人以履约担保金额为限承担违约金，违约金可直接从未付采购合同费用中扣除。</w:t>
      </w:r>
    </w:p>
    <w:p w14:paraId="2D4E6FEF">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（5）在合同履行过程中，不论何种原因导致履约担保金数额不符合招标文件要求的，中标人应当在5日内予以补足。逾期不予补足的，</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有权按需补足的金额要求中标人承担违约金，并要求限期补足。如中标人仍不补足的，</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有权单方解除合同，违约金可直接从未付合同款或履约担保中扣除。</w:t>
      </w:r>
    </w:p>
    <w:p w14:paraId="2805407C">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（6）不可撤销银行履约保函（或履约保证保险或担保公司履约担保书）应从合同签订之日起至合同期限届满并履行完毕相关服务义务且结算完毕之后二十八（28）日内保持有效。</w:t>
      </w:r>
    </w:p>
    <w:p w14:paraId="2D12C7EE">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35.4  履约保证金应用本合同货币。</w:t>
      </w:r>
    </w:p>
    <w:p w14:paraId="4BF529D6">
      <w:pPr>
        <w:tabs>
          <w:tab w:val="left" w:pos="360"/>
          <w:tab w:val="left" w:pos="4725"/>
        </w:tabs>
        <w:autoSpaceDE w:val="0"/>
        <w:autoSpaceDN w:val="0"/>
        <w:adjustRightInd w:val="0"/>
        <w:spacing w:line="360" w:lineRule="auto"/>
        <w:ind w:left="315" w:leftChars="-100" w:hanging="525" w:hangingChars="25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35.5  中标人也可以按招标文件约定的额度和时间，向</w:t>
      </w:r>
      <w:r>
        <w:rPr>
          <w:rFonts w:hint="eastAsia" w:ascii="宋体" w:hAnsi="宋体" w:eastAsia="宋体" w:cs="宋体"/>
          <w:color w:val="auto"/>
          <w:kern w:val="0"/>
          <w:szCs w:val="21"/>
          <w:highlight w:val="none"/>
          <w:lang w:eastAsia="zh-CN"/>
        </w:rPr>
        <w:t>招标人（含其下属子公司）</w:t>
      </w:r>
      <w:r>
        <w:rPr>
          <w:rFonts w:hint="eastAsia" w:ascii="宋体" w:hAnsi="宋体" w:eastAsia="宋体" w:cs="宋体"/>
          <w:color w:val="auto"/>
          <w:kern w:val="0"/>
          <w:szCs w:val="21"/>
          <w:highlight w:val="none"/>
        </w:rPr>
        <w:t>交纳同等数额的履约保证金作为履约担保。如中标人提交的履约保证金是其分支机构以转账形式转入的，要提交中标人的法人书面授权，不接受由私人账户和其它单位转入的保证金，也不接受现金形式提交。履约保证金应以存入招标人指定的以下银行账户为准。</w:t>
      </w:r>
    </w:p>
    <w:p w14:paraId="4C54C488">
      <w:pPr>
        <w:snapToGrid w:val="0"/>
        <w:spacing w:line="360" w:lineRule="auto"/>
        <w:ind w:firstLine="422"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本项目履约保证金统一由东莞市水务集团管网有限公司收取，存入以下指定银行账户，转账时备注“履行《东莞市水务集团管网有限公司202</w:t>
      </w:r>
      <w:r>
        <w:rPr>
          <w:rFonts w:hint="eastAsia" w:ascii="宋体" w:hAnsi="宋体" w:eastAsia="宋体" w:cs="宋体"/>
          <w:b/>
          <w:color w:val="auto"/>
          <w:kern w:val="0"/>
          <w:szCs w:val="21"/>
          <w:highlight w:val="none"/>
          <w:lang w:val="en-US" w:eastAsia="zh-CN"/>
        </w:rPr>
        <w:t>5</w:t>
      </w:r>
      <w:r>
        <w:rPr>
          <w:rFonts w:hint="eastAsia" w:ascii="宋体" w:hAnsi="宋体" w:eastAsia="宋体" w:cs="宋体"/>
          <w:b/>
          <w:color w:val="auto"/>
          <w:kern w:val="0"/>
          <w:szCs w:val="21"/>
          <w:highlight w:val="none"/>
        </w:rPr>
        <w:t>年餐厨及清洁服务项目采购合同》的保证金”。</w:t>
      </w:r>
    </w:p>
    <w:p w14:paraId="43919A7C">
      <w:pPr>
        <w:tabs>
          <w:tab w:val="left" w:pos="360"/>
          <w:tab w:val="left" w:pos="4725"/>
        </w:tabs>
        <w:autoSpaceDE w:val="0"/>
        <w:autoSpaceDN w:val="0"/>
        <w:adjustRightInd w:val="0"/>
        <w:spacing w:line="360" w:lineRule="auto"/>
        <w:ind w:firstLine="632" w:firstLineChars="30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履约保证金账户：</w:t>
      </w:r>
    </w:p>
    <w:p w14:paraId="1E7E750F">
      <w:pPr>
        <w:autoSpaceDE w:val="0"/>
        <w:autoSpaceDN w:val="0"/>
        <w:adjustRightInd w:val="0"/>
        <w:snapToGrid w:val="0"/>
        <w:spacing w:line="360" w:lineRule="auto"/>
        <w:ind w:firstLine="632" w:firstLineChars="300"/>
        <w:jc w:val="left"/>
        <w:outlineLvl w:val="9"/>
        <w:rPr>
          <w:rFonts w:hint="eastAsia" w:ascii="宋体" w:hAnsi="宋体" w:eastAsia="宋体" w:cs="宋体"/>
          <w:b/>
          <w:color w:val="auto"/>
          <w:kern w:val="0"/>
          <w:szCs w:val="21"/>
          <w:highlight w:val="none"/>
          <w:u w:val="none"/>
        </w:rPr>
      </w:pPr>
      <w:r>
        <w:rPr>
          <w:rFonts w:hint="eastAsia" w:ascii="宋体" w:hAnsi="宋体" w:eastAsia="宋体" w:cs="宋体"/>
          <w:b/>
          <w:color w:val="auto"/>
          <w:kern w:val="0"/>
          <w:szCs w:val="21"/>
          <w:highlight w:val="none"/>
          <w:u w:val="none"/>
        </w:rPr>
        <w:t>开户名称：</w:t>
      </w:r>
      <w:bookmarkStart w:id="332" w:name="_Hlk157674100"/>
      <w:r>
        <w:rPr>
          <w:rFonts w:hint="eastAsia" w:ascii="宋体" w:hAnsi="宋体" w:eastAsia="宋体" w:cs="宋体"/>
          <w:b/>
          <w:color w:val="auto"/>
          <w:kern w:val="0"/>
          <w:szCs w:val="21"/>
          <w:highlight w:val="none"/>
          <w:u w:val="none"/>
        </w:rPr>
        <w:t>东莞市水务集团管网有限公司</w:t>
      </w:r>
      <w:bookmarkEnd w:id="332"/>
    </w:p>
    <w:p w14:paraId="6DF53F78">
      <w:pPr>
        <w:snapToGrid w:val="0"/>
        <w:spacing w:line="360" w:lineRule="auto"/>
        <w:ind w:firstLine="632" w:firstLineChars="300"/>
        <w:outlineLvl w:val="9"/>
        <w:rPr>
          <w:rFonts w:hint="eastAsia" w:ascii="宋体" w:hAnsi="宋体" w:eastAsia="宋体" w:cs="宋体"/>
          <w:b/>
          <w:bCs/>
          <w:color w:val="auto"/>
          <w:szCs w:val="21"/>
          <w:highlight w:val="none"/>
          <w:u w:val="none"/>
        </w:rPr>
      </w:pPr>
      <w:r>
        <w:rPr>
          <w:rFonts w:hint="eastAsia" w:ascii="宋体" w:hAnsi="宋体" w:eastAsia="宋体" w:cs="宋体"/>
          <w:b/>
          <w:color w:val="auto"/>
          <w:kern w:val="0"/>
          <w:szCs w:val="21"/>
          <w:highlight w:val="none"/>
          <w:u w:val="none"/>
        </w:rPr>
        <w:t>银行账号：</w:t>
      </w:r>
      <w:r>
        <w:rPr>
          <w:rFonts w:hint="eastAsia" w:ascii="宋体" w:hAnsi="宋体" w:eastAsia="宋体" w:cs="宋体"/>
          <w:b/>
          <w:bCs/>
          <w:color w:val="auto"/>
          <w:szCs w:val="21"/>
          <w:highlight w:val="none"/>
          <w:u w:val="none"/>
        </w:rPr>
        <w:t>8114801014000043052</w:t>
      </w:r>
    </w:p>
    <w:p w14:paraId="1060E4B0">
      <w:pPr>
        <w:snapToGrid w:val="0"/>
        <w:spacing w:line="360" w:lineRule="auto"/>
        <w:ind w:firstLine="632" w:firstLineChars="300"/>
        <w:outlineLvl w:val="9"/>
        <w:rPr>
          <w:rFonts w:hint="eastAsia" w:ascii="宋体" w:hAnsi="宋体" w:eastAsia="宋体" w:cs="宋体"/>
          <w:b/>
          <w:bCs/>
          <w:color w:val="auto"/>
          <w:szCs w:val="21"/>
          <w:highlight w:val="none"/>
          <w:u w:val="none"/>
        </w:rPr>
      </w:pPr>
      <w:r>
        <w:rPr>
          <w:rFonts w:hint="eastAsia" w:ascii="宋体" w:hAnsi="宋体" w:eastAsia="宋体" w:cs="宋体"/>
          <w:b/>
          <w:color w:val="auto"/>
          <w:kern w:val="0"/>
          <w:szCs w:val="21"/>
          <w:highlight w:val="none"/>
          <w:u w:val="none"/>
        </w:rPr>
        <w:t>开户银行：</w:t>
      </w:r>
      <w:r>
        <w:rPr>
          <w:rFonts w:hint="eastAsia" w:ascii="宋体" w:hAnsi="宋体" w:eastAsia="宋体" w:cs="宋体"/>
          <w:b/>
          <w:bCs/>
          <w:color w:val="auto"/>
          <w:szCs w:val="21"/>
          <w:highlight w:val="none"/>
          <w:u w:val="none"/>
        </w:rPr>
        <w:t>中信银行东莞分行营业部</w:t>
      </w:r>
    </w:p>
    <w:p w14:paraId="78494FB4">
      <w:pPr>
        <w:snapToGrid w:val="0"/>
        <w:spacing w:line="360" w:lineRule="auto"/>
        <w:ind w:left="550" w:leftChars="262" w:firstLine="527" w:firstLineChars="25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特别约定：任何一个合同甲方（东莞市水务集团管网有限公司、东莞市莞泽水环境投资有限公司、东莞市东信水环境投资有限公司、东莞市东泽水环境投资有限公司和东莞市清泽水环境投资有限公司）均有权就全部的履约保证金金额进行索赔。</w:t>
      </w:r>
    </w:p>
    <w:p w14:paraId="13107C6F">
      <w:pPr>
        <w:snapToGrid w:val="0"/>
        <w:spacing w:line="360" w:lineRule="auto"/>
        <w:ind w:left="550" w:leftChars="262" w:firstLine="527" w:firstLineChars="250"/>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发生违约行为时，中标人应当按照合同约定和合同甲方的要求向对应的合同甲方支付违约金；否则，相应的合同甲方有权从履约保证金中扣除违约金，并由东莞市水务集团管网有限公司将对应金额转入相应甲方的银行账户，同时中标人应在招标人指定期限内及时补足履约保证金金额。</w:t>
      </w:r>
    </w:p>
    <w:p w14:paraId="61CFC4A5">
      <w:pPr>
        <w:autoSpaceDE w:val="0"/>
        <w:autoSpaceDN w:val="0"/>
        <w:adjustRightInd w:val="0"/>
        <w:spacing w:line="360" w:lineRule="auto"/>
        <w:ind w:left="420" w:leftChars="-100" w:hanging="630" w:hangingChars="3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35.6  中标</w:t>
      </w:r>
      <w:r>
        <w:rPr>
          <w:rFonts w:hint="eastAsia" w:ascii="宋体" w:hAnsi="宋体" w:eastAsia="宋体" w:cs="宋体"/>
          <w:color w:val="auto"/>
          <w:kern w:val="0"/>
          <w:szCs w:val="24"/>
          <w:highlight w:val="none"/>
        </w:rPr>
        <w:t>单位提交了履约担保后，当履约保证金转达招标人履约保证金账户后，</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人将履约保证金的汇款凭证用A4纸复印件（</w:t>
      </w:r>
      <w:r>
        <w:rPr>
          <w:rFonts w:hint="eastAsia" w:ascii="宋体" w:hAnsi="宋体" w:eastAsia="宋体" w:cs="宋体"/>
          <w:bCs/>
          <w:color w:val="auto"/>
          <w:kern w:val="0"/>
          <w:szCs w:val="24"/>
          <w:highlight w:val="none"/>
        </w:rPr>
        <w:t>注明</w:t>
      </w:r>
      <w:r>
        <w:rPr>
          <w:rFonts w:hint="eastAsia" w:ascii="宋体" w:hAnsi="宋体" w:eastAsia="宋体" w:cs="宋体"/>
          <w:bCs/>
          <w:color w:val="auto"/>
          <w:szCs w:val="21"/>
          <w:highlight w:val="none"/>
          <w:lang w:val="zh-CN"/>
        </w:rPr>
        <w:t>招标</w:t>
      </w:r>
      <w:r>
        <w:rPr>
          <w:rFonts w:hint="eastAsia" w:ascii="宋体" w:hAnsi="宋体" w:eastAsia="宋体" w:cs="宋体"/>
          <w:bCs/>
          <w:color w:val="auto"/>
          <w:kern w:val="0"/>
          <w:szCs w:val="24"/>
          <w:highlight w:val="none"/>
        </w:rPr>
        <w:t>编号</w:t>
      </w:r>
      <w:r>
        <w:rPr>
          <w:rFonts w:hint="eastAsia" w:ascii="宋体" w:hAnsi="宋体" w:eastAsia="宋体" w:cs="宋体"/>
          <w:color w:val="auto"/>
          <w:kern w:val="0"/>
          <w:szCs w:val="24"/>
          <w:highlight w:val="none"/>
        </w:rPr>
        <w:t>）一式二份并加盖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人的公章送招标代理机构，[或当中标人采取不可撤销银行履约保函（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或担保公司履约担保书）的方式缴纳履约担保时，中标人将不可撤销银行履约保函（</w:t>
      </w:r>
      <w:r>
        <w:rPr>
          <w:rFonts w:hint="eastAsia" w:ascii="宋体" w:hAnsi="宋体" w:eastAsia="宋体" w:cs="宋体"/>
          <w:color w:val="auto"/>
          <w:kern w:val="0"/>
          <w:szCs w:val="21"/>
          <w:highlight w:val="none"/>
        </w:rPr>
        <w:t>或履约保证保险</w:t>
      </w:r>
      <w:r>
        <w:rPr>
          <w:rFonts w:hint="eastAsia" w:ascii="宋体" w:hAnsi="宋体" w:eastAsia="宋体" w:cs="宋体"/>
          <w:color w:val="auto"/>
          <w:kern w:val="0"/>
          <w:szCs w:val="24"/>
          <w:highlight w:val="none"/>
        </w:rPr>
        <w:t>或担保公司履约担保书）原件</w:t>
      </w:r>
      <w:r>
        <w:rPr>
          <w:rFonts w:hint="eastAsia" w:ascii="宋体" w:hAnsi="宋体" w:eastAsia="宋体" w:cs="宋体"/>
          <w:color w:val="auto"/>
          <w:szCs w:val="21"/>
          <w:highlight w:val="none"/>
          <w:lang w:val="zh-CN"/>
        </w:rPr>
        <w:t>交给招标人，由招标人在</w:t>
      </w:r>
      <w:r>
        <w:rPr>
          <w:rFonts w:hint="eastAsia" w:ascii="宋体" w:hAnsi="宋体" w:eastAsia="宋体" w:cs="宋体"/>
          <w:color w:val="auto"/>
          <w:kern w:val="0"/>
          <w:szCs w:val="24"/>
          <w:highlight w:val="none"/>
        </w:rPr>
        <w:t>履约保函一式两份复印件上</w:t>
      </w:r>
      <w:r>
        <w:rPr>
          <w:rFonts w:hint="eastAsia" w:ascii="宋体" w:hAnsi="宋体" w:eastAsia="宋体" w:cs="宋体"/>
          <w:color w:val="auto"/>
          <w:szCs w:val="21"/>
          <w:highlight w:val="none"/>
          <w:lang w:val="zh-CN"/>
        </w:rPr>
        <w:t>注明“原件已收”及签收人、日期后，中标人在每份复印件上</w:t>
      </w:r>
      <w:r>
        <w:rPr>
          <w:rFonts w:hint="eastAsia" w:ascii="宋体" w:hAnsi="宋体" w:eastAsia="宋体" w:cs="宋体"/>
          <w:color w:val="auto"/>
          <w:kern w:val="0"/>
          <w:szCs w:val="24"/>
          <w:highlight w:val="none"/>
        </w:rPr>
        <w:t>加盖</w:t>
      </w:r>
      <w:r>
        <w:rPr>
          <w:rFonts w:hint="eastAsia" w:ascii="宋体" w:hAnsi="宋体" w:eastAsia="宋体" w:cs="宋体"/>
          <w:color w:val="auto"/>
          <w:szCs w:val="21"/>
          <w:highlight w:val="none"/>
          <w:lang w:val="zh-CN"/>
        </w:rPr>
        <w:t>中标</w:t>
      </w:r>
      <w:r>
        <w:rPr>
          <w:rFonts w:hint="eastAsia" w:ascii="宋体" w:hAnsi="宋体" w:eastAsia="宋体" w:cs="宋体"/>
          <w:color w:val="auto"/>
          <w:kern w:val="0"/>
          <w:szCs w:val="24"/>
          <w:highlight w:val="none"/>
        </w:rPr>
        <w:t>人的公章，送招标代理机构]</w:t>
      </w:r>
      <w:r>
        <w:rPr>
          <w:rFonts w:hint="eastAsia" w:ascii="宋体" w:hAnsi="宋体" w:eastAsia="宋体" w:cs="宋体"/>
          <w:color w:val="auto"/>
          <w:kern w:val="0"/>
          <w:szCs w:val="21"/>
          <w:highlight w:val="none"/>
        </w:rPr>
        <w:t>。</w:t>
      </w:r>
    </w:p>
    <w:p w14:paraId="3AB3108D">
      <w:pPr>
        <w:tabs>
          <w:tab w:val="left" w:pos="360"/>
          <w:tab w:val="left" w:pos="4725"/>
        </w:tabs>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4"/>
          <w:highlight w:val="none"/>
        </w:rPr>
      </w:pPr>
      <w:r>
        <w:rPr>
          <w:rFonts w:hint="eastAsia" w:ascii="宋体" w:hAnsi="宋体" w:eastAsia="宋体" w:cs="宋体"/>
          <w:color w:val="auto"/>
          <w:kern w:val="0"/>
          <w:szCs w:val="24"/>
          <w:highlight w:val="none"/>
        </w:rPr>
        <w:t xml:space="preserve">35.7  </w:t>
      </w:r>
      <w:r>
        <w:rPr>
          <w:rFonts w:hint="eastAsia" w:ascii="宋体" w:hAnsi="宋体" w:eastAsia="宋体" w:cs="宋体"/>
          <w:color w:val="auto"/>
          <w:kern w:val="0"/>
          <w:szCs w:val="21"/>
          <w:highlight w:val="none"/>
        </w:rPr>
        <w:t>中标人以履约保证金（银行转账形式）提供履约担保的</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在依法完成本项目的所有合同义务，且扣除相应费用（若有）后，经招标人</w:t>
      </w:r>
      <w:r>
        <w:rPr>
          <w:rFonts w:hint="eastAsia" w:ascii="宋体" w:hAnsi="宋体" w:eastAsia="宋体" w:cs="宋体"/>
          <w:color w:val="auto"/>
          <w:szCs w:val="21"/>
          <w:highlight w:val="none"/>
          <w:lang w:val="zh-CN"/>
        </w:rPr>
        <w:t>（含其下属子公司）</w:t>
      </w:r>
      <w:r>
        <w:rPr>
          <w:rFonts w:hint="eastAsia" w:ascii="宋体" w:hAnsi="宋体" w:eastAsia="宋体" w:cs="宋体"/>
          <w:color w:val="auto"/>
          <w:kern w:val="0"/>
          <w:szCs w:val="21"/>
          <w:highlight w:val="none"/>
        </w:rPr>
        <w:t>确认，中标人可向招标人</w:t>
      </w:r>
      <w:r>
        <w:rPr>
          <w:rFonts w:hint="eastAsia" w:ascii="宋体" w:hAnsi="宋体" w:eastAsia="宋体" w:cs="宋体"/>
          <w:color w:val="auto"/>
          <w:szCs w:val="21"/>
          <w:highlight w:val="none"/>
          <w:lang w:val="zh-CN"/>
        </w:rPr>
        <w:t>（含其下属子公司）</w:t>
      </w:r>
      <w:r>
        <w:rPr>
          <w:rFonts w:hint="eastAsia" w:ascii="宋体" w:hAnsi="宋体" w:eastAsia="宋体" w:cs="宋体"/>
          <w:color w:val="auto"/>
          <w:kern w:val="0"/>
          <w:szCs w:val="21"/>
          <w:highlight w:val="none"/>
        </w:rPr>
        <w:t>提交退回履约担保的申请。招标人</w:t>
      </w:r>
      <w:r>
        <w:rPr>
          <w:rFonts w:hint="eastAsia" w:ascii="宋体" w:hAnsi="宋体" w:eastAsia="宋体" w:cs="宋体"/>
          <w:color w:val="auto"/>
          <w:szCs w:val="21"/>
          <w:highlight w:val="none"/>
          <w:lang w:val="zh-CN"/>
        </w:rPr>
        <w:t>（含其下属子公司）</w:t>
      </w:r>
      <w:r>
        <w:rPr>
          <w:rFonts w:hint="eastAsia" w:ascii="宋体" w:hAnsi="宋体" w:eastAsia="宋体" w:cs="宋体"/>
          <w:color w:val="auto"/>
          <w:kern w:val="0"/>
          <w:szCs w:val="21"/>
          <w:highlight w:val="none"/>
        </w:rPr>
        <w:t>审核无异议后，经招标人确认，中标人可向招标人提交退回履约担保的申请。招标人审核无异议后，办理履约担保退还手续，退回时一律以银行转账的形式无息退回到中标人的帐户。</w:t>
      </w:r>
    </w:p>
    <w:p w14:paraId="57B55026">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18B84B2">
      <w:pPr>
        <w:tabs>
          <w:tab w:val="left" w:pos="360"/>
        </w:tabs>
        <w:autoSpaceDE w:val="0"/>
        <w:autoSpaceDN w:val="0"/>
        <w:adjustRightInd w:val="0"/>
        <w:spacing w:line="360" w:lineRule="auto"/>
        <w:ind w:left="357" w:leftChars="-100" w:hanging="567"/>
        <w:jc w:val="left"/>
        <w:outlineLvl w:val="1"/>
        <w:rPr>
          <w:rFonts w:hint="eastAsia" w:ascii="宋体" w:hAnsi="宋体" w:eastAsia="宋体" w:cs="宋体"/>
          <w:color w:val="auto"/>
          <w:szCs w:val="21"/>
          <w:highlight w:val="none"/>
          <w:lang w:val="zh-CN"/>
        </w:rPr>
      </w:pPr>
      <w:bookmarkStart w:id="333" w:name="_Toc142508353"/>
      <w:bookmarkStart w:id="334" w:name="_Toc486167702"/>
      <w:bookmarkStart w:id="335" w:name="_Toc13235"/>
      <w:bookmarkStart w:id="336" w:name="_Toc27162"/>
      <w:bookmarkStart w:id="337" w:name="_Toc10548"/>
      <w:r>
        <w:rPr>
          <w:rFonts w:hint="eastAsia" w:ascii="宋体" w:hAnsi="宋体" w:eastAsia="宋体" w:cs="宋体"/>
          <w:color w:val="auto"/>
          <w:szCs w:val="21"/>
          <w:highlight w:val="none"/>
        </w:rPr>
        <w:t>36</w:t>
      </w:r>
      <w:r>
        <w:rPr>
          <w:rFonts w:hint="eastAsia" w:ascii="宋体" w:hAnsi="宋体" w:eastAsia="宋体" w:cs="宋体"/>
          <w:color w:val="auto"/>
          <w:szCs w:val="21"/>
          <w:highlight w:val="none"/>
          <w:lang w:val="zh-CN"/>
        </w:rPr>
        <w:t xml:space="preserve"> 在合同履行中变更采购范围的权利</w:t>
      </w:r>
      <w:bookmarkEnd w:id="329"/>
      <w:bookmarkEnd w:id="330"/>
      <w:bookmarkEnd w:id="333"/>
      <w:bookmarkEnd w:id="334"/>
      <w:bookmarkEnd w:id="335"/>
      <w:bookmarkEnd w:id="336"/>
      <w:bookmarkEnd w:id="337"/>
    </w:p>
    <w:p w14:paraId="37F9F6D4">
      <w:pPr>
        <w:autoSpaceDE w:val="0"/>
        <w:autoSpaceDN w:val="0"/>
        <w:adjustRightInd w:val="0"/>
        <w:spacing w:line="360" w:lineRule="auto"/>
        <w:ind w:left="328" w:leftChars="-114"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36.1 合同履行中，招标人</w:t>
      </w:r>
      <w:r>
        <w:rPr>
          <w:rFonts w:hint="eastAsia" w:ascii="宋体" w:hAnsi="宋体" w:eastAsia="宋体" w:cs="宋体"/>
          <w:color w:val="auto"/>
          <w:szCs w:val="21"/>
          <w:highlight w:val="none"/>
          <w:lang w:val="zh-CN"/>
        </w:rPr>
        <w:t>（含其下属子公司）</w:t>
      </w:r>
      <w:r>
        <w:rPr>
          <w:rFonts w:hint="eastAsia" w:ascii="宋体" w:hAnsi="宋体" w:eastAsia="宋体" w:cs="宋体"/>
          <w:color w:val="auto"/>
          <w:kern w:val="0"/>
          <w:szCs w:val="21"/>
          <w:highlight w:val="none"/>
        </w:rPr>
        <w:t>在合同约定的范围内，招标人</w:t>
      </w:r>
      <w:r>
        <w:rPr>
          <w:rFonts w:hint="eastAsia" w:ascii="宋体" w:hAnsi="宋体" w:eastAsia="宋体" w:cs="宋体"/>
          <w:color w:val="auto"/>
          <w:szCs w:val="21"/>
          <w:highlight w:val="none"/>
          <w:lang w:val="zh-CN"/>
        </w:rPr>
        <w:t>（含其下属子公司）</w:t>
      </w:r>
      <w:r>
        <w:rPr>
          <w:rFonts w:hint="eastAsia" w:ascii="宋体" w:hAnsi="宋体" w:eastAsia="宋体" w:cs="宋体"/>
          <w:color w:val="auto"/>
          <w:kern w:val="0"/>
          <w:szCs w:val="21"/>
          <w:highlight w:val="none"/>
        </w:rPr>
        <w:t>有权根据项目实际情况及有关法律法规、政策的规定对采购范围进行变更调整，变更采购范围后，投标人应遵照执行。</w:t>
      </w:r>
    </w:p>
    <w:p w14:paraId="292901DD">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38" w:name="_Toc450662888"/>
    </w:p>
    <w:p w14:paraId="378876C0">
      <w:pPr>
        <w:tabs>
          <w:tab w:val="left" w:pos="465"/>
        </w:tabs>
        <w:autoSpaceDE w:val="0"/>
        <w:autoSpaceDN w:val="0"/>
        <w:adjustRightInd w:val="0"/>
        <w:spacing w:line="360" w:lineRule="auto"/>
        <w:ind w:left="357" w:leftChars="-100" w:hanging="567"/>
        <w:jc w:val="left"/>
        <w:outlineLvl w:val="1"/>
        <w:rPr>
          <w:rFonts w:hint="eastAsia" w:ascii="宋体" w:hAnsi="宋体" w:eastAsia="宋体" w:cs="宋体"/>
          <w:color w:val="auto"/>
          <w:szCs w:val="21"/>
          <w:highlight w:val="none"/>
          <w:lang w:val="zh-CN"/>
        </w:rPr>
      </w:pPr>
      <w:bookmarkStart w:id="339" w:name="_Toc2125"/>
      <w:bookmarkStart w:id="340" w:name="_Toc2401"/>
      <w:bookmarkStart w:id="341" w:name="_Toc28921_WPSOffice_Level3"/>
      <w:bookmarkStart w:id="342" w:name="_Toc486167703"/>
      <w:bookmarkStart w:id="343" w:name="_Toc142508354"/>
      <w:bookmarkStart w:id="344" w:name="_Toc23218"/>
      <w:r>
        <w:rPr>
          <w:rFonts w:hint="eastAsia" w:ascii="宋体" w:hAnsi="宋体" w:eastAsia="宋体" w:cs="宋体"/>
          <w:color w:val="auto"/>
          <w:szCs w:val="21"/>
          <w:highlight w:val="none"/>
        </w:rPr>
        <w:t>37</w:t>
      </w:r>
      <w:r>
        <w:rPr>
          <w:rFonts w:hint="eastAsia" w:ascii="宋体" w:hAnsi="宋体" w:eastAsia="宋体" w:cs="宋体"/>
          <w:color w:val="auto"/>
          <w:szCs w:val="21"/>
          <w:highlight w:val="none"/>
          <w:lang w:val="zh-CN"/>
        </w:rPr>
        <w:t xml:space="preserve"> 中标服务费</w:t>
      </w:r>
      <w:bookmarkEnd w:id="338"/>
      <w:bookmarkEnd w:id="339"/>
      <w:bookmarkEnd w:id="340"/>
      <w:bookmarkEnd w:id="341"/>
      <w:bookmarkEnd w:id="342"/>
      <w:bookmarkEnd w:id="343"/>
      <w:bookmarkEnd w:id="344"/>
    </w:p>
    <w:p w14:paraId="5E9F8E5A">
      <w:pPr>
        <w:autoSpaceDE w:val="0"/>
        <w:autoSpaceDN w:val="0"/>
        <w:adjustRightInd w:val="0"/>
        <w:spacing w:line="360" w:lineRule="auto"/>
        <w:ind w:left="357" w:leftChars="-100"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37.1 本项目中标服务费由招标人向招标代理机构支付。</w:t>
      </w:r>
    </w:p>
    <w:p w14:paraId="7B4D271A">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bookmarkStart w:id="345" w:name="_Toc450662889"/>
    </w:p>
    <w:p w14:paraId="14BAC481">
      <w:pPr>
        <w:tabs>
          <w:tab w:val="left" w:pos="360"/>
        </w:tabs>
        <w:autoSpaceDE w:val="0"/>
        <w:autoSpaceDN w:val="0"/>
        <w:adjustRightInd w:val="0"/>
        <w:spacing w:line="360" w:lineRule="auto"/>
        <w:ind w:left="357" w:leftChars="-100" w:hanging="567"/>
        <w:jc w:val="left"/>
        <w:outlineLvl w:val="1"/>
        <w:rPr>
          <w:rFonts w:hint="eastAsia" w:ascii="宋体" w:hAnsi="宋体" w:eastAsia="宋体" w:cs="宋体"/>
          <w:color w:val="auto"/>
          <w:szCs w:val="21"/>
          <w:highlight w:val="none"/>
          <w:lang w:val="zh-CN"/>
        </w:rPr>
      </w:pPr>
      <w:bookmarkStart w:id="346" w:name="_Toc142508355"/>
      <w:bookmarkStart w:id="347" w:name="_Toc27246"/>
      <w:bookmarkStart w:id="348" w:name="_Toc6796"/>
      <w:bookmarkStart w:id="349" w:name="_Toc486167704"/>
      <w:bookmarkStart w:id="350" w:name="_Toc6764_WPSOffice_Level3"/>
      <w:bookmarkStart w:id="351" w:name="_Toc21985"/>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 xml:space="preserve"> 发票</w:t>
      </w:r>
      <w:bookmarkEnd w:id="345"/>
      <w:bookmarkEnd w:id="346"/>
      <w:bookmarkEnd w:id="347"/>
      <w:bookmarkEnd w:id="348"/>
      <w:bookmarkEnd w:id="349"/>
      <w:bookmarkEnd w:id="350"/>
      <w:bookmarkEnd w:id="351"/>
    </w:p>
    <w:p w14:paraId="44D8642E">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rPr>
        <w:t>38</w:t>
      </w:r>
      <w:r>
        <w:rPr>
          <w:rFonts w:hint="eastAsia" w:ascii="宋体" w:hAnsi="宋体" w:eastAsia="宋体" w:cs="宋体"/>
          <w:color w:val="auto"/>
          <w:szCs w:val="21"/>
          <w:highlight w:val="none"/>
          <w:lang w:val="zh-CN"/>
        </w:rPr>
        <w:t>.1</w:t>
      </w:r>
      <w:bookmarkStart w:id="352" w:name="_Toc31106_WPSOffice_Level3"/>
      <w:bookmarkStart w:id="353" w:name="_Toc486167705"/>
      <w:r>
        <w:rPr>
          <w:rFonts w:hint="eastAsia" w:ascii="宋体" w:hAnsi="宋体" w:eastAsia="宋体" w:cs="宋体"/>
          <w:color w:val="auto"/>
          <w:szCs w:val="21"/>
          <w:highlight w:val="none"/>
          <w:lang w:val="zh-CN"/>
        </w:rPr>
        <w:t>该项目获得中标的中标人在执行合同过程中，向招标人</w:t>
      </w:r>
      <w:r>
        <w:rPr>
          <w:rFonts w:hint="eastAsia" w:ascii="宋体" w:hAnsi="宋体" w:eastAsia="宋体" w:cs="宋体"/>
          <w:color w:val="auto"/>
          <w:kern w:val="0"/>
          <w:szCs w:val="21"/>
          <w:highlight w:val="none"/>
          <w:lang w:eastAsia="zh-CN"/>
        </w:rPr>
        <w:t>（含其下属子公司）</w:t>
      </w:r>
      <w:r>
        <w:rPr>
          <w:rFonts w:hint="eastAsia" w:ascii="宋体" w:hAnsi="宋体" w:eastAsia="宋体" w:cs="宋体"/>
          <w:color w:val="auto"/>
          <w:szCs w:val="21"/>
          <w:highlight w:val="none"/>
          <w:lang w:val="zh-CN"/>
        </w:rPr>
        <w:t>出具的发票必须是由中标人开具，不得以其他单位或个人名义出具，本项目中标人向招标人</w:t>
      </w:r>
      <w:r>
        <w:rPr>
          <w:rFonts w:hint="eastAsia" w:ascii="宋体" w:hAnsi="宋体" w:eastAsia="宋体" w:cs="宋体"/>
          <w:color w:val="auto"/>
          <w:kern w:val="0"/>
          <w:szCs w:val="21"/>
          <w:highlight w:val="none"/>
          <w:lang w:eastAsia="zh-CN"/>
        </w:rPr>
        <w:t>（含其下属子公司）</w:t>
      </w:r>
      <w:r>
        <w:rPr>
          <w:rFonts w:hint="eastAsia" w:ascii="宋体" w:hAnsi="宋体" w:eastAsia="宋体" w:cs="宋体"/>
          <w:color w:val="auto"/>
          <w:szCs w:val="21"/>
          <w:highlight w:val="none"/>
          <w:lang w:val="zh-CN"/>
        </w:rPr>
        <w:t>出具的发票类型为增值税专用发票。</w:t>
      </w:r>
    </w:p>
    <w:p w14:paraId="03CBE412">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3F1CA04F">
      <w:pPr>
        <w:tabs>
          <w:tab w:val="left" w:pos="360"/>
        </w:tabs>
        <w:autoSpaceDE w:val="0"/>
        <w:autoSpaceDN w:val="0"/>
        <w:adjustRightInd w:val="0"/>
        <w:spacing w:line="360" w:lineRule="auto"/>
        <w:ind w:left="357" w:leftChars="-100" w:hanging="567"/>
        <w:jc w:val="left"/>
        <w:outlineLvl w:val="1"/>
        <w:rPr>
          <w:rFonts w:hint="eastAsia" w:ascii="宋体" w:hAnsi="宋体" w:eastAsia="宋体" w:cs="宋体"/>
          <w:b/>
          <w:color w:val="auto"/>
          <w:szCs w:val="21"/>
          <w:highlight w:val="none"/>
        </w:rPr>
      </w:pPr>
      <w:bookmarkStart w:id="354" w:name="_Toc8619"/>
      <w:bookmarkStart w:id="355" w:name="_Toc24547"/>
      <w:bookmarkStart w:id="356" w:name="_Toc142508356"/>
      <w:bookmarkStart w:id="357" w:name="_Toc21615"/>
      <w:r>
        <w:rPr>
          <w:rFonts w:hint="eastAsia" w:ascii="宋体" w:hAnsi="宋体" w:eastAsia="宋体" w:cs="宋体"/>
          <w:b/>
          <w:color w:val="auto"/>
          <w:szCs w:val="21"/>
          <w:highlight w:val="none"/>
        </w:rPr>
        <w:t>39 招标相关补充约定</w:t>
      </w:r>
      <w:bookmarkEnd w:id="354"/>
      <w:bookmarkEnd w:id="355"/>
      <w:bookmarkEnd w:id="356"/>
      <w:bookmarkEnd w:id="357"/>
    </w:p>
    <w:p w14:paraId="38BB447E">
      <w:pPr>
        <w:autoSpaceDE w:val="0"/>
        <w:autoSpaceDN w:val="0"/>
        <w:adjustRightInd w:val="0"/>
        <w:snapToGrid w:val="0"/>
        <w:spacing w:line="360" w:lineRule="auto"/>
        <w:ind w:left="317" w:leftChars="-100" w:hanging="527" w:hangingChars="250"/>
        <w:jc w:val="left"/>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39.1</w:t>
      </w:r>
      <w:r>
        <w:rPr>
          <w:rFonts w:hint="eastAsia" w:ascii="宋体" w:hAnsi="宋体" w:eastAsia="宋体" w:cs="宋体"/>
          <w:b/>
          <w:color w:val="auto"/>
          <w:szCs w:val="21"/>
          <w:highlight w:val="none"/>
        </w:rPr>
        <w:tab/>
      </w:r>
      <w:r>
        <w:rPr>
          <w:rFonts w:hint="eastAsia" w:ascii="宋体" w:hAnsi="宋体" w:eastAsia="宋体" w:cs="宋体"/>
          <w:b/>
          <w:color w:val="auto"/>
          <w:szCs w:val="21"/>
          <w:highlight w:val="none"/>
        </w:rPr>
        <w:t>本项目投标人须知第2条所述行政处罚信息，以开标</w:t>
      </w:r>
      <w:r>
        <w:rPr>
          <w:rFonts w:hint="eastAsia" w:ascii="宋体" w:hAnsi="宋体" w:eastAsia="宋体" w:cs="宋体"/>
          <w:b/>
          <w:color w:val="auto"/>
          <w:szCs w:val="21"/>
          <w:highlight w:val="none"/>
          <w:lang w:val="en-US" w:eastAsia="zh-CN"/>
        </w:rPr>
        <w:t>当天</w:t>
      </w:r>
      <w:r>
        <w:rPr>
          <w:rFonts w:hint="eastAsia" w:ascii="宋体" w:hAnsi="宋体" w:eastAsia="宋体" w:cs="宋体"/>
          <w:b/>
          <w:color w:val="auto"/>
          <w:szCs w:val="21"/>
          <w:highlight w:val="none"/>
        </w:rPr>
        <w:t>在“信用中国”网站（www.creditchina.gov.cn）查询结果为准，或以司法、仲裁机构等出具的生效文件予以认定,时间以认定文件的落款时间为准。开标结束后，有关投标单位的行政处罚信息，以</w:t>
      </w:r>
      <w:r>
        <w:rPr>
          <w:rFonts w:hint="eastAsia" w:ascii="宋体" w:hAnsi="宋体" w:eastAsia="宋体" w:cs="宋体"/>
          <w:b/>
          <w:color w:val="auto"/>
          <w:szCs w:val="21"/>
          <w:highlight w:val="none"/>
          <w:lang w:val="en-US" w:eastAsia="zh-CN"/>
        </w:rPr>
        <w:t>开标当天查询</w:t>
      </w:r>
      <w:r>
        <w:rPr>
          <w:rFonts w:hint="eastAsia" w:ascii="宋体" w:hAnsi="宋体" w:eastAsia="宋体" w:cs="宋体"/>
          <w:b/>
          <w:color w:val="auto"/>
          <w:szCs w:val="21"/>
          <w:highlight w:val="none"/>
        </w:rPr>
        <w:t>结果为准；结果公示期间，如投标人对有关投标单位的行政处罚信息存在异议，但不涉及第一中标候选人的，视为对中标结果没有造成实质影响。</w:t>
      </w:r>
    </w:p>
    <w:p w14:paraId="71AA8469">
      <w:pPr>
        <w:autoSpaceDE w:val="0"/>
        <w:autoSpaceDN w:val="0"/>
        <w:adjustRightInd w:val="0"/>
        <w:snapToGrid w:val="0"/>
        <w:spacing w:line="360" w:lineRule="auto"/>
        <w:ind w:left="315" w:leftChars="-100" w:hanging="525" w:hangingChars="250"/>
        <w:jc w:val="left"/>
        <w:outlineLvl w:val="9"/>
        <w:rPr>
          <w:rFonts w:hint="eastAsia" w:ascii="宋体" w:hAnsi="宋体" w:eastAsia="宋体" w:cs="宋体"/>
          <w:color w:val="auto"/>
          <w:szCs w:val="21"/>
          <w:highlight w:val="none"/>
        </w:rPr>
      </w:pPr>
    </w:p>
    <w:p w14:paraId="23CB202A">
      <w:pPr>
        <w:tabs>
          <w:tab w:val="left" w:pos="360"/>
        </w:tabs>
        <w:autoSpaceDE w:val="0"/>
        <w:autoSpaceDN w:val="0"/>
        <w:adjustRightInd w:val="0"/>
        <w:spacing w:line="360" w:lineRule="auto"/>
        <w:ind w:left="357" w:leftChars="-100" w:hanging="567"/>
        <w:jc w:val="left"/>
        <w:outlineLvl w:val="1"/>
        <w:rPr>
          <w:rFonts w:hint="eastAsia" w:ascii="宋体" w:hAnsi="宋体" w:eastAsia="宋体" w:cs="宋体"/>
          <w:color w:val="auto"/>
          <w:szCs w:val="21"/>
          <w:highlight w:val="none"/>
        </w:rPr>
      </w:pPr>
      <w:bookmarkStart w:id="358" w:name="_Toc29758"/>
      <w:bookmarkStart w:id="359" w:name="_Toc5292"/>
      <w:bookmarkStart w:id="360" w:name="_Toc142508357"/>
      <w:bookmarkStart w:id="361" w:name="_Toc26594"/>
      <w:r>
        <w:rPr>
          <w:rFonts w:hint="eastAsia" w:ascii="宋体" w:hAnsi="宋体" w:eastAsia="宋体" w:cs="宋体"/>
          <w:color w:val="auto"/>
          <w:szCs w:val="21"/>
          <w:highlight w:val="none"/>
        </w:rPr>
        <w:t>40 本次招标活动的最终解释权归招标代理机构及招标人所有。</w:t>
      </w:r>
      <w:bookmarkEnd w:id="352"/>
      <w:bookmarkEnd w:id="353"/>
      <w:bookmarkEnd w:id="358"/>
      <w:bookmarkEnd w:id="359"/>
      <w:bookmarkEnd w:id="360"/>
      <w:bookmarkEnd w:id="361"/>
    </w:p>
    <w:p w14:paraId="5885F0BA">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362" w:name="_Toc142508358"/>
      <w:bookmarkStart w:id="363" w:name="_Toc2788"/>
      <w:bookmarkStart w:id="364" w:name="_Toc14879"/>
      <w:bookmarkStart w:id="365" w:name="_Toc21446"/>
      <w:bookmarkStart w:id="366" w:name="_Toc450662891"/>
      <w:bookmarkStart w:id="367" w:name="_Toc27939_WPSOffice_Level1"/>
      <w:bookmarkStart w:id="368" w:name="_Toc486167706"/>
      <w:r>
        <w:rPr>
          <w:rFonts w:hint="eastAsia" w:ascii="宋体" w:hAnsi="宋体" w:eastAsia="宋体" w:cs="宋体"/>
          <w:b/>
          <w:bCs/>
          <w:color w:val="auto"/>
          <w:kern w:val="44"/>
          <w:sz w:val="32"/>
          <w:szCs w:val="32"/>
          <w:highlight w:val="none"/>
          <w:lang w:val="zh-CN"/>
        </w:rPr>
        <w:t>第三篇 用户需求书</w:t>
      </w:r>
      <w:bookmarkEnd w:id="362"/>
      <w:bookmarkEnd w:id="363"/>
      <w:bookmarkEnd w:id="364"/>
      <w:bookmarkEnd w:id="365"/>
      <w:bookmarkEnd w:id="366"/>
      <w:bookmarkEnd w:id="367"/>
      <w:bookmarkEnd w:id="368"/>
    </w:p>
    <w:p w14:paraId="22029155">
      <w:pPr>
        <w:spacing w:line="360" w:lineRule="auto"/>
        <w:ind w:firstLine="422"/>
        <w:outlineLvl w:val="9"/>
        <w:rPr>
          <w:rFonts w:hint="eastAsia" w:ascii="宋体" w:hAnsi="宋体" w:eastAsia="宋体" w:cs="宋体"/>
          <w:b/>
          <w:color w:val="auto"/>
          <w:kern w:val="0"/>
          <w:szCs w:val="21"/>
          <w:highlight w:val="none"/>
        </w:rPr>
      </w:pPr>
    </w:p>
    <w:p w14:paraId="33B28004">
      <w:pPr>
        <w:spacing w:line="360" w:lineRule="auto"/>
        <w:ind w:firstLine="422"/>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一、项目基本情况</w:t>
      </w:r>
    </w:p>
    <w:p w14:paraId="4ED4F792">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东莞市水务集团管网有限公司（以下简称“招标人”）拟采用公开招标形式采购一家服务单位，负责对管网公司及其下属子公司餐厨及清洁提供服务。</w:t>
      </w:r>
    </w:p>
    <w:p w14:paraId="31AB2DF9">
      <w:pPr>
        <w:spacing w:line="360" w:lineRule="auto"/>
        <w:ind w:firstLine="422"/>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二、采购服务要求</w:t>
      </w:r>
    </w:p>
    <w:p w14:paraId="7CCA2B17">
      <w:pPr>
        <w:autoSpaceDE w:val="0"/>
        <w:autoSpaceDN w:val="0"/>
        <w:adjustRightInd w:val="0"/>
        <w:snapToGri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（一）劳务服务人员及费用要求</w:t>
      </w:r>
    </w:p>
    <w:p w14:paraId="5E957A45">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1.采购内容：东莞市水务集团管网有限公司202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年餐厨及清洁服务</w:t>
      </w:r>
    </w:p>
    <w:p w14:paraId="2EE7BA01">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人员需求：厨师9人、厨工17人、清洁工22人、服务员（兼前台）1人，合计49人。此人员需求数量为暂定数量，实际按招标人需求、实际劳务服务人员到位情况结算。本用户需求书所称“劳务服务人员”，是指中标人为完成本项目服务（餐厨及清洁）工作所派出的符合本项目资格条件的、在招标人处提供本用户需求书约定的服务的工作人员。所有劳务服务人员在劳动人事、工资福利、社会保险等各方面均隶属于中标人，由中标人与之订立劳动合同，与</w:t>
      </w:r>
      <w:r>
        <w:rPr>
          <w:rFonts w:hint="eastAsia" w:ascii="宋体" w:hAnsi="宋体" w:eastAsia="宋体" w:cs="宋体"/>
          <w:color w:val="auto"/>
          <w:kern w:val="0"/>
          <w:szCs w:val="21"/>
          <w:highlight w:val="none"/>
          <w:lang w:val="en-US" w:eastAsia="zh-CN"/>
        </w:rPr>
        <w:t>招标人</w:t>
      </w:r>
      <w:r>
        <w:rPr>
          <w:rFonts w:hint="eastAsia" w:ascii="宋体" w:hAnsi="宋体" w:eastAsia="宋体" w:cs="宋体"/>
          <w:color w:val="auto"/>
          <w:kern w:val="0"/>
          <w:szCs w:val="21"/>
          <w:highlight w:val="none"/>
        </w:rPr>
        <w:t>不存在任何法律关系。</w:t>
      </w:r>
    </w:p>
    <w:p w14:paraId="528844AC">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具体暂定劳务服务人员配备详见表一：</w:t>
      </w:r>
    </w:p>
    <w:p w14:paraId="5239F635">
      <w:pPr>
        <w:snapToGrid w:val="0"/>
        <w:spacing w:line="360" w:lineRule="auto"/>
        <w:ind w:firstLine="482" w:firstLineChars="20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表一：暂定</w:t>
      </w:r>
      <w:r>
        <w:rPr>
          <w:rFonts w:hint="eastAsia" w:ascii="宋体" w:hAnsi="宋体" w:eastAsia="宋体" w:cs="宋体"/>
          <w:b/>
          <w:bCs/>
          <w:color w:val="auto"/>
          <w:kern w:val="0"/>
          <w:sz w:val="24"/>
          <w:szCs w:val="24"/>
          <w:highlight w:val="none"/>
          <w:lang w:val="en-US" w:eastAsia="zh-CN"/>
        </w:rPr>
        <w:t>餐厨、清洁工及</w:t>
      </w:r>
      <w:r>
        <w:rPr>
          <w:rFonts w:hint="eastAsia" w:ascii="宋体" w:hAnsi="宋体" w:eastAsia="宋体" w:cs="宋体"/>
          <w:b/>
          <w:bCs/>
          <w:color w:val="auto"/>
          <w:kern w:val="0"/>
          <w:sz w:val="24"/>
          <w:szCs w:val="24"/>
          <w:highlight w:val="none"/>
        </w:rPr>
        <w:t>服务</w:t>
      </w:r>
      <w:r>
        <w:rPr>
          <w:rFonts w:hint="eastAsia" w:ascii="宋体" w:hAnsi="宋体" w:eastAsia="宋体" w:cs="宋体"/>
          <w:b/>
          <w:bCs/>
          <w:color w:val="auto"/>
          <w:kern w:val="0"/>
          <w:sz w:val="24"/>
          <w:szCs w:val="24"/>
          <w:highlight w:val="none"/>
          <w:lang w:val="en-US" w:eastAsia="zh-CN"/>
        </w:rPr>
        <w:t>员（兼前台）</w:t>
      </w:r>
      <w:r>
        <w:rPr>
          <w:rFonts w:hint="eastAsia" w:ascii="宋体" w:hAnsi="宋体" w:eastAsia="宋体" w:cs="宋体"/>
          <w:b/>
          <w:bCs/>
          <w:color w:val="auto"/>
          <w:kern w:val="0"/>
          <w:sz w:val="24"/>
          <w:szCs w:val="24"/>
          <w:highlight w:val="none"/>
        </w:rPr>
        <w:t>配置表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83"/>
        <w:gridCol w:w="1134"/>
        <w:gridCol w:w="1055"/>
        <w:gridCol w:w="1055"/>
        <w:gridCol w:w="1074"/>
        <w:gridCol w:w="1104"/>
        <w:gridCol w:w="3142"/>
      </w:tblGrid>
      <w:tr w14:paraId="79EE2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264" w:type="pct"/>
            <w:shd w:val="clear" w:color="auto" w:fill="auto"/>
            <w:vAlign w:val="center"/>
          </w:tcPr>
          <w:p w14:paraId="552191A2">
            <w:pPr>
              <w:widowControl/>
              <w:spacing w:line="240" w:lineRule="auto"/>
              <w:jc w:val="center"/>
              <w:textAlignment w:val="center"/>
              <w:outlineLvl w:val="9"/>
              <w:rPr>
                <w:rFonts w:hint="eastAsia" w:ascii="宋体" w:hAnsi="宋体" w:eastAsia="宋体" w:cs="宋体"/>
                <w:color w:val="auto"/>
                <w:kern w:val="0"/>
                <w:sz w:val="21"/>
                <w:szCs w:val="21"/>
                <w:highlight w:val="none"/>
              </w:rPr>
            </w:pPr>
            <w:bookmarkStart w:id="369" w:name="_Hlk157700944"/>
            <w:r>
              <w:rPr>
                <w:rFonts w:hint="eastAsia" w:ascii="宋体" w:hAnsi="宋体" w:eastAsia="宋体" w:cs="宋体"/>
                <w:color w:val="auto"/>
                <w:sz w:val="21"/>
                <w:szCs w:val="21"/>
                <w:highlight w:val="none"/>
                <w:lang w:bidi="ar"/>
              </w:rPr>
              <w:t>序号</w:t>
            </w:r>
          </w:p>
        </w:tc>
        <w:tc>
          <w:tcPr>
            <w:tcW w:w="442" w:type="pct"/>
            <w:shd w:val="clear" w:color="auto" w:fill="auto"/>
            <w:vAlign w:val="center"/>
          </w:tcPr>
          <w:p w14:paraId="39800B24">
            <w:pPr>
              <w:widowControl/>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需求公司</w:t>
            </w:r>
          </w:p>
        </w:tc>
        <w:tc>
          <w:tcPr>
            <w:tcW w:w="568" w:type="pct"/>
            <w:shd w:val="clear" w:color="auto" w:fill="auto"/>
            <w:vAlign w:val="center"/>
          </w:tcPr>
          <w:p w14:paraId="6731B681">
            <w:pPr>
              <w:widowControl/>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服务地址</w:t>
            </w:r>
          </w:p>
        </w:tc>
        <w:tc>
          <w:tcPr>
            <w:tcW w:w="528" w:type="pct"/>
            <w:shd w:val="clear" w:color="auto" w:fill="auto"/>
            <w:vAlign w:val="center"/>
          </w:tcPr>
          <w:p w14:paraId="6C6D976D">
            <w:pPr>
              <w:widowControl/>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厨师（人）</w:t>
            </w:r>
          </w:p>
        </w:tc>
        <w:tc>
          <w:tcPr>
            <w:tcW w:w="528" w:type="pct"/>
            <w:shd w:val="clear" w:color="auto" w:fill="auto"/>
            <w:vAlign w:val="center"/>
          </w:tcPr>
          <w:p w14:paraId="7AB806F9">
            <w:pPr>
              <w:widowControl/>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厨工（人）</w:t>
            </w:r>
          </w:p>
        </w:tc>
        <w:tc>
          <w:tcPr>
            <w:tcW w:w="538" w:type="pct"/>
            <w:shd w:val="clear" w:color="auto" w:fill="auto"/>
            <w:vAlign w:val="center"/>
          </w:tcPr>
          <w:p w14:paraId="0759CBB1">
            <w:pP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清洁工（人）</w:t>
            </w:r>
          </w:p>
          <w:p w14:paraId="330B7E27">
            <w:pPr>
              <w:widowControl/>
              <w:spacing w:line="240" w:lineRule="auto"/>
              <w:jc w:val="center"/>
              <w:textAlignment w:val="center"/>
              <w:outlineLvl w:val="9"/>
              <w:rPr>
                <w:rFonts w:hint="eastAsia" w:ascii="宋体" w:hAnsi="宋体" w:eastAsia="宋体" w:cs="宋体"/>
                <w:color w:val="auto"/>
                <w:kern w:val="0"/>
                <w:sz w:val="21"/>
                <w:szCs w:val="21"/>
                <w:highlight w:val="none"/>
              </w:rPr>
            </w:pPr>
          </w:p>
        </w:tc>
        <w:tc>
          <w:tcPr>
            <w:tcW w:w="553" w:type="pct"/>
            <w:shd w:val="clear" w:color="auto" w:fill="auto"/>
            <w:vAlign w:val="center"/>
          </w:tcPr>
          <w:p w14:paraId="7CACDEBA">
            <w:pPr>
              <w:widowControl/>
              <w:spacing w:line="240" w:lineRule="auto"/>
              <w:jc w:val="center"/>
              <w:textAlignment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服务员</w:t>
            </w:r>
          </w:p>
          <w:p w14:paraId="7BC8AA4E">
            <w:pPr>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bidi="ar"/>
              </w:rPr>
              <w:t>（兼前台）（人）</w:t>
            </w:r>
          </w:p>
          <w:p w14:paraId="324848A1">
            <w:pPr>
              <w:widowControl/>
              <w:spacing w:line="240" w:lineRule="auto"/>
              <w:jc w:val="center"/>
              <w:textAlignment w:val="center"/>
              <w:outlineLvl w:val="9"/>
              <w:rPr>
                <w:rFonts w:hint="eastAsia" w:ascii="宋体" w:hAnsi="宋体" w:eastAsia="宋体" w:cs="宋体"/>
                <w:color w:val="auto"/>
                <w:kern w:val="0"/>
                <w:sz w:val="21"/>
                <w:szCs w:val="21"/>
                <w:highlight w:val="none"/>
              </w:rPr>
            </w:pPr>
          </w:p>
        </w:tc>
        <w:tc>
          <w:tcPr>
            <w:tcW w:w="1573" w:type="pct"/>
            <w:shd w:val="clear" w:color="auto" w:fill="auto"/>
            <w:vAlign w:val="center"/>
          </w:tcPr>
          <w:p w14:paraId="13D885C8">
            <w:pPr>
              <w:widowControl/>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备注</w:t>
            </w:r>
          </w:p>
        </w:tc>
      </w:tr>
      <w:tr w14:paraId="02F2B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64" w:type="pct"/>
            <w:shd w:val="clear" w:color="auto" w:fill="auto"/>
            <w:vAlign w:val="center"/>
          </w:tcPr>
          <w:p w14:paraId="3504E9BA">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w:t>
            </w:r>
          </w:p>
        </w:tc>
        <w:tc>
          <w:tcPr>
            <w:tcW w:w="442" w:type="pct"/>
            <w:shd w:val="clear" w:color="auto" w:fill="auto"/>
            <w:vAlign w:val="center"/>
          </w:tcPr>
          <w:p w14:paraId="35ED9554">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管网公司</w:t>
            </w:r>
          </w:p>
        </w:tc>
        <w:tc>
          <w:tcPr>
            <w:tcW w:w="568" w:type="pct"/>
            <w:shd w:val="clear" w:color="auto" w:fill="auto"/>
            <w:vAlign w:val="center"/>
          </w:tcPr>
          <w:p w14:paraId="794EC481">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东莞市东城街道东城运河路5号</w:t>
            </w:r>
          </w:p>
        </w:tc>
        <w:tc>
          <w:tcPr>
            <w:tcW w:w="528" w:type="pct"/>
            <w:shd w:val="clear" w:color="auto" w:fill="auto"/>
            <w:vAlign w:val="center"/>
          </w:tcPr>
          <w:p w14:paraId="0324B687">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w:t>
            </w:r>
          </w:p>
        </w:tc>
        <w:tc>
          <w:tcPr>
            <w:tcW w:w="528" w:type="pct"/>
            <w:shd w:val="clear" w:color="auto" w:fill="auto"/>
            <w:vAlign w:val="center"/>
          </w:tcPr>
          <w:p w14:paraId="263B032C">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w:t>
            </w:r>
          </w:p>
        </w:tc>
        <w:tc>
          <w:tcPr>
            <w:tcW w:w="538" w:type="pct"/>
            <w:shd w:val="clear" w:color="auto" w:fill="auto"/>
            <w:vAlign w:val="center"/>
          </w:tcPr>
          <w:p w14:paraId="27A258E4">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w:t>
            </w:r>
          </w:p>
        </w:tc>
        <w:tc>
          <w:tcPr>
            <w:tcW w:w="553" w:type="pct"/>
            <w:shd w:val="clear" w:color="auto" w:fill="auto"/>
            <w:vAlign w:val="center"/>
          </w:tcPr>
          <w:p w14:paraId="37C4E7C3">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w:t>
            </w:r>
          </w:p>
        </w:tc>
        <w:tc>
          <w:tcPr>
            <w:tcW w:w="1573" w:type="pct"/>
            <w:shd w:val="clear" w:color="auto" w:fill="auto"/>
            <w:vAlign w:val="center"/>
          </w:tcPr>
          <w:p w14:paraId="6DA7458A">
            <w:pPr>
              <w:widowControl/>
              <w:autoSpaceDE w:val="0"/>
              <w:autoSpaceDN w:val="0"/>
              <w:adjustRightInd w:val="0"/>
              <w:spacing w:line="240" w:lineRule="auto"/>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公司本部办公楼面积为3240平分米，共3层，</w:t>
            </w:r>
            <w:r>
              <w:rPr>
                <w:rFonts w:hint="eastAsia" w:ascii="宋体" w:hAnsi="宋体" w:eastAsia="宋体" w:cs="宋体"/>
                <w:color w:val="auto"/>
                <w:kern w:val="0"/>
                <w:sz w:val="21"/>
                <w:szCs w:val="21"/>
                <w:highlight w:val="none"/>
                <w:lang w:bidi="ar"/>
              </w:rPr>
              <w:t>每层配置</w:t>
            </w:r>
            <w:r>
              <w:rPr>
                <w:rFonts w:hint="eastAsia" w:ascii="宋体" w:hAnsi="宋体" w:eastAsia="宋体" w:cs="宋体"/>
                <w:color w:val="auto"/>
                <w:kern w:val="0"/>
                <w:sz w:val="21"/>
                <w:szCs w:val="21"/>
                <w:highlight w:val="none"/>
                <w:lang w:val="en-US" w:eastAsia="zh-CN" w:bidi="ar"/>
              </w:rPr>
              <w:t>清洁工</w:t>
            </w:r>
            <w:r>
              <w:rPr>
                <w:rFonts w:hint="eastAsia" w:ascii="宋体" w:hAnsi="宋体" w:eastAsia="宋体" w:cs="宋体"/>
                <w:color w:val="auto"/>
                <w:kern w:val="0"/>
                <w:sz w:val="21"/>
                <w:szCs w:val="21"/>
                <w:highlight w:val="none"/>
                <w:lang w:bidi="ar"/>
              </w:rPr>
              <w:t>1人。周边环境卫生配置1人</w:t>
            </w:r>
            <w:r>
              <w:rPr>
                <w:rFonts w:hint="eastAsia" w:ascii="宋体" w:hAnsi="宋体" w:eastAsia="宋体" w:cs="宋体"/>
                <w:b w:val="0"/>
                <w:bCs w:val="0"/>
                <w:i w:val="0"/>
                <w:iCs w:val="0"/>
                <w:color w:val="auto"/>
                <w:kern w:val="0"/>
                <w:sz w:val="21"/>
                <w:szCs w:val="21"/>
                <w:highlight w:val="none"/>
                <w:u w:val="none"/>
                <w:lang w:val="en-US" w:eastAsia="zh-CN" w:bidi="ar"/>
              </w:rPr>
              <w:t>（面积约500平方米）</w:t>
            </w:r>
            <w:r>
              <w:rPr>
                <w:rFonts w:hint="eastAsia" w:ascii="宋体" w:hAnsi="宋体" w:eastAsia="宋体" w:cs="宋体"/>
                <w:color w:val="auto"/>
                <w:kern w:val="0"/>
                <w:sz w:val="21"/>
                <w:szCs w:val="21"/>
                <w:highlight w:val="none"/>
                <w:lang w:bidi="ar"/>
              </w:rPr>
              <w:t>，节假日每天最少1人值班，合计</w:t>
            </w:r>
            <w:r>
              <w:rPr>
                <w:rFonts w:hint="eastAsia" w:ascii="宋体" w:hAnsi="宋体" w:eastAsia="宋体" w:cs="宋体"/>
                <w:color w:val="auto"/>
                <w:kern w:val="0"/>
                <w:sz w:val="21"/>
                <w:szCs w:val="21"/>
                <w:highlight w:val="none"/>
                <w:lang w:val="en-US" w:eastAsia="zh-CN" w:bidi="ar"/>
              </w:rPr>
              <w:t>清洁工</w:t>
            </w:r>
            <w:r>
              <w:rPr>
                <w:rFonts w:hint="eastAsia" w:ascii="宋体" w:hAnsi="宋体" w:eastAsia="宋体" w:cs="宋体"/>
                <w:color w:val="auto"/>
                <w:kern w:val="0"/>
                <w:sz w:val="21"/>
                <w:szCs w:val="21"/>
                <w:highlight w:val="none"/>
                <w:lang w:bidi="ar"/>
              </w:rPr>
              <w:t>4人。</w:t>
            </w:r>
          </w:p>
        </w:tc>
      </w:tr>
      <w:tr w14:paraId="3680C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64" w:type="pct"/>
            <w:shd w:val="clear" w:color="auto" w:fill="auto"/>
            <w:vAlign w:val="center"/>
          </w:tcPr>
          <w:p w14:paraId="4222C74F">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442" w:type="pct"/>
            <w:shd w:val="clear" w:color="auto" w:fill="auto"/>
            <w:vAlign w:val="center"/>
          </w:tcPr>
          <w:p w14:paraId="1A0CC58C">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莞泽公司</w:t>
            </w:r>
          </w:p>
        </w:tc>
        <w:tc>
          <w:tcPr>
            <w:tcW w:w="568" w:type="pct"/>
            <w:shd w:val="clear" w:color="auto" w:fill="auto"/>
            <w:vAlign w:val="center"/>
          </w:tcPr>
          <w:p w14:paraId="16629C81">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东莞市东城街道东城运河路5号</w:t>
            </w:r>
          </w:p>
        </w:tc>
        <w:tc>
          <w:tcPr>
            <w:tcW w:w="528" w:type="pct"/>
            <w:shd w:val="clear" w:color="auto" w:fill="auto"/>
            <w:vAlign w:val="center"/>
          </w:tcPr>
          <w:p w14:paraId="555A5F26">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w:t>
            </w:r>
          </w:p>
        </w:tc>
        <w:tc>
          <w:tcPr>
            <w:tcW w:w="528" w:type="pct"/>
            <w:shd w:val="clear" w:color="auto" w:fill="auto"/>
            <w:vAlign w:val="center"/>
          </w:tcPr>
          <w:p w14:paraId="44AD9262">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w:t>
            </w:r>
          </w:p>
        </w:tc>
        <w:tc>
          <w:tcPr>
            <w:tcW w:w="538" w:type="pct"/>
            <w:shd w:val="clear" w:color="auto" w:fill="auto"/>
            <w:vAlign w:val="center"/>
          </w:tcPr>
          <w:p w14:paraId="5966F08E">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0</w:t>
            </w:r>
          </w:p>
        </w:tc>
        <w:tc>
          <w:tcPr>
            <w:tcW w:w="553" w:type="pct"/>
            <w:shd w:val="clear" w:color="auto" w:fill="auto"/>
            <w:vAlign w:val="center"/>
          </w:tcPr>
          <w:p w14:paraId="473DBC33">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573" w:type="pct"/>
            <w:shd w:val="clear" w:color="auto" w:fill="auto"/>
            <w:vAlign w:val="center"/>
          </w:tcPr>
          <w:p w14:paraId="43D7D06F">
            <w:pPr>
              <w:widowControl/>
              <w:autoSpaceDE w:val="0"/>
              <w:autoSpaceDN w:val="0"/>
              <w:adjustRightInd w:val="0"/>
              <w:spacing w:line="240" w:lineRule="auto"/>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公司食堂365天正常供应，就餐人数约230人，需配置厨师3人、厨工5人，厨师、厨工节假日需上班（节假日出勤人数不少于4人，根据招标人实际情况而定）。</w:t>
            </w:r>
          </w:p>
        </w:tc>
      </w:tr>
      <w:tr w14:paraId="3628B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264" w:type="pct"/>
            <w:shd w:val="clear" w:color="auto" w:fill="auto"/>
            <w:vAlign w:val="center"/>
          </w:tcPr>
          <w:p w14:paraId="7DF4CB81">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w:t>
            </w:r>
          </w:p>
        </w:tc>
        <w:tc>
          <w:tcPr>
            <w:tcW w:w="442" w:type="pct"/>
            <w:shd w:val="clear" w:color="auto" w:fill="auto"/>
            <w:vAlign w:val="center"/>
          </w:tcPr>
          <w:p w14:paraId="4223F3EE">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东信公司</w:t>
            </w:r>
          </w:p>
        </w:tc>
        <w:tc>
          <w:tcPr>
            <w:tcW w:w="568" w:type="pct"/>
            <w:shd w:val="clear" w:color="auto" w:fill="auto"/>
            <w:vAlign w:val="center"/>
          </w:tcPr>
          <w:p w14:paraId="39B7B3CC">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东莞市东城街道榴花西街232号D座</w:t>
            </w:r>
          </w:p>
        </w:tc>
        <w:tc>
          <w:tcPr>
            <w:tcW w:w="528" w:type="pct"/>
            <w:shd w:val="clear" w:color="auto" w:fill="auto"/>
            <w:vAlign w:val="center"/>
          </w:tcPr>
          <w:p w14:paraId="0406A114">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6C2A94F4">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79BAA61E">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53" w:type="pct"/>
            <w:shd w:val="clear" w:color="auto" w:fill="auto"/>
            <w:vAlign w:val="center"/>
          </w:tcPr>
          <w:p w14:paraId="0906AFE4">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13423DC1">
            <w:pPr>
              <w:keepNext w:val="0"/>
              <w:keepLines w:val="0"/>
              <w:widowControl/>
              <w:suppressLineNumbers w:val="0"/>
              <w:spacing w:line="240" w:lineRule="auto"/>
              <w:jc w:val="both"/>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55人，配置厨师1人、厨工2人；配置清洁工4人，其中1人负责分公司本部除饭堂以外区域的清洁工作（面积约为2280平方米）、万江驻点安排清洁工1人（面积约为1410平方米）、南城福地驻点安排清洁工1人（面积约为2040平方米），2025年预计新增石龙石碣驻点1人（面积约为500平方米）。</w:t>
            </w:r>
          </w:p>
        </w:tc>
      </w:tr>
      <w:tr w14:paraId="714B2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264" w:type="pct"/>
            <w:shd w:val="clear" w:color="auto" w:fill="auto"/>
            <w:vAlign w:val="center"/>
          </w:tcPr>
          <w:p w14:paraId="245C4854">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w:t>
            </w:r>
          </w:p>
        </w:tc>
        <w:tc>
          <w:tcPr>
            <w:tcW w:w="442" w:type="pct"/>
            <w:shd w:val="clear" w:color="auto" w:fill="auto"/>
            <w:vAlign w:val="center"/>
          </w:tcPr>
          <w:p w14:paraId="54BCF229">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东信公司</w:t>
            </w:r>
          </w:p>
        </w:tc>
        <w:tc>
          <w:tcPr>
            <w:tcW w:w="568" w:type="pct"/>
            <w:shd w:val="clear" w:color="auto" w:fill="auto"/>
            <w:vAlign w:val="center"/>
          </w:tcPr>
          <w:p w14:paraId="2D820210">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东莞市寮步镇向西旭升路5号1栋</w:t>
            </w:r>
          </w:p>
        </w:tc>
        <w:tc>
          <w:tcPr>
            <w:tcW w:w="528" w:type="pct"/>
            <w:shd w:val="clear" w:color="auto" w:fill="auto"/>
            <w:vAlign w:val="center"/>
          </w:tcPr>
          <w:p w14:paraId="119E0804">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6CEB3A74">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180F99CD">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53" w:type="pct"/>
            <w:shd w:val="clear" w:color="auto" w:fill="auto"/>
            <w:vAlign w:val="center"/>
          </w:tcPr>
          <w:p w14:paraId="0093819D">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0679909E">
            <w:pPr>
              <w:keepNext w:val="0"/>
              <w:keepLines w:val="0"/>
              <w:widowControl/>
              <w:suppressLineNumbers w:val="0"/>
              <w:spacing w:line="240" w:lineRule="auto"/>
              <w:jc w:val="both"/>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50人，配置厨师1人、厨工2人；配置清洁工6人，其中2人负责分公司本部除饭堂以外区域的清洁工作（面积约为3000平方米），大朗松山湖联合驻点安排清洁工1人（面积约为1500平方米），大岭山驻点安排清洁工1人（面积约为400平方米），拟新增茶山石排联合运维驻点1人（面积约为1100平方米），新增寮步驻点1人（面积约为900平方米）。</w:t>
            </w:r>
          </w:p>
        </w:tc>
      </w:tr>
      <w:tr w14:paraId="707E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264" w:type="pct"/>
            <w:shd w:val="clear" w:color="auto" w:fill="auto"/>
            <w:vAlign w:val="center"/>
          </w:tcPr>
          <w:p w14:paraId="340B464C">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w:t>
            </w:r>
          </w:p>
        </w:tc>
        <w:tc>
          <w:tcPr>
            <w:tcW w:w="442" w:type="pct"/>
            <w:shd w:val="clear" w:color="auto" w:fill="auto"/>
            <w:vAlign w:val="center"/>
          </w:tcPr>
          <w:p w14:paraId="31608A31">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东泽公司</w:t>
            </w:r>
          </w:p>
        </w:tc>
        <w:tc>
          <w:tcPr>
            <w:tcW w:w="568" w:type="pct"/>
            <w:shd w:val="clear" w:color="auto" w:fill="auto"/>
            <w:vAlign w:val="center"/>
          </w:tcPr>
          <w:p w14:paraId="127400A7">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东莞市虎门镇东引路10号</w:t>
            </w:r>
          </w:p>
        </w:tc>
        <w:tc>
          <w:tcPr>
            <w:tcW w:w="528" w:type="pct"/>
            <w:shd w:val="clear" w:color="auto" w:fill="auto"/>
            <w:vAlign w:val="center"/>
          </w:tcPr>
          <w:p w14:paraId="2717CF5F">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7FAE5945">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01A9415A">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53" w:type="pct"/>
            <w:shd w:val="clear" w:color="auto" w:fill="auto"/>
            <w:vAlign w:val="center"/>
          </w:tcPr>
          <w:p w14:paraId="5E0D8C85">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206E15F4">
            <w:pPr>
              <w:keepNext w:val="0"/>
              <w:keepLines w:val="0"/>
              <w:widowControl/>
              <w:suppressLineNumbers w:val="0"/>
              <w:spacing w:line="240" w:lineRule="auto"/>
              <w:jc w:val="both"/>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55人，配置厨师1人、厨工2人；配置清洁工4人，其中2人负责分公司本部东引办公楼-1至4楼卫生(面积约3200平方米)，1人负责附属办公楼卫生（面积约2000平方米），1人负责停车场、篮球场、大院及后山卫生（面积约5000平方米）。</w:t>
            </w:r>
          </w:p>
        </w:tc>
      </w:tr>
      <w:tr w14:paraId="7270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4" w:type="pct"/>
            <w:shd w:val="clear" w:color="auto" w:fill="auto"/>
            <w:vAlign w:val="center"/>
          </w:tcPr>
          <w:p w14:paraId="628C2ACB">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w:t>
            </w:r>
          </w:p>
        </w:tc>
        <w:tc>
          <w:tcPr>
            <w:tcW w:w="442" w:type="pct"/>
            <w:shd w:val="clear" w:color="auto" w:fill="auto"/>
            <w:vAlign w:val="center"/>
          </w:tcPr>
          <w:p w14:paraId="1D13C756">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东泽公司</w:t>
            </w:r>
          </w:p>
        </w:tc>
        <w:tc>
          <w:tcPr>
            <w:tcW w:w="568" w:type="pct"/>
            <w:shd w:val="clear" w:color="auto" w:fill="auto"/>
            <w:vAlign w:val="center"/>
          </w:tcPr>
          <w:p w14:paraId="393E9FF3">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东莞市道滘镇万道路2号华科城创新产业孵化园3栋</w:t>
            </w:r>
          </w:p>
        </w:tc>
        <w:tc>
          <w:tcPr>
            <w:tcW w:w="528" w:type="pct"/>
            <w:shd w:val="clear" w:color="auto" w:fill="auto"/>
            <w:vAlign w:val="center"/>
          </w:tcPr>
          <w:p w14:paraId="4A532504">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5CCEA676">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30AE9579">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53" w:type="pct"/>
            <w:shd w:val="clear" w:color="auto" w:fill="auto"/>
            <w:vAlign w:val="center"/>
          </w:tcPr>
          <w:p w14:paraId="32832336">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63086DF1">
            <w:pPr>
              <w:keepNext w:val="0"/>
              <w:keepLines w:val="0"/>
              <w:widowControl/>
              <w:suppressLineNumbers w:val="0"/>
              <w:spacing w:line="240" w:lineRule="auto"/>
              <w:jc w:val="both"/>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55人，配置厨师1人，厨工2人；配置清洁工2人，负责分公司除饭堂以外区域的清洁工作，面积约为2900平方米。经评估，第四分公司驻点清洁面积较小，无需增加清洁工服务于驻点。</w:t>
            </w:r>
          </w:p>
        </w:tc>
      </w:tr>
      <w:tr w14:paraId="0953D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atLeast"/>
          <w:jc w:val="center"/>
        </w:trPr>
        <w:tc>
          <w:tcPr>
            <w:tcW w:w="264" w:type="pct"/>
            <w:shd w:val="clear" w:color="auto" w:fill="auto"/>
            <w:vAlign w:val="center"/>
          </w:tcPr>
          <w:p w14:paraId="0FB8B4E7">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w:t>
            </w:r>
          </w:p>
        </w:tc>
        <w:tc>
          <w:tcPr>
            <w:tcW w:w="442" w:type="pct"/>
            <w:shd w:val="clear" w:color="auto" w:fill="auto"/>
            <w:vAlign w:val="center"/>
          </w:tcPr>
          <w:p w14:paraId="7DAF54AE">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清泽公司</w:t>
            </w:r>
          </w:p>
        </w:tc>
        <w:tc>
          <w:tcPr>
            <w:tcW w:w="568" w:type="pct"/>
            <w:shd w:val="clear" w:color="auto" w:fill="auto"/>
            <w:vAlign w:val="center"/>
          </w:tcPr>
          <w:p w14:paraId="26AFEB29">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东莞市横沥镇中山东路82号骏业大厦</w:t>
            </w:r>
          </w:p>
        </w:tc>
        <w:tc>
          <w:tcPr>
            <w:tcW w:w="528" w:type="pct"/>
            <w:shd w:val="clear" w:color="auto" w:fill="auto"/>
            <w:vAlign w:val="center"/>
          </w:tcPr>
          <w:p w14:paraId="34DF155B">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6B94CA27">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499021FF">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53" w:type="pct"/>
            <w:shd w:val="clear" w:color="auto" w:fill="auto"/>
            <w:vAlign w:val="center"/>
          </w:tcPr>
          <w:p w14:paraId="5650C25D">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2C50B854">
            <w:pPr>
              <w:keepNext w:val="0"/>
              <w:keepLines w:val="0"/>
              <w:widowControl/>
              <w:suppressLineNumbers w:val="0"/>
              <w:spacing w:line="240" w:lineRule="auto"/>
              <w:jc w:val="both"/>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40人，配置厨师1人、厨工2人；配置清洁工1人，负责分公司除饭堂以外区域的清洁工作（四楼至五楼公共卫生区域约2000平方米）。经评估，第五分公司驻点清洁面积较小，无需增加清洁工服务于驻点。</w:t>
            </w:r>
          </w:p>
        </w:tc>
      </w:tr>
      <w:tr w14:paraId="539A1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jc w:val="center"/>
        </w:trPr>
        <w:tc>
          <w:tcPr>
            <w:tcW w:w="264" w:type="pct"/>
            <w:shd w:val="clear" w:color="auto" w:fill="auto"/>
            <w:vAlign w:val="center"/>
          </w:tcPr>
          <w:p w14:paraId="11437494">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w:t>
            </w:r>
          </w:p>
        </w:tc>
        <w:tc>
          <w:tcPr>
            <w:tcW w:w="442" w:type="pct"/>
            <w:shd w:val="clear" w:color="auto" w:fill="auto"/>
            <w:vAlign w:val="center"/>
          </w:tcPr>
          <w:p w14:paraId="6D429E79">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清泽公司</w:t>
            </w:r>
          </w:p>
        </w:tc>
        <w:tc>
          <w:tcPr>
            <w:tcW w:w="568" w:type="pct"/>
            <w:shd w:val="clear" w:color="auto" w:fill="auto"/>
            <w:vAlign w:val="center"/>
          </w:tcPr>
          <w:p w14:paraId="3A62C476">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塘厦镇蛟坪大道83A号星河科技园二楼</w:t>
            </w:r>
          </w:p>
        </w:tc>
        <w:tc>
          <w:tcPr>
            <w:tcW w:w="528" w:type="pct"/>
            <w:shd w:val="clear" w:color="auto" w:fill="auto"/>
            <w:vAlign w:val="center"/>
          </w:tcPr>
          <w:p w14:paraId="62006454">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254F53BC">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61FE70F5">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53" w:type="pct"/>
            <w:shd w:val="clear" w:color="auto" w:fill="auto"/>
            <w:vAlign w:val="center"/>
          </w:tcPr>
          <w:p w14:paraId="000353E7">
            <w:pPr>
              <w:keepNext w:val="0"/>
              <w:keepLines w:val="0"/>
              <w:widowControl/>
              <w:suppressLineNumbers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53B6382A">
            <w:pPr>
              <w:keepNext w:val="0"/>
              <w:keepLines w:val="0"/>
              <w:widowControl/>
              <w:suppressLineNumbers w:val="0"/>
              <w:spacing w:line="240" w:lineRule="auto"/>
              <w:jc w:val="both"/>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42人，配置厨师1人、厨工2人；配置清洁工1人，负责分公司除饭堂以外区域的清洁工作(二楼办公区域公共卫生面积约1290平方米）。经评估，第六分公司驻点清洁面积较小，无需增加清洁工服务于驻点。</w:t>
            </w:r>
          </w:p>
        </w:tc>
      </w:tr>
      <w:tr w14:paraId="15F0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264" w:type="pct"/>
            <w:shd w:val="clear" w:color="auto" w:fill="auto"/>
            <w:vAlign w:val="center"/>
          </w:tcPr>
          <w:p w14:paraId="73EE306E">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合计</w:t>
            </w:r>
          </w:p>
        </w:tc>
        <w:tc>
          <w:tcPr>
            <w:tcW w:w="442" w:type="pct"/>
            <w:shd w:val="clear" w:color="auto" w:fill="auto"/>
            <w:vAlign w:val="center"/>
          </w:tcPr>
          <w:p w14:paraId="56BB07B5">
            <w:pPr>
              <w:autoSpaceDE w:val="0"/>
              <w:autoSpaceDN w:val="0"/>
              <w:adjustRightInd w:val="0"/>
              <w:spacing w:line="240" w:lineRule="auto"/>
              <w:jc w:val="center"/>
              <w:outlineLvl w:val="9"/>
              <w:rPr>
                <w:rFonts w:hint="eastAsia" w:ascii="宋体" w:hAnsi="宋体" w:eastAsia="宋体" w:cs="宋体"/>
                <w:color w:val="auto"/>
                <w:kern w:val="0"/>
                <w:sz w:val="21"/>
                <w:szCs w:val="21"/>
                <w:highlight w:val="none"/>
              </w:rPr>
            </w:pPr>
          </w:p>
        </w:tc>
        <w:tc>
          <w:tcPr>
            <w:tcW w:w="568" w:type="pct"/>
            <w:shd w:val="clear" w:color="auto" w:fill="auto"/>
            <w:vAlign w:val="center"/>
          </w:tcPr>
          <w:p w14:paraId="6FBE736A">
            <w:pPr>
              <w:widowControl/>
              <w:autoSpaceDE w:val="0"/>
              <w:autoSpaceDN w:val="0"/>
              <w:adjustRightInd w:val="0"/>
              <w:spacing w:line="240" w:lineRule="auto"/>
              <w:jc w:val="center"/>
              <w:textAlignment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服务地址如因办公场所调整有变动，以招标人实际为准。</w:t>
            </w:r>
          </w:p>
        </w:tc>
        <w:tc>
          <w:tcPr>
            <w:tcW w:w="528" w:type="pct"/>
            <w:shd w:val="clear" w:color="auto" w:fill="auto"/>
            <w:vAlign w:val="center"/>
          </w:tcPr>
          <w:p w14:paraId="48674673">
            <w:pPr>
              <w:widowControl/>
              <w:autoSpaceDE w:val="0"/>
              <w:autoSpaceDN w:val="0"/>
              <w:adjustRightInd w:val="0"/>
              <w:spacing w:line="240" w:lineRule="auto"/>
              <w:jc w:val="center"/>
              <w:textAlignment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9</w:t>
            </w:r>
          </w:p>
        </w:tc>
        <w:tc>
          <w:tcPr>
            <w:tcW w:w="528" w:type="pct"/>
            <w:shd w:val="clear" w:color="auto" w:fill="auto"/>
            <w:vAlign w:val="center"/>
          </w:tcPr>
          <w:p w14:paraId="424A76FA">
            <w:pPr>
              <w:widowControl/>
              <w:autoSpaceDE w:val="0"/>
              <w:autoSpaceDN w:val="0"/>
              <w:adjustRightInd w:val="0"/>
              <w:spacing w:line="240" w:lineRule="auto"/>
              <w:jc w:val="center"/>
              <w:textAlignment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17</w:t>
            </w:r>
          </w:p>
        </w:tc>
        <w:tc>
          <w:tcPr>
            <w:tcW w:w="538" w:type="pct"/>
            <w:shd w:val="clear" w:color="auto" w:fill="auto"/>
            <w:vAlign w:val="center"/>
          </w:tcPr>
          <w:p w14:paraId="5B415FD8">
            <w:pPr>
              <w:widowControl/>
              <w:autoSpaceDE w:val="0"/>
              <w:autoSpaceDN w:val="0"/>
              <w:adjustRightInd w:val="0"/>
              <w:spacing w:line="240" w:lineRule="auto"/>
              <w:jc w:val="center"/>
              <w:textAlignment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22</w:t>
            </w:r>
          </w:p>
        </w:tc>
        <w:tc>
          <w:tcPr>
            <w:tcW w:w="553" w:type="pct"/>
            <w:shd w:val="clear" w:color="auto" w:fill="auto"/>
            <w:vAlign w:val="center"/>
          </w:tcPr>
          <w:p w14:paraId="0D7E556F">
            <w:pPr>
              <w:widowControl/>
              <w:autoSpaceDE w:val="0"/>
              <w:autoSpaceDN w:val="0"/>
              <w:adjustRightInd w:val="0"/>
              <w:spacing w:line="240" w:lineRule="auto"/>
              <w:jc w:val="center"/>
              <w:textAlignment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1</w:t>
            </w:r>
          </w:p>
        </w:tc>
        <w:tc>
          <w:tcPr>
            <w:tcW w:w="1573" w:type="pct"/>
            <w:shd w:val="clear" w:color="auto" w:fill="auto"/>
            <w:vAlign w:val="center"/>
          </w:tcPr>
          <w:p w14:paraId="4EEFADD1">
            <w:pPr>
              <w:autoSpaceDE w:val="0"/>
              <w:autoSpaceDN w:val="0"/>
              <w:adjustRightInd w:val="0"/>
              <w:spacing w:line="240" w:lineRule="auto"/>
              <w:outlineLvl w:val="9"/>
              <w:rPr>
                <w:rFonts w:hint="eastAsia" w:ascii="宋体" w:hAnsi="宋体" w:eastAsia="宋体" w:cs="宋体"/>
                <w:color w:val="auto"/>
                <w:kern w:val="0"/>
                <w:sz w:val="21"/>
                <w:szCs w:val="21"/>
                <w:highlight w:val="none"/>
              </w:rPr>
            </w:pPr>
          </w:p>
        </w:tc>
      </w:tr>
      <w:bookmarkEnd w:id="369"/>
    </w:tbl>
    <w:p w14:paraId="7142BA54">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color w:val="auto"/>
          <w:kern w:val="2"/>
          <w:sz w:val="21"/>
          <w:szCs w:val="21"/>
          <w:highlight w:val="none"/>
        </w:rPr>
        <w:t>本项目暂定总采购</w:t>
      </w:r>
      <w:r>
        <w:rPr>
          <w:rFonts w:hint="eastAsia" w:ascii="宋体" w:hAnsi="宋体" w:eastAsia="宋体" w:cs="宋体"/>
          <w:color w:val="auto"/>
          <w:kern w:val="2"/>
          <w:sz w:val="21"/>
          <w:szCs w:val="21"/>
          <w:highlight w:val="none"/>
          <w:lang w:val="en-US" w:eastAsia="zh-CN"/>
        </w:rPr>
        <w:t>限价</w:t>
      </w:r>
      <w:r>
        <w:rPr>
          <w:rFonts w:hint="eastAsia" w:ascii="宋体" w:hAnsi="宋体" w:eastAsia="宋体" w:cs="宋体"/>
          <w:color w:val="auto"/>
          <w:kern w:val="2"/>
          <w:sz w:val="21"/>
          <w:szCs w:val="21"/>
          <w:highlight w:val="none"/>
        </w:rPr>
        <w:t>（</w:t>
      </w:r>
      <w:r>
        <w:rPr>
          <w:rFonts w:hint="eastAsia" w:ascii="宋体" w:hAnsi="宋体" w:eastAsia="宋体" w:cs="宋体"/>
          <w:color w:val="auto"/>
          <w:kern w:val="2"/>
          <w:sz w:val="21"/>
          <w:szCs w:val="21"/>
          <w:highlight w:val="none"/>
          <w:lang w:val="en-US" w:eastAsia="zh-CN"/>
        </w:rPr>
        <w:t>不</w:t>
      </w:r>
      <w:r>
        <w:rPr>
          <w:rFonts w:hint="eastAsia" w:ascii="宋体" w:hAnsi="宋体" w:eastAsia="宋体" w:cs="宋体"/>
          <w:color w:val="auto"/>
          <w:kern w:val="2"/>
          <w:sz w:val="21"/>
          <w:szCs w:val="21"/>
          <w:highlight w:val="none"/>
        </w:rPr>
        <w:t>含税）</w:t>
      </w:r>
      <w:r>
        <w:rPr>
          <w:rFonts w:hint="eastAsia" w:ascii="宋体" w:hAnsi="宋体" w:eastAsia="宋体" w:cs="宋体"/>
          <w:color w:val="auto"/>
          <w:kern w:val="2"/>
          <w:sz w:val="21"/>
          <w:szCs w:val="21"/>
          <w:highlight w:val="none"/>
          <w:u w:val="none"/>
        </w:rPr>
        <w:t>为</w:t>
      </w:r>
      <w:r>
        <w:rPr>
          <w:rFonts w:hint="eastAsia" w:ascii="宋体" w:hAnsi="宋体" w:eastAsia="宋体" w:cs="宋体"/>
          <w:b w:val="0"/>
          <w:bCs w:val="0"/>
          <w:color w:val="auto"/>
          <w:szCs w:val="21"/>
          <w:highlight w:val="none"/>
          <w:u w:val="none"/>
          <w:lang w:val="en-US" w:eastAsia="zh-CN"/>
        </w:rPr>
        <w:t>3,233,281.44</w:t>
      </w:r>
      <w:r>
        <w:rPr>
          <w:rFonts w:hint="eastAsia" w:ascii="宋体" w:hAnsi="宋体" w:eastAsia="宋体" w:cs="宋体"/>
          <w:b w:val="0"/>
          <w:bCs w:val="0"/>
          <w:color w:val="auto"/>
          <w:szCs w:val="21"/>
          <w:highlight w:val="none"/>
          <w:u w:val="none"/>
          <w:lang w:val="zh-CN"/>
        </w:rPr>
        <w:t>元</w:t>
      </w:r>
      <w:r>
        <w:rPr>
          <w:rFonts w:hint="eastAsia" w:ascii="宋体" w:hAnsi="宋体" w:eastAsia="宋体" w:cs="宋体"/>
          <w:color w:val="auto"/>
          <w:szCs w:val="21"/>
          <w:highlight w:val="none"/>
        </w:rPr>
        <w:t>。</w:t>
      </w:r>
      <w:r>
        <w:rPr>
          <w:rFonts w:hint="eastAsia" w:ascii="宋体" w:hAnsi="宋体" w:eastAsia="宋体" w:cs="宋体"/>
          <w:color w:val="auto"/>
          <w:kern w:val="2"/>
          <w:sz w:val="21"/>
          <w:szCs w:val="21"/>
          <w:highlight w:val="none"/>
        </w:rPr>
        <w:t>上述费用应包括完成本合同服务所需的全部费用，包括但不限于人工费（工资及福利、社保、膳食、意外伤害保险、加班费、住宿补贴等）、办公费、交通费、管理费用、保险、利润、本项目所发生的供应商销项税额以外的税费、其他完成本合同下服务相关的直接及间接费用（如劳务</w:t>
      </w:r>
      <w:r>
        <w:rPr>
          <w:rFonts w:hint="eastAsia" w:ascii="宋体" w:hAnsi="宋体" w:eastAsia="宋体" w:cs="宋体"/>
          <w:color w:val="auto"/>
          <w:kern w:val="2"/>
          <w:sz w:val="21"/>
          <w:szCs w:val="21"/>
          <w:highlight w:val="none"/>
          <w:lang w:val="en-US" w:eastAsia="zh-CN"/>
        </w:rPr>
        <w:t>服务人员</w:t>
      </w:r>
      <w:r>
        <w:rPr>
          <w:rFonts w:hint="eastAsia" w:ascii="宋体" w:hAnsi="宋体" w:eastAsia="宋体" w:cs="宋体"/>
          <w:color w:val="auto"/>
          <w:kern w:val="2"/>
          <w:sz w:val="21"/>
          <w:szCs w:val="21"/>
          <w:highlight w:val="none"/>
        </w:rPr>
        <w:t>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613CEDC4">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4.采购限价：投标人的投标总报价不得超过采购限价，且各岗位类型人员每人每月的投标综合单价不得超过综合单价采购限价，否则作无效投标处理。</w:t>
      </w:r>
    </w:p>
    <w:p w14:paraId="39F79330">
      <w:pPr>
        <w:autoSpaceDE/>
        <w:autoSpaceDN/>
        <w:adjustRightInd/>
        <w:snapToGrid w:val="0"/>
        <w:spacing w:line="560" w:lineRule="exact"/>
        <w:ind w:firstLine="422" w:firstLineChars="200"/>
        <w:jc w:val="center"/>
        <w:outlineLvl w:val="9"/>
        <w:rPr>
          <w:rFonts w:hint="eastAsia" w:ascii="宋体" w:hAnsi="宋体" w:eastAsia="宋体" w:cs="宋体"/>
          <w:b/>
          <w:bCs/>
          <w:color w:val="auto"/>
          <w:highlight w:val="none"/>
        </w:rPr>
      </w:pPr>
      <w:r>
        <w:rPr>
          <w:rFonts w:hint="eastAsia" w:ascii="宋体" w:hAnsi="宋体" w:eastAsia="宋体" w:cs="宋体"/>
          <w:b/>
          <w:bCs/>
          <w:color w:val="auto"/>
          <w:highlight w:val="none"/>
        </w:rPr>
        <w:t>表二：各岗位类型人员综合单价采购限价表</w:t>
      </w:r>
    </w:p>
    <w:tbl>
      <w:tblPr>
        <w:tblStyle w:val="39"/>
        <w:tblW w:w="494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40"/>
        <w:gridCol w:w="1646"/>
        <w:gridCol w:w="1648"/>
        <w:gridCol w:w="1648"/>
        <w:gridCol w:w="1648"/>
        <w:gridCol w:w="1648"/>
      </w:tblGrid>
      <w:tr w14:paraId="4F14C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jc w:val="center"/>
        </w:trPr>
        <w:tc>
          <w:tcPr>
            <w:tcW w:w="830"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00077E9">
            <w:pPr>
              <w:keepNext w:val="0"/>
              <w:keepLines w:val="0"/>
              <w:widowControl/>
              <w:suppressLineNumbers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序号</w:t>
            </w:r>
          </w:p>
        </w:tc>
        <w:tc>
          <w:tcPr>
            <w:tcW w:w="833" w:type="pct"/>
            <w:tcBorders>
              <w:top w:val="single" w:color="000000" w:sz="8" w:space="0"/>
              <w:left w:val="single" w:color="000000" w:sz="8" w:space="0"/>
              <w:bottom w:val="single" w:color="000000" w:sz="8" w:space="0"/>
              <w:right w:val="single" w:color="000000" w:sz="8" w:space="0"/>
            </w:tcBorders>
            <w:shd w:val="clear" w:color="auto" w:fill="auto"/>
            <w:vAlign w:val="center"/>
          </w:tcPr>
          <w:p w14:paraId="5280011A">
            <w:pPr>
              <w:keepNext w:val="0"/>
              <w:keepLines w:val="0"/>
              <w:widowControl/>
              <w:suppressLineNumbers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岗位类型</w:t>
            </w:r>
          </w:p>
        </w:tc>
        <w:tc>
          <w:tcPr>
            <w:tcW w:w="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0C929DFA">
            <w:pPr>
              <w:keepNext w:val="0"/>
              <w:keepLines w:val="0"/>
              <w:widowControl/>
              <w:suppressLineNumbers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人员数量（人）</w:t>
            </w:r>
          </w:p>
        </w:tc>
        <w:tc>
          <w:tcPr>
            <w:tcW w:w="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263E6858">
            <w:pPr>
              <w:keepNext w:val="0"/>
              <w:keepLines w:val="0"/>
              <w:widowControl/>
              <w:suppressLineNumbers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综合单价采购限价（元/人/月，不含税）</w:t>
            </w:r>
          </w:p>
        </w:tc>
        <w:tc>
          <w:tcPr>
            <w:tcW w:w="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99047A6">
            <w:pPr>
              <w:keepNext w:val="0"/>
              <w:keepLines w:val="0"/>
              <w:widowControl/>
              <w:suppressLineNumbers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年小计（元，不含税）</w:t>
            </w:r>
          </w:p>
        </w:tc>
        <w:tc>
          <w:tcPr>
            <w:tcW w:w="834" w:type="pct"/>
            <w:tcBorders>
              <w:top w:val="single" w:color="000000" w:sz="8" w:space="0"/>
              <w:left w:val="single" w:color="000000" w:sz="8" w:space="0"/>
              <w:bottom w:val="single" w:color="000000" w:sz="8" w:space="0"/>
              <w:right w:val="single" w:color="000000" w:sz="8" w:space="0"/>
            </w:tcBorders>
            <w:shd w:val="clear" w:color="auto" w:fill="auto"/>
            <w:vAlign w:val="center"/>
          </w:tcPr>
          <w:p w14:paraId="1B9B6CE2">
            <w:pPr>
              <w:keepNext w:val="0"/>
              <w:keepLines w:val="0"/>
              <w:widowControl/>
              <w:suppressLineNumbers w:val="0"/>
              <w:jc w:val="center"/>
              <w:textAlignment w:val="center"/>
              <w:outlineLvl w:val="9"/>
              <w:rPr>
                <w:rFonts w:hint="eastAsia" w:ascii="宋体" w:hAnsi="宋体" w:eastAsia="宋体" w:cs="宋体"/>
                <w:b/>
                <w:bCs/>
                <w:i w:val="0"/>
                <w:iCs w:val="0"/>
                <w:color w:val="auto"/>
                <w:sz w:val="21"/>
                <w:szCs w:val="21"/>
                <w:highlight w:val="none"/>
                <w:u w:val="none"/>
              </w:rPr>
            </w:pPr>
            <w:r>
              <w:rPr>
                <w:rFonts w:hint="eastAsia" w:ascii="宋体" w:hAnsi="宋体" w:eastAsia="宋体" w:cs="宋体"/>
                <w:b/>
                <w:bCs/>
                <w:i w:val="0"/>
                <w:iCs w:val="0"/>
                <w:color w:val="auto"/>
                <w:kern w:val="0"/>
                <w:sz w:val="21"/>
                <w:szCs w:val="21"/>
                <w:highlight w:val="none"/>
                <w:u w:val="none"/>
                <w:lang w:val="en-US" w:eastAsia="zh-CN" w:bidi="ar"/>
              </w:rPr>
              <w:t>备注</w:t>
            </w:r>
          </w:p>
        </w:tc>
      </w:tr>
      <w:tr w14:paraId="4740CE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30" w:type="pct"/>
            <w:tcBorders>
              <w:top w:val="nil"/>
              <w:left w:val="single" w:color="000000" w:sz="8" w:space="0"/>
              <w:bottom w:val="single" w:color="000000" w:sz="8" w:space="0"/>
              <w:right w:val="single" w:color="000000" w:sz="8" w:space="0"/>
            </w:tcBorders>
            <w:shd w:val="clear" w:color="auto" w:fill="auto"/>
            <w:vAlign w:val="center"/>
          </w:tcPr>
          <w:p w14:paraId="7F1B17B3">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60C68B59">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厨师</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6E19BFE2">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9</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2D12BAC5">
            <w:pPr>
              <w:keepNext w:val="0"/>
              <w:keepLines w:val="0"/>
              <w:widowControl/>
              <w:suppressLineNumbers w:val="0"/>
              <w:jc w:val="center"/>
              <w:textAlignment w:val="center"/>
              <w:outlineLvl w:val="9"/>
              <w:rPr>
                <w:rFonts w:hint="eastAsia" w:ascii="宋体" w:hAnsi="宋体" w:eastAsia="宋体" w:cs="宋体"/>
                <w:bCs/>
                <w:i w:val="0"/>
                <w:iCs w:val="0"/>
                <w:color w:val="auto"/>
                <w:sz w:val="21"/>
                <w:szCs w:val="21"/>
                <w:highlight w:val="none"/>
                <w:u w:val="none"/>
              </w:rPr>
            </w:pPr>
            <w:r>
              <w:rPr>
                <w:rFonts w:hint="eastAsia" w:ascii="宋体" w:hAnsi="宋体" w:eastAsia="宋体" w:cs="宋体"/>
                <w:b w:val="0"/>
                <w:bCs/>
                <w:color w:val="auto"/>
                <w:szCs w:val="21"/>
                <w:highlight w:val="none"/>
                <w:u w:val="none"/>
                <w:lang w:val="en-US" w:eastAsia="zh-CN"/>
              </w:rPr>
              <w:t>8,069.58</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2E86506">
            <w:pPr>
              <w:keepNext w:val="0"/>
              <w:keepLines w:val="0"/>
              <w:widowControl/>
              <w:suppressLineNumbers w:val="0"/>
              <w:jc w:val="center"/>
              <w:textAlignment w:val="center"/>
              <w:outlineLvl w:val="9"/>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871,514.64</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37D8AF93">
            <w:pPr>
              <w:jc w:val="center"/>
              <w:outlineLvl w:val="9"/>
              <w:rPr>
                <w:rFonts w:hint="eastAsia" w:ascii="宋体" w:hAnsi="宋体" w:eastAsia="宋体" w:cs="宋体"/>
                <w:i w:val="0"/>
                <w:iCs w:val="0"/>
                <w:color w:val="auto"/>
                <w:sz w:val="21"/>
                <w:szCs w:val="21"/>
                <w:highlight w:val="none"/>
                <w:u w:val="none"/>
              </w:rPr>
            </w:pPr>
          </w:p>
        </w:tc>
      </w:tr>
      <w:tr w14:paraId="5D5EF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830" w:type="pct"/>
            <w:tcBorders>
              <w:top w:val="nil"/>
              <w:left w:val="single" w:color="000000" w:sz="8" w:space="0"/>
              <w:bottom w:val="single" w:color="000000" w:sz="8" w:space="0"/>
              <w:right w:val="single" w:color="000000" w:sz="8" w:space="0"/>
            </w:tcBorders>
            <w:shd w:val="clear" w:color="auto" w:fill="auto"/>
            <w:vAlign w:val="center"/>
          </w:tcPr>
          <w:p w14:paraId="0A4099BD">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772D91E5">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厨工</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12AB834">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17</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3493157">
            <w:pPr>
              <w:keepNext w:val="0"/>
              <w:keepLines w:val="0"/>
              <w:widowControl/>
              <w:suppressLineNumbers w:val="0"/>
              <w:jc w:val="center"/>
              <w:textAlignment w:val="center"/>
              <w:outlineLvl w:val="9"/>
              <w:rPr>
                <w:rFonts w:hint="eastAsia" w:ascii="宋体" w:hAnsi="宋体" w:eastAsia="宋体" w:cs="宋体"/>
                <w:bCs/>
                <w:i w:val="0"/>
                <w:iCs w:val="0"/>
                <w:color w:val="auto"/>
                <w:sz w:val="21"/>
                <w:szCs w:val="21"/>
                <w:highlight w:val="none"/>
                <w:u w:val="none"/>
              </w:rPr>
            </w:pPr>
            <w:r>
              <w:rPr>
                <w:rFonts w:hint="eastAsia" w:ascii="宋体" w:hAnsi="宋体" w:eastAsia="宋体" w:cs="宋体"/>
                <w:b w:val="0"/>
                <w:bCs/>
                <w:color w:val="auto"/>
                <w:szCs w:val="21"/>
                <w:highlight w:val="none"/>
                <w:u w:val="none"/>
                <w:lang w:val="en-US" w:eastAsia="zh-CN"/>
              </w:rPr>
              <w:t>5,243.63</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2F27A2D0">
            <w:pPr>
              <w:keepNext w:val="0"/>
              <w:keepLines w:val="0"/>
              <w:widowControl/>
              <w:suppressLineNumbers w:val="0"/>
              <w:jc w:val="center"/>
              <w:textAlignment w:val="center"/>
              <w:outlineLvl w:val="9"/>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1,069,700.52</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45FF3715">
            <w:pPr>
              <w:jc w:val="center"/>
              <w:outlineLvl w:val="9"/>
              <w:rPr>
                <w:rFonts w:hint="eastAsia" w:ascii="宋体" w:hAnsi="宋体" w:eastAsia="宋体" w:cs="宋体"/>
                <w:i w:val="0"/>
                <w:iCs w:val="0"/>
                <w:color w:val="auto"/>
                <w:sz w:val="21"/>
                <w:szCs w:val="21"/>
                <w:highlight w:val="none"/>
                <w:u w:val="none"/>
              </w:rPr>
            </w:pPr>
          </w:p>
        </w:tc>
      </w:tr>
      <w:tr w14:paraId="33AE8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 w:hRule="atLeast"/>
          <w:jc w:val="center"/>
        </w:trPr>
        <w:tc>
          <w:tcPr>
            <w:tcW w:w="830" w:type="pct"/>
            <w:tcBorders>
              <w:top w:val="nil"/>
              <w:left w:val="single" w:color="000000" w:sz="8" w:space="0"/>
              <w:bottom w:val="single" w:color="000000" w:sz="8" w:space="0"/>
              <w:right w:val="single" w:color="000000" w:sz="8" w:space="0"/>
            </w:tcBorders>
            <w:shd w:val="clear" w:color="auto" w:fill="auto"/>
            <w:vAlign w:val="center"/>
          </w:tcPr>
          <w:p w14:paraId="0BE6C5D3">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3</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3102EBA7">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清洁工</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B4E991C">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22</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D3F75A1">
            <w:pPr>
              <w:keepNext w:val="0"/>
              <w:keepLines w:val="0"/>
              <w:widowControl/>
              <w:suppressLineNumbers w:val="0"/>
              <w:jc w:val="center"/>
              <w:textAlignment w:val="center"/>
              <w:outlineLvl w:val="9"/>
              <w:rPr>
                <w:rFonts w:hint="eastAsia" w:ascii="宋体" w:hAnsi="宋体" w:eastAsia="宋体" w:cs="宋体"/>
                <w:bCs/>
                <w:i w:val="0"/>
                <w:iCs w:val="0"/>
                <w:color w:val="auto"/>
                <w:sz w:val="21"/>
                <w:szCs w:val="21"/>
                <w:highlight w:val="none"/>
                <w:u w:val="none"/>
              </w:rPr>
            </w:pPr>
            <w:r>
              <w:rPr>
                <w:rFonts w:hint="eastAsia" w:ascii="宋体" w:hAnsi="宋体" w:eastAsia="宋体" w:cs="宋体"/>
                <w:b w:val="0"/>
                <w:bCs/>
                <w:color w:val="auto"/>
                <w:szCs w:val="21"/>
                <w:highlight w:val="none"/>
                <w:u w:val="none"/>
                <w:lang w:val="en-US" w:eastAsia="zh-CN"/>
              </w:rPr>
              <w:t>4,610.85</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17A383F5">
            <w:pPr>
              <w:keepNext w:val="0"/>
              <w:keepLines w:val="0"/>
              <w:widowControl/>
              <w:suppressLineNumbers w:val="0"/>
              <w:jc w:val="center"/>
              <w:textAlignment w:val="center"/>
              <w:outlineLvl w:val="9"/>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1,217,264.40</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B919DED">
            <w:pPr>
              <w:jc w:val="center"/>
              <w:outlineLvl w:val="9"/>
              <w:rPr>
                <w:rFonts w:hint="eastAsia" w:ascii="宋体" w:hAnsi="宋体" w:eastAsia="宋体" w:cs="宋体"/>
                <w:i w:val="0"/>
                <w:iCs w:val="0"/>
                <w:color w:val="auto"/>
                <w:sz w:val="21"/>
                <w:szCs w:val="21"/>
                <w:highlight w:val="none"/>
                <w:u w:val="none"/>
              </w:rPr>
            </w:pPr>
          </w:p>
        </w:tc>
      </w:tr>
      <w:tr w14:paraId="5B898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6" w:hRule="atLeast"/>
          <w:jc w:val="center"/>
        </w:trPr>
        <w:tc>
          <w:tcPr>
            <w:tcW w:w="830" w:type="pct"/>
            <w:tcBorders>
              <w:top w:val="nil"/>
              <w:left w:val="single" w:color="000000" w:sz="8" w:space="0"/>
              <w:bottom w:val="single" w:color="000000" w:sz="8" w:space="0"/>
              <w:right w:val="single" w:color="000000" w:sz="8" w:space="0"/>
            </w:tcBorders>
            <w:shd w:val="clear" w:color="auto" w:fill="auto"/>
            <w:vAlign w:val="center"/>
          </w:tcPr>
          <w:p w14:paraId="79BA62A6">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206680CD">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服务员（兼前台）</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53D6C9C9">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1</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EE88B34">
            <w:pPr>
              <w:keepNext w:val="0"/>
              <w:keepLines w:val="0"/>
              <w:widowControl/>
              <w:suppressLineNumbers w:val="0"/>
              <w:jc w:val="center"/>
              <w:textAlignment w:val="center"/>
              <w:outlineLvl w:val="9"/>
              <w:rPr>
                <w:rFonts w:hint="eastAsia" w:ascii="宋体" w:hAnsi="宋体" w:eastAsia="宋体" w:cs="宋体"/>
                <w:bCs/>
                <w:i w:val="0"/>
                <w:iCs w:val="0"/>
                <w:color w:val="auto"/>
                <w:sz w:val="21"/>
                <w:szCs w:val="21"/>
                <w:highlight w:val="none"/>
                <w:u w:val="none"/>
              </w:rPr>
            </w:pPr>
            <w:r>
              <w:rPr>
                <w:rFonts w:hint="eastAsia" w:ascii="宋体" w:hAnsi="宋体" w:eastAsia="宋体" w:cs="宋体"/>
                <w:b w:val="0"/>
                <w:bCs/>
                <w:color w:val="auto"/>
                <w:szCs w:val="21"/>
                <w:highlight w:val="none"/>
                <w:u w:val="none"/>
                <w:lang w:val="en-US" w:eastAsia="zh-CN"/>
              </w:rPr>
              <w:t>6,233.49</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6E56E36A">
            <w:pPr>
              <w:keepNext w:val="0"/>
              <w:keepLines w:val="0"/>
              <w:widowControl/>
              <w:suppressLineNumbers w:val="0"/>
              <w:jc w:val="center"/>
              <w:textAlignment w:val="center"/>
              <w:outlineLvl w:val="9"/>
              <w:rPr>
                <w:rFonts w:hint="default" w:ascii="宋体" w:hAnsi="宋体" w:eastAsia="宋体" w:cs="宋体"/>
                <w:i w:val="0"/>
                <w:iCs w:val="0"/>
                <w:color w:val="auto"/>
                <w:sz w:val="22"/>
                <w:szCs w:val="22"/>
                <w:highlight w:val="none"/>
                <w:u w:val="none"/>
                <w:lang w:val="en-US"/>
              </w:rPr>
            </w:pPr>
            <w:r>
              <w:rPr>
                <w:rFonts w:hint="eastAsia" w:ascii="宋体" w:hAnsi="宋体" w:eastAsia="宋体" w:cs="宋体"/>
                <w:i w:val="0"/>
                <w:iCs w:val="0"/>
                <w:color w:val="auto"/>
                <w:kern w:val="0"/>
                <w:sz w:val="22"/>
                <w:szCs w:val="22"/>
                <w:highlight w:val="none"/>
                <w:u w:val="none"/>
                <w:lang w:val="en-US" w:eastAsia="zh-CN" w:bidi="ar"/>
              </w:rPr>
              <w:t>74,801.88</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6286EA1D">
            <w:pPr>
              <w:jc w:val="center"/>
              <w:outlineLvl w:val="9"/>
              <w:rPr>
                <w:rFonts w:hint="eastAsia" w:ascii="宋体" w:hAnsi="宋体" w:eastAsia="宋体" w:cs="宋体"/>
                <w:i w:val="0"/>
                <w:iCs w:val="0"/>
                <w:color w:val="auto"/>
                <w:sz w:val="21"/>
                <w:szCs w:val="21"/>
                <w:highlight w:val="none"/>
                <w:u w:val="none"/>
              </w:rPr>
            </w:pPr>
          </w:p>
        </w:tc>
      </w:tr>
      <w:tr w14:paraId="20935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jc w:val="center"/>
        </w:trPr>
        <w:tc>
          <w:tcPr>
            <w:tcW w:w="830" w:type="pct"/>
            <w:tcBorders>
              <w:top w:val="nil"/>
              <w:left w:val="single" w:color="000000" w:sz="8" w:space="0"/>
              <w:bottom w:val="single" w:color="000000" w:sz="8" w:space="0"/>
              <w:right w:val="single" w:color="000000" w:sz="8" w:space="0"/>
            </w:tcBorders>
            <w:shd w:val="clear" w:color="auto" w:fill="auto"/>
            <w:vAlign w:val="center"/>
          </w:tcPr>
          <w:p w14:paraId="1A318EAC">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合计</w:t>
            </w:r>
          </w:p>
        </w:tc>
        <w:tc>
          <w:tcPr>
            <w:tcW w:w="833" w:type="pct"/>
            <w:tcBorders>
              <w:top w:val="nil"/>
              <w:left w:val="single" w:color="000000" w:sz="8" w:space="0"/>
              <w:bottom w:val="single" w:color="000000" w:sz="8" w:space="0"/>
              <w:right w:val="single" w:color="000000" w:sz="8" w:space="0"/>
            </w:tcBorders>
            <w:shd w:val="clear" w:color="auto" w:fill="auto"/>
            <w:vAlign w:val="center"/>
          </w:tcPr>
          <w:p w14:paraId="48149EA1">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2650B540">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49</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018A5E4A">
            <w:pPr>
              <w:keepNext w:val="0"/>
              <w:keepLines w:val="0"/>
              <w:widowControl/>
              <w:suppressLineNumbers w:val="0"/>
              <w:jc w:val="center"/>
              <w:textAlignment w:val="center"/>
              <w:outlineLvl w:val="9"/>
              <w:rPr>
                <w:rFonts w:hint="eastAsia" w:ascii="宋体" w:hAnsi="宋体" w:eastAsia="宋体" w:cs="宋体"/>
                <w:i w:val="0"/>
                <w:iCs w:val="0"/>
                <w:color w:val="auto"/>
                <w:sz w:val="21"/>
                <w:szCs w:val="21"/>
                <w:highlight w:val="none"/>
                <w:u w:val="none"/>
              </w:rPr>
            </w:pPr>
            <w:r>
              <w:rPr>
                <w:rFonts w:hint="eastAsia" w:ascii="宋体" w:hAnsi="宋体" w:eastAsia="宋体" w:cs="宋体"/>
                <w:i w:val="0"/>
                <w:iCs w:val="0"/>
                <w:color w:val="auto"/>
                <w:kern w:val="0"/>
                <w:sz w:val="21"/>
                <w:szCs w:val="21"/>
                <w:highlight w:val="none"/>
                <w:u w:val="none"/>
                <w:lang w:val="en-US" w:eastAsia="zh-CN" w:bidi="ar"/>
              </w:rPr>
              <w:t>-</w:t>
            </w:r>
          </w:p>
        </w:tc>
        <w:tc>
          <w:tcPr>
            <w:tcW w:w="834" w:type="pct"/>
            <w:tcBorders>
              <w:top w:val="nil"/>
              <w:left w:val="single" w:color="000000" w:sz="8" w:space="0"/>
              <w:bottom w:val="single" w:color="000000" w:sz="8" w:space="0"/>
              <w:right w:val="single" w:color="000000" w:sz="8" w:space="0"/>
            </w:tcBorders>
            <w:shd w:val="clear" w:color="auto" w:fill="auto"/>
            <w:vAlign w:val="center"/>
          </w:tcPr>
          <w:p w14:paraId="7CA8B550">
            <w:pPr>
              <w:keepNext w:val="0"/>
              <w:keepLines w:val="0"/>
              <w:widowControl/>
              <w:suppressLineNumbers w:val="0"/>
              <w:jc w:val="center"/>
              <w:textAlignment w:val="center"/>
              <w:outlineLvl w:val="9"/>
              <w:rPr>
                <w:rFonts w:hint="eastAsia" w:ascii="宋体" w:hAnsi="宋体" w:eastAsia="宋体" w:cs="宋体"/>
                <w:i w:val="0"/>
                <w:iCs w:val="0"/>
                <w:color w:val="auto"/>
                <w:sz w:val="22"/>
                <w:szCs w:val="22"/>
                <w:highlight w:val="none"/>
                <w:u w:val="none"/>
              </w:rPr>
            </w:pPr>
            <w:r>
              <w:rPr>
                <w:rFonts w:hint="eastAsia" w:ascii="宋体" w:hAnsi="宋体" w:eastAsia="宋体" w:cs="宋体"/>
                <w:b w:val="0"/>
                <w:bCs w:val="0"/>
                <w:color w:val="auto"/>
                <w:szCs w:val="21"/>
                <w:highlight w:val="none"/>
                <w:u w:val="none"/>
                <w:lang w:val="en-US" w:eastAsia="zh-CN"/>
              </w:rPr>
              <w:t>3,233,281.44</w:t>
            </w:r>
          </w:p>
        </w:tc>
        <w:tc>
          <w:tcPr>
            <w:tcW w:w="834" w:type="pct"/>
            <w:tcBorders>
              <w:top w:val="nil"/>
              <w:left w:val="single" w:color="000000" w:sz="8" w:space="0"/>
              <w:bottom w:val="single" w:color="000000" w:sz="8" w:space="0"/>
              <w:right w:val="single" w:color="000000" w:sz="8" w:space="0"/>
            </w:tcBorders>
            <w:shd w:val="clear" w:color="auto" w:fill="auto"/>
            <w:noWrap/>
            <w:vAlign w:val="center"/>
          </w:tcPr>
          <w:p w14:paraId="2D8FACC9">
            <w:pPr>
              <w:outlineLvl w:val="9"/>
              <w:rPr>
                <w:rFonts w:hint="eastAsia" w:ascii="宋体" w:hAnsi="宋体" w:eastAsia="宋体" w:cs="宋体"/>
                <w:i w:val="0"/>
                <w:iCs w:val="0"/>
                <w:color w:val="auto"/>
                <w:sz w:val="22"/>
                <w:szCs w:val="22"/>
                <w:highlight w:val="none"/>
                <w:u w:val="none"/>
              </w:rPr>
            </w:pPr>
          </w:p>
        </w:tc>
      </w:tr>
    </w:tbl>
    <w:p w14:paraId="05E8402D">
      <w:pPr>
        <w:autoSpaceDE w:val="0"/>
        <w:autoSpaceDN w:val="0"/>
        <w:adjustRightInd w:val="0"/>
        <w:spacing w:line="360" w:lineRule="auto"/>
        <w:ind w:firstLine="422" w:firstLineChars="200"/>
        <w:jc w:val="left"/>
        <w:outlineLvl w:val="9"/>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w:t>
      </w:r>
      <w:r>
        <w:rPr>
          <w:rFonts w:hint="eastAsia" w:ascii="宋体" w:hAnsi="宋体" w:eastAsia="宋体" w:cs="宋体"/>
          <w:b/>
          <w:color w:val="auto"/>
          <w:szCs w:val="21"/>
          <w:highlight w:val="none"/>
        </w:rPr>
        <w:t>5.中标人所派出的所有劳务服务人员须经招标人确认符合本次采购相关要求后才能正式工作。</w:t>
      </w:r>
    </w:p>
    <w:p w14:paraId="5EE2D416">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kern w:val="0"/>
          <w:szCs w:val="21"/>
          <w:highlight w:val="none"/>
        </w:rPr>
        <w:t>★6</w:t>
      </w:r>
      <w:r>
        <w:rPr>
          <w:rFonts w:hint="eastAsia" w:ascii="宋体" w:hAnsi="宋体" w:eastAsia="宋体" w:cs="宋体"/>
          <w:b/>
          <w:color w:val="auto"/>
          <w:szCs w:val="21"/>
          <w:highlight w:val="none"/>
        </w:rPr>
        <w:t>.服务期：一年。</w:t>
      </w:r>
    </w:p>
    <w:p w14:paraId="5F012638">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7.用户需求书约定的需求人数为暂定数量，中标人按招标人实际需求安排人员提供劳务服务，</w:t>
      </w:r>
      <w:r>
        <w:rPr>
          <w:rFonts w:hint="eastAsia" w:ascii="宋体" w:hAnsi="宋体" w:eastAsia="宋体" w:cs="宋体"/>
          <w:b/>
          <w:bCs/>
          <w:color w:val="auto"/>
          <w:szCs w:val="21"/>
          <w:highlight w:val="none"/>
          <w:lang w:val="zh-CN"/>
        </w:rPr>
        <w:t>以招标人书面通知为准。</w:t>
      </w:r>
      <w:r>
        <w:rPr>
          <w:rFonts w:hint="eastAsia" w:ascii="宋体" w:hAnsi="宋体" w:eastAsia="宋体" w:cs="宋体"/>
          <w:color w:val="auto"/>
          <w:szCs w:val="21"/>
          <w:highlight w:val="none"/>
        </w:rPr>
        <w:t>中标人不得因需求数量少于暂定数量而要求招标人作任何赔偿、补偿。在本合同有效期内，招标人根据自身业务发展需要提出增补中标人劳务服务人员的，招标人应至少提前5个日历天以书面形式通知中标人，中标人按招标人要求进行人员增补。如招标人需要进行大批量增补（需增补人员10人以上（不含本数）的）中标人劳务服务人员的，招标人应至少提前10个日历天以书面形式通知中标人，中标人按要求增补劳务服务人员。</w:t>
      </w:r>
    </w:p>
    <w:p w14:paraId="30F99661">
      <w:pPr>
        <w:spacing w:line="360" w:lineRule="auto"/>
        <w:ind w:firstLine="567" w:firstLineChars="270"/>
        <w:outlineLvl w:val="9"/>
        <w:rPr>
          <w:rFonts w:hint="eastAsia" w:ascii="宋体" w:hAnsi="宋体" w:eastAsia="宋体" w:cs="宋体"/>
          <w:color w:val="auto"/>
          <w:kern w:val="0"/>
          <w:szCs w:val="21"/>
          <w:highlight w:val="none"/>
        </w:rPr>
      </w:pPr>
      <w:bookmarkStart w:id="370" w:name="_Hlk96519629"/>
      <w:r>
        <w:rPr>
          <w:rFonts w:hint="eastAsia" w:ascii="宋体" w:hAnsi="宋体" w:eastAsia="宋体" w:cs="宋体"/>
          <w:color w:val="auto"/>
          <w:kern w:val="0"/>
          <w:szCs w:val="21"/>
          <w:highlight w:val="none"/>
        </w:rPr>
        <w:t>（二）劳务服务人员（厨师及厨工）的要求</w:t>
      </w:r>
    </w:p>
    <w:p w14:paraId="33D15D9A">
      <w:pPr>
        <w:spacing w:line="360" w:lineRule="auto"/>
        <w:ind w:firstLine="567" w:firstLine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1.资质及证件要求：</w:t>
      </w:r>
    </w:p>
    <w:p w14:paraId="4F2BA966">
      <w:pPr>
        <w:spacing w:line="360" w:lineRule="auto"/>
        <w:ind w:firstLine="569" w:firstLineChars="27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厨师要求：持有由人力资源和社会保障部门颁发的初级(国家职业资格五级)或以上职业资格证书（工种为中式烹调师）；从事烹饪工作至少3年经验；具有食品从业人员健康证明。厨</w:t>
      </w:r>
      <w:r>
        <w:rPr>
          <w:rFonts w:hint="eastAsia" w:ascii="宋体" w:hAnsi="宋体" w:eastAsia="宋体" w:cs="宋体"/>
          <w:b/>
          <w:bCs/>
          <w:color w:val="auto"/>
          <w:kern w:val="0"/>
          <w:szCs w:val="21"/>
          <w:highlight w:val="none"/>
          <w:lang w:val="en-US" w:eastAsia="zh-CN"/>
        </w:rPr>
        <w:t>工</w:t>
      </w:r>
      <w:r>
        <w:rPr>
          <w:rFonts w:hint="eastAsia" w:ascii="宋体" w:hAnsi="宋体" w:eastAsia="宋体" w:cs="宋体"/>
          <w:b/>
          <w:bCs/>
          <w:color w:val="auto"/>
          <w:kern w:val="0"/>
          <w:szCs w:val="21"/>
          <w:highlight w:val="none"/>
        </w:rPr>
        <w:t>要求：</w:t>
      </w:r>
      <w:r>
        <w:rPr>
          <w:rFonts w:hint="eastAsia" w:ascii="宋体" w:hAnsi="宋体" w:eastAsia="宋体" w:cs="宋体"/>
          <w:b/>
          <w:bCs/>
          <w:color w:val="auto"/>
          <w:kern w:val="0"/>
          <w:szCs w:val="21"/>
          <w:highlight w:val="none"/>
          <w:lang w:val="en-US" w:eastAsia="zh-CN"/>
        </w:rPr>
        <w:t>具有食品从业人员健康证明。</w:t>
      </w:r>
    </w:p>
    <w:p w14:paraId="4BD8BFD2">
      <w:pPr>
        <w:spacing w:line="360" w:lineRule="auto"/>
        <w:ind w:firstLine="567" w:firstLine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2.年龄要求：男性年龄不超过50岁，女性年龄不超过</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岁。</w:t>
      </w:r>
      <w:r>
        <w:rPr>
          <w:rFonts w:hint="eastAsia" w:ascii="宋体" w:hAnsi="宋体" w:eastAsia="宋体" w:cs="宋体"/>
          <w:color w:val="auto"/>
          <w:kern w:val="0"/>
          <w:szCs w:val="21"/>
          <w:highlight w:val="none"/>
          <w:lang w:val="en-US" w:eastAsia="zh-CN"/>
        </w:rPr>
        <w:t>表现优秀者经招标人书面同意后可适当放宽年龄限制。</w:t>
      </w:r>
    </w:p>
    <w:p w14:paraId="27165606">
      <w:pPr>
        <w:spacing w:line="360" w:lineRule="auto"/>
        <w:ind w:firstLine="567" w:firstLine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3.服务工作内容：</w:t>
      </w:r>
    </w:p>
    <w:p w14:paraId="3E9E2323">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（1）厨师职责：</w:t>
      </w:r>
    </w:p>
    <w:p w14:paraId="1D6F87AB">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①制定一周菜谱，做出每天的用料计划，控制出品及制作质量；</w:t>
      </w:r>
    </w:p>
    <w:p w14:paraId="3DF173FC">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②每天搞好卫生，每周一次大扫除，炊具、餐具每天消毒，杜绝事故的发生；</w:t>
      </w:r>
    </w:p>
    <w:p w14:paraId="339F087D">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③节约粮菜、油、水、电，防止各种浪费，采取措施，防毒、防火、防盗；</w:t>
      </w:r>
    </w:p>
    <w:p w14:paraId="509A27CA">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④精工细作、烹调做到色、香、味俱全。</w:t>
      </w:r>
    </w:p>
    <w:p w14:paraId="30F55AC8">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（2）厨工职责：</w:t>
      </w:r>
    </w:p>
    <w:p w14:paraId="61BDA456">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①加工部分：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1D5E1869">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②清洗部分：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3294E1C4">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③卫生部分：负责厨房内部地面、餐厅卫生等清洁工作；对食堂餐厅的四害进行清除工作；引导就餐人员对餐后餐具的回收工作。</w:t>
      </w:r>
    </w:p>
    <w:p w14:paraId="2E426240">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④参与供餐工作。</w:t>
      </w:r>
    </w:p>
    <w:p w14:paraId="2BB36565">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⑤服从厨师的安排。</w:t>
      </w:r>
    </w:p>
    <w:p w14:paraId="5FE69D8D">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4.食品加工要求</w:t>
      </w:r>
    </w:p>
    <w:p w14:paraId="3165ABA3">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工作日</w:t>
      </w:r>
      <w:r>
        <w:rPr>
          <w:rFonts w:hint="eastAsia" w:ascii="宋体" w:hAnsi="宋体" w:eastAsia="宋体" w:cs="宋体"/>
          <w:color w:val="auto"/>
          <w:kern w:val="0"/>
          <w:szCs w:val="21"/>
          <w:highlight w:val="none"/>
        </w:rPr>
        <w:t>提供早餐、午餐、晚餐烹饪服务，国家法定节假日不用提供膳食。其中服务地址为东莞市东城街道东城运河路5号的需365天提供烹饪服务，</w:t>
      </w:r>
      <w:r>
        <w:rPr>
          <w:rFonts w:hint="eastAsia" w:ascii="宋体" w:hAnsi="宋体" w:eastAsia="宋体" w:cs="宋体"/>
          <w:color w:val="auto"/>
          <w:kern w:val="0"/>
          <w:szCs w:val="21"/>
          <w:highlight w:val="none"/>
          <w:lang w:val="en-US" w:eastAsia="zh-CN"/>
        </w:rPr>
        <w:t>工作日</w:t>
      </w:r>
      <w:r>
        <w:rPr>
          <w:rFonts w:hint="eastAsia" w:ascii="宋体" w:hAnsi="宋体" w:eastAsia="宋体" w:cs="宋体"/>
          <w:color w:val="auto"/>
          <w:kern w:val="0"/>
          <w:szCs w:val="21"/>
          <w:highlight w:val="none"/>
        </w:rPr>
        <w:t>需提供早餐、午餐、晚餐；双休日及国家法定节假日（出勤人数不少于4人，根据招标人实</w:t>
      </w:r>
      <w:r>
        <w:rPr>
          <w:rFonts w:hint="eastAsia" w:ascii="宋体" w:hAnsi="宋体" w:eastAsia="宋体" w:cs="宋体"/>
          <w:color w:val="auto"/>
          <w:szCs w:val="21"/>
          <w:highlight w:val="none"/>
        </w:rPr>
        <w:t>际情况而定）的</w:t>
      </w:r>
      <w:r>
        <w:rPr>
          <w:rFonts w:hint="eastAsia" w:ascii="宋体" w:hAnsi="宋体" w:eastAsia="宋体" w:cs="宋体"/>
          <w:b/>
          <w:bCs/>
          <w:color w:val="auto"/>
          <w:szCs w:val="21"/>
          <w:highlight w:val="none"/>
        </w:rPr>
        <w:t>早餐</w:t>
      </w:r>
      <w:r>
        <w:rPr>
          <w:rFonts w:hint="eastAsia" w:ascii="宋体" w:hAnsi="宋体" w:eastAsia="宋体" w:cs="宋体"/>
          <w:color w:val="auto"/>
          <w:szCs w:val="21"/>
          <w:highlight w:val="none"/>
        </w:rPr>
        <w:t>不用提供，午餐及晚餐正常提供</w:t>
      </w:r>
      <w:r>
        <w:rPr>
          <w:rFonts w:hint="eastAsia" w:ascii="宋体" w:hAnsi="宋体" w:eastAsia="宋体" w:cs="宋体"/>
          <w:color w:val="auto"/>
          <w:kern w:val="0"/>
          <w:szCs w:val="21"/>
          <w:highlight w:val="none"/>
        </w:rPr>
        <w:t>。食品加工标准需符合国家相关法律规定标准。</w:t>
      </w:r>
    </w:p>
    <w:p w14:paraId="1FAC1517">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早餐：供应时间为</w:t>
      </w:r>
      <w:r>
        <w:rPr>
          <w:rFonts w:hint="eastAsia" w:ascii="宋体" w:hAnsi="宋体" w:eastAsia="宋体" w:cs="宋体"/>
          <w:color w:val="auto"/>
          <w:kern w:val="0"/>
          <w:szCs w:val="21"/>
          <w:highlight w:val="none"/>
          <w:lang w:val="en-US" w:eastAsia="zh-CN"/>
        </w:rPr>
        <w:t>7:30-8:30(具体按招标人实际需求执行)</w:t>
      </w:r>
      <w:r>
        <w:rPr>
          <w:rFonts w:hint="eastAsia" w:ascii="宋体" w:hAnsi="宋体" w:eastAsia="宋体" w:cs="宋体"/>
          <w:color w:val="auto"/>
          <w:kern w:val="0"/>
          <w:szCs w:val="21"/>
          <w:highlight w:val="none"/>
        </w:rPr>
        <w:t>，按招标人每周菜单（菜谱）加工。</w:t>
      </w:r>
    </w:p>
    <w:p w14:paraId="3B1AD9AE">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午餐：供应时间为12:00-13:00，</w:t>
      </w:r>
      <w:r>
        <w:rPr>
          <w:rFonts w:hint="eastAsia" w:ascii="宋体" w:hAnsi="宋体" w:eastAsia="宋体" w:cs="宋体"/>
          <w:color w:val="auto"/>
          <w:szCs w:val="21"/>
          <w:highlight w:val="none"/>
        </w:rPr>
        <w:t>按招标人每周菜单（菜谱）加工</w:t>
      </w:r>
      <w:r>
        <w:rPr>
          <w:rFonts w:hint="eastAsia" w:ascii="宋体" w:hAnsi="宋体" w:eastAsia="宋体" w:cs="宋体"/>
          <w:color w:val="auto"/>
          <w:kern w:val="0"/>
          <w:szCs w:val="21"/>
          <w:highlight w:val="none"/>
        </w:rPr>
        <w:t>。</w:t>
      </w:r>
    </w:p>
    <w:p w14:paraId="371D8206">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晚餐：供应时间为17:30-19:00，</w:t>
      </w:r>
      <w:r>
        <w:rPr>
          <w:rFonts w:hint="eastAsia" w:ascii="宋体" w:hAnsi="宋体" w:eastAsia="宋体" w:cs="宋体"/>
          <w:color w:val="auto"/>
          <w:szCs w:val="21"/>
          <w:highlight w:val="none"/>
        </w:rPr>
        <w:t>按招标人每周菜单（菜谱）加工</w:t>
      </w:r>
      <w:r>
        <w:rPr>
          <w:rFonts w:hint="eastAsia" w:ascii="宋体" w:hAnsi="宋体" w:eastAsia="宋体" w:cs="宋体"/>
          <w:color w:val="auto"/>
          <w:kern w:val="0"/>
          <w:szCs w:val="21"/>
          <w:highlight w:val="none"/>
        </w:rPr>
        <w:t>。</w:t>
      </w:r>
    </w:p>
    <w:p w14:paraId="16AE78C1">
      <w:pPr>
        <w:autoSpaceDE w:val="0"/>
        <w:autoSpaceDN w:val="0"/>
        <w:adjustRightInd w:val="0"/>
        <w:snapToGrid w:val="0"/>
        <w:spacing w:line="360" w:lineRule="auto"/>
        <w:ind w:firstLine="422" w:firstLineChars="200"/>
        <w:jc w:val="left"/>
        <w:outlineLvl w:val="9"/>
        <w:rPr>
          <w:rFonts w:hint="eastAsia" w:ascii="宋体" w:hAnsi="宋体" w:eastAsia="宋体" w:cs="宋体"/>
          <w:b/>
          <w:bCs/>
          <w:color w:val="auto"/>
          <w:kern w:val="0"/>
          <w:szCs w:val="21"/>
          <w:highlight w:val="none"/>
          <w:lang w:val="en-US" w:eastAsia="zh-CN"/>
        </w:rPr>
      </w:pPr>
      <w:r>
        <w:rPr>
          <w:rFonts w:hint="eastAsia" w:ascii="宋体" w:hAnsi="宋体" w:eastAsia="宋体" w:cs="宋体"/>
          <w:b/>
          <w:bCs/>
          <w:color w:val="auto"/>
          <w:kern w:val="0"/>
          <w:szCs w:val="21"/>
          <w:highlight w:val="none"/>
        </w:rPr>
        <w:t>★其他：①根据招标人需求，每周烹饪2至3次糖水、糕点、凉茶，供应时间：13:45-14:00；②协助做好围餐接待工作，供应时间：不定时。</w:t>
      </w:r>
      <w:r>
        <w:rPr>
          <w:rFonts w:hint="eastAsia" w:ascii="宋体" w:hAnsi="宋体" w:eastAsia="宋体" w:cs="宋体"/>
          <w:b/>
          <w:bCs/>
          <w:color w:val="auto"/>
          <w:kern w:val="0"/>
          <w:szCs w:val="21"/>
          <w:highlight w:val="none"/>
          <w:lang w:val="en-US" w:eastAsia="zh-CN"/>
        </w:rPr>
        <w:t>③因</w:t>
      </w:r>
      <w:r>
        <w:rPr>
          <w:rFonts w:hint="eastAsia" w:ascii="宋体" w:hAnsi="宋体" w:eastAsia="宋体" w:cs="宋体"/>
          <w:b/>
          <w:bCs/>
          <w:color w:val="auto"/>
          <w:kern w:val="0"/>
          <w:szCs w:val="21"/>
          <w:highlight w:val="none"/>
        </w:rPr>
        <w:t>招标人</w:t>
      </w:r>
      <w:r>
        <w:rPr>
          <w:rFonts w:hint="eastAsia" w:ascii="宋体" w:hAnsi="宋体" w:eastAsia="宋体" w:cs="宋体"/>
          <w:b/>
          <w:bCs/>
          <w:color w:val="auto"/>
          <w:kern w:val="0"/>
          <w:szCs w:val="21"/>
          <w:highlight w:val="none"/>
          <w:lang w:val="en-US" w:eastAsia="zh-CN"/>
        </w:rPr>
        <w:t>业务开展需要，暴雨汛期如</w:t>
      </w:r>
      <w:r>
        <w:rPr>
          <w:rFonts w:hint="eastAsia" w:ascii="宋体" w:hAnsi="宋体" w:eastAsia="宋体" w:cs="宋体"/>
          <w:b/>
          <w:bCs/>
          <w:color w:val="auto"/>
          <w:kern w:val="0"/>
          <w:szCs w:val="21"/>
          <w:highlight w:val="none"/>
        </w:rPr>
        <w:t>招标人</w:t>
      </w:r>
      <w:r>
        <w:rPr>
          <w:rFonts w:hint="eastAsia" w:ascii="宋体" w:hAnsi="宋体" w:eastAsia="宋体" w:cs="宋体"/>
          <w:b/>
          <w:bCs/>
          <w:color w:val="auto"/>
          <w:kern w:val="0"/>
          <w:szCs w:val="21"/>
          <w:highlight w:val="none"/>
          <w:lang w:val="en-US" w:eastAsia="zh-CN"/>
        </w:rPr>
        <w:t>有加餐需求的，</w:t>
      </w:r>
      <w:r>
        <w:rPr>
          <w:rFonts w:hint="eastAsia" w:ascii="宋体" w:hAnsi="宋体" w:eastAsia="宋体" w:cs="宋体"/>
          <w:b/>
          <w:bCs/>
          <w:color w:val="auto"/>
          <w:kern w:val="0"/>
          <w:szCs w:val="21"/>
          <w:highlight w:val="none"/>
        </w:rPr>
        <w:t>中标人</w:t>
      </w:r>
      <w:r>
        <w:rPr>
          <w:rFonts w:hint="eastAsia" w:ascii="宋体" w:hAnsi="宋体" w:eastAsia="宋体" w:cs="宋体"/>
          <w:b/>
          <w:bCs/>
          <w:color w:val="auto"/>
          <w:kern w:val="0"/>
          <w:szCs w:val="21"/>
          <w:highlight w:val="none"/>
          <w:lang w:val="en-US" w:eastAsia="zh-CN"/>
        </w:rPr>
        <w:t>需配合</w:t>
      </w:r>
      <w:r>
        <w:rPr>
          <w:rFonts w:hint="eastAsia" w:ascii="宋体" w:hAnsi="宋体" w:eastAsia="宋体" w:cs="宋体"/>
          <w:b/>
          <w:bCs/>
          <w:color w:val="auto"/>
          <w:kern w:val="0"/>
          <w:szCs w:val="21"/>
          <w:highlight w:val="none"/>
        </w:rPr>
        <w:t>招标人</w:t>
      </w:r>
      <w:r>
        <w:rPr>
          <w:rFonts w:hint="eastAsia" w:ascii="宋体" w:hAnsi="宋体" w:eastAsia="宋体" w:cs="宋体"/>
          <w:b/>
          <w:bCs/>
          <w:color w:val="auto"/>
          <w:kern w:val="0"/>
          <w:szCs w:val="21"/>
          <w:highlight w:val="none"/>
          <w:lang w:val="en-US" w:eastAsia="zh-CN"/>
        </w:rPr>
        <w:t>开餐要求，</w:t>
      </w:r>
      <w:r>
        <w:rPr>
          <w:rFonts w:hint="eastAsia" w:ascii="宋体" w:hAnsi="宋体" w:eastAsia="宋体" w:cs="宋体"/>
          <w:b/>
          <w:bCs/>
          <w:color w:val="auto"/>
          <w:kern w:val="0"/>
          <w:szCs w:val="21"/>
          <w:highlight w:val="none"/>
        </w:rPr>
        <w:t>供应时间：不定时。</w:t>
      </w:r>
    </w:p>
    <w:p w14:paraId="187171A9">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5.其他要求</w:t>
      </w:r>
    </w:p>
    <w:p w14:paraId="1ABB6F26">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（1）按每天早中晚餐供应时间上班（</w:t>
      </w:r>
      <w:r>
        <w:rPr>
          <w:rFonts w:hint="eastAsia" w:ascii="宋体" w:hAnsi="宋体" w:eastAsia="宋体" w:cs="宋体"/>
          <w:color w:val="auto"/>
          <w:kern w:val="0"/>
          <w:szCs w:val="21"/>
          <w:highlight w:val="none"/>
        </w:rPr>
        <w:t>国家法定</w:t>
      </w:r>
      <w:r>
        <w:rPr>
          <w:rFonts w:hint="eastAsia" w:ascii="宋体" w:hAnsi="宋体" w:eastAsia="宋体" w:cs="宋体"/>
          <w:bCs/>
          <w:color w:val="auto"/>
          <w:kern w:val="0"/>
          <w:szCs w:val="21"/>
          <w:highlight w:val="none"/>
        </w:rPr>
        <w:t>节假日休息），具体上班时间可根据实际工作情况由招标人进行调整，确因招标人工作需要可适当延长，劳务服务人员应积极配合招标人，无特殊情况不得拒绝招标人加班要求。</w:t>
      </w:r>
    </w:p>
    <w:p w14:paraId="2EA540B6">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中标人将安排符合餐饮服务健康标准的厨师、厨工。中标人厨师、厨工在上岗前向招标人提供有效的健康证原件供招标人查验，厨师、厨工需持健康证进场驻点。在本合同有效期内，中标人有义务确保进驻的厨师、厨工进行身体检查，费用由中标人自理。厨师、厨工有一定的专业知识，无违法犯罪前科。并自觉遵守招标人的相关规定，服从招标人统一管理，爱护招标人的财物（如损坏招标人的物品或设施，照价赔偿），不能影响招标人员工的工作、生活。中标人厨师、厨工工作期间要求统一穿厨工服（由</w:t>
      </w:r>
      <w:r>
        <w:rPr>
          <w:rFonts w:hint="eastAsia" w:ascii="宋体" w:hAnsi="宋体" w:eastAsia="宋体" w:cs="宋体"/>
          <w:bCs/>
          <w:color w:val="auto"/>
          <w:kern w:val="0"/>
          <w:szCs w:val="21"/>
          <w:highlight w:val="none"/>
          <w:lang w:val="en-US" w:eastAsia="zh-CN"/>
        </w:rPr>
        <w:t>中</w:t>
      </w:r>
      <w:r>
        <w:rPr>
          <w:rFonts w:hint="eastAsia" w:ascii="宋体" w:hAnsi="宋体" w:eastAsia="宋体" w:cs="宋体"/>
          <w:bCs/>
          <w:color w:val="auto"/>
          <w:kern w:val="0"/>
          <w:szCs w:val="21"/>
          <w:highlight w:val="none"/>
        </w:rPr>
        <w:t>标人负责提供），防滑水鞋，戴工帽，每天进行换洗。</w:t>
      </w:r>
    </w:p>
    <w:p w14:paraId="6E04D748">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（3）在工作时间内，厨师、厨工严格按照招标人要求的供餐时间供应菜式，不得无故延迟供餐时间</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因</w:t>
      </w:r>
      <w:r>
        <w:rPr>
          <w:rFonts w:hint="eastAsia" w:ascii="宋体" w:hAnsi="宋体" w:eastAsia="宋体" w:cs="宋体"/>
          <w:bCs/>
          <w:color w:val="auto"/>
          <w:kern w:val="0"/>
          <w:szCs w:val="21"/>
          <w:highlight w:val="none"/>
        </w:rPr>
        <w:t>招标人</w:t>
      </w:r>
      <w:r>
        <w:rPr>
          <w:rFonts w:hint="eastAsia" w:ascii="宋体" w:hAnsi="宋体" w:eastAsia="宋体" w:cs="宋体"/>
          <w:bCs/>
          <w:color w:val="auto"/>
          <w:kern w:val="0"/>
          <w:szCs w:val="21"/>
          <w:highlight w:val="none"/>
          <w:lang w:val="en-US" w:eastAsia="zh-CN"/>
        </w:rPr>
        <w:t>业务开展需要，暴雨汛期如</w:t>
      </w:r>
      <w:r>
        <w:rPr>
          <w:rFonts w:hint="eastAsia" w:ascii="宋体" w:hAnsi="宋体" w:eastAsia="宋体" w:cs="宋体"/>
          <w:bCs/>
          <w:color w:val="auto"/>
          <w:kern w:val="0"/>
          <w:szCs w:val="21"/>
          <w:highlight w:val="none"/>
        </w:rPr>
        <w:t>招标人</w:t>
      </w:r>
      <w:r>
        <w:rPr>
          <w:rFonts w:hint="eastAsia" w:ascii="宋体" w:hAnsi="宋体" w:eastAsia="宋体" w:cs="宋体"/>
          <w:bCs/>
          <w:color w:val="auto"/>
          <w:kern w:val="0"/>
          <w:szCs w:val="21"/>
          <w:highlight w:val="none"/>
          <w:lang w:val="en-US" w:eastAsia="zh-CN"/>
        </w:rPr>
        <w:t>有加餐需求的，中标人需配合</w:t>
      </w:r>
      <w:r>
        <w:rPr>
          <w:rFonts w:hint="eastAsia" w:ascii="宋体" w:hAnsi="宋体" w:eastAsia="宋体" w:cs="宋体"/>
          <w:bCs/>
          <w:color w:val="auto"/>
          <w:kern w:val="0"/>
          <w:szCs w:val="21"/>
          <w:highlight w:val="none"/>
        </w:rPr>
        <w:t>招标人</w:t>
      </w:r>
      <w:r>
        <w:rPr>
          <w:rFonts w:hint="eastAsia" w:ascii="宋体" w:hAnsi="宋体" w:eastAsia="宋体" w:cs="宋体"/>
          <w:bCs/>
          <w:color w:val="auto"/>
          <w:kern w:val="0"/>
          <w:szCs w:val="21"/>
          <w:highlight w:val="none"/>
          <w:lang w:val="en-US" w:eastAsia="zh-CN"/>
        </w:rPr>
        <w:t>开餐要求</w:t>
      </w:r>
      <w:r>
        <w:rPr>
          <w:rFonts w:hint="eastAsia" w:ascii="宋体" w:hAnsi="宋体" w:eastAsia="宋体" w:cs="宋体"/>
          <w:bCs/>
          <w:color w:val="auto"/>
          <w:kern w:val="0"/>
          <w:szCs w:val="21"/>
          <w:highlight w:val="none"/>
        </w:rPr>
        <w:t>。</w:t>
      </w:r>
    </w:p>
    <w:p w14:paraId="63A9474E">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菜式制订与食品安全：菜式由中标人制定，食品原材料费用由招标人承担。中标人提供劳务服务的人员在验收食品原材料的同时应保存好采购物资的票据与质量检验报告等，供招标人查验和存档。承诺所提供的膳食符合国家卫生部门的要求，严格遵守</w:t>
      </w:r>
      <w:r>
        <w:rPr>
          <w:rFonts w:hint="eastAsia" w:ascii="宋体" w:hAnsi="宋体" w:eastAsia="宋体" w:cs="宋体"/>
          <w:bCs/>
          <w:color w:val="auto"/>
          <w:kern w:val="0"/>
          <w:szCs w:val="21"/>
          <w:highlight w:val="none"/>
          <w:lang w:val="en-US" w:eastAsia="zh-CN"/>
        </w:rPr>
        <w:t>中华人民共和国</w:t>
      </w:r>
      <w:r>
        <w:rPr>
          <w:rFonts w:hint="eastAsia" w:ascii="宋体" w:hAnsi="宋体" w:eastAsia="宋体" w:cs="宋体"/>
          <w:bCs/>
          <w:color w:val="auto"/>
          <w:kern w:val="0"/>
          <w:szCs w:val="21"/>
          <w:highlight w:val="none"/>
        </w:rPr>
        <w:t>食品安全相关</w:t>
      </w:r>
      <w:r>
        <w:rPr>
          <w:rFonts w:hint="eastAsia" w:ascii="宋体" w:hAnsi="宋体" w:eastAsia="宋体" w:cs="宋体"/>
          <w:bCs/>
          <w:color w:val="auto"/>
          <w:kern w:val="0"/>
          <w:szCs w:val="21"/>
          <w:highlight w:val="none"/>
          <w:lang w:val="en-US" w:eastAsia="zh-CN"/>
        </w:rPr>
        <w:t>法律、法规</w:t>
      </w:r>
      <w:r>
        <w:rPr>
          <w:rFonts w:hint="eastAsia" w:ascii="宋体" w:hAnsi="宋体" w:eastAsia="宋体" w:cs="宋体"/>
          <w:bCs/>
          <w:color w:val="auto"/>
          <w:kern w:val="0"/>
          <w:szCs w:val="21"/>
          <w:highlight w:val="none"/>
        </w:rPr>
        <w:t>规定，保证供餐食品搭配合理、新鲜可口。中标人提供劳务服务的人员应科学、合理制订供餐菜谱，推陈出新。</w:t>
      </w:r>
    </w:p>
    <w:p w14:paraId="521CDCF1">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（5）菜谱审核流程：中标人每周四前将下周菜谱书面呈送给招标人审核同意后，将菜谱张贴在饭堂公示栏。</w:t>
      </w:r>
    </w:p>
    <w:p w14:paraId="50371F03">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（6）中标人提供劳务服务的人员厨师、厨工应遵守招标人各项内部管理规章制度。中标人派驻人员在进行作业时,必须要爱护各种设施设备</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注意节水节电。饭堂内每餐所有剩余食物厨师、厨工不能擅自带走，一经发现，立刻更换厨师、厨工。</w:t>
      </w:r>
    </w:p>
    <w:p w14:paraId="608F4731">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中标人应对提供劳务服务的厨师、厨工进行必要的安全、消防知识教育培训。同时，中标人应为提供劳务服务的厨师、厨工配备劳务用具，做好劳保教育。招标人负责提供烹饪食材、饭堂设备用具、清洁用品等。</w:t>
      </w:r>
    </w:p>
    <w:p w14:paraId="39B2DDAA">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（8）正常设备维修由招标人协助处理，所产生的维修材料费用等由招标人承担。</w:t>
      </w:r>
    </w:p>
    <w:p w14:paraId="040D6D74">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（9）个人相关防护物品由</w:t>
      </w:r>
      <w:r>
        <w:rPr>
          <w:rFonts w:hint="eastAsia" w:ascii="宋体" w:hAnsi="宋体" w:eastAsia="宋体" w:cs="宋体"/>
          <w:color w:val="auto"/>
          <w:kern w:val="0"/>
          <w:szCs w:val="21"/>
          <w:highlight w:val="none"/>
          <w:lang w:val="en-US" w:eastAsia="zh-CN"/>
        </w:rPr>
        <w:t>中</w:t>
      </w:r>
      <w:r>
        <w:rPr>
          <w:rFonts w:hint="eastAsia" w:ascii="宋体" w:hAnsi="宋体" w:eastAsia="宋体" w:cs="宋体"/>
          <w:bCs/>
          <w:color w:val="auto"/>
          <w:kern w:val="0"/>
          <w:szCs w:val="21"/>
          <w:highlight w:val="none"/>
        </w:rPr>
        <w:t>标人提供，包括不限于工作服、水鞋、口罩、厨师帽，如招标人有其他要求的，须按照招标人的要求统一着装。</w:t>
      </w:r>
    </w:p>
    <w:p w14:paraId="0BE429BC">
      <w:pPr>
        <w:autoSpaceDE w:val="0"/>
        <w:autoSpaceDN w:val="0"/>
        <w:adjustRightIn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（10）工作期间必须穿着统一白色工作服。</w:t>
      </w:r>
    </w:p>
    <w:p w14:paraId="4796C116">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（三）劳务服务人员（清洁工）的要求</w:t>
      </w:r>
    </w:p>
    <w:p w14:paraId="4D28FC2B">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1.资质及证件要求：需具有食品从业人员健康证明。</w:t>
      </w:r>
    </w:p>
    <w:p w14:paraId="5C6DECFC">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2.年龄要求：女性年龄不超过</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岁。</w:t>
      </w:r>
      <w:r>
        <w:rPr>
          <w:rFonts w:hint="eastAsia" w:ascii="宋体" w:hAnsi="宋体" w:eastAsia="宋体" w:cs="宋体"/>
          <w:color w:val="auto"/>
          <w:kern w:val="0"/>
          <w:szCs w:val="21"/>
          <w:highlight w:val="none"/>
          <w:lang w:val="en-US" w:eastAsia="zh-CN"/>
        </w:rPr>
        <w:t>表现优秀者经招标人书面同意后可适当放宽年龄限制。</w:t>
      </w:r>
    </w:p>
    <w:p w14:paraId="09B22DA0">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3.清洁服务要求及职责：国家工作日提供清洁服务（其中服务地址为东莞市东城街道东城运河路5号的星期六、日及国家法定节假日每天至少安排一人值班清洁），具体要求详见表三：《办公区域卫生要求》。</w:t>
      </w:r>
    </w:p>
    <w:p w14:paraId="1DDA3852">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4.个人相关防护物品由</w:t>
      </w:r>
      <w:r>
        <w:rPr>
          <w:rFonts w:hint="eastAsia" w:ascii="宋体" w:hAnsi="宋体" w:eastAsia="宋体" w:cs="宋体"/>
          <w:color w:val="auto"/>
          <w:kern w:val="0"/>
          <w:szCs w:val="21"/>
          <w:highlight w:val="none"/>
          <w:lang w:val="en-US" w:eastAsia="zh-CN"/>
        </w:rPr>
        <w:t>中</w:t>
      </w:r>
      <w:r>
        <w:rPr>
          <w:rFonts w:hint="eastAsia" w:ascii="宋体" w:hAnsi="宋体" w:eastAsia="宋体" w:cs="宋体"/>
          <w:color w:val="auto"/>
          <w:kern w:val="0"/>
          <w:szCs w:val="21"/>
          <w:highlight w:val="none"/>
        </w:rPr>
        <w:t>标人提供，包括不限于工作服、水鞋、口罩，如招标人有其他要求的，须按照招标人的要求统一着装。</w:t>
      </w:r>
    </w:p>
    <w:p w14:paraId="763EB537">
      <w:pPr>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5.工作期间必须穿着统一工作服。</w:t>
      </w:r>
    </w:p>
    <w:p w14:paraId="6ECBE3B4">
      <w:pPr>
        <w:snapToGrid w:val="0"/>
        <w:spacing w:line="360" w:lineRule="auto"/>
        <w:ind w:firstLine="482" w:firstLineChars="200"/>
        <w:jc w:val="center"/>
        <w:outlineLvl w:val="9"/>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表三：办公区域卫生要求</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848"/>
        <w:gridCol w:w="4778"/>
        <w:gridCol w:w="2009"/>
      </w:tblGrid>
      <w:tr w14:paraId="626F4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4" w:type="pct"/>
            <w:vAlign w:val="center"/>
          </w:tcPr>
          <w:p w14:paraId="6C574C0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bookmarkStart w:id="371" w:name="_Hlk157701903"/>
            <w:r>
              <w:rPr>
                <w:rFonts w:hint="eastAsia" w:ascii="宋体" w:hAnsi="宋体" w:eastAsia="宋体" w:cs="宋体"/>
                <w:color w:val="auto"/>
                <w:kern w:val="0"/>
                <w:szCs w:val="21"/>
                <w:highlight w:val="none"/>
              </w:rPr>
              <w:t>服务范围</w:t>
            </w:r>
          </w:p>
        </w:tc>
        <w:tc>
          <w:tcPr>
            <w:tcW w:w="926" w:type="pct"/>
            <w:vAlign w:val="center"/>
          </w:tcPr>
          <w:p w14:paraId="3B2DD53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清洁时间段</w:t>
            </w:r>
          </w:p>
        </w:tc>
        <w:tc>
          <w:tcPr>
            <w:tcW w:w="2394" w:type="pct"/>
            <w:vAlign w:val="center"/>
          </w:tcPr>
          <w:p w14:paraId="5C0177C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清洁内容</w:t>
            </w:r>
          </w:p>
        </w:tc>
        <w:tc>
          <w:tcPr>
            <w:tcW w:w="1006" w:type="pct"/>
            <w:vAlign w:val="center"/>
          </w:tcPr>
          <w:p w14:paraId="6B54061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3151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2C7C4CA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副总以上办公室</w:t>
            </w:r>
          </w:p>
        </w:tc>
        <w:tc>
          <w:tcPr>
            <w:tcW w:w="926" w:type="pct"/>
            <w:vAlign w:val="center"/>
          </w:tcPr>
          <w:p w14:paraId="7B29ED5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6:30-8:30</w:t>
            </w:r>
          </w:p>
          <w:p w14:paraId="177A385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17:30-18:30</w:t>
            </w:r>
          </w:p>
        </w:tc>
        <w:tc>
          <w:tcPr>
            <w:tcW w:w="2394" w:type="pct"/>
            <w:vAlign w:val="center"/>
          </w:tcPr>
          <w:p w14:paraId="2FDC128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负责台面、地面、书桌、沙发、茶几、茶杯、文件柜、垃圾桶清洁，定期更换桶装水及招标人认为有必要清理的地方，随时处理突发卫生。</w:t>
            </w:r>
          </w:p>
        </w:tc>
        <w:tc>
          <w:tcPr>
            <w:tcW w:w="1006" w:type="pct"/>
            <w:vAlign w:val="center"/>
          </w:tcPr>
          <w:p w14:paraId="7BA200D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87EF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522C76F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各办公室</w:t>
            </w:r>
          </w:p>
        </w:tc>
        <w:tc>
          <w:tcPr>
            <w:tcW w:w="926" w:type="pct"/>
            <w:vAlign w:val="center"/>
          </w:tcPr>
          <w:p w14:paraId="7CE2A62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8:30-17:30</w:t>
            </w:r>
          </w:p>
        </w:tc>
        <w:tc>
          <w:tcPr>
            <w:tcW w:w="2394" w:type="pct"/>
            <w:vAlign w:val="center"/>
          </w:tcPr>
          <w:p w14:paraId="6B2D4159">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负责地面、沙发、茶几、垃圾桶清洁及招标人认为有必要清理的地方，随时处理突发卫生，17:30前清理垃圾桶。每天至少清洁一次。</w:t>
            </w:r>
          </w:p>
        </w:tc>
        <w:tc>
          <w:tcPr>
            <w:tcW w:w="1006" w:type="pct"/>
            <w:vAlign w:val="center"/>
          </w:tcPr>
          <w:p w14:paraId="6BD9C6F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82CA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6A298C9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接待室、洽谈室</w:t>
            </w:r>
          </w:p>
        </w:tc>
        <w:tc>
          <w:tcPr>
            <w:tcW w:w="926" w:type="pct"/>
            <w:vAlign w:val="center"/>
          </w:tcPr>
          <w:p w14:paraId="1F4A7C1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使用完后清理</w:t>
            </w:r>
          </w:p>
        </w:tc>
        <w:tc>
          <w:tcPr>
            <w:tcW w:w="2394" w:type="pct"/>
            <w:vAlign w:val="center"/>
          </w:tcPr>
          <w:p w14:paraId="58BB56C4">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每次会议结束后清洁地面、沙发、茶几、垃圾桶清洁、摆放瓶装水及招标人认为有必要清理的地方，随时处理突发卫生，17:30前清理垃圾桶。</w:t>
            </w:r>
          </w:p>
        </w:tc>
        <w:tc>
          <w:tcPr>
            <w:tcW w:w="1006" w:type="pct"/>
            <w:vAlign w:val="center"/>
          </w:tcPr>
          <w:p w14:paraId="13139E4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7ECA5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78D66D2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会议室</w:t>
            </w:r>
          </w:p>
        </w:tc>
        <w:tc>
          <w:tcPr>
            <w:tcW w:w="926" w:type="pct"/>
            <w:vAlign w:val="center"/>
          </w:tcPr>
          <w:p w14:paraId="382E10C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使用完后清理</w:t>
            </w:r>
          </w:p>
        </w:tc>
        <w:tc>
          <w:tcPr>
            <w:tcW w:w="2394" w:type="pct"/>
            <w:vAlign w:val="center"/>
          </w:tcPr>
          <w:p w14:paraId="30ED6633">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每次会议结束后清洁地面、沙发、茶几、垃圾桶清洁、排放瓶装水及招标人认为有必要清理的地方，随时处理突发卫生，17:30前清理垃圾桶。</w:t>
            </w:r>
          </w:p>
        </w:tc>
        <w:tc>
          <w:tcPr>
            <w:tcW w:w="1006" w:type="pct"/>
            <w:vAlign w:val="center"/>
          </w:tcPr>
          <w:p w14:paraId="6679A61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B5B5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74" w:type="pct"/>
            <w:vAlign w:val="center"/>
          </w:tcPr>
          <w:p w14:paraId="726B4F2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卫生间</w:t>
            </w:r>
          </w:p>
        </w:tc>
        <w:tc>
          <w:tcPr>
            <w:tcW w:w="926" w:type="pct"/>
            <w:vAlign w:val="center"/>
          </w:tcPr>
          <w:p w14:paraId="32F7A4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1小时清洁一次</w:t>
            </w:r>
          </w:p>
        </w:tc>
        <w:tc>
          <w:tcPr>
            <w:tcW w:w="2394" w:type="pct"/>
            <w:vAlign w:val="center"/>
          </w:tcPr>
          <w:p w14:paraId="4CCD00AB">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1.洗手盆必须清洗干净并不能留有水迹；</w:t>
            </w:r>
          </w:p>
          <w:p w14:paraId="4D3F07D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2.洗手间地面必须用84消毒水清洁并保持干净；3.空气净化器定期更换补充剂和电池；4.及时补充洗手液；5.抽气扇必须长期保持运转。</w:t>
            </w:r>
          </w:p>
        </w:tc>
        <w:tc>
          <w:tcPr>
            <w:tcW w:w="1006" w:type="pct"/>
            <w:vAlign w:val="center"/>
          </w:tcPr>
          <w:p w14:paraId="0DD104A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12D9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74" w:type="pct"/>
            <w:vAlign w:val="center"/>
          </w:tcPr>
          <w:p w14:paraId="42FD077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走廊及楼梯等公共区域</w:t>
            </w:r>
          </w:p>
        </w:tc>
        <w:tc>
          <w:tcPr>
            <w:tcW w:w="926" w:type="pct"/>
            <w:vAlign w:val="center"/>
          </w:tcPr>
          <w:p w14:paraId="5CF3971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随时</w:t>
            </w:r>
          </w:p>
        </w:tc>
        <w:tc>
          <w:tcPr>
            <w:tcW w:w="2394" w:type="pct"/>
            <w:vAlign w:val="center"/>
          </w:tcPr>
          <w:p w14:paraId="318FD95D">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随时保持该区域卫生干净。</w:t>
            </w:r>
          </w:p>
        </w:tc>
        <w:tc>
          <w:tcPr>
            <w:tcW w:w="1006" w:type="pct"/>
            <w:vAlign w:val="center"/>
          </w:tcPr>
          <w:p w14:paraId="59E4909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根据实际情况进行拖地，每天不少于一次。</w:t>
            </w:r>
          </w:p>
        </w:tc>
      </w:tr>
      <w:bookmarkEnd w:id="371"/>
    </w:tbl>
    <w:p w14:paraId="6C4F2965">
      <w:pPr>
        <w:autoSpaceDE w:val="0"/>
        <w:autoSpaceDN w:val="0"/>
        <w:adjustRightInd w:val="0"/>
        <w:snapToGrid w:val="0"/>
        <w:spacing w:line="360" w:lineRule="auto"/>
        <w:ind w:firstLine="420" w:firstLineChars="200"/>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w:t>
      </w:r>
      <w:r>
        <w:rPr>
          <w:rFonts w:hint="eastAsia" w:ascii="宋体" w:hAnsi="宋体" w:eastAsia="宋体" w:cs="宋体"/>
          <w:color w:val="auto"/>
          <w:kern w:val="0"/>
          <w:szCs w:val="21"/>
          <w:highlight w:val="none"/>
        </w:rPr>
        <w:t>劳务服务人员{</w:t>
      </w:r>
      <w:r>
        <w:rPr>
          <w:rFonts w:hint="eastAsia" w:ascii="宋体" w:hAnsi="宋体" w:eastAsia="宋体" w:cs="宋体"/>
          <w:bCs/>
          <w:color w:val="auto"/>
          <w:kern w:val="0"/>
          <w:szCs w:val="21"/>
          <w:highlight w:val="none"/>
        </w:rPr>
        <w:t>服务员（兼前台）}的要求</w:t>
      </w:r>
    </w:p>
    <w:p w14:paraId="38727C56">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1、年龄要求：女性年龄不超过35岁。</w:t>
      </w:r>
    </w:p>
    <w:p w14:paraId="047DC4B0">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2、其他要求：五官端正，熟悉粤语及普通话，从事过机关或国企相关工作一年（含）以上，熟练办公软件及办公设备，接受临时加班要求。</w:t>
      </w:r>
    </w:p>
    <w:p w14:paraId="5AD39D7E">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3、服务员（兼前台）要求及职责：</w:t>
      </w:r>
    </w:p>
    <w:p w14:paraId="44FD4FBD">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①服务员：围餐时提供相关就餐服务，如添茶水、上菜、更换骨碟、跟踪上菜进度。</w:t>
      </w:r>
    </w:p>
    <w:p w14:paraId="34B7D415">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前台：接待来访客人、电话接听和转接；负责会议茶水准备及添加；负责会议室、会议用品的使用管理等；负责检查公司文印室“立打立取”及快递分发情况；负责公司订阅类报刊等的收取及分发；协助办公室完成日常事务工作。</w:t>
      </w:r>
    </w:p>
    <w:p w14:paraId="49996324">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③服装要求：要求正装，着白色衬衫，西装、西裤（或西服裙），该服饰由中标人提供，如招标人有其他要求的，须按照招标人的要求统一着装。</w:t>
      </w:r>
    </w:p>
    <w:bookmarkEnd w:id="370"/>
    <w:p w14:paraId="25EFD93F">
      <w:pPr>
        <w:autoSpaceDE w:val="0"/>
        <w:autoSpaceDN w:val="0"/>
        <w:adjustRightInd w:val="0"/>
        <w:snapToGrid w:val="0"/>
        <w:spacing w:line="360" w:lineRule="auto"/>
        <w:ind w:firstLine="422" w:firstLineChars="200"/>
        <w:jc w:val="left"/>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三、中标人工作要求</w:t>
      </w:r>
    </w:p>
    <w:p w14:paraId="2F925341">
      <w:pPr>
        <w:spacing w:line="360" w:lineRule="auto"/>
        <w:ind w:firstLine="420"/>
        <w:outlineLvl w:val="9"/>
        <w:rPr>
          <w:rFonts w:hint="eastAsia" w:ascii="宋体" w:hAnsi="宋体" w:eastAsia="宋体" w:cs="宋体"/>
          <w:color w:val="auto"/>
          <w:szCs w:val="21"/>
          <w:highlight w:val="none"/>
        </w:rPr>
      </w:pPr>
      <w:bookmarkStart w:id="372" w:name="_Hlk96519865"/>
      <w:r>
        <w:rPr>
          <w:rFonts w:hint="eastAsia" w:ascii="宋体" w:hAnsi="宋体" w:eastAsia="宋体" w:cs="宋体"/>
          <w:color w:val="auto"/>
          <w:szCs w:val="21"/>
          <w:highlight w:val="none"/>
        </w:rPr>
        <w:t>1、中标人应根据劳务服务人员数量和服务项目情况，配备专门的劳务服务管理人员，负责劳务服务人员的日常事务，协调处理劳务服务人员与招标人之间的关系，向招标人提供政策法规方面的咨询。</w:t>
      </w:r>
    </w:p>
    <w:p w14:paraId="09D27D71">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2、招标人根据劳务需求与中标人签订劳务服务合同，合同签订后招标人根据需要和岗位设置情况，以书面形式通知中标人用工需求。</w:t>
      </w:r>
    </w:p>
    <w:p w14:paraId="0FA5930B">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3、中标人收到招标人用工需求通知后5个工作日内应配齐符合招标人要求的劳务服务人员，否则视为中标人违约，招标人有权按500元每天/人扣除该服务地址服务费，直接扣除完毕，并有权终止合同。</w:t>
      </w:r>
    </w:p>
    <w:p w14:paraId="32561A36">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4、招标人可根据实际情况或需求，对劳务服务人员的数量、岗位、资格条件等要求进行调整，中标人必须服从，且劳务服务人员必须符合招标人的要求。</w:t>
      </w:r>
    </w:p>
    <w:p w14:paraId="27977236">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5、中标人需每月月底向招标人提供劳务服务人员的工资发放、社保的材料等依据备查</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否则招标人有权暂不支付服务费</w:t>
      </w:r>
      <w:r>
        <w:rPr>
          <w:rFonts w:hint="eastAsia" w:ascii="宋体" w:hAnsi="宋体" w:eastAsia="宋体" w:cs="宋体"/>
          <w:color w:val="auto"/>
          <w:szCs w:val="21"/>
          <w:highlight w:val="none"/>
        </w:rPr>
        <w:t>。</w:t>
      </w:r>
    </w:p>
    <w:p w14:paraId="2EDE096D">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6、招标人有权要求调换不适合岗位要求的劳务服务人员，调换劳务服务人员如需经济补偿金等费用均由中标人承担。在服务期间，未经招标人同意，中标人不得随意更换劳务服务人员。劳务服务人员因为调走、辞职或被中标人辞退等原因导致劳务服务人员不足的，中标人必须在48小时内补充人员以满足招标人需要。而中标人未能及时补齐符合项目要求的劳务服务人员时，则视为中标人主动违约，招标人有权单方面终止合同，并有权要求中标人承担相应的违约责任。</w:t>
      </w:r>
    </w:p>
    <w:p w14:paraId="2B955E8D">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7、由于中标人工作失误的原因，造成劳务服务人员的经济损失，所产生的损失及后果由中标人承担。因中标人劳务服务人员蓄意破坏招标人现场设备设施、违反相关管理规定造成招标人损失的，</w:t>
      </w:r>
      <w:r>
        <w:rPr>
          <w:rFonts w:hint="eastAsia" w:ascii="宋体" w:hAnsi="宋体" w:eastAsia="宋体" w:cs="宋体"/>
          <w:color w:val="auto"/>
          <w:szCs w:val="21"/>
          <w:highlight w:val="none"/>
          <w:lang w:val="en-US" w:eastAsia="zh-CN"/>
        </w:rPr>
        <w:t>中标人</w:t>
      </w:r>
      <w:r>
        <w:rPr>
          <w:rFonts w:hint="eastAsia" w:ascii="宋体" w:hAnsi="宋体" w:eastAsia="宋体" w:cs="宋体"/>
          <w:color w:val="auto"/>
          <w:szCs w:val="21"/>
          <w:highlight w:val="none"/>
        </w:rPr>
        <w:t>应承担连带赔偿责任。一经查实，则视为中标人严重违约，招标人有权单方面终止合同，责令中标人赔偿损失，情节严重的依法追究其法律责任。</w:t>
      </w:r>
    </w:p>
    <w:p w14:paraId="3CA178A6">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8、中标人应按照有关法律法规规定与劳务服务人员订立书面劳动合同，为劳务服务人员在工作所在地办理社会保险手续等，并根据招标人提供的劳务服务人员考勤、考核、教育培训、奖惩等资料情况建立劳务服务人员人事信息档案。对新招劳务服务人员，应在规定时间内办齐所有用工手续，并提供包括但不限于劳务服务人员档案表、花名册、身份证及学历证复印件等供招标人备案。</w:t>
      </w:r>
    </w:p>
    <w:p w14:paraId="53D90952">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9、中标人应及时掌握国家和省、市有关劳动标准、劳动条件、工资福利、社会保险等方面的最新政策动态并知会招标人，积极配合招标人对新政策规定的组织实施。</w:t>
      </w:r>
    </w:p>
    <w:p w14:paraId="7FE96E0C">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10、中标人应按招标人要求，教育劳务服务人员严格遵守招标人的规章制度和管理规范规程、忠于职守、文明礼貌、严格遵守劳动纪律、</w:t>
      </w:r>
      <w:r>
        <w:rPr>
          <w:rFonts w:hint="eastAsia" w:ascii="宋体" w:hAnsi="宋体" w:eastAsia="宋体" w:cs="宋体"/>
          <w:color w:val="auto"/>
          <w:szCs w:val="21"/>
          <w:highlight w:val="none"/>
          <w:lang w:val="en-US" w:eastAsia="zh-CN"/>
        </w:rPr>
        <w:t>中标人应</w:t>
      </w:r>
      <w:r>
        <w:rPr>
          <w:rFonts w:hint="eastAsia" w:ascii="宋体" w:hAnsi="宋体" w:eastAsia="宋体" w:cs="宋体"/>
          <w:color w:val="auto"/>
          <w:szCs w:val="21"/>
          <w:highlight w:val="none"/>
        </w:rPr>
        <w:t>服从和执行招标人做出的工作安排和调度，接受招标人管理人员的检查监督。</w:t>
      </w:r>
    </w:p>
    <w:p w14:paraId="1CBC12B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11、中标人应负责劳务服务人员的招聘/录用退工手续办理、薪酬管理、福利发放、相关保险和个税代扣代缴等，以及档案管理、计生关系管理、专业技术人员的职称申报、评定等。</w:t>
      </w:r>
    </w:p>
    <w:p w14:paraId="027E38C3">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中标人应教育、督促中标人的提供劳务服务的人员不得以任何形式向他人提供或泄露招标人的商业秘密，保证招标人利益不受损失，对招标人各类客户的资料、业务数据等应按照招标人相关文件及工作要求执行保密工作。中标人在提供服务期间获悉的招标人信息，中标人负有保密义务。本保密义务不因服务合同的解除或终止而失效，直至保密信息被依法公开为止。</w:t>
      </w:r>
      <w:r>
        <w:rPr>
          <w:rFonts w:hint="eastAsia" w:ascii="宋体" w:hAnsi="宋体" w:eastAsia="宋体" w:cs="宋体"/>
          <w:color w:val="auto"/>
          <w:szCs w:val="21"/>
          <w:highlight w:val="none"/>
          <w:lang w:val="en-US" w:eastAsia="zh-CN"/>
        </w:rPr>
        <w:t>若中标人员工违反该约定的，视为中标人违约。</w:t>
      </w:r>
    </w:p>
    <w:p w14:paraId="19A91CC9">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13、中标人须接受招标人对中标人及中标人提供劳务服务的人员的质量检查，且须保证能随时接受行业主管部门的质量考核，并对招标人提出的服务质量改进建议予以及时响应和整改。</w:t>
      </w:r>
    </w:p>
    <w:p w14:paraId="035EB1DA">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中标人的劳务服务人员在提供服务期间发生重大疾病或事故的，由中标人负责调查及处理，依法为劳务服务人员办理工伤认定、伤残鉴定、工伤待遇申报、非工伤死亡待遇申报、意外伤害保险理赔等相关手续并依法承担相应责任，如因前列事故与相关劳务服务人员发生纠纷或争议的，中标人应自行妥善处理并承担责任，不得影响招标人劳务服务项目业务的正常进行。如因此导致招标人损失的，中标人需足额向招标人赔偿。中标人须对其工作人员及劳务服务人员在服务期内所发生的人身、财产安全和交通事故，及给招标人或其他第三方带来的人身、财产安全负责，招标人不承担任何责任。</w:t>
      </w:r>
    </w:p>
    <w:p w14:paraId="29BDEBC4">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中标人提供劳务服务的人员从招标人处领取的工作工具、设备和其他物品，由招标人负责登记管理，在中标人提供劳务服务的人员不再继续提供服务时，由中标人负责协助收回交还招标人。中标人应当为劳务服务人员提供必要的劳务保护用品。</w:t>
      </w:r>
    </w:p>
    <w:p w14:paraId="16B54133">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中标人应定期向招标人通报劳务服务服务项目的相关事项，如发生突发性事件，中标人应及时向招标人通报。中标人及其工作人员及劳务服务人员在工作过程中发现存在安全隐患的，应及时向招标人上报，并做好相应预防工作。</w:t>
      </w:r>
    </w:p>
    <w:p w14:paraId="706ABB28">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中标人应负责劳务服务人员经济赔偿的手续办理、负责处理劳务服务人员提出的劳动仲裁、诉讼、劳资纠纷等事宜，如因中标人引起的劳资纠纷问题，影响招标人劳务服务项目业务正常开展的，招标人有权另行聘请人员确保业务正常开展，因此而所产生的所有费用均由中标人承担。</w:t>
      </w:r>
    </w:p>
    <w:p w14:paraId="62290BE3">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18、中标人应当以自身的技术和劳动力完成劳务服务项目业务的主要工作，未经招标人书面同意，中标人不得将承包项目分包或转包，否则，视为中标人违约，招标人有权解除服务合同。</w:t>
      </w:r>
    </w:p>
    <w:p w14:paraId="3936E654">
      <w:pPr>
        <w:autoSpaceDE w:val="0"/>
        <w:autoSpaceDN w:val="0"/>
        <w:adjustRightInd w:val="0"/>
        <w:spacing w:line="360" w:lineRule="auto"/>
        <w:ind w:firstLine="420" w:firstLineChars="20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19、中标人提供劳务服务的工作人员向中标人申请需要休探亲假、请病假和合理事假的，在服务人员休探亲假，请病假和合理事假期间，中标人需做好调配工作，负责24小时内另派人驻点，招标人不再增加服务费用，否则扣服务地址当月服务费10%。</w:t>
      </w:r>
    </w:p>
    <w:bookmarkEnd w:id="372"/>
    <w:p w14:paraId="562A0D3B">
      <w:pPr>
        <w:autoSpaceDE w:val="0"/>
        <w:autoSpaceDN w:val="0"/>
        <w:adjustRightInd w:val="0"/>
        <w:snapToGrid w:val="0"/>
        <w:spacing w:line="360" w:lineRule="auto"/>
        <w:ind w:firstLine="422" w:firstLineChars="200"/>
        <w:jc w:val="left"/>
        <w:outlineLvl w:val="1"/>
        <w:rPr>
          <w:rFonts w:hint="eastAsia" w:ascii="宋体" w:hAnsi="宋体" w:eastAsia="宋体" w:cs="宋体"/>
          <w:b/>
          <w:color w:val="auto"/>
          <w:kern w:val="0"/>
          <w:szCs w:val="21"/>
          <w:highlight w:val="none"/>
        </w:rPr>
      </w:pPr>
      <w:bookmarkStart w:id="373" w:name="_Hlk96527055"/>
      <w:r>
        <w:rPr>
          <w:rFonts w:hint="eastAsia" w:ascii="宋体" w:hAnsi="宋体" w:eastAsia="宋体" w:cs="宋体"/>
          <w:b/>
          <w:color w:val="auto"/>
          <w:kern w:val="0"/>
          <w:szCs w:val="21"/>
          <w:highlight w:val="none"/>
        </w:rPr>
        <w:t>四、付款方式</w:t>
      </w:r>
    </w:p>
    <w:p w14:paraId="64633B79">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1、招标人每月与中标人结算一次。结算价为（各类岗位综合单价×当月实际服务人数×各类劳务服务费收费系数）之和。</w:t>
      </w:r>
    </w:p>
    <w:p w14:paraId="66DD5BA4">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2、招标人有权根据各服务地址实际情况进行分批入场服务。相关服务费用按各服务地址实际到场人数结合厨师、厨工、清洁工及服务员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兼前台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的月综合单价进行结算。</w:t>
      </w:r>
    </w:p>
    <w:p w14:paraId="31E6CCC9">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3、本采购项目由招标人统筹并由招标人及其权属子公司进行分摊并支付费用，中标人必须按照招标人提供的分摊比例要求开具</w:t>
      </w:r>
      <w:bookmarkStart w:id="374" w:name="_Hlk157676314"/>
      <w:r>
        <w:rPr>
          <w:rFonts w:hint="eastAsia" w:ascii="宋体" w:hAnsi="宋体" w:eastAsia="宋体" w:cs="宋体"/>
          <w:color w:val="auto"/>
          <w:szCs w:val="21"/>
          <w:highlight w:val="none"/>
        </w:rPr>
        <w:t>东莞市水务集团管网有限公司</w:t>
      </w:r>
      <w:bookmarkEnd w:id="374"/>
      <w:r>
        <w:rPr>
          <w:rFonts w:hint="eastAsia" w:ascii="宋体" w:hAnsi="宋体" w:eastAsia="宋体" w:cs="宋体"/>
          <w:color w:val="auto"/>
          <w:szCs w:val="21"/>
          <w:highlight w:val="none"/>
        </w:rPr>
        <w:t>、东莞市莞泽水环境投资有限公司、东莞市东信水环境投资有限公司、东莞市东泽水环境投资有限公司、东莞市清泽水环境投资有限公司等的发票，发票必须为增值税专用发票，未按招标人提供的分摊比例及要求开具发票的将无法支付劳务服务费。</w:t>
      </w:r>
    </w:p>
    <w:p w14:paraId="4B52D1D8">
      <w:pPr>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4、劳务服务费按月度进行结算。中标人应在每月度结算完成后，按招标人要求提交请款报告及等额的、合法的、有效的增值税专用发票，招标人在收到前述材料并确认无误后【20】个工作日内支付相应款项。</w:t>
      </w:r>
    </w:p>
    <w:p w14:paraId="6D056D7A">
      <w:pPr>
        <w:pStyle w:val="19"/>
        <w:outlineLvl w:val="9"/>
        <w:rPr>
          <w:rFonts w:hint="eastAsia" w:ascii="宋体" w:hAnsi="宋体" w:eastAsia="宋体" w:cs="宋体"/>
          <w:color w:val="auto"/>
          <w:sz w:val="21"/>
          <w:szCs w:val="21"/>
          <w:highlight w:val="none"/>
        </w:rPr>
      </w:pPr>
    </w:p>
    <w:p w14:paraId="40D1B58F">
      <w:pPr>
        <w:autoSpaceDE w:val="0"/>
        <w:autoSpaceDN w:val="0"/>
        <w:adjustRightInd w:val="0"/>
        <w:snapToGrid w:val="0"/>
        <w:spacing w:line="360" w:lineRule="auto"/>
        <w:ind w:firstLine="422" w:firstLineChars="200"/>
        <w:jc w:val="left"/>
        <w:outlineLvl w:val="1"/>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五、其他要求</w:t>
      </w:r>
    </w:p>
    <w:p w14:paraId="3D10A604">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中标人中标后，应当根据招标人的实际需求，分别与东莞市水务集团管网有限公司及其下属东莞市莞泽水环境投资有限公司、东莞市东信水环境投资有限公司、东莞市东泽水环境投资有限公司、东莞市清泽水环境投资有限公司等分别签订合同。</w:t>
      </w:r>
    </w:p>
    <w:p w14:paraId="1285C4F6">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2、本合同服务有效期内，非经招标人同意，中标人委派人员不得以任何理由擅自停止提供服务。如擅自停止，招标人有权解除合同，并要求中标人按</w:t>
      </w:r>
      <w:r>
        <w:rPr>
          <w:rFonts w:hint="eastAsia" w:ascii="宋体" w:hAnsi="宋体" w:eastAsia="宋体" w:cs="宋体"/>
          <w:b w:val="0"/>
          <w:bCs w:val="0"/>
          <w:color w:val="auto"/>
          <w:szCs w:val="21"/>
          <w:highlight w:val="none"/>
          <w:u w:val="none"/>
          <w:lang w:val="zh-CN"/>
        </w:rPr>
        <w:t>暂定合同含税总价</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%支付违约金，及赔偿停餐导致的损失（包括但不限于招标人另行委托其他方提供伙食的费用等）。</w:t>
      </w:r>
    </w:p>
    <w:p w14:paraId="55D3F35D">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3、未经招标人书面同意，中标人不得擅自将合同项下的权利义务全部或部分转让；如违反，中标人应立即停止转让行为，并按暂定合同含税总价的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%向招标人支付违约金，招标人因此遭受损失的，中标人还应负责赔偿。</w:t>
      </w:r>
    </w:p>
    <w:p w14:paraId="02213B41">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因中标人及其工作人员导致招标人员工、第三人遭受财产损失或人身损害的（包括但不限于食物中毒、地面湿滑导致的事故等），中标人应承担相应责任；招标人因此遭受损失的（包括但不限于第三方索赔、应诉所支出的费用等），有权向中标人追偿。</w:t>
      </w:r>
    </w:p>
    <w:p w14:paraId="0AB862C3">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在合同服务期限内，中标人劳务服务的人员必须保证餐食的健康卫生，招标人有权对中标人劳务服务的人员的营养搭配、服务质量及服务场所卫生状况进行监督，以书面形式要求中标人劳务服务的人员限时改善；劳务服务的人员拒绝整改或经过整改后仍不符合招标人要求时，招标人可以随时终止合同，中标人不得有任何异议；如中标人劳务服务的人员故意隐瞒菜品质量，或与食品配送公司隐瞒食品配送数量、质量等问题，招标人有权立即解除合同，并保留向其追究法律责任的权利，要求中标人按暂定合同含税总价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%支付违约金，并追回相关损失及赔偿停餐导致的损失（包括但不限于招标人另行委托其他方提供伙食的费用等）</w:t>
      </w:r>
      <w:r>
        <w:rPr>
          <w:rFonts w:hint="eastAsia" w:ascii="宋体" w:hAnsi="宋体" w:eastAsia="宋体" w:cs="宋体"/>
          <w:color w:val="auto"/>
          <w:szCs w:val="21"/>
          <w:highlight w:val="none"/>
        </w:rPr>
        <w:t>；未经招标人同意，中标人劳务服务的人员不得拿取招标人任何食材、既有厨房（清洁）生产用具以及其他</w:t>
      </w:r>
      <w:r>
        <w:rPr>
          <w:rFonts w:hint="eastAsia" w:ascii="宋体" w:hAnsi="宋体" w:eastAsia="宋体" w:cs="宋体"/>
          <w:color w:val="auto"/>
          <w:kern w:val="0"/>
          <w:szCs w:val="21"/>
          <w:highlight w:val="none"/>
        </w:rPr>
        <w:t>招标人</w:t>
      </w:r>
      <w:r>
        <w:rPr>
          <w:rFonts w:hint="eastAsia" w:ascii="宋体" w:hAnsi="宋体" w:eastAsia="宋体" w:cs="宋体"/>
          <w:color w:val="auto"/>
          <w:szCs w:val="21"/>
          <w:highlight w:val="none"/>
        </w:rPr>
        <w:t>既有物品带离招标人工作经营场地，若拿取一经发现，招标人有权立即解除合同，并保留向其追究法律责任的权利，要求中标人按暂定合同含税总价的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%支付违约金，并追回相关损失及赔偿停餐导致的损失（包括但不限于招标人另行委托其他方提供伙食的费用等）</w:t>
      </w:r>
      <w:r>
        <w:rPr>
          <w:rFonts w:hint="eastAsia" w:ascii="宋体" w:hAnsi="宋体" w:eastAsia="宋体" w:cs="宋体"/>
          <w:color w:val="auto"/>
          <w:kern w:val="0"/>
          <w:szCs w:val="21"/>
          <w:highlight w:val="none"/>
        </w:rPr>
        <w:t>。</w:t>
      </w:r>
    </w:p>
    <w:p w14:paraId="1BD4222B">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6、中标人应承担的违约金、赔偿、费用等款项，招标人有权直接从服务费或履约担保中予以扣除。</w:t>
      </w:r>
    </w:p>
    <w:p w14:paraId="4A191084">
      <w:pPr>
        <w:autoSpaceDE w:val="0"/>
        <w:autoSpaceDN w:val="0"/>
        <w:adjustRightInd w:val="0"/>
        <w:snapToGri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7、若中标人提供的厨师、厨工、清洁工及服务员（兼前台）因招标人投诉两次（含）以上，招标人有权要求中标人更换厨师、厨工、清洁工及服务员（兼前台）。</w:t>
      </w:r>
    </w:p>
    <w:p w14:paraId="7DF7B3DC">
      <w:pPr>
        <w:autoSpaceDE w:val="0"/>
        <w:autoSpaceDN w:val="0"/>
        <w:adjustRightInd w:val="0"/>
        <w:snapToGrid w:val="0"/>
        <w:spacing w:line="360" w:lineRule="auto"/>
        <w:ind w:firstLine="4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8、厨师、厨工包吃（上班日的早餐、中餐、晚餐）不包住，清洁工不包吃和住，服务员（兼前台）不包吃和住。</w:t>
      </w:r>
    </w:p>
    <w:p w14:paraId="644ED5AD">
      <w:pPr>
        <w:autoSpaceDE w:val="0"/>
        <w:autoSpaceDN w:val="0"/>
        <w:adjustRightInd w:val="0"/>
        <w:snapToGrid w:val="0"/>
        <w:spacing w:line="360" w:lineRule="auto"/>
        <w:ind w:firstLine="420"/>
        <w:jc w:val="left"/>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rPr>
        <w:t>★9、中标人须提供一份东莞市水务集团管网有限公司（含其下属子公司）为受益人，额度为人民币500万元的保险（食品安全责任险），每次事故每人医疗赔偿限额50万元，保险承保期限不短于服务时间（一年），如延长服务期，则顺延保险承保期</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投标时需提交书面承诺书</w:t>
      </w:r>
      <w:r>
        <w:rPr>
          <w:rFonts w:hint="eastAsia" w:ascii="宋体" w:hAnsi="宋体" w:eastAsia="宋体" w:cs="宋体"/>
          <w:b/>
          <w:bCs/>
          <w:color w:val="auto"/>
          <w:kern w:val="0"/>
          <w:szCs w:val="21"/>
          <w:highlight w:val="none"/>
          <w:lang w:eastAsia="zh-CN"/>
        </w:rPr>
        <w:t>）</w:t>
      </w:r>
    </w:p>
    <w:p w14:paraId="51944770">
      <w:pPr>
        <w:autoSpaceDE w:val="0"/>
        <w:autoSpaceDN w:val="0"/>
        <w:adjustRightInd w:val="0"/>
        <w:snapToGrid w:val="0"/>
        <w:spacing w:line="360" w:lineRule="auto"/>
        <w:ind w:firstLine="42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10、招标人根据建设、运营需要（如：招标人公司内部架构调整导致的人员分流、行政办公及食堂场所改变导致服务范围变更等）可签订补充协议约定具体变更事项，并调整（增加或删减）合同人数，但综合单价应以本项目中标综合单价为准。</w:t>
      </w:r>
    </w:p>
    <w:p w14:paraId="347F249B">
      <w:pPr>
        <w:spacing w:line="360" w:lineRule="auto"/>
        <w:ind w:firstLine="422" w:firstLineChars="200"/>
        <w:outlineLvl w:val="1"/>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★六、考核要求</w:t>
      </w:r>
    </w:p>
    <w:p w14:paraId="45B923B8">
      <w:pPr>
        <w:spacing w:line="360" w:lineRule="auto"/>
        <w:ind w:firstLine="422"/>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1、招标人根据表四：《</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月餐厨服务人员评分表》、表五《</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月清洁服务人员评分表》、表六《</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月服务员（兼前台）人员评分表》每月对中标人负责的项目进行考核，考核周期为1个月（工作日期间内），考核人分别为招标人各服务地址相关负责人员。</w:t>
      </w:r>
    </w:p>
    <w:p w14:paraId="632117F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2、餐厨、清洁及服务员</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兼前台</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劳务服务费单独计算，每月根据所服务地址的各项服务人员考核分数对应的劳务服务费收费系数单独计算，劳务服务费收费系数如下：</w:t>
      </w:r>
    </w:p>
    <w:p w14:paraId="707F98D9">
      <w:pPr>
        <w:autoSpaceDE w:val="0"/>
        <w:autoSpaceDN w:val="0"/>
        <w:adjustRightInd w:val="0"/>
        <w:spacing w:line="360" w:lineRule="auto"/>
        <w:ind w:firstLine="424" w:firstLine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（1）当考核分为90分（含）以上，所服务地址的劳务服务费按每月劳务服务费的100%支付；</w:t>
      </w:r>
    </w:p>
    <w:p w14:paraId="7C18D44F">
      <w:pPr>
        <w:autoSpaceDE w:val="0"/>
        <w:autoSpaceDN w:val="0"/>
        <w:adjustRightInd w:val="0"/>
        <w:spacing w:line="360" w:lineRule="auto"/>
        <w:ind w:firstLine="424" w:firstLine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（2）当月考核分为85分（含）-90（不含）分时，所服务地址的劳务服务费按每月劳务服务费的90%支付；</w:t>
      </w:r>
    </w:p>
    <w:p w14:paraId="3AE33BB0">
      <w:pPr>
        <w:autoSpaceDE w:val="0"/>
        <w:autoSpaceDN w:val="0"/>
        <w:adjustRightInd w:val="0"/>
        <w:spacing w:line="360" w:lineRule="auto"/>
        <w:ind w:firstLine="424" w:firstLine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（3）当月考核分为80分（含）-85（不含）分时，所服务地址的劳务服务费按每月劳务服务费的80%支付；</w:t>
      </w:r>
    </w:p>
    <w:p w14:paraId="18772421">
      <w:pPr>
        <w:autoSpaceDE w:val="0"/>
        <w:autoSpaceDN w:val="0"/>
        <w:adjustRightInd w:val="0"/>
        <w:spacing w:line="360" w:lineRule="auto"/>
        <w:ind w:firstLine="424" w:firstLine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（4）考核分低于80分（不含）时，按实结算（例如：得75分，当月所服务地址的劳务服务费按每月劳务服务费的75%支付）；</w:t>
      </w:r>
    </w:p>
    <w:p w14:paraId="740A1E26">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合同期内考核分低过80分（不含）达一次的，招标人组织约谈；达到两次的，招标人进行书面警告；达到三次的，招标人有权解除合同，另外如果低于70分（不含）一次有权解除合同，中标人应赔偿招标人停餐、清洁导致的损失（包括但不限于招标人另行委托其他方提供伙食、清洁供应服务的费用等）。</w:t>
      </w:r>
    </w:p>
    <w:p w14:paraId="20A3B795">
      <w:pPr>
        <w:autoSpaceDE w:val="0"/>
        <w:autoSpaceDN w:val="0"/>
        <w:adjustRightInd w:val="0"/>
        <w:spacing w:line="360" w:lineRule="auto"/>
        <w:ind w:firstLine="424" w:firstLine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4、月评分表</w:t>
      </w:r>
    </w:p>
    <w:p w14:paraId="1C5737B4">
      <w:pPr>
        <w:pageBreakBefore/>
        <w:autoSpaceDE w:val="0"/>
        <w:autoSpaceDN w:val="0"/>
        <w:adjustRightInd w:val="0"/>
        <w:spacing w:line="360" w:lineRule="auto"/>
        <w:jc w:val="center"/>
        <w:outlineLvl w:val="1"/>
        <w:rPr>
          <w:rFonts w:hint="eastAsia" w:ascii="宋体" w:hAnsi="宋体" w:eastAsia="宋体" w:cs="宋体"/>
          <w:color w:val="auto"/>
          <w:kern w:val="0"/>
          <w:szCs w:val="21"/>
          <w:highlight w:val="none"/>
        </w:rPr>
      </w:pPr>
      <w:r>
        <w:rPr>
          <w:rFonts w:hint="eastAsia" w:ascii="宋体" w:hAnsi="宋体" w:eastAsia="宋体" w:cs="宋体"/>
          <w:b/>
          <w:bCs/>
          <w:color w:val="auto"/>
          <w:kern w:val="0"/>
          <w:sz w:val="24"/>
          <w:szCs w:val="24"/>
          <w:highlight w:val="none"/>
        </w:rPr>
        <w:t>表四 餐厨服务人员评分表</w:t>
      </w:r>
    </w:p>
    <w:tbl>
      <w:tblPr>
        <w:tblStyle w:val="39"/>
        <w:tblW w:w="9108" w:type="dxa"/>
        <w:jc w:val="center"/>
        <w:tblLayout w:type="autofit"/>
        <w:tblCellMar>
          <w:top w:w="0" w:type="dxa"/>
          <w:left w:w="0" w:type="dxa"/>
          <w:bottom w:w="0" w:type="dxa"/>
          <w:right w:w="0" w:type="dxa"/>
        </w:tblCellMar>
      </w:tblPr>
      <w:tblGrid>
        <w:gridCol w:w="584"/>
        <w:gridCol w:w="451"/>
        <w:gridCol w:w="5936"/>
        <w:gridCol w:w="533"/>
        <w:gridCol w:w="469"/>
        <w:gridCol w:w="1135"/>
      </w:tblGrid>
      <w:tr w14:paraId="03DFB482">
        <w:tblPrEx>
          <w:tblCellMar>
            <w:top w:w="0" w:type="dxa"/>
            <w:left w:w="0" w:type="dxa"/>
            <w:bottom w:w="0" w:type="dxa"/>
            <w:right w:w="0" w:type="dxa"/>
          </w:tblCellMar>
        </w:tblPrEx>
        <w:trPr>
          <w:trHeight w:val="806" w:hRule="atLeast"/>
          <w:jc w:val="center"/>
        </w:trPr>
        <w:tc>
          <w:tcPr>
            <w:tcW w:w="9108" w:type="dxa"/>
            <w:gridSpan w:val="6"/>
            <w:tcBorders>
              <w:top w:val="nil"/>
              <w:left w:val="nil"/>
              <w:bottom w:val="nil"/>
              <w:right w:val="nil"/>
            </w:tcBorders>
            <w:tcMar>
              <w:top w:w="12" w:type="dxa"/>
              <w:left w:w="12" w:type="dxa"/>
              <w:right w:w="12" w:type="dxa"/>
            </w:tcMar>
            <w:vAlign w:val="bottom"/>
          </w:tcPr>
          <w:p w14:paraId="0F54D06B">
            <w:pPr>
              <w:widowControl/>
              <w:autoSpaceDE w:val="0"/>
              <w:autoSpaceDN w:val="0"/>
              <w:adjustRightInd w:val="0"/>
              <w:spacing w:line="360" w:lineRule="auto"/>
              <w:textAlignment w:val="bottom"/>
              <w:outlineLvl w:val="9"/>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 xml:space="preserve">标准分：100分                 考核时间：   年   月 </w:t>
            </w:r>
          </w:p>
          <w:p w14:paraId="6DF6DF10">
            <w:pPr>
              <w:widowControl/>
              <w:autoSpaceDE w:val="0"/>
              <w:autoSpaceDN w:val="0"/>
              <w:adjustRightInd w:val="0"/>
              <w:spacing w:line="360" w:lineRule="auto"/>
              <w:textAlignment w:val="bottom"/>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bidi="ar"/>
              </w:rPr>
              <w:t xml:space="preserve">服务地址：    </w:t>
            </w:r>
          </w:p>
        </w:tc>
      </w:tr>
      <w:tr w14:paraId="56AAB669">
        <w:tblPrEx>
          <w:tblCellMar>
            <w:top w:w="0" w:type="dxa"/>
            <w:left w:w="0" w:type="dxa"/>
            <w:bottom w:w="0" w:type="dxa"/>
            <w:right w:w="0" w:type="dxa"/>
          </w:tblCellMar>
        </w:tblPrEx>
        <w:trPr>
          <w:trHeight w:val="747" w:hRule="atLeast"/>
          <w:jc w:val="center"/>
        </w:trPr>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FA65D4">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类别</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3BCF69">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序号</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3A58D9">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考核标准</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B2B048">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标准分</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FB7C14">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得分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6B486A">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备注</w:t>
            </w:r>
          </w:p>
        </w:tc>
      </w:tr>
      <w:tr w14:paraId="28AA7A87">
        <w:tblPrEx>
          <w:tblCellMar>
            <w:top w:w="0" w:type="dxa"/>
            <w:left w:w="0" w:type="dxa"/>
            <w:bottom w:w="0" w:type="dxa"/>
            <w:right w:w="0" w:type="dxa"/>
          </w:tblCellMar>
        </w:tblPrEx>
        <w:trPr>
          <w:trHeight w:val="594"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38680DD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工作纪律</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A2241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E4BAE8">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在岗期间未按规定穿着制服、口罩、水鞋；每违反一次扣1分，扣完为止。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06EBEF">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BE792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37D0A9">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C9629B8">
        <w:tblPrEx>
          <w:tblCellMar>
            <w:top w:w="0" w:type="dxa"/>
            <w:left w:w="0" w:type="dxa"/>
            <w:bottom w:w="0" w:type="dxa"/>
            <w:right w:w="0" w:type="dxa"/>
          </w:tblCellMar>
        </w:tblPrEx>
        <w:trPr>
          <w:trHeight w:val="67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0A77ADC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E1AF82">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BE0928">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遵守公司排班表,不迟到，不早退，不旷工；每违反一次扣1分，扣完为止。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A3481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1F5E1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A2903F">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CF6117C">
        <w:tblPrEx>
          <w:tblCellMar>
            <w:top w:w="0" w:type="dxa"/>
            <w:left w:w="0" w:type="dxa"/>
            <w:bottom w:w="0" w:type="dxa"/>
            <w:right w:w="0" w:type="dxa"/>
          </w:tblCellMar>
        </w:tblPrEx>
        <w:trPr>
          <w:trHeight w:val="65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CFD1244">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9789C2">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C650C7">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休假提前申请,并在安排好工作代理人后方可休假；每违反一次扣1分，扣完为止。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81E64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134F8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C736A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C4D114E">
        <w:tblPrEx>
          <w:tblCellMar>
            <w:top w:w="0" w:type="dxa"/>
            <w:left w:w="0" w:type="dxa"/>
            <w:bottom w:w="0" w:type="dxa"/>
            <w:right w:w="0" w:type="dxa"/>
          </w:tblCellMar>
        </w:tblPrEx>
        <w:trPr>
          <w:trHeight w:val="61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D37D01C">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283F97">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6C1B6A">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工作期间不串岗,不脱岗,不偷懒，不做与工作无关的事情；每违反一次扣1分，扣完为止。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2D4033">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AE284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7D1DF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7FDD390">
        <w:tblPrEx>
          <w:tblCellMar>
            <w:top w:w="0" w:type="dxa"/>
            <w:left w:w="0" w:type="dxa"/>
            <w:bottom w:w="0" w:type="dxa"/>
            <w:right w:w="0" w:type="dxa"/>
          </w:tblCellMar>
        </w:tblPrEx>
        <w:trPr>
          <w:trHeight w:val="651"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1798897C">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BB98EF">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C0500C">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全月工作态度勤恳,无接到投诉或不良反映；每接到投诉一次扣2分，扣完为止。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3CED8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E73A1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CC00B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BD31EC6">
        <w:tblPrEx>
          <w:tblCellMar>
            <w:top w:w="0" w:type="dxa"/>
            <w:left w:w="0" w:type="dxa"/>
            <w:bottom w:w="0" w:type="dxa"/>
            <w:right w:w="0" w:type="dxa"/>
          </w:tblCellMar>
        </w:tblPrEx>
        <w:trPr>
          <w:trHeight w:val="77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6D9635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2081F4">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8EEB38">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与同事和睦相处，做事不斤斤计较，不因小事与同事闹矛盾，更不能当众吵架；每违反一次扣1分，扣完为止。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16B99D">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81649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1C764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54AA112">
        <w:tblPrEx>
          <w:tblCellMar>
            <w:top w:w="0" w:type="dxa"/>
            <w:left w:w="0" w:type="dxa"/>
            <w:bottom w:w="0" w:type="dxa"/>
            <w:right w:w="0" w:type="dxa"/>
          </w:tblCellMar>
        </w:tblPrEx>
        <w:trPr>
          <w:trHeight w:val="65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B854ED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B4FF6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48AB66">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爱护公司资源，节约用水、用电；根据需要领用</w:t>
            </w:r>
            <w:r>
              <w:rPr>
                <w:rFonts w:hint="eastAsia" w:ascii="宋体" w:hAnsi="宋体" w:eastAsia="宋体" w:cs="宋体"/>
                <w:color w:val="auto"/>
                <w:kern w:val="0"/>
                <w:szCs w:val="21"/>
                <w:highlight w:val="none"/>
                <w:lang w:val="en-US" w:eastAsia="zh-CN" w:bidi="ar"/>
              </w:rPr>
              <w:t>厨房</w:t>
            </w:r>
            <w:r>
              <w:rPr>
                <w:rFonts w:hint="eastAsia" w:ascii="宋体" w:hAnsi="宋体" w:eastAsia="宋体" w:cs="宋体"/>
                <w:color w:val="auto"/>
                <w:kern w:val="0"/>
                <w:szCs w:val="21"/>
                <w:highlight w:val="none"/>
                <w:lang w:bidi="ar"/>
              </w:rPr>
              <w:t>用品，杜绝浪费；每违反一次扣1分，扣完为止。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4405C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209E57">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E2E6D2C">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1F6F6D6">
        <w:tblPrEx>
          <w:tblCellMar>
            <w:top w:w="0" w:type="dxa"/>
            <w:left w:w="0" w:type="dxa"/>
            <w:bottom w:w="0" w:type="dxa"/>
            <w:right w:w="0" w:type="dxa"/>
          </w:tblCellMar>
        </w:tblPrEx>
        <w:trPr>
          <w:trHeight w:val="38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306BBD4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3229F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973E11">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工作人员按公司规定人数出勤，每缺一个扣3分，扣完为止。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428217">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E32EB9">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F8B5C">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40E61F9">
        <w:tblPrEx>
          <w:tblCellMar>
            <w:top w:w="0" w:type="dxa"/>
            <w:left w:w="0" w:type="dxa"/>
            <w:bottom w:w="0" w:type="dxa"/>
            <w:right w:w="0" w:type="dxa"/>
          </w:tblCellMar>
        </w:tblPrEx>
        <w:trPr>
          <w:trHeight w:val="38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5D57F0B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DB8840">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4AF991">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不服从工作安排，直接扣5分。</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088D5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53060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71409C">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82E698B">
        <w:tblPrEx>
          <w:tblCellMar>
            <w:top w:w="0" w:type="dxa"/>
            <w:left w:w="0" w:type="dxa"/>
            <w:bottom w:w="0" w:type="dxa"/>
            <w:right w:w="0" w:type="dxa"/>
          </w:tblCellMar>
        </w:tblPrEx>
        <w:trPr>
          <w:trHeight w:val="714"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AA544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工作要求</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B8136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0C85E1">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人员持有效健康证上岗；未持有效健康证上岗的每发现一个扣2分，扣完为止。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27E562">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5B5A0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C2D697">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AC18773">
        <w:tblPrEx>
          <w:tblCellMar>
            <w:top w:w="0" w:type="dxa"/>
            <w:left w:w="0" w:type="dxa"/>
            <w:bottom w:w="0" w:type="dxa"/>
            <w:right w:w="0" w:type="dxa"/>
          </w:tblCellMar>
        </w:tblPrEx>
        <w:trPr>
          <w:trHeight w:val="92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FDF4D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0D900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49D2F3">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未按照公司规定时间开餐；每发现一次超时扣2分，扣完为止。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10D6E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67684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08DAE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F300C7B">
        <w:tblPrEx>
          <w:tblCellMar>
            <w:top w:w="0" w:type="dxa"/>
            <w:left w:w="0" w:type="dxa"/>
            <w:bottom w:w="0" w:type="dxa"/>
            <w:right w:w="0" w:type="dxa"/>
          </w:tblCellMar>
        </w:tblPrEx>
        <w:trPr>
          <w:trHeight w:val="103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9478F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E622E">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4229A0">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菜品出现其他异物，如包装袋，钢丝球丝、头发；每发现一次扣2分，扣完为止。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CB022B">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FA62C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2753D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AE64B0D">
        <w:tblPrEx>
          <w:tblCellMar>
            <w:top w:w="0" w:type="dxa"/>
            <w:left w:w="0" w:type="dxa"/>
            <w:bottom w:w="0" w:type="dxa"/>
            <w:right w:w="0" w:type="dxa"/>
          </w:tblCellMar>
        </w:tblPrEx>
        <w:trPr>
          <w:trHeight w:val="153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B13497">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09124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EBDDD">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使用变质过期食品；</w:t>
            </w:r>
            <w:r>
              <w:rPr>
                <w:rFonts w:hint="eastAsia" w:ascii="宋体" w:hAnsi="宋体" w:eastAsia="宋体" w:cs="宋体"/>
                <w:color w:val="auto"/>
                <w:kern w:val="0"/>
                <w:szCs w:val="21"/>
                <w:highlight w:val="none"/>
                <w:lang w:bidi="ar"/>
              </w:rPr>
              <w:t>每</w:t>
            </w:r>
            <w:r>
              <w:rPr>
                <w:rFonts w:hint="eastAsia" w:ascii="宋体" w:hAnsi="宋体" w:eastAsia="宋体" w:cs="宋体"/>
                <w:color w:val="auto"/>
                <w:kern w:val="0"/>
                <w:szCs w:val="21"/>
                <w:highlight w:val="none"/>
              </w:rPr>
              <w:t>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BACD57">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A0CFE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01D0E3">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9AE246A">
        <w:tblPrEx>
          <w:tblCellMar>
            <w:top w:w="0" w:type="dxa"/>
            <w:left w:w="0" w:type="dxa"/>
            <w:bottom w:w="0" w:type="dxa"/>
            <w:right w:w="0" w:type="dxa"/>
          </w:tblCellMar>
        </w:tblPrEx>
        <w:trPr>
          <w:trHeight w:val="81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6A89EC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E80422">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77D7D2">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未按公司规定进行留样；每发现一次扣2分，扣完为止。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069ACF">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C7BB8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26CA8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EC7EB8A">
        <w:tblPrEx>
          <w:tblCellMar>
            <w:top w:w="0" w:type="dxa"/>
            <w:left w:w="0" w:type="dxa"/>
            <w:bottom w:w="0" w:type="dxa"/>
            <w:right w:w="0" w:type="dxa"/>
          </w:tblCellMar>
        </w:tblPrEx>
        <w:trPr>
          <w:trHeight w:val="7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47CC0F">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3ECD58">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4FE032">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未按公司规定进行食堂清洁和消毒；</w:t>
            </w:r>
            <w:r>
              <w:rPr>
                <w:rFonts w:hint="eastAsia" w:ascii="宋体" w:hAnsi="宋体" w:eastAsia="宋体" w:cs="宋体"/>
                <w:color w:val="auto"/>
                <w:kern w:val="0"/>
                <w:szCs w:val="21"/>
                <w:highlight w:val="none"/>
                <w:lang w:bidi="ar"/>
              </w:rPr>
              <w:t>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1ECEC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02B56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A95D3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0BA9DE4">
        <w:tblPrEx>
          <w:tblCellMar>
            <w:top w:w="0" w:type="dxa"/>
            <w:left w:w="0" w:type="dxa"/>
            <w:bottom w:w="0" w:type="dxa"/>
            <w:right w:w="0" w:type="dxa"/>
          </w:tblCellMar>
        </w:tblPrEx>
        <w:trPr>
          <w:trHeight w:val="7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8A98D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55610B">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CFBACA">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库房要按公司规定保持清洁、干燥，摆放物品要规范、整洁，未按要求的每发现一次扣2分，扣完为止。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F8CB3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B317CF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B534F5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E2F80BC">
        <w:tblPrEx>
          <w:tblCellMar>
            <w:top w:w="0" w:type="dxa"/>
            <w:left w:w="0" w:type="dxa"/>
            <w:bottom w:w="0" w:type="dxa"/>
            <w:right w:w="0" w:type="dxa"/>
          </w:tblCellMar>
        </w:tblPrEx>
        <w:trPr>
          <w:trHeight w:val="7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D9166C3">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3CD51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F27A00">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厨具需清洁卫生、无油迹及污迹，未达要求的每发现一次扣2分，扣完为止。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CFD1E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18A2F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17077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84D52CC">
        <w:tblPrEx>
          <w:tblCellMar>
            <w:top w:w="0" w:type="dxa"/>
            <w:left w:w="0" w:type="dxa"/>
            <w:bottom w:w="0" w:type="dxa"/>
            <w:right w:w="0" w:type="dxa"/>
          </w:tblCellMar>
        </w:tblPrEx>
        <w:trPr>
          <w:trHeight w:val="54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68F88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DD1322">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E9A614">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严格遵守《东莞市水务集团管网有限公司食堂管理办法》内容规定，未落实规定的</w:t>
            </w:r>
            <w:r>
              <w:rPr>
                <w:rFonts w:hint="eastAsia" w:ascii="宋体" w:hAnsi="宋体" w:eastAsia="宋体" w:cs="宋体"/>
                <w:color w:val="auto"/>
                <w:kern w:val="0"/>
                <w:szCs w:val="21"/>
                <w:highlight w:val="none"/>
              </w:rPr>
              <w:t>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D86AEF">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1AF8D3">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23330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37C35C9">
        <w:tblPrEx>
          <w:tblCellMar>
            <w:top w:w="0" w:type="dxa"/>
            <w:left w:w="0" w:type="dxa"/>
            <w:bottom w:w="0" w:type="dxa"/>
            <w:right w:w="0" w:type="dxa"/>
          </w:tblCellMar>
        </w:tblPrEx>
        <w:trPr>
          <w:trHeight w:val="385" w:hRule="atLeast"/>
          <w:jc w:val="center"/>
        </w:trPr>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9A913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0D10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925D1B">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6C5C1F">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8D45C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33EC9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36CA519">
        <w:tblPrEx>
          <w:tblCellMar>
            <w:top w:w="0" w:type="dxa"/>
            <w:left w:w="0" w:type="dxa"/>
            <w:bottom w:w="0" w:type="dxa"/>
            <w:right w:w="0" w:type="dxa"/>
          </w:tblCellMar>
        </w:tblPrEx>
        <w:trPr>
          <w:trHeight w:val="501" w:hRule="atLeast"/>
          <w:jc w:val="center"/>
        </w:trPr>
        <w:tc>
          <w:tcPr>
            <w:tcW w:w="9108" w:type="dxa"/>
            <w:gridSpan w:val="6"/>
            <w:tcBorders>
              <w:top w:val="nil"/>
              <w:left w:val="nil"/>
              <w:bottom w:val="nil"/>
              <w:right w:val="nil"/>
            </w:tcBorders>
            <w:tcMar>
              <w:top w:w="12" w:type="dxa"/>
              <w:left w:w="12" w:type="dxa"/>
              <w:right w:w="12" w:type="dxa"/>
            </w:tcMar>
            <w:vAlign w:val="center"/>
          </w:tcPr>
          <w:p w14:paraId="7D07784F">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评分人：                                             部门负责人：</w:t>
            </w:r>
          </w:p>
        </w:tc>
      </w:tr>
    </w:tbl>
    <w:p w14:paraId="07072008">
      <w:pPr>
        <w:pageBreakBefore/>
        <w:autoSpaceDE w:val="0"/>
        <w:autoSpaceDN w:val="0"/>
        <w:adjustRightInd w:val="0"/>
        <w:spacing w:line="360" w:lineRule="auto"/>
        <w:jc w:val="center"/>
        <w:outlineLvl w:val="1"/>
        <w:rPr>
          <w:rFonts w:hint="eastAsia" w:ascii="宋体" w:hAnsi="宋体" w:eastAsia="宋体" w:cs="宋体"/>
          <w:color w:val="auto"/>
          <w:kern w:val="0"/>
          <w:szCs w:val="21"/>
          <w:highlight w:val="none"/>
        </w:rPr>
      </w:pPr>
      <w:r>
        <w:rPr>
          <w:rFonts w:hint="eastAsia" w:ascii="宋体" w:hAnsi="宋体" w:eastAsia="宋体" w:cs="宋体"/>
          <w:b/>
          <w:color w:val="auto"/>
          <w:kern w:val="0"/>
          <w:sz w:val="24"/>
          <w:szCs w:val="24"/>
          <w:highlight w:val="none"/>
          <w:lang w:bidi="ar"/>
        </w:rPr>
        <w:t>表五 清洁服务人员评分表</w:t>
      </w:r>
    </w:p>
    <w:tbl>
      <w:tblPr>
        <w:tblStyle w:val="39"/>
        <w:tblW w:w="9082" w:type="dxa"/>
        <w:jc w:val="center"/>
        <w:tblLayout w:type="autofit"/>
        <w:tblCellMar>
          <w:top w:w="0" w:type="dxa"/>
          <w:left w:w="0" w:type="dxa"/>
          <w:bottom w:w="0" w:type="dxa"/>
          <w:right w:w="0" w:type="dxa"/>
        </w:tblCellMar>
      </w:tblPr>
      <w:tblGrid>
        <w:gridCol w:w="934"/>
        <w:gridCol w:w="723"/>
        <w:gridCol w:w="5100"/>
        <w:gridCol w:w="777"/>
        <w:gridCol w:w="777"/>
        <w:gridCol w:w="771"/>
      </w:tblGrid>
      <w:tr w14:paraId="40EA9D55">
        <w:tblPrEx>
          <w:tblCellMar>
            <w:top w:w="0" w:type="dxa"/>
            <w:left w:w="0" w:type="dxa"/>
            <w:bottom w:w="0" w:type="dxa"/>
            <w:right w:w="0" w:type="dxa"/>
          </w:tblCellMar>
        </w:tblPrEx>
        <w:trPr>
          <w:trHeight w:val="806" w:hRule="atLeast"/>
          <w:jc w:val="center"/>
        </w:trPr>
        <w:tc>
          <w:tcPr>
            <w:tcW w:w="9082" w:type="dxa"/>
            <w:gridSpan w:val="6"/>
            <w:tcBorders>
              <w:top w:val="nil"/>
              <w:left w:val="nil"/>
              <w:bottom w:val="nil"/>
              <w:right w:val="nil"/>
            </w:tcBorders>
            <w:tcMar>
              <w:top w:w="12" w:type="dxa"/>
              <w:left w:w="12" w:type="dxa"/>
              <w:right w:w="12" w:type="dxa"/>
            </w:tcMar>
            <w:vAlign w:val="bottom"/>
          </w:tcPr>
          <w:p w14:paraId="7975740D">
            <w:pPr>
              <w:widowControl/>
              <w:autoSpaceDE w:val="0"/>
              <w:autoSpaceDN w:val="0"/>
              <w:adjustRightInd w:val="0"/>
              <w:spacing w:line="360" w:lineRule="auto"/>
              <w:textAlignment w:val="bottom"/>
              <w:outlineLvl w:val="9"/>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标准分：100分                                                 考核时间：   年   月</w:t>
            </w:r>
          </w:p>
          <w:p w14:paraId="02F42D68">
            <w:pPr>
              <w:widowControl/>
              <w:autoSpaceDE w:val="0"/>
              <w:autoSpaceDN w:val="0"/>
              <w:adjustRightInd w:val="0"/>
              <w:spacing w:line="360" w:lineRule="auto"/>
              <w:textAlignment w:val="bottom"/>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bidi="ar"/>
              </w:rPr>
              <w:t xml:space="preserve">服务地址：    </w:t>
            </w:r>
          </w:p>
        </w:tc>
      </w:tr>
      <w:tr w14:paraId="4E0FF28F">
        <w:tblPrEx>
          <w:tblCellMar>
            <w:top w:w="0" w:type="dxa"/>
            <w:left w:w="0" w:type="dxa"/>
            <w:bottom w:w="0" w:type="dxa"/>
            <w:right w:w="0" w:type="dxa"/>
          </w:tblCellMar>
        </w:tblPrEx>
        <w:trPr>
          <w:trHeight w:val="747" w:hRule="atLeast"/>
          <w:jc w:val="center"/>
        </w:trPr>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B65C08">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类别</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3736B4">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序号</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594B64">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考核标准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11CACA">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标准分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B7D784">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得分</w:t>
            </w: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4FF0EA">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备注</w:t>
            </w:r>
          </w:p>
        </w:tc>
      </w:tr>
      <w:tr w14:paraId="57A995A1">
        <w:tblPrEx>
          <w:tblCellMar>
            <w:top w:w="0" w:type="dxa"/>
            <w:left w:w="0" w:type="dxa"/>
            <w:bottom w:w="0" w:type="dxa"/>
            <w:right w:w="0" w:type="dxa"/>
          </w:tblCellMar>
        </w:tblPrEx>
        <w:trPr>
          <w:trHeight w:val="594"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25FD819">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工作纪律</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31E0D4">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1E927A">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在岗期间未按规定着制服；每违反一次扣1分，扣完为止。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D1A5E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6FCAE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90BA83">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816718E">
        <w:tblPrEx>
          <w:tblCellMar>
            <w:top w:w="0" w:type="dxa"/>
            <w:left w:w="0" w:type="dxa"/>
            <w:bottom w:w="0" w:type="dxa"/>
            <w:right w:w="0" w:type="dxa"/>
          </w:tblCellMar>
        </w:tblPrEx>
        <w:trPr>
          <w:trHeight w:val="679"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23CE1A13">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0BA5D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BADF5E">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遵守公司清洁排班表,不迟到，不早退，不旷工；每违反一次扣1分，扣完为止。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9FB463">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1747C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4278B9">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D3F2CF5">
        <w:tblPrEx>
          <w:tblCellMar>
            <w:top w:w="0" w:type="dxa"/>
            <w:left w:w="0" w:type="dxa"/>
            <w:bottom w:w="0" w:type="dxa"/>
            <w:right w:w="0" w:type="dxa"/>
          </w:tblCellMar>
        </w:tblPrEx>
        <w:trPr>
          <w:trHeight w:val="65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44C3789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1CE83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8A339E">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休假提前申请,并在安排好工作代理人后方可休假；每违反一次扣1分，扣完为止。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05D4A8">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218A4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A57DF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2DE2410">
        <w:tblPrEx>
          <w:tblCellMar>
            <w:top w:w="0" w:type="dxa"/>
            <w:left w:w="0" w:type="dxa"/>
            <w:bottom w:w="0" w:type="dxa"/>
            <w:right w:w="0" w:type="dxa"/>
          </w:tblCellMar>
        </w:tblPrEx>
        <w:trPr>
          <w:trHeight w:val="61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29C4CA9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D3FF14">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81C076">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工作期间不串岗,不脱岗,不偷懒，不做与工作无关的事情；每违反一次扣1分，扣完为止。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DE304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6B71297">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00F53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00ADE94">
        <w:tblPrEx>
          <w:tblCellMar>
            <w:top w:w="0" w:type="dxa"/>
            <w:left w:w="0" w:type="dxa"/>
            <w:bottom w:w="0" w:type="dxa"/>
            <w:right w:w="0" w:type="dxa"/>
          </w:tblCellMar>
        </w:tblPrEx>
        <w:trPr>
          <w:trHeight w:val="651"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0F91F183">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D03CB8">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6F0D2B">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全月工作态度勤恳,无接到投诉或不良反映；每接到投诉一次扣2分，扣完为止。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7CE07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4E36D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B588D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942203C">
        <w:tblPrEx>
          <w:tblCellMar>
            <w:top w:w="0" w:type="dxa"/>
            <w:left w:w="0" w:type="dxa"/>
            <w:bottom w:w="0" w:type="dxa"/>
            <w:right w:w="0" w:type="dxa"/>
          </w:tblCellMar>
        </w:tblPrEx>
        <w:trPr>
          <w:trHeight w:val="77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E8AD379">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DF7EF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0BEFD5">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与同事和睦相处，做事不斤斤计较，不因小事与同事闹矛盾，更不能当众吵架；每违反一次扣1分，扣完为止。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742EFB">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360D1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EC674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34CE5A0">
        <w:tblPrEx>
          <w:tblCellMar>
            <w:top w:w="0" w:type="dxa"/>
            <w:left w:w="0" w:type="dxa"/>
            <w:bottom w:w="0" w:type="dxa"/>
            <w:right w:w="0" w:type="dxa"/>
          </w:tblCellMar>
        </w:tblPrEx>
        <w:trPr>
          <w:trHeight w:val="652"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5781FE9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664D54">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0EE898">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爱护公司资源,节约用水、用电；根据需要领用</w:t>
            </w:r>
            <w:r>
              <w:rPr>
                <w:rFonts w:hint="eastAsia" w:ascii="宋体" w:hAnsi="宋体" w:eastAsia="宋体" w:cs="宋体"/>
                <w:color w:val="auto"/>
                <w:kern w:val="0"/>
                <w:szCs w:val="21"/>
                <w:highlight w:val="none"/>
                <w:lang w:val="en-US" w:eastAsia="zh-CN" w:bidi="ar"/>
              </w:rPr>
              <w:t>清洁</w:t>
            </w:r>
            <w:r>
              <w:rPr>
                <w:rFonts w:hint="eastAsia" w:ascii="宋体" w:hAnsi="宋体" w:eastAsia="宋体" w:cs="宋体"/>
                <w:color w:val="auto"/>
                <w:kern w:val="0"/>
                <w:szCs w:val="21"/>
                <w:highlight w:val="none"/>
                <w:lang w:bidi="ar"/>
              </w:rPr>
              <w:t>用品，杜绝浪费；每违反一次扣1分，扣完为止。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2BB02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8842A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DBD4D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BA98092">
        <w:tblPrEx>
          <w:tblCellMar>
            <w:top w:w="0" w:type="dxa"/>
            <w:left w:w="0" w:type="dxa"/>
            <w:bottom w:w="0" w:type="dxa"/>
            <w:right w:w="0" w:type="dxa"/>
          </w:tblCellMar>
        </w:tblPrEx>
        <w:trPr>
          <w:trHeight w:val="693"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1D7470D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C1FFF">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8</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0416E0">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每小时巡查卫生一次，确保所管区域清洁；每违反一次扣1分，扣完为止。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60C109">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5FB317">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C162E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C9E8496">
        <w:tblPrEx>
          <w:tblCellMar>
            <w:top w:w="0" w:type="dxa"/>
            <w:left w:w="0" w:type="dxa"/>
            <w:bottom w:w="0" w:type="dxa"/>
            <w:right w:w="0" w:type="dxa"/>
          </w:tblCellMar>
        </w:tblPrEx>
        <w:trPr>
          <w:trHeight w:val="38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73967E04">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7B1327">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653110">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不服从工作安排，直接扣5分。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876737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9246C4">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EA44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DD5E532">
        <w:tblPrEx>
          <w:tblCellMar>
            <w:top w:w="0" w:type="dxa"/>
            <w:left w:w="0" w:type="dxa"/>
            <w:bottom w:w="0" w:type="dxa"/>
            <w:right w:w="0" w:type="dxa"/>
          </w:tblCellMar>
        </w:tblPrEx>
        <w:trPr>
          <w:trHeight w:val="714"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CD47E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环境卫生</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D31C1D">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275BAB">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每天按公司要求清扫办公楼，未按要求每违反一次扣1分，扣完为止。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CD735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8C416F">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7078C6C">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45C8E64">
        <w:tblPrEx>
          <w:tblCellMar>
            <w:top w:w="0" w:type="dxa"/>
            <w:left w:w="0" w:type="dxa"/>
            <w:bottom w:w="0" w:type="dxa"/>
            <w:right w:w="0" w:type="dxa"/>
          </w:tblCellMar>
        </w:tblPrEx>
        <w:trPr>
          <w:trHeight w:val="92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13DE4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103534">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94926F">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每天上班后首先清除楼道内的垃圾，并及时将垃圾运送到指定地点，办公楼清洁按公司规定清扫各楼内卫生；每违反一次扣1分，扣完为止。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A7674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35DCA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0DCBFF">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DE38A93">
        <w:tblPrEx>
          <w:tblCellMar>
            <w:top w:w="0" w:type="dxa"/>
            <w:left w:w="0" w:type="dxa"/>
            <w:bottom w:w="0" w:type="dxa"/>
            <w:right w:w="0" w:type="dxa"/>
          </w:tblCellMar>
        </w:tblPrEx>
        <w:trPr>
          <w:trHeight w:val="1039"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BD7FF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94A178">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A002AD">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走廊、楼梯等公共卫生区域地面灰尘、痰迹、烟头、纸屑等杂物，地面、墙角无积灰、无杂物、无污（包括地角墙壁）；每发现一次扣1分，扣完为止。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72C9D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27A7D0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D63A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45EE0DA">
        <w:tblPrEx>
          <w:tblCellMar>
            <w:top w:w="0" w:type="dxa"/>
            <w:left w:w="0" w:type="dxa"/>
            <w:bottom w:w="0" w:type="dxa"/>
            <w:right w:w="0" w:type="dxa"/>
          </w:tblCellMar>
        </w:tblPrEx>
        <w:trPr>
          <w:trHeight w:val="1532"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FC384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CB5410">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11CB26">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卫生间无异味，便池内无积存便垢，地面无污水、污垢、痰迹、烟头；水池无明显沉淀、无虫子，池边底无明显结垢现象，定期消毒、盐酸清洗，四壁瓷砖无污迹、无积灰，间隔墙顶无积灰、无杂物，水箱内无大沉淀物、外无污渍；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AEEBA0">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962AA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95D3B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085B9A7">
        <w:tblPrEx>
          <w:tblCellMar>
            <w:top w:w="0" w:type="dxa"/>
            <w:left w:w="0" w:type="dxa"/>
            <w:bottom w:w="0" w:type="dxa"/>
            <w:right w:w="0" w:type="dxa"/>
          </w:tblCellMar>
        </w:tblPrEx>
        <w:trPr>
          <w:trHeight w:val="816"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91845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88DA08">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36380B">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洗手间内水池四周及水龙头清洁无水迹，水池下弯管无积灰、无污渍，镜面无水迹，镜框无锈迹；每发现一次扣1分，扣完为止。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CEA78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8EADF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851A67">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F34C80E">
        <w:tblPrEx>
          <w:tblCellMar>
            <w:top w:w="0" w:type="dxa"/>
            <w:left w:w="0" w:type="dxa"/>
            <w:bottom w:w="0" w:type="dxa"/>
            <w:right w:w="0" w:type="dxa"/>
          </w:tblCellMar>
        </w:tblPrEx>
        <w:trPr>
          <w:trHeight w:val="74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9DE5E6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CCF82B">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809B96">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楼梯扶手、栏杆、窗台要用湿抹布擦干净，无灰尘、污渍；每发现一次扣1分，扣完为止。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4FF29D">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4B75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6C08F9">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B9520A5">
        <w:tblPrEx>
          <w:tblCellMar>
            <w:top w:w="0" w:type="dxa"/>
            <w:left w:w="0" w:type="dxa"/>
            <w:bottom w:w="0" w:type="dxa"/>
            <w:right w:w="0" w:type="dxa"/>
          </w:tblCellMar>
        </w:tblPrEx>
        <w:trPr>
          <w:trHeight w:val="74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AE28A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91BC4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3A6BFB">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墙壁、天花板无蜘蛛网、脚印、球印、痰迹等；每发现一次扣1分，扣完为止。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40F3F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F079B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9DB0D3">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E2D49C2">
        <w:tblPrEx>
          <w:tblCellMar>
            <w:top w:w="0" w:type="dxa"/>
            <w:left w:w="0" w:type="dxa"/>
            <w:bottom w:w="0" w:type="dxa"/>
            <w:right w:w="0" w:type="dxa"/>
          </w:tblCellMar>
        </w:tblPrEx>
        <w:trPr>
          <w:trHeight w:val="74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C02CB3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BB6964">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B94E54">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所管辖的门窗玻璃整洁、明亮、无明显污渍；每发现一次扣1分，扣完为止。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F666B8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BEED34">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7A0D3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36518B5">
        <w:tblPrEx>
          <w:tblCellMar>
            <w:top w:w="0" w:type="dxa"/>
            <w:left w:w="0" w:type="dxa"/>
            <w:bottom w:w="0" w:type="dxa"/>
            <w:right w:w="0" w:type="dxa"/>
          </w:tblCellMar>
        </w:tblPrEx>
        <w:trPr>
          <w:trHeight w:val="843"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D61C3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3F28F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559BE6">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开关、消防器材、配电箱、电表箱等无灰尘、污渍，灯具无明显灰尘，透明度好；每发现一次扣1分，扣完为止。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9449E2">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77F69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3AEF5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0DA351B">
        <w:tblPrEx>
          <w:tblCellMar>
            <w:top w:w="0" w:type="dxa"/>
            <w:left w:w="0" w:type="dxa"/>
            <w:bottom w:w="0" w:type="dxa"/>
            <w:right w:w="0" w:type="dxa"/>
          </w:tblCellMar>
        </w:tblPrEx>
        <w:trPr>
          <w:trHeight w:val="544"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659A0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8C74B0">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19</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5185C0">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公共区内不得堆放各种杂物；每发现一次扣1分，扣完为止。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F697F3">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550B70">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B8D22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6A93F222">
        <w:tblPrEx>
          <w:tblCellMar>
            <w:top w:w="0" w:type="dxa"/>
            <w:left w:w="0" w:type="dxa"/>
            <w:bottom w:w="0" w:type="dxa"/>
            <w:right w:w="0" w:type="dxa"/>
          </w:tblCellMar>
        </w:tblPrEx>
        <w:trPr>
          <w:trHeight w:val="678"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C03F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AC53BC">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0F3AA5">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堆放垃圾处无污秽、异味，垃圾桶、撮子内外表面清洁；每发现一次扣1分，扣完为止。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2101F93">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EBA29F">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B01D74">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5851EFD">
        <w:tblPrEx>
          <w:tblCellMar>
            <w:top w:w="0" w:type="dxa"/>
            <w:left w:w="0" w:type="dxa"/>
            <w:bottom w:w="0" w:type="dxa"/>
            <w:right w:w="0" w:type="dxa"/>
          </w:tblCellMar>
        </w:tblPrEx>
        <w:trPr>
          <w:trHeight w:val="385" w:hRule="atLeast"/>
          <w:jc w:val="center"/>
        </w:trPr>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76352E9">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955E87">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7A9C26">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25A962">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DB882A4">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2DB475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A29CA23">
        <w:tblPrEx>
          <w:tblCellMar>
            <w:top w:w="0" w:type="dxa"/>
            <w:left w:w="0" w:type="dxa"/>
            <w:bottom w:w="0" w:type="dxa"/>
            <w:right w:w="0" w:type="dxa"/>
          </w:tblCellMar>
        </w:tblPrEx>
        <w:trPr>
          <w:trHeight w:val="501" w:hRule="atLeast"/>
          <w:jc w:val="center"/>
        </w:trPr>
        <w:tc>
          <w:tcPr>
            <w:tcW w:w="9082" w:type="dxa"/>
            <w:gridSpan w:val="6"/>
            <w:tcBorders>
              <w:top w:val="nil"/>
              <w:left w:val="nil"/>
              <w:bottom w:val="nil"/>
              <w:right w:val="nil"/>
            </w:tcBorders>
            <w:tcMar>
              <w:top w:w="12" w:type="dxa"/>
              <w:left w:w="12" w:type="dxa"/>
              <w:right w:w="12" w:type="dxa"/>
            </w:tcMar>
            <w:vAlign w:val="center"/>
          </w:tcPr>
          <w:p w14:paraId="3813A025">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评分人：                                             部门负责人：</w:t>
            </w:r>
          </w:p>
        </w:tc>
      </w:tr>
    </w:tbl>
    <w:p w14:paraId="6675CD10">
      <w:pPr>
        <w:pageBreakBefore/>
        <w:autoSpaceDE w:val="0"/>
        <w:autoSpaceDN w:val="0"/>
        <w:adjustRightInd w:val="0"/>
        <w:spacing w:line="360" w:lineRule="auto"/>
        <w:jc w:val="center"/>
        <w:outlineLvl w:val="1"/>
        <w:rPr>
          <w:rFonts w:hint="eastAsia" w:ascii="宋体" w:hAnsi="宋体" w:eastAsia="宋体" w:cs="宋体"/>
          <w:color w:val="auto"/>
          <w:kern w:val="0"/>
          <w:szCs w:val="21"/>
          <w:highlight w:val="none"/>
        </w:rPr>
      </w:pPr>
      <w:r>
        <w:rPr>
          <w:rFonts w:hint="eastAsia" w:ascii="宋体" w:hAnsi="宋体" w:eastAsia="宋体" w:cs="宋体"/>
          <w:b/>
          <w:color w:val="auto"/>
          <w:kern w:val="0"/>
          <w:sz w:val="24"/>
          <w:szCs w:val="24"/>
          <w:highlight w:val="none"/>
          <w:lang w:bidi="ar"/>
        </w:rPr>
        <w:t>表六  服务员（兼前台）人员评分表</w:t>
      </w:r>
    </w:p>
    <w:tbl>
      <w:tblPr>
        <w:tblStyle w:val="39"/>
        <w:tblW w:w="9082" w:type="dxa"/>
        <w:jc w:val="center"/>
        <w:tblLayout w:type="autofit"/>
        <w:tblCellMar>
          <w:top w:w="0" w:type="dxa"/>
          <w:left w:w="0" w:type="dxa"/>
          <w:bottom w:w="0" w:type="dxa"/>
          <w:right w:w="0" w:type="dxa"/>
        </w:tblCellMar>
      </w:tblPr>
      <w:tblGrid>
        <w:gridCol w:w="934"/>
        <w:gridCol w:w="723"/>
        <w:gridCol w:w="5100"/>
        <w:gridCol w:w="777"/>
        <w:gridCol w:w="777"/>
        <w:gridCol w:w="771"/>
      </w:tblGrid>
      <w:tr w14:paraId="7D18F818">
        <w:tblPrEx>
          <w:tblCellMar>
            <w:top w:w="0" w:type="dxa"/>
            <w:left w:w="0" w:type="dxa"/>
            <w:bottom w:w="0" w:type="dxa"/>
            <w:right w:w="0" w:type="dxa"/>
          </w:tblCellMar>
        </w:tblPrEx>
        <w:trPr>
          <w:trHeight w:val="806" w:hRule="atLeast"/>
          <w:jc w:val="center"/>
        </w:trPr>
        <w:tc>
          <w:tcPr>
            <w:tcW w:w="9082" w:type="dxa"/>
            <w:gridSpan w:val="6"/>
            <w:tcBorders>
              <w:top w:val="nil"/>
              <w:left w:val="nil"/>
              <w:bottom w:val="nil"/>
              <w:right w:val="nil"/>
            </w:tcBorders>
            <w:tcMar>
              <w:top w:w="12" w:type="dxa"/>
              <w:left w:w="12" w:type="dxa"/>
              <w:right w:w="12" w:type="dxa"/>
            </w:tcMar>
            <w:vAlign w:val="bottom"/>
          </w:tcPr>
          <w:p w14:paraId="0A9200AF">
            <w:pPr>
              <w:widowControl/>
              <w:autoSpaceDE w:val="0"/>
              <w:autoSpaceDN w:val="0"/>
              <w:adjustRightInd w:val="0"/>
              <w:spacing w:line="360" w:lineRule="auto"/>
              <w:textAlignment w:val="bottom"/>
              <w:outlineLvl w:val="9"/>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 xml:space="preserve">标准分：100分                    考核时间：   年   月 </w:t>
            </w:r>
          </w:p>
          <w:p w14:paraId="7F2E29B2">
            <w:pPr>
              <w:widowControl/>
              <w:autoSpaceDE w:val="0"/>
              <w:autoSpaceDN w:val="0"/>
              <w:adjustRightInd w:val="0"/>
              <w:spacing w:line="360" w:lineRule="auto"/>
              <w:textAlignment w:val="bottom"/>
              <w:outlineLvl w:val="9"/>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bidi="ar"/>
              </w:rPr>
              <w:t xml:space="preserve">服务地址：    </w:t>
            </w:r>
          </w:p>
        </w:tc>
      </w:tr>
      <w:tr w14:paraId="20752638">
        <w:tblPrEx>
          <w:tblCellMar>
            <w:top w:w="0" w:type="dxa"/>
            <w:left w:w="0" w:type="dxa"/>
            <w:bottom w:w="0" w:type="dxa"/>
            <w:right w:w="0" w:type="dxa"/>
          </w:tblCellMar>
        </w:tblPrEx>
        <w:trPr>
          <w:trHeight w:val="747" w:hRule="atLeast"/>
          <w:jc w:val="center"/>
        </w:trPr>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A3EDD8">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类别</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02499C">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序号</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9192D1">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考核标准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0298278">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标准分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678DC99">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得分</w:t>
            </w: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CED11E">
            <w:pPr>
              <w:widowControl/>
              <w:autoSpaceDE w:val="0"/>
              <w:autoSpaceDN w:val="0"/>
              <w:adjustRightInd w:val="0"/>
              <w:spacing w:line="360" w:lineRule="auto"/>
              <w:jc w:val="center"/>
              <w:textAlignment w:val="center"/>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备注</w:t>
            </w:r>
          </w:p>
        </w:tc>
      </w:tr>
      <w:tr w14:paraId="01B4CBC1">
        <w:tblPrEx>
          <w:tblCellMar>
            <w:top w:w="0" w:type="dxa"/>
            <w:left w:w="0" w:type="dxa"/>
            <w:bottom w:w="0" w:type="dxa"/>
            <w:right w:w="0" w:type="dxa"/>
          </w:tblCellMar>
        </w:tblPrEx>
        <w:trPr>
          <w:trHeight w:val="594" w:hRule="atLeast"/>
          <w:jc w:val="center"/>
        </w:trPr>
        <w:tc>
          <w:tcPr>
            <w:tcW w:w="934" w:type="dxa"/>
            <w:vMerge w:val="restart"/>
            <w:tcBorders>
              <w:top w:val="single" w:color="000000" w:sz="4" w:space="0"/>
              <w:left w:val="single" w:color="000000" w:sz="4" w:space="0"/>
              <w:right w:val="single" w:color="000000" w:sz="4" w:space="0"/>
            </w:tcBorders>
            <w:tcMar>
              <w:top w:w="12" w:type="dxa"/>
              <w:left w:w="12" w:type="dxa"/>
              <w:right w:w="12" w:type="dxa"/>
            </w:tcMar>
            <w:textDirection w:val="tbRlV"/>
            <w:vAlign w:val="center"/>
          </w:tcPr>
          <w:p w14:paraId="1ABCCA8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工作纪律</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925CC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37AA32">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在岗期间穿戴整齐，仪容整洁；每违反一次扣2分，扣完为止。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50EE5E">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9FB949">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A91C1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AFB8448">
        <w:tblPrEx>
          <w:tblCellMar>
            <w:top w:w="0" w:type="dxa"/>
            <w:left w:w="0" w:type="dxa"/>
            <w:bottom w:w="0" w:type="dxa"/>
            <w:right w:w="0" w:type="dxa"/>
          </w:tblCellMar>
        </w:tblPrEx>
        <w:trPr>
          <w:trHeight w:val="679"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1A3E9F4C">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1AB2D6">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CE6EC0">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外部人员接待；未按招标人（甲方）要求执行每违反一次扣5分，扣完为止。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146B49">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B5886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3AFEC6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2E1565E">
        <w:tblPrEx>
          <w:tblCellMar>
            <w:top w:w="0" w:type="dxa"/>
            <w:left w:w="0" w:type="dxa"/>
            <w:bottom w:w="0" w:type="dxa"/>
            <w:right w:w="0" w:type="dxa"/>
          </w:tblCellMar>
        </w:tblPrEx>
        <w:trPr>
          <w:trHeight w:val="650"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73660A9F">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E35A55">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F145CF">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定期派送刊物及提醒员工取快递；逾期2天（含）以上扣5分，扣完为止。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3993FE">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5E17E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601B75">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6921488">
        <w:tblPrEx>
          <w:tblCellMar>
            <w:top w:w="0" w:type="dxa"/>
            <w:left w:w="0" w:type="dxa"/>
            <w:bottom w:w="0" w:type="dxa"/>
            <w:right w:w="0" w:type="dxa"/>
          </w:tblCellMar>
        </w:tblPrEx>
        <w:trPr>
          <w:trHeight w:val="615"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5443DA6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579840">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3CE878">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做好会议工作，未按招标人（甲方）要求执行每违反一次扣5分，扣完为止。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86B47A">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CC646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0D816C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9BEE7DF">
        <w:tblPrEx>
          <w:tblCellMar>
            <w:top w:w="0" w:type="dxa"/>
            <w:left w:w="0" w:type="dxa"/>
            <w:bottom w:w="0" w:type="dxa"/>
            <w:right w:w="0" w:type="dxa"/>
          </w:tblCellMar>
        </w:tblPrEx>
        <w:trPr>
          <w:trHeight w:val="651"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375038A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AD6EC7">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6C75D5">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迟到早退一次扣5分，扣完为止。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D163A0">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CE594E">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2BC59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4CB12537">
        <w:tblPrEx>
          <w:tblCellMar>
            <w:top w:w="0" w:type="dxa"/>
            <w:left w:w="0" w:type="dxa"/>
            <w:bottom w:w="0" w:type="dxa"/>
            <w:right w:w="0" w:type="dxa"/>
          </w:tblCellMar>
        </w:tblPrEx>
        <w:trPr>
          <w:trHeight w:val="775"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360CD17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DAED6B">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C6FAD3">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做好保密工作，每违反一次扣10分，扣完为止。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E0FFD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EADC56">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AEB9A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A3BC7F8">
        <w:tblPrEx>
          <w:tblCellMar>
            <w:top w:w="0" w:type="dxa"/>
            <w:left w:w="0" w:type="dxa"/>
            <w:bottom w:w="0" w:type="dxa"/>
            <w:right w:w="0" w:type="dxa"/>
          </w:tblCellMar>
        </w:tblPrEx>
        <w:trPr>
          <w:trHeight w:val="385" w:hRule="atLeast"/>
          <w:jc w:val="center"/>
        </w:trPr>
        <w:tc>
          <w:tcPr>
            <w:tcW w:w="934" w:type="dxa"/>
            <w:tcBorders>
              <w:left w:val="single" w:color="000000" w:sz="4" w:space="0"/>
              <w:right w:val="single" w:color="000000" w:sz="4" w:space="0"/>
            </w:tcBorders>
            <w:tcMar>
              <w:top w:w="12" w:type="dxa"/>
              <w:left w:w="12" w:type="dxa"/>
              <w:right w:w="12" w:type="dxa"/>
            </w:tcMar>
            <w:vAlign w:val="center"/>
          </w:tcPr>
          <w:p w14:paraId="61465E3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B629EA">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3143DC">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做好</w:t>
            </w:r>
            <w:r>
              <w:rPr>
                <w:rFonts w:hint="eastAsia" w:ascii="宋体" w:hAnsi="宋体" w:eastAsia="宋体" w:cs="宋体"/>
                <w:color w:val="auto"/>
                <w:kern w:val="0"/>
                <w:szCs w:val="21"/>
                <w:highlight w:val="none"/>
                <w:lang w:bidi="ar"/>
              </w:rPr>
              <w:t>招标人（甲方）</w:t>
            </w:r>
            <w:r>
              <w:rPr>
                <w:rFonts w:hint="eastAsia" w:ascii="宋体" w:hAnsi="宋体" w:eastAsia="宋体" w:cs="宋体"/>
                <w:color w:val="auto"/>
                <w:kern w:val="0"/>
                <w:szCs w:val="21"/>
                <w:highlight w:val="none"/>
              </w:rPr>
              <w:t>交办的其他任务</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250311">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100F32">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4FC66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588ED77">
        <w:tblPrEx>
          <w:tblCellMar>
            <w:top w:w="0" w:type="dxa"/>
            <w:left w:w="0" w:type="dxa"/>
            <w:bottom w:w="0" w:type="dxa"/>
            <w:right w:w="0" w:type="dxa"/>
          </w:tblCellMar>
        </w:tblPrEx>
        <w:trPr>
          <w:trHeight w:val="385" w:hRule="atLeast"/>
          <w:jc w:val="center"/>
        </w:trPr>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BF557B">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E8F5DD">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D485CA">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F87EFD">
            <w:pPr>
              <w:widowControl/>
              <w:autoSpaceDE w:val="0"/>
              <w:autoSpaceDN w:val="0"/>
              <w:adjustRightInd w:val="0"/>
              <w:spacing w:line="360" w:lineRule="auto"/>
              <w:jc w:val="center"/>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D62EC1">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7D06C8">
            <w:pPr>
              <w:widowControl/>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793F02A2">
        <w:tblPrEx>
          <w:tblCellMar>
            <w:top w:w="0" w:type="dxa"/>
            <w:left w:w="0" w:type="dxa"/>
            <w:bottom w:w="0" w:type="dxa"/>
            <w:right w:w="0" w:type="dxa"/>
          </w:tblCellMar>
        </w:tblPrEx>
        <w:trPr>
          <w:trHeight w:val="501" w:hRule="atLeast"/>
          <w:jc w:val="center"/>
        </w:trPr>
        <w:tc>
          <w:tcPr>
            <w:tcW w:w="9082" w:type="dxa"/>
            <w:gridSpan w:val="6"/>
            <w:tcBorders>
              <w:top w:val="nil"/>
              <w:left w:val="nil"/>
              <w:bottom w:val="nil"/>
              <w:right w:val="nil"/>
            </w:tcBorders>
            <w:tcMar>
              <w:top w:w="12" w:type="dxa"/>
              <w:left w:w="12" w:type="dxa"/>
              <w:right w:w="12" w:type="dxa"/>
            </w:tcMar>
            <w:vAlign w:val="center"/>
          </w:tcPr>
          <w:p w14:paraId="289DDB1E">
            <w:pPr>
              <w:widowControl/>
              <w:autoSpaceDE w:val="0"/>
              <w:autoSpaceDN w:val="0"/>
              <w:adjustRightInd w:val="0"/>
              <w:spacing w:line="360" w:lineRule="auto"/>
              <w:jc w:val="left"/>
              <w:textAlignment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评分人：                                             部门负责人：</w:t>
            </w:r>
          </w:p>
        </w:tc>
      </w:tr>
    </w:tbl>
    <w:p w14:paraId="39D3CD21">
      <w:pPr>
        <w:outlineLvl w:val="9"/>
        <w:rPr>
          <w:rFonts w:hint="eastAsia" w:ascii="宋体" w:hAnsi="宋体" w:eastAsia="宋体" w:cs="宋体"/>
          <w:color w:val="auto"/>
          <w:highlight w:val="none"/>
        </w:rPr>
      </w:pPr>
    </w:p>
    <w:bookmarkEnd w:id="373"/>
    <w:p w14:paraId="1A0B9E3F">
      <w:pPr>
        <w:outlineLvl w:val="9"/>
        <w:rPr>
          <w:rFonts w:hint="eastAsia" w:ascii="宋体" w:hAnsi="宋体" w:eastAsia="宋体" w:cs="宋体"/>
          <w:color w:val="auto"/>
          <w:highlight w:val="none"/>
        </w:rPr>
      </w:pPr>
    </w:p>
    <w:p w14:paraId="4A0627E4">
      <w:pPr>
        <w:spacing w:line="360" w:lineRule="auto"/>
        <w:outlineLvl w:val="9"/>
        <w:rPr>
          <w:rFonts w:hint="eastAsia" w:ascii="宋体" w:hAnsi="宋体" w:eastAsia="宋体" w:cs="宋体"/>
          <w:b/>
          <w:color w:val="auto"/>
          <w:szCs w:val="21"/>
          <w:highlight w:val="none"/>
          <w:lang w:val="zh-CN"/>
        </w:rPr>
      </w:pPr>
    </w:p>
    <w:p w14:paraId="047FC93F">
      <w:pPr>
        <w:spacing w:line="360" w:lineRule="auto"/>
        <w:outlineLvl w:val="9"/>
        <w:rPr>
          <w:rFonts w:hint="eastAsia" w:ascii="宋体" w:hAnsi="宋体" w:eastAsia="宋体" w:cs="宋体"/>
          <w:color w:val="auto"/>
          <w:szCs w:val="21"/>
          <w:highlight w:val="none"/>
        </w:rPr>
      </w:pPr>
    </w:p>
    <w:p w14:paraId="2B0D070E">
      <w:pPr>
        <w:outlineLvl w:val="9"/>
        <w:rPr>
          <w:rFonts w:hint="eastAsia" w:ascii="宋体" w:hAnsi="宋体" w:eastAsia="宋体" w:cs="宋体"/>
          <w:b/>
          <w:color w:val="auto"/>
          <w:szCs w:val="21"/>
          <w:highlight w:val="none"/>
        </w:rPr>
      </w:pPr>
    </w:p>
    <w:p w14:paraId="6D36F77F">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lang w:val="zh-CN"/>
        </w:rPr>
      </w:pPr>
      <w:bookmarkStart w:id="375" w:name="_Toc11281_WPSOffice_Level1"/>
      <w:bookmarkStart w:id="376" w:name="_Toc11873"/>
      <w:bookmarkStart w:id="377" w:name="_Toc486167707"/>
      <w:bookmarkStart w:id="378" w:name="_Toc450662892"/>
      <w:bookmarkStart w:id="379" w:name="_Toc20401"/>
      <w:bookmarkStart w:id="380" w:name="_Toc25251"/>
      <w:bookmarkStart w:id="381" w:name="_Toc142508359"/>
      <w:r>
        <w:rPr>
          <w:rFonts w:hint="eastAsia" w:ascii="宋体" w:hAnsi="宋体" w:eastAsia="宋体" w:cs="宋体"/>
          <w:b/>
          <w:bCs/>
          <w:color w:val="auto"/>
          <w:kern w:val="44"/>
          <w:sz w:val="32"/>
          <w:szCs w:val="32"/>
          <w:highlight w:val="none"/>
          <w:lang w:val="zh-CN"/>
        </w:rPr>
        <w:t>第四篇 合同条款格式</w:t>
      </w:r>
      <w:bookmarkEnd w:id="375"/>
      <w:bookmarkEnd w:id="376"/>
      <w:bookmarkEnd w:id="377"/>
      <w:bookmarkEnd w:id="378"/>
      <w:bookmarkEnd w:id="379"/>
      <w:bookmarkEnd w:id="380"/>
      <w:bookmarkEnd w:id="381"/>
    </w:p>
    <w:p w14:paraId="1B9F7B58">
      <w:pPr>
        <w:pStyle w:val="19"/>
        <w:rPr>
          <w:rFonts w:hint="eastAsia" w:ascii="宋体" w:hAnsi="宋体" w:eastAsia="宋体" w:cs="宋体"/>
          <w:color w:val="auto"/>
          <w:kern w:val="0"/>
          <w:sz w:val="24"/>
          <w:szCs w:val="24"/>
          <w:highlight w:val="none"/>
        </w:rPr>
      </w:pPr>
      <w:bookmarkStart w:id="382" w:name="_Toc447044603"/>
      <w:bookmarkStart w:id="383" w:name="_Toc24427_WPSOffice_Level1"/>
      <w:bookmarkStart w:id="384" w:name="_Toc512353083"/>
      <w:bookmarkStart w:id="385" w:name="_Toc30025"/>
      <w:bookmarkStart w:id="386" w:name="_Toc25564"/>
      <w:bookmarkStart w:id="387" w:name="_Toc142508360"/>
      <w:bookmarkStart w:id="388" w:name="_Toc28840"/>
      <w:bookmarkStart w:id="389" w:name="_Toc447044479"/>
      <w:bookmarkStart w:id="390" w:name="_Toc447045090"/>
    </w:p>
    <w:p w14:paraId="39153F6B">
      <w:pPr>
        <w:spacing w:line="360" w:lineRule="auto"/>
        <w:ind w:firstLine="5670" w:firstLineChars="2700"/>
        <w:jc w:val="both"/>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合同编号：</w:t>
      </w:r>
    </w:p>
    <w:p w14:paraId="379EA018">
      <w:pPr>
        <w:spacing w:line="360" w:lineRule="auto"/>
        <w:jc w:val="center"/>
        <w:rPr>
          <w:rFonts w:hint="eastAsia" w:ascii="宋体" w:hAnsi="宋体" w:eastAsia="宋体" w:cs="宋体"/>
          <w:b/>
          <w:color w:val="auto"/>
          <w:sz w:val="52"/>
          <w:szCs w:val="52"/>
          <w:highlight w:val="none"/>
        </w:rPr>
      </w:pPr>
    </w:p>
    <w:p w14:paraId="1D6BD7A7">
      <w:pPr>
        <w:spacing w:line="360" w:lineRule="auto"/>
        <w:jc w:val="center"/>
        <w:rPr>
          <w:rFonts w:hint="eastAsia" w:ascii="宋体" w:hAnsi="宋体" w:eastAsia="宋体" w:cs="宋体"/>
          <w:b/>
          <w:color w:val="auto"/>
          <w:sz w:val="56"/>
          <w:szCs w:val="56"/>
          <w:highlight w:val="none"/>
        </w:rPr>
      </w:pPr>
    </w:p>
    <w:p w14:paraId="3E9B4954">
      <w:pPr>
        <w:spacing w:line="360" w:lineRule="auto"/>
        <w:jc w:val="center"/>
        <w:rPr>
          <w:rFonts w:hint="eastAsia" w:ascii="宋体" w:hAnsi="宋体" w:eastAsia="宋体" w:cs="宋体"/>
          <w:b/>
          <w:color w:val="auto"/>
          <w:sz w:val="56"/>
          <w:szCs w:val="56"/>
          <w:highlight w:val="none"/>
        </w:rPr>
      </w:pPr>
      <w:r>
        <w:rPr>
          <w:rFonts w:hint="eastAsia" w:ascii="宋体" w:hAnsi="宋体" w:eastAsia="宋体" w:cs="宋体"/>
          <w:b/>
          <w:color w:val="auto"/>
          <w:sz w:val="56"/>
          <w:szCs w:val="56"/>
          <w:highlight w:val="none"/>
        </w:rPr>
        <w:t>东莞市水务集团管网有限公司202</w:t>
      </w:r>
      <w:r>
        <w:rPr>
          <w:rFonts w:hint="eastAsia" w:ascii="宋体" w:hAnsi="宋体" w:eastAsia="宋体" w:cs="宋体"/>
          <w:b/>
          <w:color w:val="auto"/>
          <w:sz w:val="56"/>
          <w:szCs w:val="56"/>
          <w:highlight w:val="none"/>
          <w:lang w:val="en-US" w:eastAsia="zh-CN"/>
        </w:rPr>
        <w:t>5</w:t>
      </w:r>
      <w:r>
        <w:rPr>
          <w:rFonts w:hint="eastAsia" w:ascii="宋体" w:hAnsi="宋体" w:eastAsia="宋体" w:cs="宋体"/>
          <w:b/>
          <w:color w:val="auto"/>
          <w:sz w:val="56"/>
          <w:szCs w:val="56"/>
          <w:highlight w:val="none"/>
        </w:rPr>
        <w:t>年餐厨及清洁服务合同</w:t>
      </w:r>
    </w:p>
    <w:p w14:paraId="4C382C84">
      <w:pPr>
        <w:spacing w:line="360" w:lineRule="auto"/>
        <w:rPr>
          <w:rFonts w:hint="eastAsia" w:ascii="宋体" w:hAnsi="宋体" w:eastAsia="宋体" w:cs="宋体"/>
          <w:color w:val="auto"/>
          <w:szCs w:val="21"/>
          <w:highlight w:val="none"/>
        </w:rPr>
      </w:pPr>
    </w:p>
    <w:p w14:paraId="67E33ADB">
      <w:pPr>
        <w:spacing w:line="360" w:lineRule="auto"/>
        <w:rPr>
          <w:rFonts w:hint="eastAsia" w:ascii="宋体" w:hAnsi="宋体" w:eastAsia="宋体" w:cs="宋体"/>
          <w:color w:val="auto"/>
          <w:szCs w:val="21"/>
          <w:highlight w:val="none"/>
        </w:rPr>
      </w:pPr>
    </w:p>
    <w:p w14:paraId="1D43FC73">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甲方1：</w:t>
      </w:r>
      <w:r>
        <w:rPr>
          <w:rFonts w:hint="eastAsia" w:ascii="宋体" w:hAnsi="宋体" w:eastAsia="宋体" w:cs="宋体"/>
          <w:color w:val="auto"/>
          <w:kern w:val="2"/>
          <w:sz w:val="32"/>
          <w:szCs w:val="32"/>
          <w:highlight w:val="none"/>
        </w:rPr>
        <w:t>东莞市水务集团管网有限公司</w:t>
      </w:r>
    </w:p>
    <w:p w14:paraId="2B1E9F78">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甲方2：东莞市</w:t>
      </w:r>
      <w:r>
        <w:rPr>
          <w:rFonts w:hint="eastAsia" w:ascii="宋体" w:hAnsi="宋体" w:eastAsia="宋体" w:cs="宋体"/>
          <w:color w:val="auto"/>
          <w:kern w:val="2"/>
          <w:sz w:val="32"/>
          <w:szCs w:val="32"/>
          <w:highlight w:val="none"/>
          <w:lang w:bidi="ar"/>
        </w:rPr>
        <w:t>莞泽</w:t>
      </w:r>
      <w:r>
        <w:rPr>
          <w:rFonts w:hint="eastAsia" w:ascii="宋体" w:hAnsi="宋体" w:eastAsia="宋体" w:cs="宋体"/>
          <w:color w:val="auto"/>
          <w:kern w:val="2"/>
          <w:sz w:val="32"/>
          <w:szCs w:val="32"/>
          <w:highlight w:val="none"/>
          <w:lang w:val="en-US" w:eastAsia="zh-CN" w:bidi="ar"/>
        </w:rPr>
        <w:t>水环境投资有限</w:t>
      </w:r>
      <w:r>
        <w:rPr>
          <w:rFonts w:hint="eastAsia" w:ascii="宋体" w:hAnsi="宋体" w:eastAsia="宋体" w:cs="宋体"/>
          <w:color w:val="auto"/>
          <w:kern w:val="2"/>
          <w:sz w:val="32"/>
          <w:szCs w:val="32"/>
          <w:highlight w:val="none"/>
          <w:lang w:bidi="ar"/>
        </w:rPr>
        <w:t>公司</w:t>
      </w:r>
    </w:p>
    <w:p w14:paraId="43FE57A5">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甲方3：东莞市</w:t>
      </w:r>
      <w:r>
        <w:rPr>
          <w:rFonts w:hint="eastAsia" w:ascii="宋体" w:hAnsi="宋体" w:eastAsia="宋体" w:cs="宋体"/>
          <w:color w:val="auto"/>
          <w:kern w:val="2"/>
          <w:sz w:val="32"/>
          <w:szCs w:val="32"/>
          <w:highlight w:val="none"/>
          <w:lang w:bidi="ar"/>
        </w:rPr>
        <w:t>东信</w:t>
      </w:r>
      <w:r>
        <w:rPr>
          <w:rFonts w:hint="eastAsia" w:ascii="宋体" w:hAnsi="宋体" w:eastAsia="宋体" w:cs="宋体"/>
          <w:color w:val="auto"/>
          <w:kern w:val="2"/>
          <w:sz w:val="32"/>
          <w:szCs w:val="32"/>
          <w:highlight w:val="none"/>
          <w:lang w:val="en-US" w:eastAsia="zh-CN" w:bidi="ar"/>
        </w:rPr>
        <w:t>水环境投资有限</w:t>
      </w:r>
      <w:r>
        <w:rPr>
          <w:rFonts w:hint="eastAsia" w:ascii="宋体" w:hAnsi="宋体" w:eastAsia="宋体" w:cs="宋体"/>
          <w:color w:val="auto"/>
          <w:kern w:val="2"/>
          <w:sz w:val="32"/>
          <w:szCs w:val="32"/>
          <w:highlight w:val="none"/>
          <w:lang w:bidi="ar"/>
        </w:rPr>
        <w:t>公司</w:t>
      </w:r>
    </w:p>
    <w:p w14:paraId="1308187F">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甲方4：东莞市</w:t>
      </w:r>
      <w:r>
        <w:rPr>
          <w:rFonts w:hint="eastAsia" w:ascii="宋体" w:hAnsi="宋体" w:eastAsia="宋体" w:cs="宋体"/>
          <w:color w:val="auto"/>
          <w:kern w:val="2"/>
          <w:sz w:val="32"/>
          <w:szCs w:val="32"/>
          <w:highlight w:val="none"/>
          <w:lang w:bidi="ar"/>
        </w:rPr>
        <w:t>东泽</w:t>
      </w:r>
      <w:r>
        <w:rPr>
          <w:rFonts w:hint="eastAsia" w:ascii="宋体" w:hAnsi="宋体" w:eastAsia="宋体" w:cs="宋体"/>
          <w:color w:val="auto"/>
          <w:kern w:val="2"/>
          <w:sz w:val="32"/>
          <w:szCs w:val="32"/>
          <w:highlight w:val="none"/>
          <w:lang w:val="en-US" w:eastAsia="zh-CN" w:bidi="ar"/>
        </w:rPr>
        <w:t>水环境投资有限</w:t>
      </w:r>
      <w:r>
        <w:rPr>
          <w:rFonts w:hint="eastAsia" w:ascii="宋体" w:hAnsi="宋体" w:eastAsia="宋体" w:cs="宋体"/>
          <w:color w:val="auto"/>
          <w:kern w:val="2"/>
          <w:sz w:val="32"/>
          <w:szCs w:val="32"/>
          <w:highlight w:val="none"/>
          <w:lang w:bidi="ar"/>
        </w:rPr>
        <w:t>公司</w:t>
      </w:r>
    </w:p>
    <w:p w14:paraId="543F0921">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甲方5：东莞市</w:t>
      </w:r>
      <w:r>
        <w:rPr>
          <w:rFonts w:hint="eastAsia" w:ascii="宋体" w:hAnsi="宋体" w:eastAsia="宋体" w:cs="宋体"/>
          <w:color w:val="auto"/>
          <w:kern w:val="2"/>
          <w:sz w:val="32"/>
          <w:szCs w:val="32"/>
          <w:highlight w:val="none"/>
          <w:lang w:bidi="ar"/>
        </w:rPr>
        <w:t>清泽</w:t>
      </w:r>
      <w:r>
        <w:rPr>
          <w:rFonts w:hint="eastAsia" w:ascii="宋体" w:hAnsi="宋体" w:eastAsia="宋体" w:cs="宋体"/>
          <w:color w:val="auto"/>
          <w:kern w:val="2"/>
          <w:sz w:val="32"/>
          <w:szCs w:val="32"/>
          <w:highlight w:val="none"/>
          <w:lang w:val="en-US" w:eastAsia="zh-CN" w:bidi="ar"/>
        </w:rPr>
        <w:t>水环境投资有限</w:t>
      </w:r>
      <w:r>
        <w:rPr>
          <w:rFonts w:hint="eastAsia" w:ascii="宋体" w:hAnsi="宋体" w:eastAsia="宋体" w:cs="宋体"/>
          <w:color w:val="auto"/>
          <w:kern w:val="2"/>
          <w:sz w:val="32"/>
          <w:szCs w:val="32"/>
          <w:highlight w:val="none"/>
          <w:lang w:bidi="ar"/>
        </w:rPr>
        <w:t>公司</w:t>
      </w:r>
    </w:p>
    <w:p w14:paraId="3D678A0B">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 xml:space="preserve">  （以上统称为甲方）</w:t>
      </w:r>
    </w:p>
    <w:p w14:paraId="1C7A6DAC">
      <w:pPr>
        <w:spacing w:line="360" w:lineRule="auto"/>
        <w:ind w:firstLine="1280" w:firstLineChars="400"/>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w:t>
      </w:r>
    </w:p>
    <w:p w14:paraId="6E635610">
      <w:pPr>
        <w:spacing w:line="360" w:lineRule="auto"/>
        <w:ind w:firstLine="1280" w:firstLineChars="400"/>
        <w:rPr>
          <w:rFonts w:hint="eastAsia" w:ascii="宋体" w:hAnsi="宋体" w:eastAsia="宋体" w:cs="宋体"/>
          <w:color w:val="auto"/>
          <w:sz w:val="32"/>
          <w:szCs w:val="32"/>
          <w:highlight w:val="none"/>
          <w:u w:val="single"/>
        </w:rPr>
      </w:pPr>
    </w:p>
    <w:p w14:paraId="2C17C7C8">
      <w:pPr>
        <w:spacing w:line="360" w:lineRule="auto"/>
        <w:rPr>
          <w:rFonts w:hint="eastAsia" w:ascii="宋体" w:hAnsi="宋体" w:eastAsia="宋体" w:cs="宋体"/>
          <w:color w:val="auto"/>
          <w:sz w:val="32"/>
          <w:szCs w:val="32"/>
          <w:highlight w:val="none"/>
        </w:rPr>
      </w:pPr>
    </w:p>
    <w:p w14:paraId="0D6B8463">
      <w:pPr>
        <w:spacing w:line="360" w:lineRule="auto"/>
        <w:ind w:firstLine="960" w:firstLineChars="300"/>
        <w:rPr>
          <w:rFonts w:hint="eastAsia" w:ascii="宋体" w:hAnsi="宋体" w:eastAsia="宋体" w:cs="宋体"/>
          <w:color w:val="auto"/>
          <w:highlight w:val="none"/>
        </w:rPr>
      </w:pPr>
      <w:r>
        <w:rPr>
          <w:rFonts w:hint="eastAsia" w:ascii="宋体" w:hAnsi="宋体" w:eastAsia="宋体" w:cs="宋体"/>
          <w:color w:val="auto"/>
          <w:sz w:val="32"/>
          <w:szCs w:val="32"/>
          <w:highlight w:val="none"/>
        </w:rPr>
        <w:t>签订日期：      年     月    日</w:t>
      </w:r>
    </w:p>
    <w:p w14:paraId="2AA530B7">
      <w:pPr>
        <w:rPr>
          <w:rFonts w:hint="eastAsia" w:ascii="宋体" w:hAnsi="宋体" w:eastAsia="宋体" w:cs="宋体"/>
          <w:color w:val="auto"/>
          <w:szCs w:val="21"/>
          <w:highlight w:val="none"/>
        </w:rPr>
      </w:pPr>
      <w:r>
        <w:rPr>
          <w:rFonts w:hint="eastAsia" w:ascii="宋体" w:hAnsi="宋体" w:eastAsia="宋体" w:cs="宋体"/>
          <w:color w:val="auto"/>
          <w:szCs w:val="21"/>
          <w:highlight w:val="none"/>
        </w:rPr>
        <w:br w:type="page"/>
      </w:r>
    </w:p>
    <w:p w14:paraId="610FCE33">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根据《中华人民共和国民法典》及招标文件、投标文件、中标通知书等相关资料的要求，经双方协商一致，签订本合同，共同遵守如下条款。</w:t>
      </w:r>
    </w:p>
    <w:p w14:paraId="3ED03E8D">
      <w:pPr>
        <w:snapToGrid w:val="0"/>
        <w:spacing w:line="360" w:lineRule="auto"/>
        <w:ind w:firstLine="422" w:firstLineChars="20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一、合同项目</w:t>
      </w:r>
    </w:p>
    <w:p w14:paraId="7C9A1D0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（一）项目名称：</w:t>
      </w:r>
      <w:r>
        <w:rPr>
          <w:rFonts w:hint="eastAsia" w:ascii="宋体" w:hAnsi="宋体" w:eastAsia="宋体" w:cs="宋体"/>
          <w:color w:val="auto"/>
          <w:kern w:val="0"/>
          <w:szCs w:val="21"/>
          <w:highlight w:val="none"/>
        </w:rPr>
        <w:t>东莞市水务集团管网有限公司202</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年餐厨及清洁服务</w:t>
      </w:r>
    </w:p>
    <w:p w14:paraId="08BB933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（二）项目编号：</w:t>
      </w:r>
    </w:p>
    <w:p w14:paraId="4CA5C0B3">
      <w:pPr>
        <w:snapToGrid w:val="0"/>
        <w:spacing w:line="360" w:lineRule="auto"/>
        <w:ind w:firstLine="422" w:firstLineChars="200"/>
        <w:contextualSpacing/>
        <w:outlineLvl w:val="1"/>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二、项目概况</w:t>
      </w:r>
    </w:p>
    <w:p w14:paraId="2DD3755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甲方采用公开招标</w:t>
      </w:r>
      <w:r>
        <w:rPr>
          <w:rFonts w:hint="eastAsia" w:ascii="宋体" w:hAnsi="宋体" w:eastAsia="宋体" w:cs="宋体"/>
          <w:color w:val="auto"/>
          <w:szCs w:val="21"/>
          <w:highlight w:val="none"/>
          <w:lang w:val="en-US" w:eastAsia="zh-CN"/>
        </w:rPr>
        <w:t>方式</w:t>
      </w:r>
      <w:r>
        <w:rPr>
          <w:rFonts w:hint="eastAsia" w:ascii="宋体" w:hAnsi="宋体" w:eastAsia="宋体" w:cs="宋体"/>
          <w:color w:val="auto"/>
          <w:szCs w:val="21"/>
          <w:highlight w:val="none"/>
        </w:rPr>
        <w:t>采购，乙方根据甲方实际需求提供餐厨及清洁服务，甲方向乙方支付劳务服务费用。</w:t>
      </w:r>
    </w:p>
    <w:p w14:paraId="0F734CC2">
      <w:pPr>
        <w:snapToGrid w:val="0"/>
        <w:spacing w:line="360" w:lineRule="auto"/>
        <w:ind w:firstLine="422" w:firstLineChars="20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三、人员及费用要求</w:t>
      </w:r>
    </w:p>
    <w:p w14:paraId="707FC7C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（一）人员需求：厨师【</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】人、厨工【</w:t>
      </w:r>
      <w:r>
        <w:rPr>
          <w:rFonts w:hint="eastAsia" w:ascii="宋体" w:hAnsi="宋体" w:eastAsia="宋体" w:cs="宋体"/>
          <w:color w:val="auto"/>
          <w:szCs w:val="21"/>
          <w:highlight w:val="none"/>
          <w:lang w:val="en-US" w:eastAsia="zh-CN"/>
        </w:rPr>
        <w:t>17</w:t>
      </w:r>
      <w:r>
        <w:rPr>
          <w:rFonts w:hint="eastAsia" w:ascii="宋体" w:hAnsi="宋体" w:eastAsia="宋体" w:cs="宋体"/>
          <w:color w:val="auto"/>
          <w:szCs w:val="21"/>
          <w:highlight w:val="none"/>
        </w:rPr>
        <w:t>】人、清洁工【</w:t>
      </w:r>
      <w:r>
        <w:rPr>
          <w:rFonts w:hint="eastAsia" w:ascii="宋体" w:hAnsi="宋体" w:eastAsia="宋体" w:cs="宋体"/>
          <w:color w:val="auto"/>
          <w:szCs w:val="21"/>
          <w:highlight w:val="none"/>
          <w:lang w:val="en-US" w:eastAsia="zh-CN"/>
        </w:rPr>
        <w:t>22</w:t>
      </w:r>
      <w:r>
        <w:rPr>
          <w:rFonts w:hint="eastAsia" w:ascii="宋体" w:hAnsi="宋体" w:eastAsia="宋体" w:cs="宋体"/>
          <w:color w:val="auto"/>
          <w:szCs w:val="21"/>
          <w:highlight w:val="none"/>
        </w:rPr>
        <w:t>】人、服务员（兼前台）【</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】人，合计【</w:t>
      </w:r>
      <w:r>
        <w:rPr>
          <w:rFonts w:hint="eastAsia" w:ascii="宋体" w:hAnsi="宋体" w:eastAsia="宋体" w:cs="宋体"/>
          <w:color w:val="auto"/>
          <w:szCs w:val="21"/>
          <w:highlight w:val="none"/>
          <w:lang w:val="en-US" w:eastAsia="zh-CN"/>
        </w:rPr>
        <w:t>49</w:t>
      </w:r>
      <w:r>
        <w:rPr>
          <w:rFonts w:hint="eastAsia" w:ascii="宋体" w:hAnsi="宋体" w:eastAsia="宋体" w:cs="宋体"/>
          <w:color w:val="auto"/>
          <w:szCs w:val="21"/>
          <w:highlight w:val="none"/>
        </w:rPr>
        <w:t>】人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bidi="ar"/>
        </w:rPr>
        <w:t>具体服务位置</w:t>
      </w:r>
      <w:r>
        <w:rPr>
          <w:rFonts w:hint="eastAsia" w:ascii="宋体" w:hAnsi="宋体" w:eastAsia="宋体" w:cs="宋体"/>
          <w:color w:val="auto"/>
          <w:szCs w:val="21"/>
          <w:highlight w:val="none"/>
          <w:lang w:val="en-US" w:eastAsia="zh-CN" w:bidi="ar"/>
        </w:rPr>
        <w:t>详见用户需求书。</w:t>
      </w:r>
      <w:r>
        <w:rPr>
          <w:rFonts w:hint="eastAsia" w:ascii="宋体" w:hAnsi="宋体" w:eastAsia="宋体" w:cs="宋体"/>
          <w:color w:val="auto"/>
          <w:szCs w:val="21"/>
          <w:highlight w:val="none"/>
        </w:rPr>
        <w:t>此人员需求数量为暂定数量，实际按甲方需求、实际劳务服务人员到位情况结算。本合同所称“劳务服务人员”，是指</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为完成本项目劳务服务（餐厨及清洁）工作所派出的符合本项目资格条件的、在</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处提供本合同约定的服务的工作人员。所有劳务服务人员在劳动人事、工资福利、社会保险等各方面均隶属于乙方，由乙方与之订立劳动合同</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与甲方不存在任何法律关系</w:t>
      </w:r>
      <w:r>
        <w:rPr>
          <w:rFonts w:hint="eastAsia" w:ascii="宋体" w:hAnsi="宋体" w:eastAsia="宋体" w:cs="宋体"/>
          <w:color w:val="auto"/>
          <w:szCs w:val="21"/>
          <w:highlight w:val="none"/>
        </w:rPr>
        <w:t>。</w:t>
      </w:r>
    </w:p>
    <w:p w14:paraId="0257AE7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具体如下：</w:t>
      </w:r>
    </w:p>
    <w:p w14:paraId="6EFBD9DC">
      <w:pPr>
        <w:snapToGrid w:val="0"/>
        <w:spacing w:line="360" w:lineRule="auto"/>
        <w:ind w:firstLine="482" w:firstLineChars="200"/>
        <w:jc w:val="center"/>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表一：暂定</w:t>
      </w:r>
      <w:r>
        <w:rPr>
          <w:rFonts w:hint="eastAsia" w:ascii="宋体" w:hAnsi="宋体" w:eastAsia="宋体" w:cs="宋体"/>
          <w:b/>
          <w:bCs/>
          <w:color w:val="auto"/>
          <w:kern w:val="0"/>
          <w:sz w:val="24"/>
          <w:szCs w:val="24"/>
          <w:highlight w:val="none"/>
          <w:lang w:val="en-US" w:eastAsia="zh-CN"/>
        </w:rPr>
        <w:t>餐厨、清洁工及</w:t>
      </w:r>
      <w:r>
        <w:rPr>
          <w:rFonts w:hint="eastAsia" w:ascii="宋体" w:hAnsi="宋体" w:eastAsia="宋体" w:cs="宋体"/>
          <w:b/>
          <w:bCs/>
          <w:color w:val="auto"/>
          <w:kern w:val="0"/>
          <w:sz w:val="24"/>
          <w:szCs w:val="24"/>
          <w:highlight w:val="none"/>
        </w:rPr>
        <w:t>服务</w:t>
      </w:r>
      <w:r>
        <w:rPr>
          <w:rFonts w:hint="eastAsia" w:ascii="宋体" w:hAnsi="宋体" w:eastAsia="宋体" w:cs="宋体"/>
          <w:b/>
          <w:bCs/>
          <w:color w:val="auto"/>
          <w:kern w:val="0"/>
          <w:sz w:val="24"/>
          <w:szCs w:val="24"/>
          <w:highlight w:val="none"/>
          <w:lang w:val="en-US" w:eastAsia="zh-CN"/>
        </w:rPr>
        <w:t>员（兼前台）</w:t>
      </w:r>
      <w:r>
        <w:rPr>
          <w:rFonts w:hint="eastAsia" w:ascii="宋体" w:hAnsi="宋体" w:eastAsia="宋体" w:cs="宋体"/>
          <w:b/>
          <w:bCs/>
          <w:color w:val="auto"/>
          <w:kern w:val="0"/>
          <w:sz w:val="24"/>
          <w:szCs w:val="24"/>
          <w:highlight w:val="none"/>
        </w:rPr>
        <w:t>配置表</w:t>
      </w:r>
    </w:p>
    <w:tbl>
      <w:tblPr>
        <w:tblStyle w:val="39"/>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7"/>
        <w:gridCol w:w="883"/>
        <w:gridCol w:w="1134"/>
        <w:gridCol w:w="1055"/>
        <w:gridCol w:w="1055"/>
        <w:gridCol w:w="1074"/>
        <w:gridCol w:w="1104"/>
        <w:gridCol w:w="3142"/>
      </w:tblGrid>
      <w:tr w14:paraId="2708E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2" w:hRule="atLeast"/>
          <w:jc w:val="center"/>
        </w:trPr>
        <w:tc>
          <w:tcPr>
            <w:tcW w:w="264" w:type="pct"/>
            <w:shd w:val="clear" w:color="auto" w:fill="auto"/>
            <w:vAlign w:val="center"/>
          </w:tcPr>
          <w:p w14:paraId="149C2D00">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序号</w:t>
            </w:r>
          </w:p>
        </w:tc>
        <w:tc>
          <w:tcPr>
            <w:tcW w:w="442" w:type="pct"/>
            <w:shd w:val="clear" w:color="auto" w:fill="auto"/>
            <w:vAlign w:val="center"/>
          </w:tcPr>
          <w:p w14:paraId="4BAB7ECB">
            <w:pPr>
              <w:widowControl/>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sz w:val="21"/>
                <w:szCs w:val="21"/>
                <w:highlight w:val="none"/>
                <w:lang w:bidi="ar"/>
              </w:rPr>
              <w:t>需求公司</w:t>
            </w:r>
          </w:p>
        </w:tc>
        <w:tc>
          <w:tcPr>
            <w:tcW w:w="568" w:type="pct"/>
            <w:shd w:val="clear" w:color="auto" w:fill="auto"/>
            <w:vAlign w:val="center"/>
          </w:tcPr>
          <w:p w14:paraId="12961230">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服务地址</w:t>
            </w:r>
          </w:p>
        </w:tc>
        <w:tc>
          <w:tcPr>
            <w:tcW w:w="528" w:type="pct"/>
            <w:shd w:val="clear" w:color="auto" w:fill="auto"/>
            <w:vAlign w:val="center"/>
          </w:tcPr>
          <w:p w14:paraId="47275EE9">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厨师（人）</w:t>
            </w:r>
          </w:p>
        </w:tc>
        <w:tc>
          <w:tcPr>
            <w:tcW w:w="528" w:type="pct"/>
            <w:shd w:val="clear" w:color="auto" w:fill="auto"/>
            <w:vAlign w:val="center"/>
          </w:tcPr>
          <w:p w14:paraId="76F7EE04">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厨工（人）</w:t>
            </w:r>
          </w:p>
        </w:tc>
        <w:tc>
          <w:tcPr>
            <w:tcW w:w="538" w:type="pct"/>
            <w:shd w:val="clear" w:color="auto" w:fill="auto"/>
            <w:vAlign w:val="center"/>
          </w:tcPr>
          <w:p w14:paraId="4D1763AA">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清洁工（人）</w:t>
            </w:r>
          </w:p>
        </w:tc>
        <w:tc>
          <w:tcPr>
            <w:tcW w:w="553" w:type="pct"/>
            <w:shd w:val="clear" w:color="auto" w:fill="auto"/>
            <w:vAlign w:val="center"/>
          </w:tcPr>
          <w:p w14:paraId="6B0734E5">
            <w:pPr>
              <w:widowControl/>
              <w:spacing w:line="240" w:lineRule="auto"/>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bidi="ar"/>
              </w:rPr>
              <w:t>服务员</w:t>
            </w:r>
          </w:p>
          <w:p w14:paraId="2B3AC9AA">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（兼前台）（人）</w:t>
            </w:r>
          </w:p>
        </w:tc>
        <w:tc>
          <w:tcPr>
            <w:tcW w:w="1573" w:type="pct"/>
            <w:shd w:val="clear" w:color="auto" w:fill="auto"/>
            <w:vAlign w:val="center"/>
          </w:tcPr>
          <w:p w14:paraId="0031503B">
            <w:pPr>
              <w:widowControl/>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bidi="ar"/>
              </w:rPr>
              <w:t>备注</w:t>
            </w:r>
          </w:p>
        </w:tc>
      </w:tr>
      <w:tr w14:paraId="0CE3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64" w:type="pct"/>
            <w:shd w:val="clear" w:color="auto" w:fill="auto"/>
            <w:vAlign w:val="center"/>
          </w:tcPr>
          <w:p w14:paraId="10860799">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1</w:t>
            </w:r>
          </w:p>
        </w:tc>
        <w:tc>
          <w:tcPr>
            <w:tcW w:w="442" w:type="pct"/>
            <w:shd w:val="clear" w:color="auto" w:fill="auto"/>
            <w:vAlign w:val="center"/>
          </w:tcPr>
          <w:p w14:paraId="77888B5F">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管网公司</w:t>
            </w:r>
          </w:p>
        </w:tc>
        <w:tc>
          <w:tcPr>
            <w:tcW w:w="568" w:type="pct"/>
            <w:shd w:val="clear" w:color="auto" w:fill="auto"/>
            <w:vAlign w:val="center"/>
          </w:tcPr>
          <w:p w14:paraId="65FB91F9">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东莞市东城街道东城运河路5号</w:t>
            </w:r>
          </w:p>
        </w:tc>
        <w:tc>
          <w:tcPr>
            <w:tcW w:w="528" w:type="pct"/>
            <w:shd w:val="clear" w:color="auto" w:fill="auto"/>
            <w:vAlign w:val="center"/>
          </w:tcPr>
          <w:p w14:paraId="13B552DD">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w:t>
            </w:r>
          </w:p>
        </w:tc>
        <w:tc>
          <w:tcPr>
            <w:tcW w:w="528" w:type="pct"/>
            <w:shd w:val="clear" w:color="auto" w:fill="auto"/>
            <w:vAlign w:val="center"/>
          </w:tcPr>
          <w:p w14:paraId="5C4AFD12">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w:t>
            </w:r>
          </w:p>
        </w:tc>
        <w:tc>
          <w:tcPr>
            <w:tcW w:w="538" w:type="pct"/>
            <w:shd w:val="clear" w:color="auto" w:fill="auto"/>
            <w:vAlign w:val="center"/>
          </w:tcPr>
          <w:p w14:paraId="20B4632A">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w:t>
            </w:r>
          </w:p>
        </w:tc>
        <w:tc>
          <w:tcPr>
            <w:tcW w:w="553" w:type="pct"/>
            <w:shd w:val="clear" w:color="auto" w:fill="auto"/>
            <w:vAlign w:val="center"/>
          </w:tcPr>
          <w:p w14:paraId="4173D736">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0</w:t>
            </w:r>
          </w:p>
        </w:tc>
        <w:tc>
          <w:tcPr>
            <w:tcW w:w="1573" w:type="pct"/>
            <w:shd w:val="clear" w:color="auto" w:fill="auto"/>
            <w:vAlign w:val="center"/>
          </w:tcPr>
          <w:p w14:paraId="0E808054">
            <w:pPr>
              <w:widowControl/>
              <w:autoSpaceDE w:val="0"/>
              <w:autoSpaceDN w:val="0"/>
              <w:adjustRightInd w:val="0"/>
              <w:spacing w:line="240" w:lineRule="auto"/>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公司本部办公楼面积为3240平分米，共3层，</w:t>
            </w:r>
            <w:r>
              <w:rPr>
                <w:rFonts w:hint="eastAsia" w:ascii="宋体" w:hAnsi="宋体" w:eastAsia="宋体" w:cs="宋体"/>
                <w:color w:val="auto"/>
                <w:kern w:val="0"/>
                <w:sz w:val="21"/>
                <w:szCs w:val="21"/>
                <w:highlight w:val="none"/>
                <w:lang w:bidi="ar"/>
              </w:rPr>
              <w:t>每层配置</w:t>
            </w:r>
            <w:r>
              <w:rPr>
                <w:rFonts w:hint="eastAsia" w:ascii="宋体" w:hAnsi="宋体" w:eastAsia="宋体" w:cs="宋体"/>
                <w:color w:val="auto"/>
                <w:kern w:val="0"/>
                <w:sz w:val="21"/>
                <w:szCs w:val="21"/>
                <w:highlight w:val="none"/>
                <w:lang w:val="en-US" w:eastAsia="zh-CN" w:bidi="ar"/>
              </w:rPr>
              <w:t>清洁工</w:t>
            </w:r>
            <w:r>
              <w:rPr>
                <w:rFonts w:hint="eastAsia" w:ascii="宋体" w:hAnsi="宋体" w:eastAsia="宋体" w:cs="宋体"/>
                <w:color w:val="auto"/>
                <w:kern w:val="0"/>
                <w:sz w:val="21"/>
                <w:szCs w:val="21"/>
                <w:highlight w:val="none"/>
                <w:lang w:bidi="ar"/>
              </w:rPr>
              <w:t>1人。周边环境卫生配置1人</w:t>
            </w:r>
            <w:r>
              <w:rPr>
                <w:rFonts w:hint="eastAsia" w:ascii="宋体" w:hAnsi="宋体" w:eastAsia="宋体" w:cs="宋体"/>
                <w:b w:val="0"/>
                <w:bCs w:val="0"/>
                <w:i w:val="0"/>
                <w:iCs w:val="0"/>
                <w:color w:val="auto"/>
                <w:kern w:val="0"/>
                <w:sz w:val="21"/>
                <w:szCs w:val="21"/>
                <w:highlight w:val="none"/>
                <w:u w:val="none"/>
                <w:lang w:val="en-US" w:eastAsia="zh-CN" w:bidi="ar"/>
              </w:rPr>
              <w:t>（面积约500平方米）</w:t>
            </w:r>
            <w:r>
              <w:rPr>
                <w:rFonts w:hint="eastAsia" w:ascii="宋体" w:hAnsi="宋体" w:eastAsia="宋体" w:cs="宋体"/>
                <w:color w:val="auto"/>
                <w:kern w:val="0"/>
                <w:sz w:val="21"/>
                <w:szCs w:val="21"/>
                <w:highlight w:val="none"/>
                <w:lang w:bidi="ar"/>
              </w:rPr>
              <w:t>，节假日每天最少1人值班，合计</w:t>
            </w:r>
            <w:r>
              <w:rPr>
                <w:rFonts w:hint="eastAsia" w:ascii="宋体" w:hAnsi="宋体" w:eastAsia="宋体" w:cs="宋体"/>
                <w:color w:val="auto"/>
                <w:kern w:val="0"/>
                <w:sz w:val="21"/>
                <w:szCs w:val="21"/>
                <w:highlight w:val="none"/>
                <w:lang w:val="en-US" w:eastAsia="zh-CN" w:bidi="ar"/>
              </w:rPr>
              <w:t>清洁工</w:t>
            </w:r>
            <w:r>
              <w:rPr>
                <w:rFonts w:hint="eastAsia" w:ascii="宋体" w:hAnsi="宋体" w:eastAsia="宋体" w:cs="宋体"/>
                <w:color w:val="auto"/>
                <w:kern w:val="0"/>
                <w:sz w:val="21"/>
                <w:szCs w:val="21"/>
                <w:highlight w:val="none"/>
                <w:lang w:bidi="ar"/>
              </w:rPr>
              <w:t>4人。</w:t>
            </w:r>
          </w:p>
        </w:tc>
      </w:tr>
      <w:tr w14:paraId="188CD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0" w:hRule="atLeast"/>
          <w:jc w:val="center"/>
        </w:trPr>
        <w:tc>
          <w:tcPr>
            <w:tcW w:w="264" w:type="pct"/>
            <w:shd w:val="clear" w:color="auto" w:fill="auto"/>
            <w:vAlign w:val="center"/>
          </w:tcPr>
          <w:p w14:paraId="05A6CC70">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2</w:t>
            </w:r>
          </w:p>
        </w:tc>
        <w:tc>
          <w:tcPr>
            <w:tcW w:w="442" w:type="pct"/>
            <w:shd w:val="clear" w:color="auto" w:fill="auto"/>
            <w:vAlign w:val="center"/>
          </w:tcPr>
          <w:p w14:paraId="3A10D4B2">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莞泽公司</w:t>
            </w:r>
          </w:p>
        </w:tc>
        <w:tc>
          <w:tcPr>
            <w:tcW w:w="568" w:type="pct"/>
            <w:shd w:val="clear" w:color="auto" w:fill="auto"/>
            <w:vAlign w:val="center"/>
          </w:tcPr>
          <w:p w14:paraId="4855CCA4">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东莞市东城街道东城运河路5号</w:t>
            </w:r>
          </w:p>
        </w:tc>
        <w:tc>
          <w:tcPr>
            <w:tcW w:w="528" w:type="pct"/>
            <w:shd w:val="clear" w:color="auto" w:fill="auto"/>
            <w:vAlign w:val="center"/>
          </w:tcPr>
          <w:p w14:paraId="4BDF8481">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w:t>
            </w:r>
          </w:p>
        </w:tc>
        <w:tc>
          <w:tcPr>
            <w:tcW w:w="528" w:type="pct"/>
            <w:shd w:val="clear" w:color="auto" w:fill="auto"/>
            <w:vAlign w:val="center"/>
          </w:tcPr>
          <w:p w14:paraId="7B13A6CF">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w:t>
            </w:r>
          </w:p>
        </w:tc>
        <w:tc>
          <w:tcPr>
            <w:tcW w:w="538" w:type="pct"/>
            <w:shd w:val="clear" w:color="auto" w:fill="auto"/>
            <w:vAlign w:val="center"/>
          </w:tcPr>
          <w:p w14:paraId="42C7E97B">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0</w:t>
            </w:r>
          </w:p>
        </w:tc>
        <w:tc>
          <w:tcPr>
            <w:tcW w:w="553" w:type="pct"/>
            <w:shd w:val="clear" w:color="auto" w:fill="auto"/>
            <w:vAlign w:val="center"/>
          </w:tcPr>
          <w:p w14:paraId="3649D496">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1</w:t>
            </w:r>
          </w:p>
        </w:tc>
        <w:tc>
          <w:tcPr>
            <w:tcW w:w="1573" w:type="pct"/>
            <w:shd w:val="clear" w:color="auto" w:fill="auto"/>
            <w:vAlign w:val="center"/>
          </w:tcPr>
          <w:p w14:paraId="4CFBAC1A">
            <w:pPr>
              <w:widowControl/>
              <w:autoSpaceDE w:val="0"/>
              <w:autoSpaceDN w:val="0"/>
              <w:adjustRightInd w:val="0"/>
              <w:spacing w:line="240" w:lineRule="auto"/>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b w:val="0"/>
                <w:bCs w:val="0"/>
                <w:i w:val="0"/>
                <w:iCs w:val="0"/>
                <w:color w:val="auto"/>
                <w:kern w:val="0"/>
                <w:sz w:val="21"/>
                <w:szCs w:val="21"/>
                <w:highlight w:val="none"/>
                <w:u w:val="none"/>
                <w:lang w:val="en-US" w:eastAsia="zh-CN" w:bidi="ar"/>
              </w:rPr>
              <w:t>公司食堂365天正常供应，就餐人数约230人，需配置厨师3人、厨工5人，厨师、厨工节假日需上班（节假日出勤人数不少于4人，根据甲方实际情况而定）。</w:t>
            </w:r>
          </w:p>
        </w:tc>
      </w:tr>
      <w:tr w14:paraId="568C15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3" w:hRule="atLeast"/>
          <w:jc w:val="center"/>
        </w:trPr>
        <w:tc>
          <w:tcPr>
            <w:tcW w:w="264" w:type="pct"/>
            <w:shd w:val="clear" w:color="auto" w:fill="auto"/>
            <w:vAlign w:val="center"/>
          </w:tcPr>
          <w:p w14:paraId="6840309F">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3</w:t>
            </w:r>
          </w:p>
        </w:tc>
        <w:tc>
          <w:tcPr>
            <w:tcW w:w="442" w:type="pct"/>
            <w:shd w:val="clear" w:color="auto" w:fill="auto"/>
            <w:vAlign w:val="center"/>
          </w:tcPr>
          <w:p w14:paraId="21D2D496">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东信公司</w:t>
            </w:r>
          </w:p>
        </w:tc>
        <w:tc>
          <w:tcPr>
            <w:tcW w:w="568" w:type="pct"/>
            <w:shd w:val="clear" w:color="auto" w:fill="auto"/>
            <w:vAlign w:val="center"/>
          </w:tcPr>
          <w:p w14:paraId="58C69BC1">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东莞市东城街道榴花西街232号D座</w:t>
            </w:r>
          </w:p>
        </w:tc>
        <w:tc>
          <w:tcPr>
            <w:tcW w:w="528" w:type="pct"/>
            <w:shd w:val="clear" w:color="auto" w:fill="auto"/>
            <w:vAlign w:val="center"/>
          </w:tcPr>
          <w:p w14:paraId="6B9E7F6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441D4832">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0A057B73">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53" w:type="pct"/>
            <w:shd w:val="clear" w:color="auto" w:fill="auto"/>
            <w:vAlign w:val="center"/>
          </w:tcPr>
          <w:p w14:paraId="46E42854">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44337C01">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55人，配置厨师1人、厨工2人；配置清洁工4人，其中1人负责分公司本部除饭堂以外区域的清洁工作（面积约为2280平方米）、万江驻点安排清洁工1人（面积约为1410平方米）、南城福地驻点安排清洁工1人（面积约为2040平方米），2025年预计新增石龙石碣驻点1人（面积约为500平方米）。</w:t>
            </w:r>
          </w:p>
        </w:tc>
      </w:tr>
      <w:tr w14:paraId="1BB7B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5" w:hRule="atLeast"/>
          <w:jc w:val="center"/>
        </w:trPr>
        <w:tc>
          <w:tcPr>
            <w:tcW w:w="264" w:type="pct"/>
            <w:shd w:val="clear" w:color="auto" w:fill="auto"/>
            <w:vAlign w:val="center"/>
          </w:tcPr>
          <w:p w14:paraId="1990CABF">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4</w:t>
            </w:r>
          </w:p>
        </w:tc>
        <w:tc>
          <w:tcPr>
            <w:tcW w:w="442" w:type="pct"/>
            <w:shd w:val="clear" w:color="auto" w:fill="auto"/>
            <w:vAlign w:val="center"/>
          </w:tcPr>
          <w:p w14:paraId="68DF554D">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东信公司</w:t>
            </w:r>
          </w:p>
        </w:tc>
        <w:tc>
          <w:tcPr>
            <w:tcW w:w="568" w:type="pct"/>
            <w:shd w:val="clear" w:color="auto" w:fill="auto"/>
            <w:vAlign w:val="center"/>
          </w:tcPr>
          <w:p w14:paraId="2C0F192A">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东莞市寮步镇向西旭升路5号1栋</w:t>
            </w:r>
          </w:p>
        </w:tc>
        <w:tc>
          <w:tcPr>
            <w:tcW w:w="528" w:type="pct"/>
            <w:shd w:val="clear" w:color="auto" w:fill="auto"/>
            <w:vAlign w:val="center"/>
          </w:tcPr>
          <w:p w14:paraId="4CB9063E">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043F6822">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595DDFDC">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6</w:t>
            </w:r>
          </w:p>
        </w:tc>
        <w:tc>
          <w:tcPr>
            <w:tcW w:w="553" w:type="pct"/>
            <w:shd w:val="clear" w:color="auto" w:fill="auto"/>
            <w:vAlign w:val="center"/>
          </w:tcPr>
          <w:p w14:paraId="41972283">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5C6553DA">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50人，配置厨师1人、厨工2人；配置清洁工6人，其中2人负责分公司本部除饭堂以外区域的清洁工作（面积约为3000平方米），大朗松山湖联合驻点安排清洁工1人（面积约为1500平方米），大岭山驻点安排清洁工1人（面积约为400平方米），拟新增茶山石排联合运维驻点1人（面积约为1100平方米），新增寮步驻点1人（面积约为900平方米）。</w:t>
            </w:r>
          </w:p>
        </w:tc>
      </w:tr>
      <w:tr w14:paraId="26C32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jc w:val="center"/>
        </w:trPr>
        <w:tc>
          <w:tcPr>
            <w:tcW w:w="264" w:type="pct"/>
            <w:shd w:val="clear" w:color="auto" w:fill="auto"/>
            <w:vAlign w:val="center"/>
          </w:tcPr>
          <w:p w14:paraId="40747BE4">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5</w:t>
            </w:r>
          </w:p>
        </w:tc>
        <w:tc>
          <w:tcPr>
            <w:tcW w:w="442" w:type="pct"/>
            <w:shd w:val="clear" w:color="auto" w:fill="auto"/>
            <w:vAlign w:val="center"/>
          </w:tcPr>
          <w:p w14:paraId="06772ED6">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东泽公司</w:t>
            </w:r>
          </w:p>
        </w:tc>
        <w:tc>
          <w:tcPr>
            <w:tcW w:w="568" w:type="pct"/>
            <w:shd w:val="clear" w:color="auto" w:fill="auto"/>
            <w:vAlign w:val="center"/>
          </w:tcPr>
          <w:p w14:paraId="72E6F4C5">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东莞市虎门镇东引路10号</w:t>
            </w:r>
          </w:p>
        </w:tc>
        <w:tc>
          <w:tcPr>
            <w:tcW w:w="528" w:type="pct"/>
            <w:shd w:val="clear" w:color="auto" w:fill="auto"/>
            <w:vAlign w:val="center"/>
          </w:tcPr>
          <w:p w14:paraId="0089462F">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3020B931">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381FB16F">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4</w:t>
            </w:r>
          </w:p>
        </w:tc>
        <w:tc>
          <w:tcPr>
            <w:tcW w:w="553" w:type="pct"/>
            <w:shd w:val="clear" w:color="auto" w:fill="auto"/>
            <w:vAlign w:val="center"/>
          </w:tcPr>
          <w:p w14:paraId="4264138A">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5FB1EB92">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55人，配置厨师1人、厨工2人；配置清洁工4人，其中2人负责分公司本部东引办公楼-1至4楼卫生(面积约3200平方米)，1人负责附属办公楼卫生（面积约2000平方米），1人负责停车场、篮球场、大院及后山卫生（面积约5000平方米）。</w:t>
            </w:r>
          </w:p>
        </w:tc>
      </w:tr>
      <w:tr w14:paraId="3EF9A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0" w:hRule="atLeast"/>
          <w:jc w:val="center"/>
        </w:trPr>
        <w:tc>
          <w:tcPr>
            <w:tcW w:w="264" w:type="pct"/>
            <w:shd w:val="clear" w:color="auto" w:fill="auto"/>
            <w:vAlign w:val="center"/>
          </w:tcPr>
          <w:p w14:paraId="368184D5">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6</w:t>
            </w:r>
          </w:p>
        </w:tc>
        <w:tc>
          <w:tcPr>
            <w:tcW w:w="442" w:type="pct"/>
            <w:shd w:val="clear" w:color="auto" w:fill="auto"/>
            <w:vAlign w:val="center"/>
          </w:tcPr>
          <w:p w14:paraId="7D7E5E63">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东泽公司</w:t>
            </w:r>
          </w:p>
        </w:tc>
        <w:tc>
          <w:tcPr>
            <w:tcW w:w="568" w:type="pct"/>
            <w:shd w:val="clear" w:color="auto" w:fill="auto"/>
            <w:vAlign w:val="center"/>
          </w:tcPr>
          <w:p w14:paraId="6E8EB51E">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东莞市道滘镇万道路2号华科城创新产业孵化园3栋</w:t>
            </w:r>
          </w:p>
        </w:tc>
        <w:tc>
          <w:tcPr>
            <w:tcW w:w="528" w:type="pct"/>
            <w:shd w:val="clear" w:color="auto" w:fill="auto"/>
            <w:vAlign w:val="center"/>
          </w:tcPr>
          <w:p w14:paraId="363CE5F2">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00F97639">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7A4DFB7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53" w:type="pct"/>
            <w:shd w:val="clear" w:color="auto" w:fill="auto"/>
            <w:vAlign w:val="center"/>
          </w:tcPr>
          <w:p w14:paraId="0942D17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66ABCA61">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55人，配置厨师1人，厨工2人；配置清洁工2人，负责分公司除饭堂以外区域的清洁工作，面积约为2900平方米。经评估，第四分公司驻点清洁面积较小，无需增加清洁工服务于驻点。</w:t>
            </w:r>
          </w:p>
        </w:tc>
      </w:tr>
      <w:tr w14:paraId="688640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atLeast"/>
          <w:jc w:val="center"/>
        </w:trPr>
        <w:tc>
          <w:tcPr>
            <w:tcW w:w="264" w:type="pct"/>
            <w:shd w:val="clear" w:color="auto" w:fill="auto"/>
            <w:vAlign w:val="center"/>
          </w:tcPr>
          <w:p w14:paraId="207C3421">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7</w:t>
            </w:r>
          </w:p>
        </w:tc>
        <w:tc>
          <w:tcPr>
            <w:tcW w:w="442" w:type="pct"/>
            <w:shd w:val="clear" w:color="auto" w:fill="auto"/>
            <w:vAlign w:val="center"/>
          </w:tcPr>
          <w:p w14:paraId="477DC99B">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清泽公司</w:t>
            </w:r>
          </w:p>
        </w:tc>
        <w:tc>
          <w:tcPr>
            <w:tcW w:w="568" w:type="pct"/>
            <w:shd w:val="clear" w:color="auto" w:fill="auto"/>
            <w:vAlign w:val="center"/>
          </w:tcPr>
          <w:p w14:paraId="67E64AF6">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东莞市横沥镇中山东路82号骏业大厦</w:t>
            </w:r>
          </w:p>
        </w:tc>
        <w:tc>
          <w:tcPr>
            <w:tcW w:w="528" w:type="pct"/>
            <w:shd w:val="clear" w:color="auto" w:fill="auto"/>
            <w:vAlign w:val="center"/>
          </w:tcPr>
          <w:p w14:paraId="5612EF4B">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75E3B109">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0250E409">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53" w:type="pct"/>
            <w:shd w:val="clear" w:color="auto" w:fill="auto"/>
            <w:vAlign w:val="center"/>
          </w:tcPr>
          <w:p w14:paraId="3BB203E6">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0D377BC4">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40人，配置厨师1人、厨工2人；配置清洁工1人，负责分公司除饭堂以外区域的清洁工作（四楼至五楼公共卫生区域约2000平方米）。经评估，第五分公司驻点清洁面积较小，无需增加清洁工服务于驻点。</w:t>
            </w:r>
          </w:p>
        </w:tc>
      </w:tr>
      <w:tr w14:paraId="672F7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3" w:hRule="atLeast"/>
          <w:jc w:val="center"/>
        </w:trPr>
        <w:tc>
          <w:tcPr>
            <w:tcW w:w="264" w:type="pct"/>
            <w:shd w:val="clear" w:color="auto" w:fill="auto"/>
            <w:vAlign w:val="center"/>
          </w:tcPr>
          <w:p w14:paraId="3FB5222D">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8</w:t>
            </w:r>
          </w:p>
        </w:tc>
        <w:tc>
          <w:tcPr>
            <w:tcW w:w="442" w:type="pct"/>
            <w:shd w:val="clear" w:color="auto" w:fill="auto"/>
            <w:vAlign w:val="center"/>
          </w:tcPr>
          <w:p w14:paraId="1338AD16">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清泽公司</w:t>
            </w:r>
          </w:p>
        </w:tc>
        <w:tc>
          <w:tcPr>
            <w:tcW w:w="568" w:type="pct"/>
            <w:shd w:val="clear" w:color="auto" w:fill="auto"/>
            <w:vAlign w:val="center"/>
          </w:tcPr>
          <w:p w14:paraId="7793AC06">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lang w:bidi="ar"/>
              </w:rPr>
            </w:pPr>
            <w:r>
              <w:rPr>
                <w:rFonts w:hint="eastAsia" w:ascii="宋体" w:hAnsi="宋体" w:eastAsia="宋体" w:cs="宋体"/>
                <w:color w:val="auto"/>
                <w:kern w:val="0"/>
                <w:sz w:val="21"/>
                <w:szCs w:val="21"/>
                <w:highlight w:val="none"/>
                <w:lang w:bidi="ar"/>
              </w:rPr>
              <w:t>塘厦镇蛟坪大道83A号星河科技园二楼</w:t>
            </w:r>
          </w:p>
        </w:tc>
        <w:tc>
          <w:tcPr>
            <w:tcW w:w="528" w:type="pct"/>
            <w:shd w:val="clear" w:color="auto" w:fill="auto"/>
            <w:vAlign w:val="center"/>
          </w:tcPr>
          <w:p w14:paraId="15AC613C">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28" w:type="pct"/>
            <w:shd w:val="clear" w:color="auto" w:fill="auto"/>
            <w:vAlign w:val="center"/>
          </w:tcPr>
          <w:p w14:paraId="3B406ABF">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2</w:t>
            </w:r>
          </w:p>
        </w:tc>
        <w:tc>
          <w:tcPr>
            <w:tcW w:w="538" w:type="pct"/>
            <w:shd w:val="clear" w:color="auto" w:fill="auto"/>
            <w:vAlign w:val="center"/>
          </w:tcPr>
          <w:p w14:paraId="3D09EAA7">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1</w:t>
            </w:r>
          </w:p>
        </w:tc>
        <w:tc>
          <w:tcPr>
            <w:tcW w:w="553" w:type="pct"/>
            <w:shd w:val="clear" w:color="auto" w:fill="auto"/>
            <w:vAlign w:val="center"/>
          </w:tcPr>
          <w:p w14:paraId="545834A0">
            <w:pPr>
              <w:keepNext w:val="0"/>
              <w:keepLines w:val="0"/>
              <w:widowControl/>
              <w:suppressLineNumbers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i w:val="0"/>
                <w:iCs w:val="0"/>
                <w:color w:val="auto"/>
                <w:kern w:val="0"/>
                <w:sz w:val="22"/>
                <w:szCs w:val="22"/>
                <w:highlight w:val="none"/>
                <w:u w:val="none"/>
                <w:lang w:val="en-US" w:eastAsia="zh-CN" w:bidi="ar"/>
              </w:rPr>
              <w:t>0</w:t>
            </w:r>
          </w:p>
        </w:tc>
        <w:tc>
          <w:tcPr>
            <w:tcW w:w="1573" w:type="pct"/>
            <w:shd w:val="clear" w:color="auto" w:fill="auto"/>
            <w:vAlign w:val="center"/>
          </w:tcPr>
          <w:p w14:paraId="24EFE1A0">
            <w:pPr>
              <w:keepNext w:val="0"/>
              <w:keepLines w:val="0"/>
              <w:widowControl/>
              <w:suppressLineNumbers w:val="0"/>
              <w:spacing w:line="240" w:lineRule="auto"/>
              <w:jc w:val="both"/>
              <w:textAlignment w:val="center"/>
              <w:rPr>
                <w:rFonts w:hint="eastAsia" w:ascii="宋体" w:hAnsi="宋体" w:eastAsia="宋体" w:cs="宋体"/>
                <w:color w:val="auto"/>
                <w:kern w:val="0"/>
                <w:sz w:val="21"/>
                <w:szCs w:val="21"/>
                <w:highlight w:val="none"/>
              </w:rPr>
            </w:pPr>
            <w:r>
              <w:rPr>
                <w:rFonts w:hint="eastAsia" w:ascii="宋体" w:hAnsi="宋体" w:eastAsia="宋体" w:cs="宋体"/>
                <w:b w:val="0"/>
                <w:bCs w:val="0"/>
                <w:i w:val="0"/>
                <w:iCs w:val="0"/>
                <w:color w:val="auto"/>
                <w:kern w:val="0"/>
                <w:sz w:val="21"/>
                <w:szCs w:val="21"/>
                <w:highlight w:val="none"/>
                <w:u w:val="none"/>
                <w:lang w:val="en-US" w:eastAsia="zh-CN" w:bidi="ar"/>
              </w:rPr>
              <w:t>逢节假日不供应，饭堂就餐人数约42人，配置厨师1人、厨工2人；配置清洁工1人，负责分公司除饭堂以外区域的清洁工作(二楼办公区域公共卫生面积约1290平方米）。经评估，第六分公司驻点清洁面积较小，无需增加清洁工服务于驻点。</w:t>
            </w:r>
          </w:p>
        </w:tc>
      </w:tr>
      <w:tr w14:paraId="7AB5C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5" w:hRule="atLeast"/>
          <w:jc w:val="center"/>
        </w:trPr>
        <w:tc>
          <w:tcPr>
            <w:tcW w:w="264" w:type="pct"/>
            <w:shd w:val="clear" w:color="auto" w:fill="auto"/>
            <w:vAlign w:val="center"/>
          </w:tcPr>
          <w:p w14:paraId="2A1BC660">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合计</w:t>
            </w:r>
          </w:p>
        </w:tc>
        <w:tc>
          <w:tcPr>
            <w:tcW w:w="442" w:type="pct"/>
            <w:shd w:val="clear" w:color="auto" w:fill="auto"/>
            <w:vAlign w:val="center"/>
          </w:tcPr>
          <w:p w14:paraId="48701CDE">
            <w:pPr>
              <w:autoSpaceDE w:val="0"/>
              <w:autoSpaceDN w:val="0"/>
              <w:adjustRightInd w:val="0"/>
              <w:spacing w:line="240" w:lineRule="auto"/>
              <w:jc w:val="center"/>
              <w:rPr>
                <w:rFonts w:hint="eastAsia" w:ascii="宋体" w:hAnsi="宋体" w:eastAsia="宋体" w:cs="宋体"/>
                <w:color w:val="auto"/>
                <w:kern w:val="0"/>
                <w:sz w:val="21"/>
                <w:szCs w:val="21"/>
                <w:highlight w:val="none"/>
              </w:rPr>
            </w:pPr>
          </w:p>
        </w:tc>
        <w:tc>
          <w:tcPr>
            <w:tcW w:w="568" w:type="pct"/>
            <w:shd w:val="clear" w:color="auto" w:fill="auto"/>
            <w:vAlign w:val="center"/>
          </w:tcPr>
          <w:p w14:paraId="25060004">
            <w:pPr>
              <w:widowControl/>
              <w:autoSpaceDE w:val="0"/>
              <w:autoSpaceDN w:val="0"/>
              <w:adjustRightInd w:val="0"/>
              <w:spacing w:line="240" w:lineRule="auto"/>
              <w:jc w:val="center"/>
              <w:textAlignment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bidi="ar"/>
              </w:rPr>
              <w:t>服务地址如因办公场所调整有变动，以</w:t>
            </w:r>
            <w:r>
              <w:rPr>
                <w:rFonts w:hint="eastAsia" w:ascii="宋体" w:hAnsi="宋体" w:eastAsia="宋体" w:cs="宋体"/>
                <w:color w:val="auto"/>
                <w:kern w:val="0"/>
                <w:sz w:val="21"/>
                <w:szCs w:val="21"/>
                <w:highlight w:val="none"/>
                <w:lang w:eastAsia="zh-CN" w:bidi="ar"/>
              </w:rPr>
              <w:t>甲方</w:t>
            </w:r>
            <w:r>
              <w:rPr>
                <w:rFonts w:hint="eastAsia" w:ascii="宋体" w:hAnsi="宋体" w:eastAsia="宋体" w:cs="宋体"/>
                <w:color w:val="auto"/>
                <w:kern w:val="0"/>
                <w:sz w:val="21"/>
                <w:szCs w:val="21"/>
                <w:highlight w:val="none"/>
                <w:lang w:bidi="ar"/>
              </w:rPr>
              <w:t>实际为准。</w:t>
            </w:r>
          </w:p>
        </w:tc>
        <w:tc>
          <w:tcPr>
            <w:tcW w:w="528" w:type="pct"/>
            <w:shd w:val="clear" w:color="auto" w:fill="auto"/>
            <w:vAlign w:val="center"/>
          </w:tcPr>
          <w:p w14:paraId="2DA1DA22">
            <w:pPr>
              <w:widowControl/>
              <w:autoSpaceDE w:val="0"/>
              <w:autoSpaceDN w:val="0"/>
              <w:adjustRightInd w:val="0"/>
              <w:spacing w:line="24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9</w:t>
            </w:r>
          </w:p>
        </w:tc>
        <w:tc>
          <w:tcPr>
            <w:tcW w:w="528" w:type="pct"/>
            <w:shd w:val="clear" w:color="auto" w:fill="auto"/>
            <w:vAlign w:val="center"/>
          </w:tcPr>
          <w:p w14:paraId="69F02F73">
            <w:pPr>
              <w:widowControl/>
              <w:autoSpaceDE w:val="0"/>
              <w:autoSpaceDN w:val="0"/>
              <w:adjustRightInd w:val="0"/>
              <w:spacing w:line="24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17</w:t>
            </w:r>
          </w:p>
        </w:tc>
        <w:tc>
          <w:tcPr>
            <w:tcW w:w="538" w:type="pct"/>
            <w:shd w:val="clear" w:color="auto" w:fill="auto"/>
            <w:vAlign w:val="center"/>
          </w:tcPr>
          <w:p w14:paraId="064CA4D9">
            <w:pPr>
              <w:widowControl/>
              <w:autoSpaceDE w:val="0"/>
              <w:autoSpaceDN w:val="0"/>
              <w:adjustRightInd w:val="0"/>
              <w:spacing w:line="24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22</w:t>
            </w:r>
          </w:p>
        </w:tc>
        <w:tc>
          <w:tcPr>
            <w:tcW w:w="553" w:type="pct"/>
            <w:shd w:val="clear" w:color="auto" w:fill="auto"/>
            <w:vAlign w:val="center"/>
          </w:tcPr>
          <w:p w14:paraId="5FFB97F9">
            <w:pPr>
              <w:widowControl/>
              <w:autoSpaceDE w:val="0"/>
              <w:autoSpaceDN w:val="0"/>
              <w:adjustRightInd w:val="0"/>
              <w:spacing w:line="240" w:lineRule="auto"/>
              <w:jc w:val="center"/>
              <w:textAlignment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1</w:t>
            </w:r>
          </w:p>
        </w:tc>
        <w:tc>
          <w:tcPr>
            <w:tcW w:w="1573" w:type="pct"/>
            <w:shd w:val="clear" w:color="auto" w:fill="auto"/>
            <w:vAlign w:val="center"/>
          </w:tcPr>
          <w:p w14:paraId="0EDF8AD2">
            <w:pPr>
              <w:autoSpaceDE w:val="0"/>
              <w:autoSpaceDN w:val="0"/>
              <w:adjustRightInd w:val="0"/>
              <w:spacing w:line="240" w:lineRule="auto"/>
              <w:rPr>
                <w:rFonts w:hint="eastAsia" w:ascii="宋体" w:hAnsi="宋体" w:eastAsia="宋体" w:cs="宋体"/>
                <w:color w:val="auto"/>
                <w:kern w:val="0"/>
                <w:sz w:val="21"/>
                <w:szCs w:val="21"/>
                <w:highlight w:val="none"/>
              </w:rPr>
            </w:pPr>
          </w:p>
        </w:tc>
      </w:tr>
    </w:tbl>
    <w:p w14:paraId="0D2641B7">
      <w:pPr>
        <w:rPr>
          <w:rFonts w:hint="eastAsia" w:ascii="宋体" w:hAnsi="宋体" w:eastAsia="宋体" w:cs="宋体"/>
          <w:color w:val="auto"/>
          <w:highlight w:val="none"/>
        </w:rPr>
      </w:pPr>
    </w:p>
    <w:p w14:paraId="03E54B5B">
      <w:pPr>
        <w:rPr>
          <w:rFonts w:hint="eastAsia" w:ascii="宋体" w:hAnsi="宋体" w:eastAsia="宋体" w:cs="宋体"/>
          <w:color w:val="auto"/>
          <w:highlight w:val="none"/>
        </w:rPr>
      </w:pPr>
    </w:p>
    <w:p w14:paraId="3B54276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（二）劳务服务人员费用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87"/>
        <w:gridCol w:w="1125"/>
        <w:gridCol w:w="1191"/>
        <w:gridCol w:w="2556"/>
        <w:gridCol w:w="1967"/>
        <w:gridCol w:w="1967"/>
        <w:gridCol w:w="587"/>
      </w:tblGrid>
      <w:tr w14:paraId="579FA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94" w:hRule="atLeast"/>
          <w:jc w:val="center"/>
        </w:trPr>
        <w:tc>
          <w:tcPr>
            <w:tcW w:w="0" w:type="auto"/>
            <w:vAlign w:val="center"/>
          </w:tcPr>
          <w:p w14:paraId="393F2464">
            <w:pPr>
              <w:snapToGrid w:val="0"/>
              <w:spacing w:line="360" w:lineRule="auto"/>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序号</w:t>
            </w:r>
          </w:p>
        </w:tc>
        <w:tc>
          <w:tcPr>
            <w:tcW w:w="1125" w:type="dxa"/>
            <w:vAlign w:val="center"/>
          </w:tcPr>
          <w:p w14:paraId="7E515CC8">
            <w:pPr>
              <w:snapToGrid w:val="0"/>
              <w:spacing w:line="360" w:lineRule="auto"/>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岗位类型</w:t>
            </w:r>
          </w:p>
        </w:tc>
        <w:tc>
          <w:tcPr>
            <w:tcW w:w="1191" w:type="dxa"/>
            <w:vAlign w:val="center"/>
          </w:tcPr>
          <w:p w14:paraId="147A4057">
            <w:pPr>
              <w:snapToGrid w:val="0"/>
              <w:spacing w:line="360" w:lineRule="auto"/>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人员数量（人）</w:t>
            </w:r>
          </w:p>
        </w:tc>
        <w:tc>
          <w:tcPr>
            <w:tcW w:w="0" w:type="auto"/>
            <w:vAlign w:val="center"/>
          </w:tcPr>
          <w:p w14:paraId="3E7F337F">
            <w:pPr>
              <w:snapToGrid w:val="0"/>
              <w:spacing w:line="360" w:lineRule="auto"/>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综合单价（元/人/月，不含税）</w:t>
            </w:r>
          </w:p>
        </w:tc>
        <w:tc>
          <w:tcPr>
            <w:tcW w:w="0" w:type="auto"/>
            <w:vAlign w:val="center"/>
          </w:tcPr>
          <w:p w14:paraId="6239BCF5">
            <w:pPr>
              <w:snapToGrid w:val="0"/>
              <w:spacing w:line="360" w:lineRule="auto"/>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月小计（元，不含税）</w:t>
            </w:r>
          </w:p>
        </w:tc>
        <w:tc>
          <w:tcPr>
            <w:tcW w:w="0" w:type="auto"/>
            <w:vAlign w:val="center"/>
          </w:tcPr>
          <w:p w14:paraId="0ACC3B24">
            <w:pPr>
              <w:snapToGrid w:val="0"/>
              <w:spacing w:line="360" w:lineRule="auto"/>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年小计（元，不含税）</w:t>
            </w:r>
          </w:p>
        </w:tc>
        <w:tc>
          <w:tcPr>
            <w:tcW w:w="0" w:type="auto"/>
            <w:vAlign w:val="center"/>
          </w:tcPr>
          <w:p w14:paraId="2342D173">
            <w:pPr>
              <w:snapToGrid w:val="0"/>
              <w:spacing w:line="360" w:lineRule="auto"/>
              <w:contextualSpacing/>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tc>
      </w:tr>
      <w:tr w14:paraId="26FFD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Align w:val="center"/>
          </w:tcPr>
          <w:p w14:paraId="1976BB96">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1125" w:type="dxa"/>
            <w:vAlign w:val="center"/>
          </w:tcPr>
          <w:p w14:paraId="5D13806E">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厨师</w:t>
            </w:r>
          </w:p>
        </w:tc>
        <w:tc>
          <w:tcPr>
            <w:tcW w:w="1191" w:type="dxa"/>
            <w:vAlign w:val="center"/>
          </w:tcPr>
          <w:p w14:paraId="618371D0">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9</w:t>
            </w:r>
          </w:p>
        </w:tc>
        <w:tc>
          <w:tcPr>
            <w:tcW w:w="0" w:type="auto"/>
            <w:vAlign w:val="center"/>
          </w:tcPr>
          <w:p w14:paraId="15051833">
            <w:pPr>
              <w:keepNext w:val="0"/>
              <w:keepLines w:val="0"/>
              <w:widowControl/>
              <w:suppressLineNumbers w:val="0"/>
              <w:jc w:val="left"/>
              <w:rPr>
                <w:rFonts w:hint="eastAsia" w:ascii="宋体" w:hAnsi="宋体" w:eastAsia="宋体" w:cs="宋体"/>
                <w:color w:val="auto"/>
                <w:szCs w:val="21"/>
                <w:highlight w:val="none"/>
              </w:rPr>
            </w:pPr>
          </w:p>
        </w:tc>
        <w:tc>
          <w:tcPr>
            <w:tcW w:w="0" w:type="auto"/>
            <w:vAlign w:val="center"/>
          </w:tcPr>
          <w:p w14:paraId="79127F0E">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01D89E24">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6A4B9464">
            <w:pPr>
              <w:tabs>
                <w:tab w:val="left" w:pos="8610"/>
              </w:tabs>
              <w:snapToGrid w:val="0"/>
              <w:spacing w:line="360" w:lineRule="auto"/>
              <w:contextualSpacing/>
              <w:jc w:val="center"/>
              <w:rPr>
                <w:rFonts w:hint="eastAsia" w:ascii="宋体" w:hAnsi="宋体" w:eastAsia="宋体" w:cs="宋体"/>
                <w:color w:val="auto"/>
                <w:szCs w:val="21"/>
                <w:highlight w:val="none"/>
              </w:rPr>
            </w:pPr>
          </w:p>
        </w:tc>
      </w:tr>
      <w:tr w14:paraId="4879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Align w:val="center"/>
          </w:tcPr>
          <w:p w14:paraId="2E62A674">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p>
        </w:tc>
        <w:tc>
          <w:tcPr>
            <w:tcW w:w="1125" w:type="dxa"/>
            <w:vAlign w:val="center"/>
          </w:tcPr>
          <w:p w14:paraId="49C0ECCD">
            <w:pPr>
              <w:snapToGrid w:val="0"/>
              <w:spacing w:line="360" w:lineRule="auto"/>
              <w:contextualSpacing/>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厨工</w:t>
            </w:r>
          </w:p>
        </w:tc>
        <w:tc>
          <w:tcPr>
            <w:tcW w:w="1191" w:type="dxa"/>
            <w:vAlign w:val="center"/>
          </w:tcPr>
          <w:p w14:paraId="0594FFAF">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17</w:t>
            </w:r>
          </w:p>
        </w:tc>
        <w:tc>
          <w:tcPr>
            <w:tcW w:w="0" w:type="auto"/>
            <w:vAlign w:val="center"/>
          </w:tcPr>
          <w:p w14:paraId="6DBFF2BA">
            <w:pPr>
              <w:keepNext w:val="0"/>
              <w:keepLines w:val="0"/>
              <w:widowControl/>
              <w:suppressLineNumbers w:val="0"/>
              <w:jc w:val="left"/>
              <w:rPr>
                <w:rFonts w:hint="eastAsia" w:ascii="宋体" w:hAnsi="宋体" w:eastAsia="宋体" w:cs="宋体"/>
                <w:color w:val="auto"/>
                <w:szCs w:val="21"/>
                <w:highlight w:val="none"/>
              </w:rPr>
            </w:pPr>
          </w:p>
        </w:tc>
        <w:tc>
          <w:tcPr>
            <w:tcW w:w="0" w:type="auto"/>
            <w:vAlign w:val="center"/>
          </w:tcPr>
          <w:p w14:paraId="29384B4E">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6A0CACD6">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5674C7B5">
            <w:pPr>
              <w:tabs>
                <w:tab w:val="left" w:pos="8610"/>
              </w:tabs>
              <w:snapToGrid w:val="0"/>
              <w:spacing w:line="360" w:lineRule="auto"/>
              <w:contextualSpacing/>
              <w:jc w:val="center"/>
              <w:rPr>
                <w:rFonts w:hint="eastAsia" w:ascii="宋体" w:hAnsi="宋体" w:eastAsia="宋体" w:cs="宋体"/>
                <w:color w:val="auto"/>
                <w:szCs w:val="21"/>
                <w:highlight w:val="none"/>
              </w:rPr>
            </w:pPr>
          </w:p>
        </w:tc>
      </w:tr>
      <w:tr w14:paraId="07E0C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Align w:val="center"/>
          </w:tcPr>
          <w:p w14:paraId="74E49E05">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p>
        </w:tc>
        <w:tc>
          <w:tcPr>
            <w:tcW w:w="1125" w:type="dxa"/>
            <w:vAlign w:val="center"/>
          </w:tcPr>
          <w:p w14:paraId="4961E73A">
            <w:pPr>
              <w:snapToGrid w:val="0"/>
              <w:spacing w:line="360" w:lineRule="auto"/>
              <w:contextualSpacing/>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清洁工</w:t>
            </w:r>
          </w:p>
        </w:tc>
        <w:tc>
          <w:tcPr>
            <w:tcW w:w="1191" w:type="dxa"/>
            <w:vAlign w:val="center"/>
          </w:tcPr>
          <w:p w14:paraId="33D33969">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22</w:t>
            </w:r>
          </w:p>
        </w:tc>
        <w:tc>
          <w:tcPr>
            <w:tcW w:w="0" w:type="auto"/>
            <w:vAlign w:val="center"/>
          </w:tcPr>
          <w:p w14:paraId="54FB0332">
            <w:pPr>
              <w:keepNext w:val="0"/>
              <w:keepLines w:val="0"/>
              <w:widowControl/>
              <w:suppressLineNumbers w:val="0"/>
              <w:jc w:val="left"/>
              <w:rPr>
                <w:rFonts w:hint="eastAsia" w:ascii="宋体" w:hAnsi="宋体" w:eastAsia="宋体" w:cs="宋体"/>
                <w:color w:val="auto"/>
                <w:szCs w:val="21"/>
                <w:highlight w:val="none"/>
              </w:rPr>
            </w:pPr>
          </w:p>
        </w:tc>
        <w:tc>
          <w:tcPr>
            <w:tcW w:w="0" w:type="auto"/>
            <w:vAlign w:val="center"/>
          </w:tcPr>
          <w:p w14:paraId="79BCC14A">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45DCCA1F">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2BD1B819">
            <w:pPr>
              <w:tabs>
                <w:tab w:val="left" w:pos="8610"/>
              </w:tabs>
              <w:snapToGrid w:val="0"/>
              <w:spacing w:line="360" w:lineRule="auto"/>
              <w:contextualSpacing/>
              <w:jc w:val="center"/>
              <w:rPr>
                <w:rFonts w:hint="eastAsia" w:ascii="宋体" w:hAnsi="宋体" w:eastAsia="宋体" w:cs="宋体"/>
                <w:color w:val="auto"/>
                <w:szCs w:val="21"/>
                <w:highlight w:val="none"/>
              </w:rPr>
            </w:pPr>
          </w:p>
        </w:tc>
      </w:tr>
      <w:tr w14:paraId="30556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0" w:type="auto"/>
            <w:vAlign w:val="center"/>
          </w:tcPr>
          <w:p w14:paraId="7486D8E7">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p>
        </w:tc>
        <w:tc>
          <w:tcPr>
            <w:tcW w:w="1125" w:type="dxa"/>
            <w:vAlign w:val="center"/>
          </w:tcPr>
          <w:p w14:paraId="59B5C82B">
            <w:pPr>
              <w:snapToGrid w:val="0"/>
              <w:spacing w:line="360" w:lineRule="auto"/>
              <w:contextualSpacing/>
              <w:jc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服务员（兼前台）</w:t>
            </w:r>
          </w:p>
        </w:tc>
        <w:tc>
          <w:tcPr>
            <w:tcW w:w="1191" w:type="dxa"/>
            <w:vAlign w:val="center"/>
          </w:tcPr>
          <w:p w14:paraId="257F08FF">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1</w:t>
            </w:r>
          </w:p>
        </w:tc>
        <w:tc>
          <w:tcPr>
            <w:tcW w:w="0" w:type="auto"/>
            <w:vAlign w:val="center"/>
          </w:tcPr>
          <w:p w14:paraId="52B4F0E7">
            <w:pPr>
              <w:keepNext w:val="0"/>
              <w:keepLines w:val="0"/>
              <w:widowControl/>
              <w:suppressLineNumbers w:val="0"/>
              <w:jc w:val="left"/>
              <w:rPr>
                <w:rFonts w:hint="eastAsia" w:ascii="宋体" w:hAnsi="宋体" w:eastAsia="宋体" w:cs="宋体"/>
                <w:color w:val="auto"/>
                <w:szCs w:val="21"/>
                <w:highlight w:val="none"/>
              </w:rPr>
            </w:pPr>
          </w:p>
        </w:tc>
        <w:tc>
          <w:tcPr>
            <w:tcW w:w="0" w:type="auto"/>
            <w:vAlign w:val="center"/>
          </w:tcPr>
          <w:p w14:paraId="09DBBDC9">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624D39F0">
            <w:pPr>
              <w:widowControl/>
              <w:snapToGrid w:val="0"/>
              <w:spacing w:line="360" w:lineRule="auto"/>
              <w:contextualSpacing/>
              <w:jc w:val="center"/>
              <w:textAlignment w:val="center"/>
              <w:rPr>
                <w:rFonts w:hint="eastAsia" w:ascii="宋体" w:hAnsi="宋体" w:eastAsia="宋体" w:cs="宋体"/>
                <w:color w:val="auto"/>
                <w:szCs w:val="21"/>
                <w:highlight w:val="none"/>
              </w:rPr>
            </w:pPr>
          </w:p>
        </w:tc>
        <w:tc>
          <w:tcPr>
            <w:tcW w:w="0" w:type="auto"/>
            <w:vAlign w:val="center"/>
          </w:tcPr>
          <w:p w14:paraId="2BA5583A">
            <w:pPr>
              <w:tabs>
                <w:tab w:val="left" w:pos="8610"/>
              </w:tabs>
              <w:snapToGrid w:val="0"/>
              <w:spacing w:line="360" w:lineRule="auto"/>
              <w:contextualSpacing/>
              <w:jc w:val="center"/>
              <w:rPr>
                <w:rFonts w:hint="eastAsia" w:ascii="宋体" w:hAnsi="宋体" w:eastAsia="宋体" w:cs="宋体"/>
                <w:color w:val="auto"/>
                <w:szCs w:val="21"/>
                <w:highlight w:val="none"/>
              </w:rPr>
            </w:pPr>
          </w:p>
        </w:tc>
      </w:tr>
      <w:tr w14:paraId="30C30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0" w:type="auto"/>
            <w:vAlign w:val="center"/>
          </w:tcPr>
          <w:p w14:paraId="55ACA550">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6</w:t>
            </w:r>
          </w:p>
        </w:tc>
        <w:tc>
          <w:tcPr>
            <w:tcW w:w="0" w:type="auto"/>
            <w:gridSpan w:val="4"/>
            <w:vAlign w:val="center"/>
          </w:tcPr>
          <w:p w14:paraId="0924885D">
            <w:pPr>
              <w:snapToGrid w:val="0"/>
              <w:spacing w:line="360" w:lineRule="auto"/>
              <w:contextualSpacing/>
              <w:jc w:val="center"/>
              <w:rPr>
                <w:rFonts w:hint="eastAsia" w:ascii="宋体" w:hAnsi="宋体" w:eastAsia="宋体" w:cs="宋体"/>
                <w:color w:val="auto"/>
                <w:szCs w:val="21"/>
                <w:highlight w:val="none"/>
              </w:rPr>
            </w:pPr>
            <w:r>
              <w:rPr>
                <w:rFonts w:hint="eastAsia" w:ascii="宋体" w:hAnsi="宋体" w:eastAsia="宋体" w:cs="宋体"/>
                <w:bCs/>
                <w:color w:val="auto"/>
                <w:szCs w:val="21"/>
                <w:highlight w:val="none"/>
              </w:rPr>
              <w:t>总计</w:t>
            </w:r>
          </w:p>
        </w:tc>
        <w:tc>
          <w:tcPr>
            <w:tcW w:w="0" w:type="auto"/>
            <w:vAlign w:val="center"/>
          </w:tcPr>
          <w:p w14:paraId="7288FFBB">
            <w:pPr>
              <w:widowControl/>
              <w:snapToGrid w:val="0"/>
              <w:spacing w:line="360" w:lineRule="auto"/>
              <w:contextualSpacing/>
              <w:jc w:val="center"/>
              <w:rPr>
                <w:rFonts w:hint="eastAsia" w:ascii="宋体" w:hAnsi="宋体" w:eastAsia="宋体" w:cs="宋体"/>
                <w:color w:val="auto"/>
                <w:szCs w:val="21"/>
                <w:highlight w:val="none"/>
              </w:rPr>
            </w:pPr>
          </w:p>
        </w:tc>
        <w:tc>
          <w:tcPr>
            <w:tcW w:w="0" w:type="auto"/>
            <w:vAlign w:val="center"/>
          </w:tcPr>
          <w:p w14:paraId="1B304BBA">
            <w:pPr>
              <w:tabs>
                <w:tab w:val="left" w:pos="8610"/>
              </w:tabs>
              <w:snapToGrid w:val="0"/>
              <w:spacing w:line="360" w:lineRule="auto"/>
              <w:contextualSpacing/>
              <w:jc w:val="center"/>
              <w:rPr>
                <w:rFonts w:hint="eastAsia" w:ascii="宋体" w:hAnsi="宋体" w:eastAsia="宋体" w:cs="宋体"/>
                <w:color w:val="auto"/>
                <w:szCs w:val="21"/>
                <w:highlight w:val="none"/>
              </w:rPr>
            </w:pPr>
          </w:p>
        </w:tc>
      </w:tr>
    </w:tbl>
    <w:p w14:paraId="0788F440">
      <w:pPr>
        <w:pStyle w:val="19"/>
        <w:rPr>
          <w:rFonts w:hint="eastAsia" w:ascii="宋体" w:hAnsi="宋体" w:eastAsia="宋体" w:cs="宋体"/>
          <w:color w:val="auto"/>
          <w:sz w:val="21"/>
          <w:szCs w:val="21"/>
          <w:highlight w:val="none"/>
        </w:rPr>
      </w:pPr>
    </w:p>
    <w:p w14:paraId="03E71366">
      <w:pPr>
        <w:tabs>
          <w:tab w:val="left" w:pos="0"/>
          <w:tab w:val="left" w:pos="405"/>
          <w:tab w:val="left" w:pos="567"/>
          <w:tab w:val="left" w:pos="601"/>
          <w:tab w:val="left" w:pos="198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1.本合同劳务服务费用暂定总价为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不含销项税）。前述劳务服务费用应包括完成本合同服务所需的全部费用，包括但不限于人工费（工资及福利、社保、劳保、服装和膳食、意外伤害保险、加班费、住宿补贴等）、办公费、交通费、管理费用、保险、利润、本项目所发生的供应商销项税额以外的税费、其他完成本合同下服务相关的直接及间接费用（如劳务服务员工的招聘成本、培训成本、现场管理相关成本、项目其他运营管理活动涉及的成本、项目管理团队人工分摊到本项目的部分成本、乙方场地租金和水电费等日常运营分摊到本项目的部分成本、乙方服务于本项目的其他职能部门管理费用分摊到本项目的部分成本等）。</w:t>
      </w:r>
    </w:p>
    <w:p w14:paraId="2E190270">
      <w:pPr>
        <w:tabs>
          <w:tab w:val="left" w:pos="0"/>
          <w:tab w:val="left" w:pos="405"/>
          <w:tab w:val="left" w:pos="567"/>
          <w:tab w:val="left" w:pos="601"/>
          <w:tab w:val="left" w:pos="198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2.在本合同履行过程中，不含税价（即销售额，不含乙方销项税额）不随法律法规政策、物价人工、工期调整而进行调整，未经甲方书面确认，乙方无权增加任何费用。</w:t>
      </w:r>
    </w:p>
    <w:p w14:paraId="36C3BF8A">
      <w:pPr>
        <w:tabs>
          <w:tab w:val="left" w:pos="0"/>
          <w:tab w:val="left" w:pos="405"/>
          <w:tab w:val="left" w:pos="567"/>
          <w:tab w:val="left" w:pos="601"/>
          <w:tab w:val="left" w:pos="1980"/>
        </w:tabs>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3.依法计得并根据本合同约定确定的销项税额由甲方承担。根据《中华人民共和国增值税暂行条例》（国务院令第691号修订版）及当前税务部门的相关规定，本合同项目的增值税税率为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，对应的暂定合同价销项税额为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元（大写人民币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rPr>
        <w:t>）。在本合同履行过程中，税收政策变动导致增值税税率调整，依法应调整销项税额的，依法调整；但因乙方未按合同约定服务、未根据合同约定提供合法、完整的请款资料、项目验收不合格、项目验收合格前的非正常损耗等原因导致销项税额增加的，相应损失由乙方承担。</w:t>
      </w:r>
    </w:p>
    <w:p w14:paraId="756300D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4.因乙方未按法定税率计算税额或未根据本合同约定出具对应税额的增值税专用发票等原因导致甲方多支付税额的，乙方必须退还甲方，给甲方造成损失的，乙方须向甲方赔偿相应损失。</w:t>
      </w:r>
    </w:p>
    <w:p w14:paraId="4AE97F60">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5.服务费用暂定合同含税总价为¥</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元(大写：</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 )。</w:t>
      </w:r>
    </w:p>
    <w:p w14:paraId="14A5E4BD">
      <w:pPr>
        <w:spacing w:before="156" w:beforeLines="50" w:line="360" w:lineRule="auto"/>
        <w:ind w:left="420"/>
        <w:jc w:val="center"/>
        <w:outlineLvl w:val="1"/>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合同价格内部分摊表</w:t>
      </w:r>
    </w:p>
    <w:tbl>
      <w:tblPr>
        <w:tblStyle w:val="4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14"/>
        <w:gridCol w:w="4252"/>
      </w:tblGrid>
      <w:tr w14:paraId="0D2E0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4" w:type="dxa"/>
          </w:tcPr>
          <w:p w14:paraId="0D1BDC70">
            <w:pPr>
              <w:spacing w:before="156" w:beforeLines="50" w:line="360" w:lineRule="auto"/>
              <w:jc w:val="center"/>
              <w:outlineLvl w:val="1"/>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项目公司</w:t>
            </w:r>
          </w:p>
        </w:tc>
        <w:tc>
          <w:tcPr>
            <w:tcW w:w="4252" w:type="dxa"/>
          </w:tcPr>
          <w:p w14:paraId="18004C1F">
            <w:pPr>
              <w:spacing w:before="156" w:beforeLines="50" w:line="360" w:lineRule="auto"/>
              <w:jc w:val="center"/>
              <w:outlineLvl w:val="1"/>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bCs/>
                <w:color w:val="auto"/>
                <w:sz w:val="21"/>
                <w:szCs w:val="21"/>
                <w:highlight w:val="none"/>
                <w:vertAlign w:val="baseline"/>
                <w:lang w:val="en-US" w:eastAsia="zh-CN"/>
              </w:rPr>
              <w:t>分摊金额（含税）</w:t>
            </w:r>
          </w:p>
        </w:tc>
      </w:tr>
      <w:tr w14:paraId="6949E8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4" w:type="dxa"/>
          </w:tcPr>
          <w:p w14:paraId="30FE3C0D">
            <w:pPr>
              <w:spacing w:before="156" w:beforeLines="50" w:line="360" w:lineRule="auto"/>
              <w:jc w:val="center"/>
              <w:outlineLvl w:val="1"/>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 xml:space="preserve">东莞市水务集团管网有限公司             </w:t>
            </w:r>
          </w:p>
        </w:tc>
        <w:tc>
          <w:tcPr>
            <w:tcW w:w="4252" w:type="dxa"/>
          </w:tcPr>
          <w:p w14:paraId="6EA663D9">
            <w:pPr>
              <w:spacing w:before="156" w:beforeLines="50" w:line="360" w:lineRule="auto"/>
              <w:jc w:val="center"/>
              <w:outlineLvl w:val="1"/>
              <w:rPr>
                <w:rFonts w:hint="eastAsia" w:ascii="宋体" w:hAnsi="宋体" w:eastAsia="宋体" w:cs="宋体"/>
                <w:b w:val="0"/>
                <w:bCs w:val="0"/>
                <w:color w:val="auto"/>
                <w:sz w:val="21"/>
                <w:szCs w:val="21"/>
                <w:highlight w:val="none"/>
                <w:vertAlign w:val="baseline"/>
                <w:lang w:val="en-US" w:eastAsia="zh-CN"/>
              </w:rPr>
            </w:pPr>
          </w:p>
        </w:tc>
      </w:tr>
      <w:tr w14:paraId="0F061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4" w:type="dxa"/>
            <w:vAlign w:val="top"/>
          </w:tcPr>
          <w:p w14:paraId="2EDA0141">
            <w:pPr>
              <w:spacing w:before="156" w:beforeLines="50" w:line="360" w:lineRule="auto"/>
              <w:jc w:val="center"/>
              <w:outlineLvl w:val="1"/>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东莞市莞泽水环境投资有限公司</w:t>
            </w:r>
          </w:p>
        </w:tc>
        <w:tc>
          <w:tcPr>
            <w:tcW w:w="4252" w:type="dxa"/>
            <w:vAlign w:val="top"/>
          </w:tcPr>
          <w:p w14:paraId="24628F9A">
            <w:pPr>
              <w:spacing w:before="156" w:beforeLines="50" w:line="360" w:lineRule="auto"/>
              <w:jc w:val="center"/>
              <w:outlineLvl w:val="1"/>
              <w:rPr>
                <w:rFonts w:hint="eastAsia" w:ascii="宋体" w:hAnsi="宋体" w:eastAsia="宋体" w:cs="宋体"/>
                <w:b w:val="0"/>
                <w:bCs w:val="0"/>
                <w:color w:val="auto"/>
                <w:sz w:val="21"/>
                <w:szCs w:val="21"/>
                <w:highlight w:val="none"/>
                <w:vertAlign w:val="baseline"/>
                <w:lang w:val="en-US" w:eastAsia="zh-CN"/>
              </w:rPr>
            </w:pPr>
          </w:p>
        </w:tc>
      </w:tr>
      <w:tr w14:paraId="6AC7A4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4" w:type="dxa"/>
            <w:vAlign w:val="top"/>
          </w:tcPr>
          <w:p w14:paraId="6FF97966">
            <w:pPr>
              <w:spacing w:before="156" w:beforeLines="50" w:line="360" w:lineRule="auto"/>
              <w:jc w:val="center"/>
              <w:outlineLvl w:val="1"/>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东莞市东信水环境投资有限公司</w:t>
            </w:r>
          </w:p>
        </w:tc>
        <w:tc>
          <w:tcPr>
            <w:tcW w:w="4252" w:type="dxa"/>
            <w:vAlign w:val="top"/>
          </w:tcPr>
          <w:p w14:paraId="0BCCC8C6">
            <w:pPr>
              <w:spacing w:before="156" w:beforeLines="50" w:line="360" w:lineRule="auto"/>
              <w:jc w:val="center"/>
              <w:outlineLvl w:val="1"/>
              <w:rPr>
                <w:rFonts w:hint="eastAsia" w:ascii="宋体" w:hAnsi="宋体" w:eastAsia="宋体" w:cs="宋体"/>
                <w:b w:val="0"/>
                <w:bCs w:val="0"/>
                <w:color w:val="auto"/>
                <w:sz w:val="21"/>
                <w:szCs w:val="21"/>
                <w:highlight w:val="none"/>
                <w:vertAlign w:val="baseline"/>
                <w:lang w:val="en-US" w:eastAsia="zh-CN"/>
              </w:rPr>
            </w:pPr>
          </w:p>
        </w:tc>
      </w:tr>
      <w:tr w14:paraId="6A61A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4" w:type="dxa"/>
            <w:vAlign w:val="top"/>
          </w:tcPr>
          <w:p w14:paraId="656F0F24">
            <w:pPr>
              <w:spacing w:before="156" w:beforeLines="50" w:line="360" w:lineRule="auto"/>
              <w:jc w:val="center"/>
              <w:outlineLvl w:val="1"/>
              <w:rPr>
                <w:rFonts w:hint="eastAsia" w:ascii="宋体" w:hAnsi="宋体" w:eastAsia="宋体" w:cs="宋体"/>
                <w:b/>
                <w:bCs/>
                <w:color w:val="auto"/>
                <w:sz w:val="21"/>
                <w:szCs w:val="21"/>
                <w:highlight w:val="none"/>
                <w:vertAlign w:val="baseline"/>
                <w:lang w:val="en-US" w:eastAsia="zh-CN"/>
              </w:rPr>
            </w:pPr>
            <w:r>
              <w:rPr>
                <w:rFonts w:hint="eastAsia" w:ascii="宋体" w:hAnsi="宋体" w:eastAsia="宋体" w:cs="宋体"/>
                <w:b w:val="0"/>
                <w:bCs/>
                <w:color w:val="auto"/>
                <w:sz w:val="21"/>
                <w:szCs w:val="21"/>
                <w:highlight w:val="none"/>
                <w:lang w:val="en-US" w:eastAsia="zh-CN"/>
              </w:rPr>
              <w:t>东莞市东泽水环境投资有限公司</w:t>
            </w:r>
          </w:p>
        </w:tc>
        <w:tc>
          <w:tcPr>
            <w:tcW w:w="4252" w:type="dxa"/>
            <w:vAlign w:val="top"/>
          </w:tcPr>
          <w:p w14:paraId="28809A6D">
            <w:pPr>
              <w:spacing w:before="156" w:beforeLines="50" w:line="360" w:lineRule="auto"/>
              <w:jc w:val="center"/>
              <w:outlineLvl w:val="1"/>
              <w:rPr>
                <w:rFonts w:hint="eastAsia" w:ascii="宋体" w:hAnsi="宋体" w:eastAsia="宋体" w:cs="宋体"/>
                <w:b w:val="0"/>
                <w:bCs w:val="0"/>
                <w:color w:val="auto"/>
                <w:sz w:val="21"/>
                <w:szCs w:val="21"/>
                <w:highlight w:val="none"/>
                <w:vertAlign w:val="baseline"/>
                <w:lang w:val="en-US" w:eastAsia="zh-CN"/>
              </w:rPr>
            </w:pPr>
          </w:p>
        </w:tc>
      </w:tr>
      <w:tr w14:paraId="2E261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14" w:type="dxa"/>
          </w:tcPr>
          <w:p w14:paraId="1BE55318">
            <w:pPr>
              <w:spacing w:before="156" w:beforeLines="50" w:line="360" w:lineRule="auto"/>
              <w:jc w:val="center"/>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东莞市清泽水环境投资有限公司</w:t>
            </w:r>
          </w:p>
        </w:tc>
        <w:tc>
          <w:tcPr>
            <w:tcW w:w="4252" w:type="dxa"/>
          </w:tcPr>
          <w:p w14:paraId="0001E485">
            <w:pPr>
              <w:spacing w:before="156" w:beforeLines="50" w:line="360" w:lineRule="auto"/>
              <w:jc w:val="center"/>
              <w:outlineLvl w:val="1"/>
              <w:rPr>
                <w:rFonts w:hint="eastAsia" w:ascii="宋体" w:hAnsi="宋体" w:eastAsia="宋体" w:cs="宋体"/>
                <w:color w:val="auto"/>
                <w:sz w:val="21"/>
                <w:szCs w:val="21"/>
                <w:highlight w:val="none"/>
                <w:lang w:val="en-US" w:eastAsia="zh-CN"/>
              </w:rPr>
            </w:pPr>
          </w:p>
        </w:tc>
      </w:tr>
      <w:tr w14:paraId="674B3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6" w:type="dxa"/>
            <w:gridSpan w:val="2"/>
          </w:tcPr>
          <w:p w14:paraId="389EBE46">
            <w:pPr>
              <w:spacing w:before="156" w:beforeLines="50" w:line="360" w:lineRule="auto"/>
              <w:jc w:val="center"/>
              <w:outlineLvl w:val="1"/>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 xml:space="preserve">总计：          </w:t>
            </w:r>
            <w:r>
              <w:rPr>
                <w:rFonts w:hint="eastAsia" w:ascii="宋体" w:hAnsi="宋体" w:eastAsia="宋体" w:cs="宋体"/>
                <w:color w:val="auto"/>
                <w:sz w:val="21"/>
                <w:szCs w:val="21"/>
                <w:highlight w:val="none"/>
              </w:rPr>
              <w:t>元</w:t>
            </w:r>
          </w:p>
        </w:tc>
      </w:tr>
    </w:tbl>
    <w:p w14:paraId="6CCEBD3F">
      <w:pPr>
        <w:snapToGrid w:val="0"/>
        <w:spacing w:line="360" w:lineRule="auto"/>
        <w:ind w:firstLine="420" w:firstLineChars="200"/>
        <w:contextualSpacing/>
        <w:rPr>
          <w:rFonts w:hint="eastAsia" w:ascii="宋体" w:hAnsi="宋体" w:eastAsia="宋体" w:cs="宋体"/>
          <w:bCs/>
          <w:color w:val="auto"/>
          <w:szCs w:val="21"/>
          <w:highlight w:val="none"/>
        </w:rPr>
      </w:pPr>
    </w:p>
    <w:p w14:paraId="20D19B71">
      <w:pPr>
        <w:snapToGrid w:val="0"/>
        <w:spacing w:line="360" w:lineRule="auto"/>
        <w:ind w:firstLine="420" w:firstLineChars="200"/>
        <w:contextualSpacing/>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rPr>
        <w:t>（三）</w:t>
      </w:r>
      <w:r>
        <w:rPr>
          <w:rFonts w:hint="eastAsia" w:ascii="宋体" w:hAnsi="宋体" w:eastAsia="宋体" w:cs="宋体"/>
          <w:bCs/>
          <w:color w:val="auto"/>
          <w:szCs w:val="21"/>
          <w:highlight w:val="none"/>
        </w:rPr>
        <w:t>乙方</w:t>
      </w:r>
      <w:r>
        <w:rPr>
          <w:rFonts w:hint="eastAsia" w:ascii="宋体" w:hAnsi="宋体" w:eastAsia="宋体" w:cs="宋体"/>
          <w:bCs/>
          <w:color w:val="auto"/>
          <w:kern w:val="2"/>
          <w:sz w:val="21"/>
          <w:szCs w:val="21"/>
          <w:highlight w:val="none"/>
        </w:rPr>
        <w:t>推荐优质服务人员至</w:t>
      </w:r>
      <w:r>
        <w:rPr>
          <w:rFonts w:hint="eastAsia" w:ascii="宋体" w:hAnsi="宋体" w:eastAsia="宋体" w:cs="宋体"/>
          <w:bCs/>
          <w:color w:val="auto"/>
          <w:szCs w:val="21"/>
          <w:highlight w:val="none"/>
        </w:rPr>
        <w:t>甲方</w:t>
      </w:r>
      <w:r>
        <w:rPr>
          <w:rFonts w:hint="eastAsia" w:ascii="宋体" w:hAnsi="宋体" w:eastAsia="宋体" w:cs="宋体"/>
          <w:bCs/>
          <w:color w:val="auto"/>
          <w:kern w:val="2"/>
          <w:sz w:val="21"/>
          <w:szCs w:val="21"/>
          <w:highlight w:val="none"/>
        </w:rPr>
        <w:t>，</w:t>
      </w:r>
      <w:r>
        <w:rPr>
          <w:rFonts w:hint="eastAsia" w:ascii="宋体" w:hAnsi="宋体" w:eastAsia="宋体" w:cs="宋体"/>
          <w:bCs/>
          <w:color w:val="auto"/>
          <w:szCs w:val="21"/>
          <w:highlight w:val="none"/>
        </w:rPr>
        <w:t>甲方</w:t>
      </w:r>
      <w:r>
        <w:rPr>
          <w:rFonts w:hint="eastAsia" w:ascii="宋体" w:hAnsi="宋体" w:eastAsia="宋体" w:cs="宋体"/>
          <w:bCs/>
          <w:color w:val="auto"/>
          <w:kern w:val="2"/>
          <w:sz w:val="21"/>
          <w:szCs w:val="21"/>
          <w:highlight w:val="none"/>
        </w:rPr>
        <w:t>确认服务人员符合本次采购相关要求后才能正式工作。</w:t>
      </w:r>
    </w:p>
    <w:p w14:paraId="0472E8A6">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（四）服务期：自合同签订生效后一年。</w:t>
      </w:r>
    </w:p>
    <w:p w14:paraId="3819CD4B">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五）本合同约定的需求人数为暂定数量，乙方按甲方实际需求提供劳务服务人员进行服务，以甲方书面通知为准。乙方不得因需求数量少于暂定数量而要求甲方作任何赔偿、补偿。在本合同有效期内，甲方根据自身业务发展需要提出增补乙方劳务服务人员的，甲方应至少提前5个日历天以书面形式通知乙方，乙方按甲方要求进行人员增补。如甲方需要进行大批量增补（需增补人员10人以上（不含本数）的）乙方劳务服务人员的，甲方应至少提前10个日历天以书面形式通知乙方，乙方按要求进行劳务服务人员增补。</w:t>
      </w:r>
    </w:p>
    <w:p w14:paraId="315DCD30">
      <w:pPr>
        <w:snapToGrid w:val="0"/>
        <w:spacing w:line="360" w:lineRule="auto"/>
        <w:ind w:firstLine="422" w:firstLineChars="20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四、履约担保</w:t>
      </w:r>
    </w:p>
    <w:p w14:paraId="1F162D6B">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1、乙方应当根据招标文件的规定在签订本合同前向</w:t>
      </w:r>
      <w:r>
        <w:rPr>
          <w:rFonts w:hint="eastAsia" w:ascii="宋体" w:hAnsi="宋体" w:eastAsia="宋体" w:cs="宋体"/>
          <w:bCs/>
          <w:color w:val="auto"/>
          <w:szCs w:val="21"/>
          <w:highlight w:val="none"/>
          <w:lang w:val="en-US" w:eastAsia="zh-CN"/>
        </w:rPr>
        <w:t>甲方</w:t>
      </w:r>
      <w:r>
        <w:rPr>
          <w:rFonts w:hint="eastAsia" w:ascii="宋体" w:hAnsi="宋体" w:eastAsia="宋体" w:cs="宋体"/>
          <w:bCs/>
          <w:color w:val="auto"/>
          <w:szCs w:val="21"/>
          <w:highlight w:val="none"/>
        </w:rPr>
        <w:t>提供履约担保（所需费用由乙方自行承担），履约担保形式及金额由乙方从以下方式中任选一种：</w:t>
      </w:r>
    </w:p>
    <w:p w14:paraId="5ED8765B">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sym w:font="Wingdings 2" w:char="00A3"/>
      </w:r>
      <w:r>
        <w:rPr>
          <w:rFonts w:hint="eastAsia" w:ascii="宋体" w:hAnsi="宋体" w:eastAsia="宋体" w:cs="宋体"/>
          <w:bCs/>
          <w:color w:val="auto"/>
          <w:szCs w:val="21"/>
          <w:highlight w:val="none"/>
        </w:rPr>
        <w:t>履约保证金（银行转账形式）金额为</w:t>
      </w:r>
      <w:r>
        <w:rPr>
          <w:rFonts w:hint="eastAsia" w:ascii="宋体" w:hAnsi="宋体" w:eastAsia="宋体" w:cs="宋体"/>
          <w:bCs/>
          <w:color w:val="auto"/>
          <w:szCs w:val="21"/>
          <w:highlight w:val="none"/>
          <w:lang w:val="en-US" w:eastAsia="zh-CN"/>
        </w:rPr>
        <w:t>暂定合同含税总价</w:t>
      </w:r>
      <w:r>
        <w:rPr>
          <w:rFonts w:hint="eastAsia" w:ascii="宋体" w:hAnsi="宋体" w:eastAsia="宋体" w:cs="宋体"/>
          <w:bCs/>
          <w:color w:val="auto"/>
          <w:szCs w:val="21"/>
          <w:highlight w:val="none"/>
        </w:rPr>
        <w:t>的5%；</w:t>
      </w:r>
    </w:p>
    <w:p w14:paraId="31A1E91C">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sym w:font="Wingdings 2" w:char="00A3"/>
      </w:r>
      <w:r>
        <w:rPr>
          <w:rFonts w:hint="eastAsia" w:ascii="宋体" w:hAnsi="宋体" w:eastAsia="宋体" w:cs="宋体"/>
          <w:bCs/>
          <w:color w:val="auto"/>
          <w:szCs w:val="21"/>
          <w:highlight w:val="none"/>
        </w:rPr>
        <w:t>银行不可撤销履约保函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金额为暂定合同含税总价的8%。</w:t>
      </w:r>
    </w:p>
    <w:p w14:paraId="51C76819">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sym w:font="Wingdings 2" w:char="00A3"/>
      </w:r>
      <w:r>
        <w:rPr>
          <w:rFonts w:hint="eastAsia" w:ascii="宋体" w:hAnsi="宋体" w:eastAsia="宋体" w:cs="宋体"/>
          <w:bCs/>
          <w:color w:val="auto"/>
          <w:szCs w:val="21"/>
          <w:highlight w:val="none"/>
        </w:rPr>
        <w:t>担保公司履约担保书金额为暂定合同含税总价的10%。</w:t>
      </w:r>
    </w:p>
    <w:p w14:paraId="0887202F">
      <w:pPr>
        <w:snapToGrid w:val="0"/>
        <w:spacing w:line="360" w:lineRule="auto"/>
        <w:ind w:firstLine="422" w:firstLineChars="200"/>
        <w:contextualSpacing/>
        <w:rPr>
          <w:rFonts w:hint="eastAsia" w:ascii="宋体" w:hAnsi="宋体" w:eastAsia="宋体" w:cs="宋体"/>
          <w:b/>
          <w:color w:val="auto"/>
          <w:szCs w:val="21"/>
          <w:highlight w:val="none"/>
          <w:lang w:bidi="ar"/>
        </w:rPr>
      </w:pPr>
      <w:r>
        <w:rPr>
          <w:rFonts w:hint="eastAsia" w:ascii="宋体" w:hAnsi="宋体" w:eastAsia="宋体" w:cs="宋体"/>
          <w:b/>
          <w:color w:val="auto"/>
          <w:szCs w:val="21"/>
          <w:highlight w:val="none"/>
          <w:lang w:bidi="ar"/>
        </w:rPr>
        <w:t>采用履约保证金（银行转账形式）的，统一由东莞市水务集团管网有限公司收取。</w:t>
      </w:r>
    </w:p>
    <w:p w14:paraId="0D989BB2">
      <w:pPr>
        <w:pStyle w:val="2"/>
        <w:ind w:firstLine="369" w:firstLineChars="176"/>
        <w:outlineLvl w:val="9"/>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rPr>
        <w:t>合同履行过程中，</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rPr>
        <w:t>给</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rPr>
        <w:t>造成的损失超过履约担保数额的，</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rPr>
        <w:t>还应当对超过部分予以赔偿，</w:t>
      </w:r>
      <w:r>
        <w:rPr>
          <w:rFonts w:hint="eastAsia" w:ascii="宋体" w:hAnsi="宋体" w:eastAsia="宋体" w:cs="宋体"/>
          <w:b w:val="0"/>
          <w:bCs w:val="0"/>
          <w:color w:val="auto"/>
          <w:sz w:val="21"/>
          <w:szCs w:val="21"/>
          <w:highlight w:val="none"/>
          <w:lang w:val="en-US" w:eastAsia="zh-CN"/>
        </w:rPr>
        <w:t>甲方</w:t>
      </w:r>
      <w:r>
        <w:rPr>
          <w:rFonts w:hint="eastAsia" w:ascii="宋体" w:hAnsi="宋体" w:eastAsia="宋体" w:cs="宋体"/>
          <w:b w:val="0"/>
          <w:bCs w:val="0"/>
          <w:color w:val="auto"/>
          <w:sz w:val="21"/>
          <w:szCs w:val="21"/>
          <w:highlight w:val="none"/>
          <w:lang w:val="en-US"/>
        </w:rPr>
        <w:t>并依法追究</w:t>
      </w:r>
      <w:r>
        <w:rPr>
          <w:rFonts w:hint="eastAsia" w:ascii="宋体" w:hAnsi="宋体" w:eastAsia="宋体" w:cs="宋体"/>
          <w:b w:val="0"/>
          <w:bCs w:val="0"/>
          <w:color w:val="auto"/>
          <w:sz w:val="21"/>
          <w:szCs w:val="21"/>
          <w:highlight w:val="none"/>
          <w:lang w:val="en-US" w:eastAsia="zh-CN"/>
        </w:rPr>
        <w:t>乙方</w:t>
      </w:r>
      <w:r>
        <w:rPr>
          <w:rFonts w:hint="eastAsia" w:ascii="宋体" w:hAnsi="宋体" w:eastAsia="宋体" w:cs="宋体"/>
          <w:b w:val="0"/>
          <w:bCs w:val="0"/>
          <w:color w:val="auto"/>
          <w:sz w:val="21"/>
          <w:szCs w:val="21"/>
          <w:highlight w:val="none"/>
          <w:lang w:val="en-US"/>
        </w:rPr>
        <w:t>的相应责任。</w:t>
      </w:r>
    </w:p>
    <w:p w14:paraId="40FC1CB6">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履约担保用于补偿甲方因乙方不能完全履行其合同义务而蒙受的损失或其他合同约定的事项，如发生下列任一情况时，甲方除有权依合同追究乙方给甲方造成的损失责任外，同时有权提取履约担保并进行相应处理：</w:t>
      </w:r>
    </w:p>
    <w:p w14:paraId="535902AC">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（1）未经甲方书面同意，乙方将本合同部分或全部的权利义务转让给第三人，甲方可依法没收其履约担保。</w:t>
      </w:r>
    </w:p>
    <w:p w14:paraId="0946D173">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（2）在合同履行期间，乙方怠于履行合同义务，经甲方通知或要求承担暂定合同含税总价5%的违约金后仍拒不改正的，甲方可</w:t>
      </w:r>
      <w:r>
        <w:rPr>
          <w:rFonts w:hint="eastAsia" w:ascii="宋体" w:hAnsi="宋体" w:eastAsia="宋体" w:cs="宋体"/>
          <w:bCs/>
          <w:color w:val="auto"/>
          <w:szCs w:val="21"/>
          <w:highlight w:val="none"/>
          <w:lang w:val="en-US" w:eastAsia="zh-CN"/>
        </w:rPr>
        <w:t>扣除其10%的履约担保</w:t>
      </w:r>
      <w:r>
        <w:rPr>
          <w:rFonts w:hint="eastAsia" w:ascii="宋体" w:hAnsi="宋体" w:eastAsia="宋体" w:cs="宋体"/>
          <w:bCs/>
          <w:color w:val="auto"/>
          <w:szCs w:val="21"/>
          <w:highlight w:val="none"/>
        </w:rPr>
        <w:t>。</w:t>
      </w:r>
    </w:p>
    <w:p w14:paraId="00865454">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在合同履行期间，因乙方服务质量问题造成损害、侵权损失（包括但不限于甲方（含其人员）经济损失、乙方所雇人员及第三人人身财产损失等）、与其所雇用员工发生劳资纠纷、上访、闹事或其他影响甲方生产经营等情况而其未及时妥善处理的，甲方有权使用履约担保予以支付或作出相应处理，由此产生的一切法律后果由乙方承担。</w:t>
      </w:r>
    </w:p>
    <w:p w14:paraId="43B2C420">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（4）在合同履行期间，乙方违约产生的违约金、赔偿、罚款或其他应付费用等款项，甲方有权直接从未付服务款项中扣除或使用履约担保予以支付。</w:t>
      </w:r>
    </w:p>
    <w:p w14:paraId="6F047A92">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（5）合同期内，乙方不能及时完成合同某项义务的，甲方有权使用履约担保用于处理该项目工作。</w:t>
      </w:r>
    </w:p>
    <w:p w14:paraId="16DF3B5C">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（6）其他根据本合同约定或法律规定，甲方可使用履约担保的情形。</w:t>
      </w:r>
    </w:p>
    <w:p w14:paraId="7131A391">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3、在乙方履行完毕相关服务义务且结算完毕之后二十八（28）日</w:t>
      </w:r>
      <w:r>
        <w:rPr>
          <w:rFonts w:hint="eastAsia" w:ascii="宋体" w:hAnsi="宋体" w:eastAsia="宋体" w:cs="宋体"/>
          <w:bCs/>
          <w:color w:val="auto"/>
          <w:szCs w:val="21"/>
          <w:highlight w:val="none"/>
          <w:lang w:val="en-US" w:eastAsia="zh-CN"/>
        </w:rPr>
        <w:t>后</w:t>
      </w:r>
      <w:r>
        <w:rPr>
          <w:rFonts w:hint="eastAsia" w:ascii="宋体" w:hAnsi="宋体" w:eastAsia="宋体" w:cs="宋体"/>
          <w:bCs/>
          <w:color w:val="auto"/>
          <w:szCs w:val="21"/>
          <w:highlight w:val="none"/>
        </w:rPr>
        <w:t>，经甲方确认，乙方可向甲方提交退回履约担保的申请。甲方审核无异议后，办理履约担保退还手续，履约保证金形式提交的履约担保余额退回时一律以银行转账的形式无息退回到乙方的账户。甲方将履约担保余额退还乙方。</w:t>
      </w:r>
    </w:p>
    <w:p w14:paraId="431D4B71">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4、如乙方提供不可撤销银行履约保函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或担保公司履约担保书作为履约担保的，不可撤销银行履约保函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或担保公司履约担保书期限应从合同签订之日起至合同期限届满并履行完毕相关服务义务且结算完毕之后28日内保持有效。如不可撤销银行履约保函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或担保公司履约担保书在规定有效期届满时而乙方未履行完毕相关服务义务且结算完毕的，乙方必须在不可撤销银行履约保函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或担保公司履约担保书到期15日前无条件办理办妥符合甲方要求的延期手续或重新提供不可撤销银行履约保函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或担保公司履约担保书；否则视为乙方违约，甲方有权在不可撤销银行履约保函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或担保公司履约担保书到期前向出具履约担保的机构提取履约担保金。在不可撤销银行履约保函</w:t>
      </w:r>
      <w:r>
        <w:rPr>
          <w:rFonts w:hint="eastAsia" w:ascii="宋体" w:hAnsi="宋体" w:eastAsia="宋体" w:cs="宋体"/>
          <w:color w:val="auto"/>
          <w:szCs w:val="21"/>
          <w:highlight w:val="none"/>
          <w:u w:val="single"/>
        </w:rPr>
        <w:t>或履约保证保险</w:t>
      </w:r>
      <w:r>
        <w:rPr>
          <w:rFonts w:hint="eastAsia" w:ascii="宋体" w:hAnsi="宋体" w:eastAsia="宋体" w:cs="宋体"/>
          <w:bCs/>
          <w:color w:val="auto"/>
          <w:szCs w:val="21"/>
          <w:highlight w:val="none"/>
        </w:rPr>
        <w:t>或担保公司履约担保书到期后乙方未按甲方要求重新提供的，甲方有权要求乙方以履约担保金额为限承担违约金，违约金甲方可直接从未付款项中扣除。</w:t>
      </w:r>
    </w:p>
    <w:p w14:paraId="5DDC4365">
      <w:pPr>
        <w:snapToGrid w:val="0"/>
        <w:spacing w:line="360" w:lineRule="auto"/>
        <w:ind w:firstLine="420" w:firstLineChars="200"/>
        <w:contextualSpacing/>
        <w:rPr>
          <w:rFonts w:hint="eastAsia" w:ascii="宋体" w:hAnsi="宋体" w:eastAsia="宋体" w:cs="宋体"/>
          <w:b/>
          <w:color w:val="auto"/>
          <w:szCs w:val="21"/>
          <w:highlight w:val="none"/>
        </w:rPr>
      </w:pPr>
      <w:r>
        <w:rPr>
          <w:rFonts w:hint="eastAsia" w:ascii="宋体" w:hAnsi="宋体" w:eastAsia="宋体" w:cs="宋体"/>
          <w:bCs/>
          <w:color w:val="auto"/>
          <w:szCs w:val="21"/>
          <w:highlight w:val="none"/>
        </w:rPr>
        <w:t>5、在合同履行过程中，不论何种原因导致履约担保数额不符合招标文件要求的，乙方应当在5日内予以补足。逾期不予补足的，甲方有权按需补足的金额要求乙方承担违约金，并要求限期补足。如乙方仍不补足的，甲方有权单方解除合同。</w:t>
      </w:r>
    </w:p>
    <w:p w14:paraId="3F9D1EA7">
      <w:pPr>
        <w:snapToGrid w:val="0"/>
        <w:spacing w:line="360" w:lineRule="auto"/>
        <w:ind w:firstLine="422" w:firstLineChars="20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五、乙方劳务服务人员要求</w:t>
      </w:r>
    </w:p>
    <w:p w14:paraId="02ABF08B">
      <w:pPr>
        <w:snapToGrid w:val="0"/>
        <w:spacing w:line="360" w:lineRule="auto"/>
        <w:ind w:firstLine="567" w:firstLineChars="27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（一）劳务服务人员（厨师及厨工）的要求</w:t>
      </w:r>
    </w:p>
    <w:p w14:paraId="3CE96A83">
      <w:pPr>
        <w:snapToGrid w:val="0"/>
        <w:spacing w:line="360" w:lineRule="auto"/>
        <w:ind w:firstLine="567" w:firstLineChars="27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1.资质及证件要求：厨师要求：</w:t>
      </w:r>
      <w:r>
        <w:rPr>
          <w:rFonts w:hint="eastAsia" w:ascii="宋体" w:hAnsi="宋体" w:eastAsia="宋体" w:cs="宋体"/>
          <w:b/>
          <w:bCs/>
          <w:color w:val="auto"/>
          <w:kern w:val="0"/>
          <w:szCs w:val="21"/>
          <w:highlight w:val="none"/>
        </w:rPr>
        <w:t>持有由人力资源和社会保障部门颁发的初级(国家职业资格五级)或以上职业资格证书（工种为中式烹调师）；从事烹饪工作至少3年经验；具有食品从业人员健康证明。厨</w:t>
      </w:r>
      <w:r>
        <w:rPr>
          <w:rFonts w:hint="eastAsia" w:ascii="宋体" w:hAnsi="宋体" w:eastAsia="宋体" w:cs="宋体"/>
          <w:b/>
          <w:bCs/>
          <w:color w:val="auto"/>
          <w:kern w:val="0"/>
          <w:szCs w:val="21"/>
          <w:highlight w:val="none"/>
          <w:lang w:val="en-US" w:eastAsia="zh-CN"/>
        </w:rPr>
        <w:t>工</w:t>
      </w:r>
      <w:r>
        <w:rPr>
          <w:rFonts w:hint="eastAsia" w:ascii="宋体" w:hAnsi="宋体" w:eastAsia="宋体" w:cs="宋体"/>
          <w:b/>
          <w:bCs/>
          <w:color w:val="auto"/>
          <w:kern w:val="0"/>
          <w:szCs w:val="21"/>
          <w:highlight w:val="none"/>
        </w:rPr>
        <w:t>要求：</w:t>
      </w:r>
      <w:r>
        <w:rPr>
          <w:rFonts w:hint="eastAsia" w:ascii="宋体" w:hAnsi="宋体" w:eastAsia="宋体" w:cs="宋体"/>
          <w:b/>
          <w:bCs/>
          <w:color w:val="auto"/>
          <w:kern w:val="0"/>
          <w:szCs w:val="21"/>
          <w:highlight w:val="none"/>
          <w:lang w:val="en-US" w:eastAsia="zh-CN"/>
        </w:rPr>
        <w:t>具有食品从业人员健康证明。所提供厨师中具有由人力资源和社会保障部门颁发的中级(国家职业资格四级)或以上职业资格证书（工种为中式烹调师）的厨师人数有【 】人。</w:t>
      </w:r>
    </w:p>
    <w:p w14:paraId="6D0590A3">
      <w:pPr>
        <w:snapToGrid/>
        <w:spacing w:line="360" w:lineRule="auto"/>
        <w:ind w:firstLine="567" w:firstLineChars="270"/>
        <w:contextualSpacing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2.年龄要求：男性年龄不超过50岁，女性年龄不超过</w:t>
      </w:r>
      <w:r>
        <w:rPr>
          <w:rFonts w:hint="eastAsia" w:ascii="宋体" w:hAnsi="宋体" w:eastAsia="宋体" w:cs="宋体"/>
          <w:color w:val="auto"/>
          <w:szCs w:val="21"/>
          <w:highlight w:val="none"/>
          <w:lang w:val="en-US" w:eastAsia="zh-CN"/>
        </w:rPr>
        <w:t>50</w:t>
      </w:r>
      <w:r>
        <w:rPr>
          <w:rFonts w:hint="eastAsia" w:ascii="宋体" w:hAnsi="宋体" w:eastAsia="宋体" w:cs="宋体"/>
          <w:color w:val="auto"/>
          <w:szCs w:val="21"/>
          <w:highlight w:val="none"/>
        </w:rPr>
        <w:t>岁。</w:t>
      </w:r>
      <w:r>
        <w:rPr>
          <w:rFonts w:hint="eastAsia" w:ascii="宋体" w:hAnsi="宋体" w:eastAsia="宋体" w:cs="宋体"/>
          <w:color w:val="auto"/>
          <w:kern w:val="0"/>
          <w:szCs w:val="21"/>
          <w:highlight w:val="none"/>
          <w:lang w:val="en-US" w:eastAsia="zh-CN"/>
        </w:rPr>
        <w:t>表现优秀者经甲方书面同意后可适当放宽年龄限制。</w:t>
      </w:r>
    </w:p>
    <w:p w14:paraId="68D85503">
      <w:pPr>
        <w:snapToGrid w:val="0"/>
        <w:spacing w:line="360" w:lineRule="auto"/>
        <w:ind w:firstLine="567" w:firstLineChars="27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3.服务工作内容：</w:t>
      </w:r>
    </w:p>
    <w:p w14:paraId="0D321FC6">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（1）厨师职责：</w:t>
      </w:r>
    </w:p>
    <w:p w14:paraId="5DD5C503">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①制定一周菜谱，做出每天的用料计划，控制出品及制作质量；</w:t>
      </w:r>
    </w:p>
    <w:p w14:paraId="2F3F00F2">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②每天搞好卫生，每周一次大扫除，炊具、餐具每天消毒，杜绝事故的发生；</w:t>
      </w:r>
    </w:p>
    <w:p w14:paraId="45782D7F">
      <w:pPr>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③节约粮菜、油、水、电，防止各种浪费，采取措施，防毒、防火、防盗；</w:t>
      </w:r>
    </w:p>
    <w:p w14:paraId="0339391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④精工细作、烹调做到色、香、味俱全。</w:t>
      </w:r>
    </w:p>
    <w:p w14:paraId="4779522E">
      <w:pPr>
        <w:pStyle w:val="2"/>
        <w:snapToGrid w:val="0"/>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（2）厨工职责：</w:t>
      </w:r>
    </w:p>
    <w:p w14:paraId="3280368D">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①加工部分：</w:t>
      </w:r>
      <w:r>
        <w:rPr>
          <w:rFonts w:hint="eastAsia" w:ascii="宋体" w:hAnsi="宋体" w:eastAsia="宋体" w:cs="宋体"/>
          <w:bCs w:val="0"/>
          <w:color w:val="auto"/>
          <w:kern w:val="2"/>
          <w:szCs w:val="21"/>
          <w:highlight w:val="none"/>
        </w:rPr>
        <w:t>负责食堂当天所需食物的切配加工工作；按要求对食物分类、排序、加工、切配；对蔬菜瓜果先清洗后切配；清洗蔬菜要求过三次水，清洗干净菜虫、杂草及泥沙等；当天没有加工完，剩下的食物要妥善存放，防止变坏；严格执行食品卫生，不加工腐烂变质的食物。</w:t>
      </w:r>
    </w:p>
    <w:p w14:paraId="65F79577">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②清洗部分：</w:t>
      </w:r>
      <w:r>
        <w:rPr>
          <w:rFonts w:hint="eastAsia" w:ascii="宋体" w:hAnsi="宋体" w:eastAsia="宋体" w:cs="宋体"/>
          <w:bCs w:val="0"/>
          <w:color w:val="auto"/>
          <w:kern w:val="2"/>
          <w:szCs w:val="21"/>
          <w:highlight w:val="none"/>
        </w:rPr>
        <w:t>保证清洗消毒餐具前的工序尽量做到彻底、利索，残渣剩饭尽量保留在泔水桶内，餐盘尽量干净无附着物；洗消前后的筷子摆放必须头尾一致；洗消干燥后的筷子摆放到箸笼里必须头向下；在保证保洁质量的前提下，节约水和洗涤剂的使用。</w:t>
      </w:r>
    </w:p>
    <w:p w14:paraId="602C247F">
      <w:pPr>
        <w:snapToGrid w:val="0"/>
        <w:spacing w:line="360" w:lineRule="auto"/>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③卫生部分：</w:t>
      </w:r>
      <w:r>
        <w:rPr>
          <w:rFonts w:hint="eastAsia" w:ascii="宋体" w:hAnsi="宋体" w:eastAsia="宋体" w:cs="宋体"/>
          <w:bCs w:val="0"/>
          <w:color w:val="auto"/>
          <w:kern w:val="2"/>
          <w:szCs w:val="21"/>
          <w:highlight w:val="none"/>
        </w:rPr>
        <w:t>负责厨房内部地面、餐厅卫生等清洁工作；对食堂餐厅的四害进行清除工作；引导就餐人员对餐后餐具的回收工作。</w:t>
      </w:r>
    </w:p>
    <w:p w14:paraId="2A3881ED">
      <w:pPr>
        <w:pStyle w:val="2"/>
        <w:ind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④参与供餐工作。</w:t>
      </w:r>
    </w:p>
    <w:p w14:paraId="686AB3D1">
      <w:pPr>
        <w:pStyle w:val="2"/>
        <w:snapToGrid w:val="0"/>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⑤服从厨师的安排。</w:t>
      </w:r>
    </w:p>
    <w:p w14:paraId="0C919658">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4.食品加工要求</w:t>
      </w:r>
    </w:p>
    <w:p w14:paraId="0C357CA3">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工作日</w:t>
      </w:r>
      <w:r>
        <w:rPr>
          <w:rFonts w:hint="eastAsia" w:ascii="宋体" w:hAnsi="宋体" w:eastAsia="宋体" w:cs="宋体"/>
          <w:color w:val="auto"/>
          <w:kern w:val="0"/>
          <w:szCs w:val="21"/>
          <w:highlight w:val="none"/>
        </w:rPr>
        <w:t>提供早餐、午餐、晚餐烹饪服务，国家法定节假日不用提供膳食。其中服务地址为东莞市东城街道东城运河路5号的需365天提供烹饪服务，</w:t>
      </w:r>
      <w:r>
        <w:rPr>
          <w:rFonts w:hint="eastAsia" w:ascii="宋体" w:hAnsi="宋体" w:eastAsia="宋体" w:cs="宋体"/>
          <w:color w:val="auto"/>
          <w:kern w:val="0"/>
          <w:szCs w:val="21"/>
          <w:highlight w:val="none"/>
          <w:lang w:val="en-US" w:eastAsia="zh-CN"/>
        </w:rPr>
        <w:t>工作日</w:t>
      </w:r>
      <w:r>
        <w:rPr>
          <w:rFonts w:hint="eastAsia" w:ascii="宋体" w:hAnsi="宋体" w:eastAsia="宋体" w:cs="宋体"/>
          <w:color w:val="auto"/>
          <w:kern w:val="0"/>
          <w:szCs w:val="21"/>
          <w:highlight w:val="none"/>
        </w:rPr>
        <w:t>需提供早餐、午餐、晚餐；双休日及国家法定节假日（出勤人数不少于4人，根据</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实</w:t>
      </w:r>
      <w:r>
        <w:rPr>
          <w:rFonts w:hint="eastAsia" w:ascii="宋体" w:hAnsi="宋体" w:eastAsia="宋体" w:cs="宋体"/>
          <w:color w:val="auto"/>
          <w:szCs w:val="21"/>
          <w:highlight w:val="none"/>
        </w:rPr>
        <w:t>际情况而定）的</w:t>
      </w:r>
      <w:r>
        <w:rPr>
          <w:rFonts w:hint="eastAsia" w:ascii="宋体" w:hAnsi="宋体" w:eastAsia="宋体" w:cs="宋体"/>
          <w:b/>
          <w:bCs/>
          <w:color w:val="auto"/>
          <w:szCs w:val="21"/>
          <w:highlight w:val="none"/>
        </w:rPr>
        <w:t>早餐</w:t>
      </w:r>
      <w:r>
        <w:rPr>
          <w:rFonts w:hint="eastAsia" w:ascii="宋体" w:hAnsi="宋体" w:eastAsia="宋体" w:cs="宋体"/>
          <w:color w:val="auto"/>
          <w:szCs w:val="21"/>
          <w:highlight w:val="none"/>
        </w:rPr>
        <w:t>不用提供，午餐及晚餐正常提供</w:t>
      </w:r>
      <w:r>
        <w:rPr>
          <w:rFonts w:hint="eastAsia" w:ascii="宋体" w:hAnsi="宋体" w:eastAsia="宋体" w:cs="宋体"/>
          <w:color w:val="auto"/>
          <w:kern w:val="0"/>
          <w:szCs w:val="21"/>
          <w:highlight w:val="none"/>
        </w:rPr>
        <w:t>。食品加工标准需符合国家相关法律规定标准。</w:t>
      </w:r>
    </w:p>
    <w:p w14:paraId="0FC26A6C">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早餐：供应时间为</w:t>
      </w:r>
      <w:r>
        <w:rPr>
          <w:rFonts w:hint="eastAsia" w:ascii="宋体" w:hAnsi="宋体" w:eastAsia="宋体" w:cs="宋体"/>
          <w:color w:val="auto"/>
          <w:kern w:val="0"/>
          <w:szCs w:val="21"/>
          <w:highlight w:val="none"/>
          <w:lang w:val="en-US" w:eastAsia="zh-CN"/>
        </w:rPr>
        <w:t>7:30-8:30(具体按甲方实际需求执行)</w:t>
      </w:r>
      <w:r>
        <w:rPr>
          <w:rFonts w:hint="eastAsia" w:ascii="宋体" w:hAnsi="宋体" w:eastAsia="宋体" w:cs="宋体"/>
          <w:color w:val="auto"/>
          <w:kern w:val="0"/>
          <w:szCs w:val="21"/>
          <w:highlight w:val="none"/>
        </w:rPr>
        <w:t>，按</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kern w:val="0"/>
          <w:szCs w:val="21"/>
          <w:highlight w:val="none"/>
        </w:rPr>
        <w:t>每周菜单（菜谱）加工。</w:t>
      </w:r>
    </w:p>
    <w:p w14:paraId="7706F2A9">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午餐：供应时间为12:00-13:00，</w:t>
      </w:r>
      <w:r>
        <w:rPr>
          <w:rFonts w:hint="eastAsia" w:ascii="宋体" w:hAnsi="宋体" w:eastAsia="宋体" w:cs="宋体"/>
          <w:color w:val="auto"/>
          <w:szCs w:val="21"/>
          <w:highlight w:val="none"/>
        </w:rPr>
        <w:t>按</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szCs w:val="21"/>
          <w:highlight w:val="none"/>
        </w:rPr>
        <w:t>每周菜单（菜谱）加工</w:t>
      </w:r>
      <w:r>
        <w:rPr>
          <w:rFonts w:hint="eastAsia" w:ascii="宋体" w:hAnsi="宋体" w:eastAsia="宋体" w:cs="宋体"/>
          <w:color w:val="auto"/>
          <w:kern w:val="0"/>
          <w:szCs w:val="21"/>
          <w:highlight w:val="none"/>
        </w:rPr>
        <w:t>。</w:t>
      </w:r>
    </w:p>
    <w:p w14:paraId="3EC37687">
      <w:pPr>
        <w:autoSpaceDE w:val="0"/>
        <w:autoSpaceDN w:val="0"/>
        <w:adjustRightInd w:val="0"/>
        <w:snapToGri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晚餐：供应时间为17:30-19:00，</w:t>
      </w:r>
      <w:r>
        <w:rPr>
          <w:rFonts w:hint="eastAsia" w:ascii="宋体" w:hAnsi="宋体" w:eastAsia="宋体" w:cs="宋体"/>
          <w:color w:val="auto"/>
          <w:szCs w:val="21"/>
          <w:highlight w:val="none"/>
        </w:rPr>
        <w:t>按</w:t>
      </w:r>
      <w:r>
        <w:rPr>
          <w:rFonts w:hint="eastAsia" w:ascii="宋体" w:hAnsi="宋体" w:eastAsia="宋体" w:cs="宋体"/>
          <w:color w:val="auto"/>
          <w:kern w:val="0"/>
          <w:szCs w:val="21"/>
          <w:highlight w:val="none"/>
          <w:lang w:val="en-US" w:eastAsia="zh-CN"/>
        </w:rPr>
        <w:t>甲方</w:t>
      </w:r>
      <w:r>
        <w:rPr>
          <w:rFonts w:hint="eastAsia" w:ascii="宋体" w:hAnsi="宋体" w:eastAsia="宋体" w:cs="宋体"/>
          <w:color w:val="auto"/>
          <w:szCs w:val="21"/>
          <w:highlight w:val="none"/>
        </w:rPr>
        <w:t>每周菜单（菜谱）加工</w:t>
      </w:r>
      <w:r>
        <w:rPr>
          <w:rFonts w:hint="eastAsia" w:ascii="宋体" w:hAnsi="宋体" w:eastAsia="宋体" w:cs="宋体"/>
          <w:color w:val="auto"/>
          <w:kern w:val="0"/>
          <w:szCs w:val="21"/>
          <w:highlight w:val="none"/>
        </w:rPr>
        <w:t>。</w:t>
      </w:r>
    </w:p>
    <w:p w14:paraId="72A733D0">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其他：①根据甲方需求，每周烹饪2至3次糖水、糕点、凉茶，供应时间：13:45-14:00；②协助做好围餐接待工作，供应时间：不定时。</w:t>
      </w:r>
      <w:r>
        <w:rPr>
          <w:rFonts w:hint="eastAsia" w:ascii="宋体" w:hAnsi="宋体" w:eastAsia="宋体" w:cs="宋体"/>
          <w:b/>
          <w:bCs/>
          <w:color w:val="auto"/>
          <w:kern w:val="0"/>
          <w:szCs w:val="21"/>
          <w:highlight w:val="none"/>
          <w:lang w:val="en-US" w:eastAsia="zh-CN"/>
        </w:rPr>
        <w:t>③因</w:t>
      </w:r>
      <w:r>
        <w:rPr>
          <w:rFonts w:hint="eastAsia" w:ascii="宋体" w:hAnsi="宋体" w:eastAsia="宋体" w:cs="宋体"/>
          <w:b/>
          <w:bCs/>
          <w:color w:val="auto"/>
          <w:kern w:val="0"/>
          <w:szCs w:val="21"/>
          <w:highlight w:val="none"/>
        </w:rPr>
        <w:t>甲方</w:t>
      </w:r>
      <w:r>
        <w:rPr>
          <w:rFonts w:hint="eastAsia" w:ascii="宋体" w:hAnsi="宋体" w:eastAsia="宋体" w:cs="宋体"/>
          <w:b/>
          <w:bCs/>
          <w:color w:val="auto"/>
          <w:kern w:val="0"/>
          <w:szCs w:val="21"/>
          <w:highlight w:val="none"/>
          <w:lang w:val="en-US" w:eastAsia="zh-CN"/>
        </w:rPr>
        <w:t>业务开展需要，暴雨汛期如</w:t>
      </w:r>
      <w:r>
        <w:rPr>
          <w:rFonts w:hint="eastAsia" w:ascii="宋体" w:hAnsi="宋体" w:eastAsia="宋体" w:cs="宋体"/>
          <w:b/>
          <w:bCs/>
          <w:color w:val="auto"/>
          <w:kern w:val="0"/>
          <w:szCs w:val="21"/>
          <w:highlight w:val="none"/>
        </w:rPr>
        <w:t>甲方</w:t>
      </w:r>
      <w:r>
        <w:rPr>
          <w:rFonts w:hint="eastAsia" w:ascii="宋体" w:hAnsi="宋体" w:eastAsia="宋体" w:cs="宋体"/>
          <w:b/>
          <w:bCs/>
          <w:color w:val="auto"/>
          <w:kern w:val="0"/>
          <w:szCs w:val="21"/>
          <w:highlight w:val="none"/>
          <w:lang w:val="en-US" w:eastAsia="zh-CN"/>
        </w:rPr>
        <w:t>有加餐需求的，</w:t>
      </w:r>
      <w:r>
        <w:rPr>
          <w:rFonts w:hint="eastAsia" w:ascii="宋体" w:hAnsi="宋体" w:eastAsia="宋体" w:cs="宋体"/>
          <w:b/>
          <w:bCs/>
          <w:color w:val="auto"/>
          <w:kern w:val="0"/>
          <w:szCs w:val="21"/>
          <w:highlight w:val="none"/>
          <w:lang w:eastAsia="zh-CN"/>
        </w:rPr>
        <w:t>乙方</w:t>
      </w:r>
      <w:r>
        <w:rPr>
          <w:rFonts w:hint="eastAsia" w:ascii="宋体" w:hAnsi="宋体" w:eastAsia="宋体" w:cs="宋体"/>
          <w:b/>
          <w:bCs/>
          <w:color w:val="auto"/>
          <w:kern w:val="0"/>
          <w:szCs w:val="21"/>
          <w:highlight w:val="none"/>
          <w:lang w:val="en-US" w:eastAsia="zh-CN"/>
        </w:rPr>
        <w:t>需配合</w:t>
      </w:r>
      <w:r>
        <w:rPr>
          <w:rFonts w:hint="eastAsia" w:ascii="宋体" w:hAnsi="宋体" w:eastAsia="宋体" w:cs="宋体"/>
          <w:b/>
          <w:bCs/>
          <w:color w:val="auto"/>
          <w:kern w:val="0"/>
          <w:szCs w:val="21"/>
          <w:highlight w:val="none"/>
        </w:rPr>
        <w:t>甲方</w:t>
      </w:r>
      <w:r>
        <w:rPr>
          <w:rFonts w:hint="eastAsia" w:ascii="宋体" w:hAnsi="宋体" w:eastAsia="宋体" w:cs="宋体"/>
          <w:b/>
          <w:bCs/>
          <w:color w:val="auto"/>
          <w:kern w:val="0"/>
          <w:szCs w:val="21"/>
          <w:highlight w:val="none"/>
          <w:lang w:val="en-US" w:eastAsia="zh-CN"/>
        </w:rPr>
        <w:t>开餐要求，</w:t>
      </w:r>
      <w:r>
        <w:rPr>
          <w:rFonts w:hint="eastAsia" w:ascii="宋体" w:hAnsi="宋体" w:eastAsia="宋体" w:cs="宋体"/>
          <w:b/>
          <w:bCs/>
          <w:color w:val="auto"/>
          <w:kern w:val="0"/>
          <w:szCs w:val="21"/>
          <w:highlight w:val="none"/>
        </w:rPr>
        <w:t>供应时间：不定时。</w:t>
      </w:r>
    </w:p>
    <w:p w14:paraId="0DDAD48F">
      <w:pPr>
        <w:pStyle w:val="2"/>
        <w:snapToGrid w:val="0"/>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5.其他要求</w:t>
      </w:r>
    </w:p>
    <w:p w14:paraId="040913F4">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（1）按每天早中晚餐供应时间上班（</w:t>
      </w:r>
      <w:r>
        <w:rPr>
          <w:rFonts w:hint="eastAsia" w:ascii="宋体" w:hAnsi="宋体" w:eastAsia="宋体" w:cs="宋体"/>
          <w:color w:val="auto"/>
          <w:kern w:val="0"/>
          <w:szCs w:val="21"/>
          <w:highlight w:val="none"/>
        </w:rPr>
        <w:t>国家法定</w:t>
      </w:r>
      <w:r>
        <w:rPr>
          <w:rFonts w:hint="eastAsia" w:ascii="宋体" w:hAnsi="宋体" w:eastAsia="宋体" w:cs="宋体"/>
          <w:bCs/>
          <w:color w:val="auto"/>
          <w:kern w:val="0"/>
          <w:szCs w:val="21"/>
          <w:highlight w:val="none"/>
        </w:rPr>
        <w:t>节假日休息），具体上班时间可根据实际工作情况由</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进行调整，确因甲方工作需要可适当延长，劳务服务人员应积极配合</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，无特殊情况不得拒绝甲方加班要求。</w:t>
      </w:r>
    </w:p>
    <w:p w14:paraId="127A9ACF">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w:t>
      </w:r>
      <w:r>
        <w:rPr>
          <w:rFonts w:hint="eastAsia" w:ascii="宋体" w:hAnsi="宋体" w:eastAsia="宋体" w:cs="宋体"/>
          <w:bCs/>
          <w:color w:val="auto"/>
          <w:kern w:val="0"/>
          <w:szCs w:val="21"/>
          <w:highlight w:val="none"/>
          <w:lang w:val="en-US" w:eastAsia="zh-CN"/>
        </w:rPr>
        <w:t>乙方</w:t>
      </w:r>
      <w:r>
        <w:rPr>
          <w:rFonts w:hint="eastAsia" w:ascii="宋体" w:hAnsi="宋体" w:eastAsia="宋体" w:cs="宋体"/>
          <w:bCs/>
          <w:color w:val="auto"/>
          <w:kern w:val="0"/>
          <w:szCs w:val="21"/>
          <w:highlight w:val="none"/>
        </w:rPr>
        <w:t>将安排符合餐饮服务健康标准的厨师、厨工。</w:t>
      </w:r>
      <w:r>
        <w:rPr>
          <w:rFonts w:hint="eastAsia" w:ascii="宋体" w:hAnsi="宋体" w:eastAsia="宋体" w:cs="宋体"/>
          <w:bCs/>
          <w:color w:val="auto"/>
          <w:kern w:val="0"/>
          <w:szCs w:val="21"/>
          <w:highlight w:val="none"/>
          <w:lang w:val="en-US" w:eastAsia="zh-CN"/>
        </w:rPr>
        <w:t>乙方</w:t>
      </w:r>
      <w:r>
        <w:rPr>
          <w:rFonts w:hint="eastAsia" w:ascii="宋体" w:hAnsi="宋体" w:eastAsia="宋体" w:cs="宋体"/>
          <w:bCs/>
          <w:color w:val="auto"/>
          <w:kern w:val="0"/>
          <w:szCs w:val="21"/>
          <w:highlight w:val="none"/>
        </w:rPr>
        <w:t>厨师、厨工在上岗前向</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提供有效的健康证原件供</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查验，厨师、厨工需持健康证进场驻点。在本合同有效期内，</w:t>
      </w:r>
      <w:r>
        <w:rPr>
          <w:rFonts w:hint="eastAsia" w:ascii="宋体" w:hAnsi="宋体" w:eastAsia="宋体" w:cs="宋体"/>
          <w:bCs/>
          <w:color w:val="auto"/>
          <w:kern w:val="0"/>
          <w:szCs w:val="21"/>
          <w:highlight w:val="none"/>
          <w:lang w:val="en-US" w:eastAsia="zh-CN"/>
        </w:rPr>
        <w:t>乙方</w:t>
      </w:r>
      <w:r>
        <w:rPr>
          <w:rFonts w:hint="eastAsia" w:ascii="宋体" w:hAnsi="宋体" w:eastAsia="宋体" w:cs="宋体"/>
          <w:bCs/>
          <w:color w:val="auto"/>
          <w:kern w:val="0"/>
          <w:szCs w:val="21"/>
          <w:highlight w:val="none"/>
        </w:rPr>
        <w:t>有义务确保进驻的厨师、厨工进行身体检查，费用由</w:t>
      </w:r>
      <w:r>
        <w:rPr>
          <w:rFonts w:hint="eastAsia" w:ascii="宋体" w:hAnsi="宋体" w:eastAsia="宋体" w:cs="宋体"/>
          <w:bCs/>
          <w:color w:val="auto"/>
          <w:kern w:val="0"/>
          <w:szCs w:val="21"/>
          <w:highlight w:val="none"/>
          <w:lang w:val="en-US" w:eastAsia="zh-CN"/>
        </w:rPr>
        <w:t>乙方</w:t>
      </w:r>
      <w:r>
        <w:rPr>
          <w:rFonts w:hint="eastAsia" w:ascii="宋体" w:hAnsi="宋体" w:eastAsia="宋体" w:cs="宋体"/>
          <w:bCs/>
          <w:color w:val="auto"/>
          <w:kern w:val="0"/>
          <w:szCs w:val="21"/>
          <w:highlight w:val="none"/>
        </w:rPr>
        <w:t>自理。厨师、厨工有一定的专业知识，无违法犯罪前科。并自觉遵守</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的相关规定，服从</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统一管理，爱护</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的财物（如损坏</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的物品或设施，照价赔偿），不能影响</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员工的工作、生活。</w:t>
      </w:r>
      <w:r>
        <w:rPr>
          <w:rFonts w:hint="eastAsia" w:ascii="宋体" w:hAnsi="宋体" w:eastAsia="宋体" w:cs="宋体"/>
          <w:bCs/>
          <w:color w:val="auto"/>
          <w:kern w:val="0"/>
          <w:szCs w:val="21"/>
          <w:highlight w:val="none"/>
          <w:lang w:val="en-US" w:eastAsia="zh-CN"/>
        </w:rPr>
        <w:t>乙方</w:t>
      </w:r>
      <w:r>
        <w:rPr>
          <w:rFonts w:hint="eastAsia" w:ascii="宋体" w:hAnsi="宋体" w:eastAsia="宋体" w:cs="宋体"/>
          <w:bCs/>
          <w:color w:val="auto"/>
          <w:kern w:val="0"/>
          <w:szCs w:val="21"/>
          <w:highlight w:val="none"/>
        </w:rPr>
        <w:t>厨师、厨工工作期间要求统一穿厨工服（由</w:t>
      </w:r>
      <w:r>
        <w:rPr>
          <w:rFonts w:hint="eastAsia" w:ascii="宋体" w:hAnsi="宋体" w:eastAsia="宋体" w:cs="宋体"/>
          <w:bCs/>
          <w:color w:val="auto"/>
          <w:kern w:val="0"/>
          <w:szCs w:val="21"/>
          <w:highlight w:val="none"/>
          <w:lang w:val="en-US" w:eastAsia="zh-CN"/>
        </w:rPr>
        <w:t>乙方</w:t>
      </w:r>
      <w:r>
        <w:rPr>
          <w:rFonts w:hint="eastAsia" w:ascii="宋体" w:hAnsi="宋体" w:eastAsia="宋体" w:cs="宋体"/>
          <w:bCs/>
          <w:color w:val="auto"/>
          <w:kern w:val="0"/>
          <w:szCs w:val="21"/>
          <w:highlight w:val="none"/>
        </w:rPr>
        <w:t>负责提供），防滑水鞋，戴工帽，每天进行换洗。</w:t>
      </w:r>
    </w:p>
    <w:p w14:paraId="381BD114">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（3）在工作时间内，厨师、厨工严格按照</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要求的供餐时间供应菜式，不得无故延迟供餐时间</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lang w:val="en-US" w:eastAsia="zh-CN"/>
        </w:rPr>
        <w:t>因甲方业务开展需要，暴雨汛期如甲方有加餐需求的，乙方需配合甲方开餐要求</w:t>
      </w:r>
      <w:r>
        <w:rPr>
          <w:rFonts w:hint="eastAsia" w:ascii="宋体" w:hAnsi="宋体" w:eastAsia="宋体" w:cs="宋体"/>
          <w:bCs/>
          <w:color w:val="auto"/>
          <w:kern w:val="0"/>
          <w:szCs w:val="21"/>
          <w:highlight w:val="none"/>
        </w:rPr>
        <w:t>。</w:t>
      </w:r>
    </w:p>
    <w:p w14:paraId="2862B83F">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（4）菜式制订与食品安全：菜式由</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制定，食品原材料费用由</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承担。</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提供劳务服务的人员在验收食品原材料的同时应保存好采购物资的票据与质量检验报告等，供</w:t>
      </w:r>
      <w:r>
        <w:rPr>
          <w:rFonts w:hint="eastAsia" w:ascii="宋体" w:hAnsi="宋体" w:eastAsia="宋体" w:cs="宋体"/>
          <w:bCs/>
          <w:color w:val="auto"/>
          <w:kern w:val="0"/>
          <w:szCs w:val="21"/>
          <w:highlight w:val="none"/>
          <w:lang w:val="en-US" w:eastAsia="zh-CN"/>
        </w:rPr>
        <w:t>甲方</w:t>
      </w:r>
      <w:r>
        <w:rPr>
          <w:rFonts w:hint="eastAsia" w:ascii="宋体" w:hAnsi="宋体" w:eastAsia="宋体" w:cs="宋体"/>
          <w:bCs/>
          <w:color w:val="auto"/>
          <w:kern w:val="0"/>
          <w:szCs w:val="21"/>
          <w:highlight w:val="none"/>
        </w:rPr>
        <w:t>查验和存档。承诺所提供的膳食符合国家卫生部门的要求，严格遵守</w:t>
      </w:r>
      <w:r>
        <w:rPr>
          <w:rFonts w:hint="eastAsia" w:ascii="宋体" w:hAnsi="宋体" w:eastAsia="宋体" w:cs="宋体"/>
          <w:bCs/>
          <w:color w:val="auto"/>
          <w:kern w:val="0"/>
          <w:szCs w:val="21"/>
          <w:highlight w:val="none"/>
          <w:lang w:val="en-US" w:eastAsia="zh-CN"/>
        </w:rPr>
        <w:t>中华人民共和国</w:t>
      </w:r>
      <w:r>
        <w:rPr>
          <w:rFonts w:hint="eastAsia" w:ascii="宋体" w:hAnsi="宋体" w:eastAsia="宋体" w:cs="宋体"/>
          <w:bCs/>
          <w:color w:val="auto"/>
          <w:kern w:val="0"/>
          <w:szCs w:val="21"/>
          <w:highlight w:val="none"/>
        </w:rPr>
        <w:t>食品安全相关</w:t>
      </w:r>
      <w:r>
        <w:rPr>
          <w:rFonts w:hint="eastAsia" w:ascii="宋体" w:hAnsi="宋体" w:eastAsia="宋体" w:cs="宋体"/>
          <w:bCs/>
          <w:color w:val="auto"/>
          <w:kern w:val="0"/>
          <w:szCs w:val="21"/>
          <w:highlight w:val="none"/>
          <w:lang w:val="en-US" w:eastAsia="zh-CN"/>
        </w:rPr>
        <w:t>法律、法规</w:t>
      </w:r>
      <w:r>
        <w:rPr>
          <w:rFonts w:hint="eastAsia" w:ascii="宋体" w:hAnsi="宋体" w:eastAsia="宋体" w:cs="宋体"/>
          <w:bCs/>
          <w:color w:val="auto"/>
          <w:kern w:val="0"/>
          <w:szCs w:val="21"/>
          <w:highlight w:val="none"/>
        </w:rPr>
        <w:t>规定，保证供餐食品搭配合理、新鲜可口。</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提供劳务服务的人员应科学、合理制订供餐菜谱，推陈出新。</w:t>
      </w:r>
    </w:p>
    <w:p w14:paraId="3C91886F">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（5）菜谱审核流程：</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每周四前将下周菜谱书面呈送给</w:t>
      </w:r>
      <w:r>
        <w:rPr>
          <w:rFonts w:hint="eastAsia" w:ascii="宋体" w:hAnsi="宋体" w:eastAsia="宋体" w:cs="宋体"/>
          <w:bCs/>
          <w:color w:val="auto"/>
          <w:kern w:val="0"/>
          <w:szCs w:val="21"/>
          <w:highlight w:val="none"/>
          <w:lang w:eastAsia="zh-CN"/>
        </w:rPr>
        <w:t>甲方</w:t>
      </w:r>
      <w:r>
        <w:rPr>
          <w:rFonts w:hint="eastAsia" w:ascii="宋体" w:hAnsi="宋体" w:eastAsia="宋体" w:cs="宋体"/>
          <w:bCs/>
          <w:color w:val="auto"/>
          <w:kern w:val="0"/>
          <w:szCs w:val="21"/>
          <w:highlight w:val="none"/>
        </w:rPr>
        <w:t>审核同意后，将菜谱张贴在饭堂公示栏。</w:t>
      </w:r>
    </w:p>
    <w:p w14:paraId="751AD3A1">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（6）</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提供劳务服务的人员厨师、厨工应遵守</w:t>
      </w:r>
      <w:r>
        <w:rPr>
          <w:rFonts w:hint="eastAsia" w:ascii="宋体" w:hAnsi="宋体" w:eastAsia="宋体" w:cs="宋体"/>
          <w:bCs/>
          <w:color w:val="auto"/>
          <w:kern w:val="0"/>
          <w:szCs w:val="21"/>
          <w:highlight w:val="none"/>
          <w:lang w:eastAsia="zh-CN"/>
        </w:rPr>
        <w:t>甲方</w:t>
      </w:r>
      <w:r>
        <w:rPr>
          <w:rFonts w:hint="eastAsia" w:ascii="宋体" w:hAnsi="宋体" w:eastAsia="宋体" w:cs="宋体"/>
          <w:bCs/>
          <w:color w:val="auto"/>
          <w:kern w:val="0"/>
          <w:szCs w:val="21"/>
          <w:highlight w:val="none"/>
        </w:rPr>
        <w:t>各项内部管理规章制度。</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派驻人员在进行作业时,必须要爱护各种设施设备</w:t>
      </w:r>
      <w:r>
        <w:rPr>
          <w:rFonts w:hint="eastAsia" w:ascii="宋体" w:hAnsi="宋体" w:eastAsia="宋体" w:cs="宋体"/>
          <w:bCs/>
          <w:color w:val="auto"/>
          <w:kern w:val="0"/>
          <w:szCs w:val="21"/>
          <w:highlight w:val="none"/>
          <w:lang w:eastAsia="zh-CN"/>
        </w:rPr>
        <w:t>，</w:t>
      </w:r>
      <w:r>
        <w:rPr>
          <w:rFonts w:hint="eastAsia" w:ascii="宋体" w:hAnsi="宋体" w:eastAsia="宋体" w:cs="宋体"/>
          <w:bCs/>
          <w:color w:val="auto"/>
          <w:kern w:val="0"/>
          <w:szCs w:val="21"/>
          <w:highlight w:val="none"/>
        </w:rPr>
        <w:t>注意节水节电。饭堂内每餐所有剩余食物厨师、厨工不能擅自带走，一经发现，立刻更换厨师、厨工。</w:t>
      </w:r>
    </w:p>
    <w:p w14:paraId="6B7C6D85">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（7）</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应对提供劳务服务的厨师、厨工进行必要的安全、消防知识教育培训。同时，</w:t>
      </w:r>
      <w:r>
        <w:rPr>
          <w:rFonts w:hint="eastAsia" w:ascii="宋体" w:hAnsi="宋体" w:eastAsia="宋体" w:cs="宋体"/>
          <w:bCs/>
          <w:color w:val="auto"/>
          <w:kern w:val="0"/>
          <w:szCs w:val="21"/>
          <w:highlight w:val="none"/>
          <w:lang w:eastAsia="zh-CN"/>
        </w:rPr>
        <w:t>乙方</w:t>
      </w:r>
      <w:r>
        <w:rPr>
          <w:rFonts w:hint="eastAsia" w:ascii="宋体" w:hAnsi="宋体" w:eastAsia="宋体" w:cs="宋体"/>
          <w:bCs/>
          <w:color w:val="auto"/>
          <w:kern w:val="0"/>
          <w:szCs w:val="21"/>
          <w:highlight w:val="none"/>
        </w:rPr>
        <w:t>应为提供劳务服务的厨师、厨工配备劳务用具，做好劳保教育。</w:t>
      </w:r>
      <w:r>
        <w:rPr>
          <w:rFonts w:hint="eastAsia" w:ascii="宋体" w:hAnsi="宋体" w:eastAsia="宋体" w:cs="宋体"/>
          <w:bCs/>
          <w:color w:val="auto"/>
          <w:kern w:val="0"/>
          <w:szCs w:val="21"/>
          <w:highlight w:val="none"/>
          <w:lang w:eastAsia="zh-CN"/>
        </w:rPr>
        <w:t>甲方</w:t>
      </w:r>
      <w:r>
        <w:rPr>
          <w:rFonts w:hint="eastAsia" w:ascii="宋体" w:hAnsi="宋体" w:eastAsia="宋体" w:cs="宋体"/>
          <w:bCs/>
          <w:color w:val="auto"/>
          <w:kern w:val="0"/>
          <w:szCs w:val="21"/>
          <w:highlight w:val="none"/>
        </w:rPr>
        <w:t>负责提供烹饪食材、饭堂设备用具、清洁用品等。</w:t>
      </w:r>
    </w:p>
    <w:p w14:paraId="4766ABB1">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（8）正常设备维修由</w:t>
      </w:r>
      <w:r>
        <w:rPr>
          <w:rFonts w:hint="eastAsia" w:ascii="宋体" w:hAnsi="宋体" w:eastAsia="宋体" w:cs="宋体"/>
          <w:bCs/>
          <w:color w:val="auto"/>
          <w:kern w:val="0"/>
          <w:szCs w:val="21"/>
          <w:highlight w:val="none"/>
          <w:lang w:eastAsia="zh-CN"/>
        </w:rPr>
        <w:t>甲方</w:t>
      </w:r>
      <w:r>
        <w:rPr>
          <w:rFonts w:hint="eastAsia" w:ascii="宋体" w:hAnsi="宋体" w:eastAsia="宋体" w:cs="宋体"/>
          <w:bCs/>
          <w:color w:val="auto"/>
          <w:kern w:val="0"/>
          <w:szCs w:val="21"/>
          <w:highlight w:val="none"/>
        </w:rPr>
        <w:t>协助处理，所产生的维修材料费用等由</w:t>
      </w:r>
      <w:r>
        <w:rPr>
          <w:rFonts w:hint="eastAsia" w:ascii="宋体" w:hAnsi="宋体" w:eastAsia="宋体" w:cs="宋体"/>
          <w:bCs/>
          <w:color w:val="auto"/>
          <w:kern w:val="0"/>
          <w:szCs w:val="21"/>
          <w:highlight w:val="none"/>
          <w:lang w:eastAsia="zh-CN"/>
        </w:rPr>
        <w:t>甲方</w:t>
      </w:r>
      <w:r>
        <w:rPr>
          <w:rFonts w:hint="eastAsia" w:ascii="宋体" w:hAnsi="宋体" w:eastAsia="宋体" w:cs="宋体"/>
          <w:bCs/>
          <w:color w:val="auto"/>
          <w:kern w:val="0"/>
          <w:szCs w:val="21"/>
          <w:highlight w:val="none"/>
        </w:rPr>
        <w:t>承担。</w:t>
      </w:r>
    </w:p>
    <w:p w14:paraId="09B08F60">
      <w:pPr>
        <w:autoSpaceDE w:val="0"/>
        <w:autoSpaceDN w:val="0"/>
        <w:adjustRightInd w:val="0"/>
        <w:spacing w:line="360" w:lineRule="auto"/>
        <w:ind w:firstLine="420" w:firstLineChars="20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（9）个人相关防护物品由</w:t>
      </w:r>
      <w:r>
        <w:rPr>
          <w:rFonts w:hint="eastAsia" w:ascii="宋体" w:hAnsi="宋体" w:eastAsia="宋体" w:cs="宋体"/>
          <w:color w:val="auto"/>
          <w:kern w:val="0"/>
          <w:szCs w:val="21"/>
          <w:highlight w:val="none"/>
          <w:lang w:val="en-US" w:eastAsia="zh-CN"/>
        </w:rPr>
        <w:t>乙方</w:t>
      </w:r>
      <w:r>
        <w:rPr>
          <w:rFonts w:hint="eastAsia" w:ascii="宋体" w:hAnsi="宋体" w:eastAsia="宋体" w:cs="宋体"/>
          <w:bCs/>
          <w:color w:val="auto"/>
          <w:kern w:val="0"/>
          <w:szCs w:val="21"/>
          <w:highlight w:val="none"/>
        </w:rPr>
        <w:t>提供，包括不限于工作服、水鞋、口罩、厨师帽，如</w:t>
      </w:r>
      <w:r>
        <w:rPr>
          <w:rFonts w:hint="eastAsia" w:ascii="宋体" w:hAnsi="宋体" w:eastAsia="宋体" w:cs="宋体"/>
          <w:bCs/>
          <w:color w:val="auto"/>
          <w:kern w:val="0"/>
          <w:szCs w:val="21"/>
          <w:highlight w:val="none"/>
          <w:lang w:eastAsia="zh-CN"/>
        </w:rPr>
        <w:t>甲方</w:t>
      </w:r>
      <w:r>
        <w:rPr>
          <w:rFonts w:hint="eastAsia" w:ascii="宋体" w:hAnsi="宋体" w:eastAsia="宋体" w:cs="宋体"/>
          <w:bCs/>
          <w:color w:val="auto"/>
          <w:kern w:val="0"/>
          <w:szCs w:val="21"/>
          <w:highlight w:val="none"/>
        </w:rPr>
        <w:t>有其他要求的，须按照</w:t>
      </w:r>
      <w:r>
        <w:rPr>
          <w:rFonts w:hint="eastAsia" w:ascii="宋体" w:hAnsi="宋体" w:eastAsia="宋体" w:cs="宋体"/>
          <w:bCs/>
          <w:color w:val="auto"/>
          <w:kern w:val="0"/>
          <w:szCs w:val="21"/>
          <w:highlight w:val="none"/>
          <w:lang w:eastAsia="zh-CN"/>
        </w:rPr>
        <w:t>甲方</w:t>
      </w:r>
      <w:r>
        <w:rPr>
          <w:rFonts w:hint="eastAsia" w:ascii="宋体" w:hAnsi="宋体" w:eastAsia="宋体" w:cs="宋体"/>
          <w:bCs/>
          <w:color w:val="auto"/>
          <w:kern w:val="0"/>
          <w:szCs w:val="21"/>
          <w:highlight w:val="none"/>
        </w:rPr>
        <w:t>的要求统一着装。</w:t>
      </w:r>
    </w:p>
    <w:p w14:paraId="1C69C26D">
      <w:pPr>
        <w:snapToGrid/>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bCs/>
          <w:color w:val="auto"/>
          <w:kern w:val="0"/>
          <w:szCs w:val="21"/>
          <w:highlight w:val="none"/>
        </w:rPr>
        <w:t>（10）工作期间必须穿着统一白色工作服。</w:t>
      </w:r>
    </w:p>
    <w:p w14:paraId="63E831FA">
      <w:pPr>
        <w:autoSpaceDE w:val="0"/>
        <w:autoSpaceDN w:val="0"/>
        <w:adjustRightInd w:val="0"/>
        <w:snapToGrid/>
        <w:spacing w:line="360" w:lineRule="auto"/>
        <w:ind w:firstLine="420" w:firstLineChars="200"/>
        <w:contextualSpacing w:val="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（二）劳务服务人员（清洁工）的要求</w:t>
      </w:r>
    </w:p>
    <w:p w14:paraId="3364DF9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1.资质及证件要求：需具有食品从业人员健康证明。</w:t>
      </w:r>
    </w:p>
    <w:p w14:paraId="16DA5A10">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2.年龄要求：</w:t>
      </w:r>
      <w:r>
        <w:rPr>
          <w:rFonts w:hint="eastAsia" w:ascii="宋体" w:hAnsi="宋体" w:eastAsia="宋体" w:cs="宋体"/>
          <w:color w:val="auto"/>
          <w:kern w:val="0"/>
          <w:szCs w:val="21"/>
          <w:highlight w:val="none"/>
        </w:rPr>
        <w:t>女性年龄不超过</w:t>
      </w:r>
      <w:r>
        <w:rPr>
          <w:rFonts w:hint="eastAsia" w:ascii="宋体" w:hAnsi="宋体" w:eastAsia="宋体" w:cs="宋体"/>
          <w:color w:val="auto"/>
          <w:kern w:val="0"/>
          <w:szCs w:val="21"/>
          <w:highlight w:val="none"/>
          <w:lang w:val="en-US" w:eastAsia="zh-CN"/>
        </w:rPr>
        <w:t>50</w:t>
      </w:r>
      <w:r>
        <w:rPr>
          <w:rFonts w:hint="eastAsia" w:ascii="宋体" w:hAnsi="宋体" w:eastAsia="宋体" w:cs="宋体"/>
          <w:color w:val="auto"/>
          <w:kern w:val="0"/>
          <w:szCs w:val="21"/>
          <w:highlight w:val="none"/>
        </w:rPr>
        <w:t>岁。</w:t>
      </w:r>
      <w:r>
        <w:rPr>
          <w:rFonts w:hint="eastAsia" w:ascii="宋体" w:hAnsi="宋体" w:eastAsia="宋体" w:cs="宋体"/>
          <w:color w:val="auto"/>
          <w:kern w:val="0"/>
          <w:szCs w:val="21"/>
          <w:highlight w:val="none"/>
          <w:lang w:val="en-US" w:eastAsia="zh-CN"/>
        </w:rPr>
        <w:t>表现优秀者经甲方书面同意后可适当放宽年龄限制。</w:t>
      </w:r>
    </w:p>
    <w:p w14:paraId="24AC4961">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3.清洁服务要求及职责：</w:t>
      </w:r>
      <w:r>
        <w:rPr>
          <w:rFonts w:hint="eastAsia" w:ascii="宋体" w:hAnsi="宋体" w:eastAsia="宋体" w:cs="宋体"/>
          <w:color w:val="auto"/>
          <w:kern w:val="0"/>
          <w:szCs w:val="21"/>
          <w:highlight w:val="none"/>
        </w:rPr>
        <w:t>国家工作日提供清洁服务（其中服务地址为东莞市东城街道东城运河路5号的星期六、日及国家法定节假日每天至少安排一人值班清洁），</w:t>
      </w:r>
      <w:r>
        <w:rPr>
          <w:rFonts w:hint="eastAsia" w:ascii="宋体" w:hAnsi="宋体" w:eastAsia="宋体" w:cs="宋体"/>
          <w:color w:val="auto"/>
          <w:szCs w:val="21"/>
          <w:highlight w:val="none"/>
        </w:rPr>
        <w:t>具体要求详见：《办公区域卫生要求》。</w:t>
      </w:r>
    </w:p>
    <w:p w14:paraId="563E757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4.个人相关防护物品由乙方提供，包括不限于工作服、水鞋、口罩，如甲方有其他要求的，须按照甲方的要求统一着装。</w:t>
      </w:r>
    </w:p>
    <w:p w14:paraId="587D47B4">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5.工作期间必须穿着统一工作服。</w:t>
      </w:r>
    </w:p>
    <w:p w14:paraId="631F431F">
      <w:pPr>
        <w:snapToGrid w:val="0"/>
        <w:spacing w:line="360" w:lineRule="auto"/>
        <w:ind w:firstLine="420" w:firstLineChars="200"/>
        <w:contextualSpacing/>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6.办公区域卫生要求</w:t>
      </w:r>
    </w:p>
    <w:tbl>
      <w:tblPr>
        <w:tblStyle w:val="39"/>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5"/>
        <w:gridCol w:w="1848"/>
        <w:gridCol w:w="4778"/>
        <w:gridCol w:w="2009"/>
      </w:tblGrid>
      <w:tr w14:paraId="4EC05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674" w:type="pct"/>
            <w:vAlign w:val="center"/>
          </w:tcPr>
          <w:p w14:paraId="1E030E7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服务范围</w:t>
            </w:r>
          </w:p>
        </w:tc>
        <w:tc>
          <w:tcPr>
            <w:tcW w:w="926" w:type="pct"/>
            <w:vAlign w:val="center"/>
          </w:tcPr>
          <w:p w14:paraId="5E2FF76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清洁时间段</w:t>
            </w:r>
          </w:p>
        </w:tc>
        <w:tc>
          <w:tcPr>
            <w:tcW w:w="2394" w:type="pct"/>
            <w:vAlign w:val="center"/>
          </w:tcPr>
          <w:p w14:paraId="47FC75E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清洁内容</w:t>
            </w:r>
          </w:p>
        </w:tc>
        <w:tc>
          <w:tcPr>
            <w:tcW w:w="1006" w:type="pct"/>
            <w:vAlign w:val="center"/>
          </w:tcPr>
          <w:p w14:paraId="6BDCE34B">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6A193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6ADD985C">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副总以上办公室</w:t>
            </w:r>
          </w:p>
        </w:tc>
        <w:tc>
          <w:tcPr>
            <w:tcW w:w="926" w:type="pct"/>
            <w:vAlign w:val="center"/>
          </w:tcPr>
          <w:p w14:paraId="6DFF82D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6:30-8:30</w:t>
            </w:r>
          </w:p>
          <w:p w14:paraId="1D956CA2">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17:30-18:30</w:t>
            </w:r>
          </w:p>
        </w:tc>
        <w:tc>
          <w:tcPr>
            <w:tcW w:w="2394" w:type="pct"/>
            <w:vAlign w:val="center"/>
          </w:tcPr>
          <w:p w14:paraId="3A74F1C4">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负责台面、地面、书桌、沙发、茶几、茶杯、文件柜、垃圾桶清洁，定期更换桶装水及</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认为有必要清理的地方，随时处理突发卫生。</w:t>
            </w:r>
          </w:p>
        </w:tc>
        <w:tc>
          <w:tcPr>
            <w:tcW w:w="1006" w:type="pct"/>
            <w:vAlign w:val="center"/>
          </w:tcPr>
          <w:p w14:paraId="3B26092E">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B55D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346A49FE">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各办公室</w:t>
            </w:r>
          </w:p>
        </w:tc>
        <w:tc>
          <w:tcPr>
            <w:tcW w:w="926" w:type="pct"/>
            <w:vAlign w:val="center"/>
          </w:tcPr>
          <w:p w14:paraId="2BB3EBA5">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8:30-17:30</w:t>
            </w:r>
          </w:p>
        </w:tc>
        <w:tc>
          <w:tcPr>
            <w:tcW w:w="2394" w:type="pct"/>
            <w:vAlign w:val="center"/>
          </w:tcPr>
          <w:p w14:paraId="6C8F17A8">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负责地面、沙发、茶几、垃圾桶清洁及</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认为有必要清理的地方，随时处理突发卫生，17:30前清理垃圾桶。每天至少清洁一次。</w:t>
            </w:r>
          </w:p>
        </w:tc>
        <w:tc>
          <w:tcPr>
            <w:tcW w:w="1006" w:type="pct"/>
            <w:vAlign w:val="center"/>
          </w:tcPr>
          <w:p w14:paraId="1C50654A">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D78D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4FEEC15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接待室、洽谈室</w:t>
            </w:r>
          </w:p>
        </w:tc>
        <w:tc>
          <w:tcPr>
            <w:tcW w:w="926" w:type="pct"/>
            <w:vAlign w:val="center"/>
          </w:tcPr>
          <w:p w14:paraId="281D3AE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使用完后清理</w:t>
            </w:r>
          </w:p>
        </w:tc>
        <w:tc>
          <w:tcPr>
            <w:tcW w:w="2394" w:type="pct"/>
            <w:vAlign w:val="center"/>
          </w:tcPr>
          <w:p w14:paraId="46E8A407">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每次会议结束后清洁地面、沙发、茶几、垃圾桶清洁、摆放瓶装水及</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认为有必要清理的地方，随时处理突发卫生，17:30前清理垃圾桶。</w:t>
            </w:r>
          </w:p>
        </w:tc>
        <w:tc>
          <w:tcPr>
            <w:tcW w:w="1006" w:type="pct"/>
            <w:vAlign w:val="center"/>
          </w:tcPr>
          <w:p w14:paraId="41F630E9">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2FEE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674" w:type="pct"/>
            <w:vAlign w:val="center"/>
          </w:tcPr>
          <w:p w14:paraId="59570DB6">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会议室</w:t>
            </w:r>
          </w:p>
        </w:tc>
        <w:tc>
          <w:tcPr>
            <w:tcW w:w="926" w:type="pct"/>
            <w:vAlign w:val="center"/>
          </w:tcPr>
          <w:p w14:paraId="02AB6D9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使用完后清理</w:t>
            </w:r>
          </w:p>
        </w:tc>
        <w:tc>
          <w:tcPr>
            <w:tcW w:w="2394" w:type="pct"/>
            <w:vAlign w:val="center"/>
          </w:tcPr>
          <w:p w14:paraId="417F9C6F">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每次会议结束后清洁地面、沙发、茶几、垃圾桶清洁、排放瓶装水及</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认为有必要清理的地方，随时处理突发卫生，17:30前清理垃圾桶。</w:t>
            </w:r>
          </w:p>
        </w:tc>
        <w:tc>
          <w:tcPr>
            <w:tcW w:w="1006" w:type="pct"/>
            <w:vAlign w:val="center"/>
          </w:tcPr>
          <w:p w14:paraId="3473D68D">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666F4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74" w:type="pct"/>
            <w:vAlign w:val="center"/>
          </w:tcPr>
          <w:p w14:paraId="682650B1">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卫生间</w:t>
            </w:r>
          </w:p>
        </w:tc>
        <w:tc>
          <w:tcPr>
            <w:tcW w:w="926" w:type="pct"/>
            <w:vAlign w:val="center"/>
          </w:tcPr>
          <w:p w14:paraId="76036993">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1小时清洁一次</w:t>
            </w:r>
          </w:p>
        </w:tc>
        <w:tc>
          <w:tcPr>
            <w:tcW w:w="2394" w:type="pct"/>
            <w:vAlign w:val="center"/>
          </w:tcPr>
          <w:p w14:paraId="00F7FDFC">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1.洗手盆必须清洗干净并不能留有水迹；</w:t>
            </w:r>
          </w:p>
          <w:p w14:paraId="6975C018">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2.洗手间地面必须用84消毒水清洁并保持干净；3.空气净化器定期更换补充剂和电池；4.及时补充洗手液；5.抽气扇必须长期保持运转。</w:t>
            </w:r>
          </w:p>
        </w:tc>
        <w:tc>
          <w:tcPr>
            <w:tcW w:w="1006" w:type="pct"/>
            <w:vAlign w:val="center"/>
          </w:tcPr>
          <w:p w14:paraId="1F8ABA7C">
            <w:pPr>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36193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 w:hRule="atLeast"/>
        </w:trPr>
        <w:tc>
          <w:tcPr>
            <w:tcW w:w="674" w:type="pct"/>
            <w:vAlign w:val="center"/>
          </w:tcPr>
          <w:p w14:paraId="2BA768E9">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走廊及楼梯等公共区域</w:t>
            </w:r>
          </w:p>
        </w:tc>
        <w:tc>
          <w:tcPr>
            <w:tcW w:w="926" w:type="pct"/>
            <w:vAlign w:val="center"/>
          </w:tcPr>
          <w:p w14:paraId="6949DB5F">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随时</w:t>
            </w:r>
          </w:p>
        </w:tc>
        <w:tc>
          <w:tcPr>
            <w:tcW w:w="2394" w:type="pct"/>
            <w:vAlign w:val="center"/>
          </w:tcPr>
          <w:p w14:paraId="103792EB">
            <w:pPr>
              <w:autoSpaceDE w:val="0"/>
              <w:autoSpaceDN w:val="0"/>
              <w:adjustRightInd w:val="0"/>
              <w:spacing w:line="360" w:lineRule="auto"/>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随时保持该区域卫生干净。</w:t>
            </w:r>
          </w:p>
        </w:tc>
        <w:tc>
          <w:tcPr>
            <w:tcW w:w="1006" w:type="pct"/>
            <w:vAlign w:val="center"/>
          </w:tcPr>
          <w:p w14:paraId="43A8886E">
            <w:pPr>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根据实际情况进行拖地，每天不少于一次。</w:t>
            </w:r>
          </w:p>
        </w:tc>
      </w:tr>
    </w:tbl>
    <w:p w14:paraId="7AE1E6A8">
      <w:pPr>
        <w:snapToGrid w:val="0"/>
        <w:spacing w:line="360" w:lineRule="auto"/>
        <w:ind w:firstLine="420" w:firstLineChars="200"/>
        <w:contextualSpacing/>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（三）</w:t>
      </w:r>
      <w:r>
        <w:rPr>
          <w:rFonts w:hint="eastAsia" w:ascii="宋体" w:hAnsi="宋体" w:eastAsia="宋体" w:cs="宋体"/>
          <w:color w:val="auto"/>
          <w:szCs w:val="21"/>
          <w:highlight w:val="none"/>
        </w:rPr>
        <w:t>劳务服务人员{</w:t>
      </w:r>
      <w:r>
        <w:rPr>
          <w:rFonts w:hint="eastAsia" w:ascii="宋体" w:hAnsi="宋体" w:eastAsia="宋体" w:cs="宋体"/>
          <w:bCs/>
          <w:color w:val="auto"/>
          <w:szCs w:val="21"/>
          <w:highlight w:val="none"/>
        </w:rPr>
        <w:t>服务员（兼前台）}</w:t>
      </w:r>
    </w:p>
    <w:p w14:paraId="41929F6A">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1.年龄要求：女性年龄不超过35岁。</w:t>
      </w:r>
    </w:p>
    <w:p w14:paraId="0ECE7B5B">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2.其他要求：五官端正，熟悉粤语及普通话，从事过机关或国企相关工作一年（含）以上，熟练办公软件及办公设备，接受临时加班要求。</w:t>
      </w:r>
    </w:p>
    <w:p w14:paraId="01521011">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3.服务员（兼前台）要求及职责：</w:t>
      </w:r>
    </w:p>
    <w:p w14:paraId="010462B6">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①服务员：围餐时提供相关就餐服务，如添茶水、上菜、更换骨碟、跟踪上菜进度。</w:t>
      </w:r>
    </w:p>
    <w:p w14:paraId="72F0736A">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②前台：接待来访客人、电话接听和转接；负责会议茶水准备及添加；负责会议室、会议用品的使用管理等；负责检查公司文印室“立打立取”及快递分发情况；负责公司订阅类报刊等的收取及分发；协助办公室完成日常事务工作。</w:t>
      </w:r>
    </w:p>
    <w:p w14:paraId="21AA943C">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③服装要求：要求正装，着白色衬衫，西装、西裤（或西服裙），由乙方负责，如甲方有其他要求的，须按照甲方的要求统一着装。</w:t>
      </w:r>
    </w:p>
    <w:p w14:paraId="20F020CA">
      <w:pPr>
        <w:pStyle w:val="130"/>
        <w:numPr>
          <w:ilvl w:val="0"/>
          <w:numId w:val="2"/>
        </w:numPr>
        <w:spacing w:line="360" w:lineRule="auto"/>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项目管理人员</w:t>
      </w:r>
    </w:p>
    <w:p w14:paraId="7E8CE4A7">
      <w:pPr>
        <w:pStyle w:val="130"/>
        <w:spacing w:line="360" w:lineRule="auto"/>
        <w:ind w:firstLine="420" w:firstLineChars="20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乙方项目管理人员配置表详见</w:t>
      </w:r>
      <w:r>
        <w:rPr>
          <w:rFonts w:hint="eastAsia" w:ascii="宋体" w:hAnsi="宋体" w:eastAsia="宋体" w:cs="宋体"/>
          <w:bCs/>
          <w:color w:val="auto"/>
          <w:szCs w:val="21"/>
          <w:highlight w:val="none"/>
          <w:lang w:val="en-US" w:eastAsia="zh-CN"/>
        </w:rPr>
        <w:t>投标文件   页</w:t>
      </w:r>
      <w:r>
        <w:rPr>
          <w:rFonts w:hint="eastAsia" w:ascii="宋体" w:hAnsi="宋体" w:eastAsia="宋体" w:cs="宋体"/>
          <w:bCs/>
          <w:color w:val="auto"/>
          <w:szCs w:val="21"/>
          <w:highlight w:val="none"/>
        </w:rPr>
        <w:t>。</w:t>
      </w:r>
    </w:p>
    <w:p w14:paraId="09BEE972">
      <w:pPr>
        <w:pStyle w:val="130"/>
        <w:spacing w:line="360" w:lineRule="auto"/>
        <w:ind w:firstLine="200" w:firstLineChars="0"/>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项目管理人员</w:t>
      </w:r>
      <w:r>
        <w:rPr>
          <w:rFonts w:hint="eastAsia" w:ascii="宋体" w:hAnsi="宋体" w:eastAsia="宋体" w:cs="宋体"/>
          <w:bCs/>
          <w:color w:val="auto"/>
          <w:szCs w:val="21"/>
          <w:highlight w:val="none"/>
          <w:lang w:val="en-US" w:eastAsia="zh-CN"/>
        </w:rPr>
        <w:t>应</w:t>
      </w:r>
      <w:r>
        <w:rPr>
          <w:rFonts w:hint="eastAsia" w:ascii="宋体" w:hAnsi="宋体" w:eastAsia="宋体" w:cs="宋体"/>
          <w:bCs/>
          <w:color w:val="auto"/>
          <w:szCs w:val="21"/>
          <w:highlight w:val="none"/>
        </w:rPr>
        <w:t>在接到</w:t>
      </w:r>
      <w:r>
        <w:rPr>
          <w:rFonts w:hint="eastAsia" w:ascii="宋体" w:hAnsi="宋体" w:eastAsia="宋体" w:cs="宋体"/>
          <w:bCs/>
          <w:color w:val="auto"/>
          <w:szCs w:val="21"/>
          <w:highlight w:val="none"/>
          <w:lang w:val="en-US" w:eastAsia="zh-CN"/>
        </w:rPr>
        <w:t>甲方</w:t>
      </w:r>
      <w:r>
        <w:rPr>
          <w:rFonts w:hint="eastAsia" w:ascii="宋体" w:hAnsi="宋体" w:eastAsia="宋体" w:cs="宋体"/>
          <w:bCs/>
          <w:color w:val="auto"/>
          <w:szCs w:val="21"/>
          <w:highlight w:val="none"/>
        </w:rPr>
        <w:t>通知后</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小时(含)内响应，</w:t>
      </w:r>
      <w:r>
        <w:rPr>
          <w:rFonts w:hint="eastAsia" w:ascii="宋体" w:hAnsi="宋体" w:eastAsia="宋体" w:cs="宋体"/>
          <w:bCs/>
          <w:color w:val="auto"/>
          <w:szCs w:val="21"/>
          <w:highlight w:val="none"/>
          <w:u w:val="single"/>
          <w:lang w:val="en-US" w:eastAsia="zh-CN"/>
        </w:rPr>
        <w:t xml:space="preserve">  </w:t>
      </w:r>
      <w:r>
        <w:rPr>
          <w:rFonts w:hint="eastAsia" w:ascii="宋体" w:hAnsi="宋体" w:eastAsia="宋体" w:cs="宋体"/>
          <w:bCs/>
          <w:color w:val="auto"/>
          <w:szCs w:val="21"/>
          <w:highlight w:val="none"/>
        </w:rPr>
        <w:t>小时(含)内到达</w:t>
      </w:r>
      <w:r>
        <w:rPr>
          <w:rFonts w:hint="eastAsia" w:ascii="宋体" w:hAnsi="宋体" w:eastAsia="宋体" w:cs="宋体"/>
          <w:bCs/>
          <w:color w:val="auto"/>
          <w:szCs w:val="21"/>
          <w:highlight w:val="none"/>
          <w:lang w:val="en-US" w:eastAsia="zh-CN"/>
        </w:rPr>
        <w:t>方</w:t>
      </w:r>
      <w:r>
        <w:rPr>
          <w:rFonts w:hint="eastAsia" w:ascii="宋体" w:hAnsi="宋体" w:eastAsia="宋体" w:cs="宋体"/>
          <w:bCs/>
          <w:color w:val="auto"/>
          <w:szCs w:val="21"/>
          <w:highlight w:val="none"/>
        </w:rPr>
        <w:t>指定地点。</w:t>
      </w:r>
    </w:p>
    <w:p w14:paraId="25058C83">
      <w:pPr>
        <w:pStyle w:val="130"/>
        <w:spacing w:line="360" w:lineRule="auto"/>
        <w:ind w:firstLine="20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六、服务要求</w:t>
      </w:r>
    </w:p>
    <w:p w14:paraId="22978BC4">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1、乙方应根据劳务服务人员数量和服务项目情况，配备专门的劳务服务管理人员，负责劳务服务人员的日常事务，协调处理劳务服务人员与甲方之间的关系，向甲方提供政策法规方面的咨询。</w:t>
      </w:r>
    </w:p>
    <w:p w14:paraId="768FF717">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2、甲方可根据实际需要和岗位设置情况，以书面形式通知乙方用工需求。</w:t>
      </w:r>
    </w:p>
    <w:p w14:paraId="02FFEC07">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3、乙方收到甲方用工需求通知后5个工作日内应配齐符合甲方要求的劳务服务人员，否则视为乙方违约，甲方有权终止合同。甲方有权按500元每天/人扣除该服务地址服务费，直接扣除完毕，并有权终止合同。</w:t>
      </w:r>
    </w:p>
    <w:p w14:paraId="6010D508">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4、甲方可根据实际情况或需求，对劳务服务人员的数量、岗位、资格条件等要求进行调整，乙方必须服从，且劳务服务人员必须符合甲方的要求。</w:t>
      </w:r>
    </w:p>
    <w:p w14:paraId="579780A2">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5、乙方需每月月底向甲方提供劳务服务人员的工资发放、社保的材料等依据备查</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否则甲方有权暂不支付服务费</w:t>
      </w:r>
      <w:r>
        <w:rPr>
          <w:rFonts w:hint="eastAsia" w:ascii="宋体" w:hAnsi="宋体" w:eastAsia="宋体" w:cs="宋体"/>
          <w:color w:val="auto"/>
          <w:szCs w:val="21"/>
          <w:highlight w:val="none"/>
        </w:rPr>
        <w:t>。</w:t>
      </w:r>
    </w:p>
    <w:p w14:paraId="02B9D5F3">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有权要求调换不适合岗位要求的劳务服务人员，调换劳务服务人员如需经济补偿金等费用均由乙方承担。在服务期间，未经甲方同意，乙方不得随意更换劳务服务人员。劳务服务人员因为调走、辞职或被乙方辞退等原因导致劳务服务人员不足的，乙方必须在48小时内补充人员以满足甲方需要。而乙方未能及时补齐符合项目要求的劳务服务人员时，则视为乙方主动违约，甲方有权单方面终止合同，并有权要求乙方承担相应的违约责任。</w:t>
      </w:r>
    </w:p>
    <w:p w14:paraId="66C49E3C">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7、由于乙方工作失误的原因，造成劳务服务人员的经济损失，所产生的损失及后果由乙方承担。因乙方劳务服务人员蓄意破坏甲方现场设备设施、违反相关管理规定造成甲方损失的，</w:t>
      </w:r>
      <w:r>
        <w:rPr>
          <w:rFonts w:hint="eastAsia" w:ascii="宋体" w:hAnsi="宋体" w:cs="宋体"/>
          <w:color w:val="auto"/>
          <w:szCs w:val="21"/>
          <w:highlight w:val="none"/>
          <w:lang w:val="en-US" w:eastAsia="zh-CN"/>
        </w:rPr>
        <w:t>乙方应承担连带赔偿责任。</w:t>
      </w:r>
      <w:r>
        <w:rPr>
          <w:rFonts w:hint="eastAsia" w:ascii="宋体" w:hAnsi="宋体" w:eastAsia="宋体" w:cs="宋体"/>
          <w:color w:val="auto"/>
          <w:szCs w:val="21"/>
          <w:highlight w:val="none"/>
        </w:rPr>
        <w:t>一经查实，则视为乙方严重违约，甲方有权单方面终止合同，责令乙方赔偿损失，情节严重的依法追究其法律责任。</w:t>
      </w:r>
    </w:p>
    <w:p w14:paraId="3ACB0103">
      <w:pPr>
        <w:pStyle w:val="204"/>
        <w:adjustRightInd w:val="0"/>
        <w:snapToGrid w:val="0"/>
        <w:spacing w:line="360" w:lineRule="auto"/>
        <w:ind w:firstLineChars="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应按照有关法律法规规定与劳务服务人员订立书面劳动合同，为劳务服务人员在工作所在地办理社会保险手续等，并根据甲方提供的劳务服务人员考勤、考核、教育培训、奖惩等资料情况建立劳务服务人员人事信息档案。对新招劳务服务人员，应在规定时间内办齐所有用工手续，并提供包括但不限于劳务服务人员档案表、花名册、身份证及学历证复印件等供甲方备案。</w:t>
      </w:r>
    </w:p>
    <w:p w14:paraId="70806BE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9、</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应及时掌握国家和省、市有关劳动标准、劳动条件、工资福利、社会保险等方面的最新政策动态并知会</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，积极配合</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对新政策规定的组织实施。</w:t>
      </w:r>
    </w:p>
    <w:p w14:paraId="041A9DD0">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应按</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要求，教育劳务服务人员严格遵守</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的规章制度和管理规范规程、忠于职守、文明礼貌、严格遵守劳动纪律、</w:t>
      </w:r>
      <w:r>
        <w:rPr>
          <w:rFonts w:hint="eastAsia" w:ascii="宋体" w:hAnsi="宋体" w:eastAsia="宋体" w:cs="宋体"/>
          <w:color w:val="auto"/>
          <w:szCs w:val="21"/>
          <w:highlight w:val="none"/>
          <w:lang w:val="en-US" w:eastAsia="zh-CN"/>
        </w:rPr>
        <w:t>乙方应</w:t>
      </w:r>
      <w:r>
        <w:rPr>
          <w:rFonts w:hint="eastAsia" w:ascii="宋体" w:hAnsi="宋体" w:eastAsia="宋体" w:cs="宋体"/>
          <w:color w:val="auto"/>
          <w:szCs w:val="21"/>
          <w:highlight w:val="none"/>
        </w:rPr>
        <w:t>服从和执行</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做出的工作安排和调度，接受</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管理人员的检查监督。</w:t>
      </w:r>
    </w:p>
    <w:p w14:paraId="5CDB6A84">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应负责劳务服务人员的招聘/录用退工手续办理、薪酬管理、福利发放、相关保险和个税代扣代缴等，以及档案管理、计生关系管理、专业技术人员的职称申报、评定等。</w:t>
      </w:r>
    </w:p>
    <w:p w14:paraId="351AA421">
      <w:pPr>
        <w:spacing w:line="360" w:lineRule="auto"/>
        <w:ind w:firstLine="420"/>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12、</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应教育、督促</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的提供劳务服务的人员不得以任何形式向他人提供或泄露</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的商业秘密，保证</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利益不受损失，对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各类客户的资料、业务数据等应按照</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相关文件及工作要求执行保密工作。</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在提供服务期间获悉的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信息，</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负有保密义务。本保密义务不因服务合同的解除或终止而失效，直至保密信息被依法公开为止。</w:t>
      </w:r>
      <w:r>
        <w:rPr>
          <w:rFonts w:hint="eastAsia" w:ascii="宋体" w:hAnsi="宋体" w:eastAsia="宋体" w:cs="宋体"/>
          <w:color w:val="auto"/>
          <w:szCs w:val="21"/>
          <w:highlight w:val="none"/>
          <w:lang w:val="en-US" w:eastAsia="zh-CN"/>
        </w:rPr>
        <w:t>若乙方员工违反该约定的，视为乙方违约。</w:t>
      </w:r>
    </w:p>
    <w:p w14:paraId="6B30D1CA">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须接受</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对</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及</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提供劳务服务的人员的质量检查，且须保证能随时接受行业主管部门的质量考核，并对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提出的服务质量改进建议予以及时响应和整改。</w:t>
      </w:r>
    </w:p>
    <w:p w14:paraId="07CFA794">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的劳务服务人员在提供服务期间发生重大疾病或事故的，由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负责调查及处理，依法为劳务服务人员办理工伤认定、伤残鉴定、工伤待遇申报、非工伤死亡待遇申报、意外伤害保险理赔等相关手续并依法承担相应责任，如因前列事故与相关劳务服务人员发生纠纷或争议的，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应自行妥善处理并承担责任，不得影响</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劳务服务项目业务的正常进行。如因此导致</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损失的，</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需足额向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赔偿。</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须对其工作人员及劳务服务人员在服务期内所发生的人身、财产安全和交通事故，及给</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或其他第三方带来的人身、财产安全负责，</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不承担任何责任。</w:t>
      </w:r>
    </w:p>
    <w:p w14:paraId="1DC353EB">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提供劳务服务的人员从</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处领取的工作工具、设备和其他物品，由</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负责登记管理，在</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提供劳务服务的人员不再继续提供服务时，由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负责协助收回交还</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应当为劳务服务人员提供必要的劳务保护用品。</w:t>
      </w:r>
    </w:p>
    <w:p w14:paraId="02FD5610">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应定期向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通报劳务服务服务项目的相关事项，如发生突发性事件，</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应及时向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通报。</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及其工作人员及劳务服务人员在工作过程中发现存在安全隐患的，应及时向</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上报，并做好相应预防工作。</w:t>
      </w:r>
    </w:p>
    <w:p w14:paraId="2D3E4038">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17、</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应负责劳务服务人员经济赔偿的手续办理、负责处理劳务服务人员提出的劳动仲裁、诉讼、劳资纠纷等事宜，如因</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引起的劳资纠纷问题，影响</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劳务服务项目业务正常开展的，</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有权另行聘请人员确保业务正常开展，因此而所产生的所有费用均由</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承担。</w:t>
      </w:r>
    </w:p>
    <w:p w14:paraId="0D92A8B7">
      <w:pPr>
        <w:spacing w:line="360" w:lineRule="auto"/>
        <w:ind w:firstLine="420"/>
        <w:rPr>
          <w:rFonts w:hint="eastAsia" w:ascii="宋体" w:hAnsi="宋体" w:eastAsia="宋体" w:cs="宋体"/>
          <w:color w:val="auto"/>
          <w:szCs w:val="21"/>
          <w:highlight w:val="none"/>
        </w:rPr>
      </w:pPr>
      <w:r>
        <w:rPr>
          <w:rFonts w:hint="eastAsia" w:ascii="宋体" w:hAnsi="宋体" w:eastAsia="宋体" w:cs="宋体"/>
          <w:color w:val="auto"/>
          <w:szCs w:val="21"/>
          <w:highlight w:val="none"/>
        </w:rPr>
        <w:t>18、</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应当以自身的技术和劳动力完成劳务服务项目业务的主要工作，未经</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书面同意，</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不得将承包项目分包或转包，否则，视为</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违约，</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有权解除服务合同。</w:t>
      </w:r>
    </w:p>
    <w:p w14:paraId="5A5D41E7">
      <w:pPr>
        <w:spacing w:line="360" w:lineRule="auto"/>
        <w:ind w:firstLine="420"/>
        <w:rPr>
          <w:rFonts w:hint="eastAsia" w:ascii="宋体" w:hAnsi="宋体" w:eastAsia="宋体" w:cs="宋体"/>
          <w:bCs w:val="0"/>
          <w:color w:val="auto"/>
          <w:kern w:val="2"/>
          <w:sz w:val="21"/>
          <w:szCs w:val="21"/>
          <w:highlight w:val="none"/>
        </w:rPr>
      </w:pPr>
      <w:r>
        <w:rPr>
          <w:rFonts w:hint="eastAsia" w:ascii="宋体" w:hAnsi="宋体" w:eastAsia="宋体" w:cs="宋体"/>
          <w:color w:val="auto"/>
          <w:szCs w:val="21"/>
          <w:highlight w:val="none"/>
        </w:rPr>
        <w:t>19、</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提供劳务服务的工作人员向</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申请需要休探亲假、请病假和合理事假的，在服务人员休探亲假，请病假和合理事假期间，</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需做好调配工作，负责24小时内另派人驻点，</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不再增加服务费用，否则扣服务地址当月服务费1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w:t>
      </w:r>
    </w:p>
    <w:p w14:paraId="77E4D4F8">
      <w:pPr>
        <w:snapToGrid/>
        <w:spacing w:line="360" w:lineRule="auto"/>
        <w:ind w:firstLine="420" w:firstLineChars="0"/>
        <w:contextualSpacing w:val="0"/>
        <w:rPr>
          <w:rFonts w:hint="eastAsia" w:ascii="宋体" w:hAnsi="宋体" w:eastAsia="宋体" w:cs="宋体"/>
          <w:color w:val="auto"/>
          <w:szCs w:val="21"/>
          <w:highlight w:val="none"/>
        </w:rPr>
      </w:pPr>
      <w:r>
        <w:rPr>
          <w:rFonts w:hint="eastAsia" w:ascii="宋体" w:hAnsi="宋体" w:eastAsia="宋体" w:cs="宋体"/>
          <w:color w:val="auto"/>
          <w:szCs w:val="21"/>
          <w:highlight w:val="none"/>
        </w:rPr>
        <w:t>20、因国家政策或法律法规调整等不可抗拒原因造成甲方无法继续履行采购合同的情况，甲方不承担违约责任，乙方需妥善做好劳务服务人员的安置并承担因此产生的所有经济补偿（赔偿）费用。乙方不得追究甲方任何责任。</w:t>
      </w:r>
    </w:p>
    <w:p w14:paraId="52BFB7F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乙方为劳务服务人员提供各项社会保险的政策咨询、劳动政策咨询服务、加强各项社会保险新出台政策的宣传；协助办理劳务服务人员岗前培训、上岗资格培训、再教育培训以及人才素质测评事宜；建立并及时更新劳务服务人员人事信息档案，向甲方提供劳务服务人员花名册，该名册应详细载明各劳务服务人员的性别、出生日期、籍贯、家庭住所、身份证号码、学历、学位、婚姻状况、子女情况等自然情况和劳动合同或劳动关系档案编号。</w:t>
      </w:r>
    </w:p>
    <w:p w14:paraId="0B0D0514">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22、为保障服务工作的延续，新增加的劳务服务人员按甲方要求的时间安排到位。乙方应与前、后供应商做好交接工作，因乙方原因造成甲方的所有损失，均由乙方承担。</w:t>
      </w:r>
    </w:p>
    <w:p w14:paraId="79DD8C8C">
      <w:pPr>
        <w:snapToGrid w:val="0"/>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Cs w:val="21"/>
          <w:highlight w:val="none"/>
        </w:rPr>
        <w:t>23</w:t>
      </w:r>
      <w:r>
        <w:rPr>
          <w:rFonts w:hint="eastAsia" w:ascii="宋体" w:hAnsi="宋体" w:eastAsia="宋体" w:cs="宋体"/>
          <w:bCs/>
          <w:color w:val="auto"/>
          <w:szCs w:val="21"/>
          <w:highlight w:val="none"/>
        </w:rPr>
        <w:t>、在合同履行过程中，乙方劳务服务人员需要配合甲方实施生活垃圾分类要求，落实分类收集和清运处理。禁止随意堆放、倾倒造成二次垃圾污染。乙方如存在违反生活垃圾分类行为，需由乙方承担相关责任，甲方有权使用履约担保予以支付或作出相应处理，由此产生的一切法律后果由乙方承担。</w:t>
      </w:r>
    </w:p>
    <w:p w14:paraId="509D075D">
      <w:pPr>
        <w:snapToGrid w:val="0"/>
        <w:spacing w:line="360" w:lineRule="auto"/>
        <w:ind w:firstLine="422" w:firstLineChars="20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七、其他要求</w:t>
      </w:r>
    </w:p>
    <w:p w14:paraId="183BC4D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1、本合同服务有效期内，非经甲方同意，乙方委派人员不得以任何理由擅自停止提供餐食。如擅自停止，甲方有权解除合同，并要求乙方按暂定合同含税总价的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%支付违约金，及赔偿停餐导致的损失（包括但不限于甲方另行委托其他方提供伙食的费用等）。</w:t>
      </w:r>
    </w:p>
    <w:p w14:paraId="4EEC572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2、未经甲方书面同意，乙方不得擅自将合同项下的权利义务全部或部分转让；如违反，乙方应立即停止转让行为，并按暂定合同含税总价的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%向甲方支付违约金，甲方因此遭受损失的，乙方还应负责赔偿。</w:t>
      </w:r>
    </w:p>
    <w:p w14:paraId="6058861D">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因乙方及其工作人员导致甲方员工、第三人遭受财产损失或人身损害的（包括但不限于食物中毒、地面湿滑导致的事故等），乙方应承担相应责任；甲方因此遭受损失的（包括但不限于第三方索赔、应诉所支出的费用等），有权向乙方追偿。</w:t>
      </w:r>
    </w:p>
    <w:p w14:paraId="7F9C8E83">
      <w:pPr>
        <w:snapToGrid w:val="0"/>
        <w:spacing w:line="360" w:lineRule="auto"/>
        <w:ind w:firstLine="420" w:firstLineChars="200"/>
        <w:contextualSpacing/>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kern w:val="0"/>
          <w:szCs w:val="21"/>
          <w:highlight w:val="none"/>
        </w:rPr>
        <w:t>在合同服务期限内，</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劳务服务的人员必须保证餐食的健康卫生，</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有权对</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劳务服务的人员的营养搭配、服务质量及服务场所卫生状况进行监督，以书面形式要求</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劳务服务的人员限时改善；劳务服务的人员拒绝整改或经过整改后仍不符合</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要求时，</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可以随时终止合同，</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不得有任何异议；如</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劳务服务的人员故意隐瞒菜品质量，或与食品配送公司隐瞒食品配送数量、质量等问题，</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有权立即解除合同，并保留向其追究法律责任的权利，要求</w:t>
      </w:r>
      <w:r>
        <w:rPr>
          <w:rFonts w:hint="eastAsia" w:ascii="宋体" w:hAnsi="宋体" w:eastAsia="宋体" w:cs="宋体"/>
          <w:color w:val="auto"/>
          <w:kern w:val="0"/>
          <w:szCs w:val="21"/>
          <w:highlight w:val="none"/>
          <w:lang w:eastAsia="zh-CN"/>
        </w:rPr>
        <w:t>乙方</w:t>
      </w:r>
      <w:r>
        <w:rPr>
          <w:rFonts w:hint="eastAsia" w:ascii="宋体" w:hAnsi="宋体" w:eastAsia="宋体" w:cs="宋体"/>
          <w:color w:val="auto"/>
          <w:kern w:val="0"/>
          <w:szCs w:val="21"/>
          <w:highlight w:val="none"/>
        </w:rPr>
        <w:t>按</w:t>
      </w:r>
      <w:r>
        <w:rPr>
          <w:rFonts w:hint="eastAsia" w:ascii="宋体" w:hAnsi="宋体" w:eastAsia="宋体" w:cs="宋体"/>
          <w:color w:val="auto"/>
          <w:szCs w:val="21"/>
          <w:highlight w:val="none"/>
        </w:rPr>
        <w:t>暂定合同含税总价</w:t>
      </w:r>
      <w:r>
        <w:rPr>
          <w:rFonts w:hint="eastAsia" w:ascii="宋体" w:hAnsi="宋体" w:eastAsia="宋体" w:cs="宋体"/>
          <w:color w:val="auto"/>
          <w:kern w:val="0"/>
          <w:szCs w:val="21"/>
          <w:highlight w:val="none"/>
        </w:rPr>
        <w:t>的</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%支付违约金，并追回相关损失及赔偿停餐导致的损失（包括但不限于</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kern w:val="0"/>
          <w:szCs w:val="21"/>
          <w:highlight w:val="none"/>
        </w:rPr>
        <w:t>另行委托其他方提供伙食的费用等）</w:t>
      </w:r>
      <w:r>
        <w:rPr>
          <w:rFonts w:hint="eastAsia" w:ascii="宋体" w:hAnsi="宋体" w:eastAsia="宋体" w:cs="宋体"/>
          <w:color w:val="auto"/>
          <w:szCs w:val="21"/>
          <w:highlight w:val="none"/>
        </w:rPr>
        <w:t>；未经</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同意，</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劳务服务的人员不得拿取</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任何食材、既有厨房（清洁）生产用具以及其他</w:t>
      </w:r>
      <w:r>
        <w:rPr>
          <w:rFonts w:hint="eastAsia" w:ascii="宋体" w:hAnsi="宋体" w:eastAsia="宋体" w:cs="宋体"/>
          <w:color w:val="auto"/>
          <w:kern w:val="0"/>
          <w:szCs w:val="21"/>
          <w:highlight w:val="none"/>
          <w:lang w:eastAsia="zh-CN"/>
        </w:rPr>
        <w:t>甲方</w:t>
      </w:r>
      <w:r>
        <w:rPr>
          <w:rFonts w:hint="eastAsia" w:ascii="宋体" w:hAnsi="宋体" w:eastAsia="宋体" w:cs="宋体"/>
          <w:color w:val="auto"/>
          <w:szCs w:val="21"/>
          <w:highlight w:val="none"/>
        </w:rPr>
        <w:t>既有物品带离</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工作经营场地，若拿取一经发现，</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有权立即解除合同，并保留向其追究法律责任的权利，要求</w:t>
      </w:r>
      <w:r>
        <w:rPr>
          <w:rFonts w:hint="eastAsia" w:ascii="宋体" w:hAnsi="宋体" w:eastAsia="宋体" w:cs="宋体"/>
          <w:color w:val="auto"/>
          <w:szCs w:val="21"/>
          <w:highlight w:val="none"/>
          <w:lang w:eastAsia="zh-CN"/>
        </w:rPr>
        <w:t>乙方</w:t>
      </w:r>
      <w:r>
        <w:rPr>
          <w:rFonts w:hint="eastAsia" w:ascii="宋体" w:hAnsi="宋体" w:eastAsia="宋体" w:cs="宋体"/>
          <w:color w:val="auto"/>
          <w:szCs w:val="21"/>
          <w:highlight w:val="none"/>
        </w:rPr>
        <w:t>按暂定合同含税总价的</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%支付违约金，并追回相关损失及赔偿停餐导致的损失（包括但不限于</w:t>
      </w:r>
      <w:r>
        <w:rPr>
          <w:rFonts w:hint="eastAsia" w:ascii="宋体" w:hAnsi="宋体" w:eastAsia="宋体" w:cs="宋体"/>
          <w:color w:val="auto"/>
          <w:szCs w:val="21"/>
          <w:highlight w:val="none"/>
          <w:lang w:eastAsia="zh-CN"/>
        </w:rPr>
        <w:t>甲方</w:t>
      </w:r>
      <w:r>
        <w:rPr>
          <w:rFonts w:hint="eastAsia" w:ascii="宋体" w:hAnsi="宋体" w:eastAsia="宋体" w:cs="宋体"/>
          <w:color w:val="auto"/>
          <w:szCs w:val="21"/>
          <w:highlight w:val="none"/>
        </w:rPr>
        <w:t>另行委托其他方提供伙食的费用等）</w:t>
      </w:r>
      <w:r>
        <w:rPr>
          <w:rFonts w:hint="eastAsia" w:ascii="宋体" w:hAnsi="宋体" w:eastAsia="宋体" w:cs="宋体"/>
          <w:color w:val="auto"/>
          <w:kern w:val="0"/>
          <w:szCs w:val="21"/>
          <w:highlight w:val="none"/>
        </w:rPr>
        <w:t>。</w:t>
      </w:r>
    </w:p>
    <w:p w14:paraId="143E4275">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5、乙方应承担的违约金、赔偿、费用等款项，甲方有权直接从服务费或履约担保中予以扣除。</w:t>
      </w:r>
    </w:p>
    <w:p w14:paraId="5DF9B648">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6、若乙方提供的厨师、厨工、清洁工及服务员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兼前台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因甲方投诉两次（含）以上，甲方有权要求乙方更换厨师、厨工、清洁工及服务员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兼前台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w:t>
      </w:r>
    </w:p>
    <w:p w14:paraId="16F012A0">
      <w:pPr>
        <w:snapToGrid w:val="0"/>
        <w:spacing w:line="360" w:lineRule="auto"/>
        <w:ind w:firstLine="42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7、厨师、厨工包吃（上班日的早餐、中餐、晚餐）不包住，清洁工不包吃和住，服务员（兼前台）不包吃和住。</w:t>
      </w:r>
    </w:p>
    <w:p w14:paraId="45B8E416">
      <w:pPr>
        <w:snapToGrid w:val="0"/>
        <w:spacing w:line="360" w:lineRule="auto"/>
        <w:ind w:firstLine="42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8、乙方须按招标文件的要求提供一份额度为人民币500万元的保险（食品安全责任险），每次事故每人医疗赔偿限额50万元，保险承保期限不短于服务时间（一年），如延长服务期，则顺延保险承保期。</w:t>
      </w:r>
    </w:p>
    <w:p w14:paraId="7A46891F">
      <w:pPr>
        <w:snapToGrid w:val="0"/>
        <w:spacing w:line="360" w:lineRule="auto"/>
        <w:ind w:firstLine="42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9、甲方根据建设、运营需要（如：公司内部架构调整导致的人员分流、行政办公及食堂场所改变导致服务范围变更等）可签订补充协议约定具体变更事项，并调整（增加或删减）合同人数，但综合单价应以本项目中标综合单价为准。</w:t>
      </w:r>
    </w:p>
    <w:p w14:paraId="71EEB107">
      <w:pPr>
        <w:snapToGrid w:val="0"/>
        <w:spacing w:line="360" w:lineRule="auto"/>
        <w:ind w:firstLine="42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10、</w:t>
      </w:r>
      <w:r>
        <w:rPr>
          <w:rFonts w:hint="eastAsia" w:ascii="宋体" w:hAnsi="宋体" w:eastAsia="宋体" w:cs="宋体"/>
          <w:bCs/>
          <w:color w:val="auto"/>
          <w:szCs w:val="21"/>
          <w:highlight w:val="none"/>
        </w:rPr>
        <w:t>如因乙方原因（含不满足甲方要求而更换的）需对项目管理人员（含项目负责人）进行更换的，</w:t>
      </w:r>
      <w:r>
        <w:rPr>
          <w:rFonts w:hint="eastAsia" w:ascii="宋体" w:hAnsi="宋体" w:eastAsia="宋体" w:cs="宋体"/>
          <w:color w:val="auto"/>
          <w:szCs w:val="21"/>
          <w:highlight w:val="none"/>
        </w:rPr>
        <w:t>更换人员的职业资格、职称等不得低于原管理人员，更换后的人员须经甲方批准同意。合同签订后首次更换的不进行处罚，乙方第二次更换项目管理人员须向甲方支付违约金人民币5000元/人、第三次更换项目管理人员须向甲方支付违约金人民币10000元/人。项目管理人员更换原则上不得超过3次，否则甲方有权单方面解除服务合同并没收履约担保。</w:t>
      </w:r>
    </w:p>
    <w:p w14:paraId="7B68B9C2">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八、结算及支付条款</w:t>
      </w:r>
    </w:p>
    <w:p w14:paraId="440109A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1、结算方式：结算价为（各类岗位综合单价×当月实际服务人数）×各类</w:t>
      </w:r>
      <w:r>
        <w:rPr>
          <w:rStyle w:val="46"/>
          <w:rFonts w:hint="eastAsia" w:ascii="宋体" w:hAnsi="宋体" w:eastAsia="宋体" w:cs="宋体"/>
          <w:color w:val="auto"/>
          <w:highlight w:val="none"/>
        </w:rPr>
        <w:t>劳务服务费收费系数</w:t>
      </w:r>
      <w:r>
        <w:rPr>
          <w:rFonts w:hint="eastAsia" w:ascii="宋体" w:hAnsi="宋体" w:eastAsia="宋体" w:cs="宋体"/>
          <w:color w:val="auto"/>
          <w:szCs w:val="21"/>
          <w:highlight w:val="none"/>
        </w:rPr>
        <w:t>之和</w:t>
      </w:r>
      <w:r>
        <w:rPr>
          <w:rStyle w:val="46"/>
          <w:rFonts w:hint="eastAsia" w:ascii="宋体" w:hAnsi="宋体" w:eastAsia="宋体" w:cs="宋体"/>
          <w:color w:val="auto"/>
          <w:highlight w:val="none"/>
        </w:rPr>
        <w:t>。餐厨、清洁及服务员（兼前台）</w:t>
      </w:r>
      <w:r>
        <w:rPr>
          <w:rFonts w:hint="eastAsia" w:ascii="宋体" w:hAnsi="宋体" w:eastAsia="宋体" w:cs="宋体"/>
          <w:color w:val="auto"/>
          <w:szCs w:val="21"/>
          <w:highlight w:val="none"/>
        </w:rPr>
        <w:t>劳务服务费</w:t>
      </w:r>
      <w:r>
        <w:rPr>
          <w:rStyle w:val="46"/>
          <w:rFonts w:hint="eastAsia" w:ascii="宋体" w:hAnsi="宋体" w:eastAsia="宋体" w:cs="宋体"/>
          <w:color w:val="auto"/>
          <w:highlight w:val="none"/>
        </w:rPr>
        <w:t>单独计算，每月根据所服务地址的各项服务人员考核分数对应的劳务服务费收费系数单独计算。</w:t>
      </w:r>
    </w:p>
    <w:p w14:paraId="73718CA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2、甲方有权根据实际情况进行分批入场服务。相关服务费用按实际到场人数结合厨师、厨工、清洁工及服务员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兼前台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的月综合单价进行支付。</w:t>
      </w:r>
    </w:p>
    <w:p w14:paraId="4832C51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3、劳务服务费按月度进行结算。乙方应在每月度结算完成后，按甲方要求提交请款报告及等额的、合法的、有效的增值税专用发票（服务费由</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内部各方按照其内部约定的服务费比例承担，</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对此知悉并明确表示同意且无任何异议。</w:t>
      </w:r>
      <w:r>
        <w:rPr>
          <w:rFonts w:hint="eastAsia" w:ascii="宋体" w:hAnsi="宋体" w:eastAsia="宋体" w:cs="宋体"/>
          <w:color w:val="auto"/>
          <w:szCs w:val="21"/>
          <w:highlight w:val="none"/>
          <w:lang w:val="en-US" w:eastAsia="zh-CN"/>
        </w:rPr>
        <w:t>乙方</w:t>
      </w:r>
      <w:r>
        <w:rPr>
          <w:rFonts w:hint="eastAsia" w:ascii="宋体" w:hAnsi="宋体" w:eastAsia="宋体" w:cs="宋体"/>
          <w:color w:val="auto"/>
          <w:szCs w:val="21"/>
          <w:highlight w:val="none"/>
        </w:rPr>
        <w:t>需按</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内部各方约定的服务费承担比例向</w:t>
      </w:r>
      <w:r>
        <w:rPr>
          <w:rFonts w:hint="eastAsia" w:ascii="宋体" w:hAnsi="宋体" w:eastAsia="宋体" w:cs="宋体"/>
          <w:color w:val="auto"/>
          <w:szCs w:val="21"/>
          <w:highlight w:val="none"/>
          <w:lang w:val="en-US" w:eastAsia="zh-CN"/>
        </w:rPr>
        <w:t>甲方</w:t>
      </w:r>
      <w:r>
        <w:rPr>
          <w:rFonts w:hint="eastAsia" w:ascii="宋体" w:hAnsi="宋体" w:eastAsia="宋体" w:cs="宋体"/>
          <w:color w:val="auto"/>
          <w:szCs w:val="21"/>
          <w:highlight w:val="none"/>
        </w:rPr>
        <w:t>各方分别开具相应金额的增值税专用发票）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税率为【</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】%，甲方在收到前述材料并确认无误后【20】个工作日内支付相应款项。</w:t>
      </w:r>
    </w:p>
    <w:p w14:paraId="7B9728CA">
      <w:pPr>
        <w:snapToGrid w:val="0"/>
        <w:spacing w:line="360" w:lineRule="auto"/>
        <w:ind w:firstLine="420" w:firstLineChars="200"/>
        <w:contextualSpacing/>
        <w:rPr>
          <w:rFonts w:hint="eastAsia" w:ascii="宋体" w:hAnsi="宋体" w:eastAsia="宋体" w:cs="宋体"/>
          <w:color w:val="auto"/>
          <w:highlight w:val="none"/>
        </w:rPr>
      </w:pPr>
      <w:r>
        <w:rPr>
          <w:rFonts w:hint="eastAsia" w:ascii="宋体" w:hAnsi="宋体" w:eastAsia="宋体" w:cs="宋体"/>
          <w:color w:val="auto"/>
          <w:szCs w:val="21"/>
          <w:highlight w:val="none"/>
        </w:rPr>
        <w:t>4、由甲方直接以银行转账形式支付给乙方。乙方逾期提交请款材料及发票或提交材料及发票不符合甲方要求的，甲方有权顺延支付相应款项，并不承担逾期付款的违约责任。由于乙方提供的发票不符合税法规定，给甲方造成的损失由乙方承担赔偿责任，乙方不得以此延迟而拒绝履行合同义务。</w:t>
      </w:r>
    </w:p>
    <w:p w14:paraId="5304E03D">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5、乙方收款账号：</w:t>
      </w:r>
    </w:p>
    <w:p w14:paraId="18CC0C9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户名：                  </w:t>
      </w:r>
    </w:p>
    <w:p w14:paraId="317C252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开户行：                 </w:t>
      </w:r>
    </w:p>
    <w:p w14:paraId="2846335F">
      <w:pPr>
        <w:snapToGrid w:val="0"/>
        <w:spacing w:line="360" w:lineRule="auto"/>
        <w:ind w:firstLine="420" w:firstLineChars="200"/>
        <w:contextualSpacing/>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 xml:space="preserve">账号：  </w:t>
      </w:r>
      <w:r>
        <w:rPr>
          <w:rFonts w:hint="eastAsia" w:ascii="宋体" w:hAnsi="宋体" w:eastAsia="宋体" w:cs="宋体"/>
          <w:color w:val="auto"/>
          <w:sz w:val="21"/>
          <w:szCs w:val="21"/>
          <w:highlight w:val="none"/>
        </w:rPr>
        <w:t xml:space="preserve"> </w:t>
      </w:r>
    </w:p>
    <w:p w14:paraId="5D506255">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特别约定：乙方实际提交的增值税专用发票的税率少于本合同约定的增值税税率的：乙方有权请款的金额变更为“不含税合同价请款金额×（1+乙方实际提交的增值税专用发票的税率）”，对于变更后的差额款项，乙方自愿放弃；乙方实际提交的增值税专用发票的税率多于本合同约定的增值税税率的：甲方有权暂停支付款项直至乙方提供符合本合同约定的增值税专用发票；若乙方因客观情况无法出具的，则经甲方书面同意后，乙方有权请款的金额仍为“不含税合同价请款金额×（1+ </w:t>
      </w:r>
      <w:r>
        <w:rPr>
          <w:rFonts w:hint="eastAsia" w:ascii="宋体" w:hAnsi="宋体" w:eastAsia="宋体" w:cs="宋体"/>
          <w:color w:val="auto"/>
          <w:szCs w:val="21"/>
          <w:highlight w:val="none"/>
          <w:lang w:val="en-US" w:eastAsia="zh-CN"/>
        </w:rPr>
        <w:t xml:space="preserve"> </w:t>
      </w:r>
      <w:r>
        <w:rPr>
          <w:rFonts w:hint="eastAsia" w:ascii="宋体" w:hAnsi="宋体" w:eastAsia="宋体" w:cs="宋体"/>
          <w:color w:val="auto"/>
          <w:szCs w:val="21"/>
          <w:highlight w:val="none"/>
        </w:rPr>
        <w:t xml:space="preserve"> %）”，对于多出的税款金额，乙方自愿放弃。</w:t>
      </w:r>
    </w:p>
    <w:p w14:paraId="20E8B5B5">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6、合同的履约过程中，乙方根据本合同约定需向甲方支付违约金、赔偿金、或其他应付费用等款项的，乙方必须向甲方支付完相关款项后，甲方才根据本合同向乙方支付服务费和税额。若因乙方未能支付前述费用，影响项目实施的，甲方有权直接从未付服务费或履约担保中扣除，且乙方必须按照扣除前述费用前的合同价款开具增值税专用发票，保证增值税税额符合法律规定。</w:t>
      </w:r>
      <w:r>
        <w:rPr>
          <w:rFonts w:hint="eastAsia" w:ascii="宋体" w:hAnsi="宋体" w:eastAsia="宋体" w:cs="宋体"/>
          <w:color w:val="auto"/>
          <w:szCs w:val="21"/>
          <w:highlight w:val="none"/>
        </w:rPr>
        <w:t xml:space="preserve">               </w:t>
      </w:r>
    </w:p>
    <w:p w14:paraId="3BF7A06A">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九、考核要求</w:t>
      </w:r>
    </w:p>
    <w:p w14:paraId="3CA898BA">
      <w:pPr>
        <w:snapToGrid w:val="0"/>
        <w:spacing w:line="360" w:lineRule="auto"/>
        <w:ind w:firstLine="422"/>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1、甲方根据附件三：《</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rPr>
        <w:t>餐厨服务人员评分表》、附件四《</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rPr>
        <w:t>清洁服务人员评分表》、附件五《</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rPr>
        <w:t>服务员（兼前台）人员评分表》每月对乙方负责的项目进行考核，考核周期为1个月（工作日期间内），考核人分别为甲方服务地址相关负责人员，其根据《</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rPr>
        <w:t>餐厨服务人员评分表》《</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rPr>
        <w:t>清洁服务人员评分表》《</w:t>
      </w:r>
      <w:r>
        <w:rPr>
          <w:rFonts w:hint="eastAsia" w:ascii="宋体" w:hAnsi="宋体" w:eastAsia="宋体" w:cs="宋体"/>
          <w:color w:val="auto"/>
          <w:kern w:val="0"/>
          <w:szCs w:val="21"/>
          <w:highlight w:val="none"/>
          <w:u w:val="single"/>
        </w:rPr>
        <w:t>XX年XX</w:t>
      </w:r>
      <w:r>
        <w:rPr>
          <w:rFonts w:hint="eastAsia" w:ascii="宋体" w:hAnsi="宋体" w:eastAsia="宋体" w:cs="宋体"/>
          <w:color w:val="auto"/>
          <w:kern w:val="0"/>
          <w:szCs w:val="21"/>
          <w:highlight w:val="none"/>
        </w:rPr>
        <w:t>月</w:t>
      </w:r>
      <w:r>
        <w:rPr>
          <w:rFonts w:hint="eastAsia" w:ascii="宋体" w:hAnsi="宋体" w:eastAsia="宋体" w:cs="宋体"/>
          <w:color w:val="auto"/>
          <w:szCs w:val="21"/>
          <w:highlight w:val="none"/>
        </w:rPr>
        <w:t>服务员（兼前台）人员评分表》考核。</w:t>
      </w:r>
    </w:p>
    <w:p w14:paraId="69DEFC85">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2、餐厨、清洁及服务员</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兼前台</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劳务服务费单独计算，每月根据所服务地址的各项服务人员考核分数对应的劳务服务费收费系数单独计算，劳务服务费收费系数如下：</w:t>
      </w:r>
    </w:p>
    <w:p w14:paraId="0F8394E6">
      <w:pPr>
        <w:snapToGrid w:val="0"/>
        <w:spacing w:line="360" w:lineRule="auto"/>
        <w:ind w:firstLine="424" w:firstLineChars="202"/>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（1）当考核分为90分（含）以上，所服务地址的劳务服务费按每月劳务服务费的100%支付；</w:t>
      </w:r>
    </w:p>
    <w:p w14:paraId="65BC19AD">
      <w:pPr>
        <w:snapToGrid w:val="0"/>
        <w:spacing w:line="360" w:lineRule="auto"/>
        <w:ind w:firstLine="424" w:firstLineChars="202"/>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（2）当月考核分为85分（含）-90（不含）分时，所服务地址的劳务服务费按每月劳务服务费的90%支付；</w:t>
      </w:r>
    </w:p>
    <w:p w14:paraId="13BC8994">
      <w:pPr>
        <w:snapToGrid w:val="0"/>
        <w:spacing w:line="360" w:lineRule="auto"/>
        <w:ind w:firstLine="424" w:firstLineChars="202"/>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（3）当月考核分为80分（含）-85（不含）分时，所服务地址的劳务服务费按每月劳务服务费的80%支付；</w:t>
      </w:r>
    </w:p>
    <w:p w14:paraId="12CC5AD7">
      <w:pPr>
        <w:snapToGrid w:val="0"/>
        <w:spacing w:line="360" w:lineRule="auto"/>
        <w:ind w:firstLine="424" w:firstLineChars="202"/>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（4）考核分低于80分（不含）时，按实结算（例如：得75分，当月所服务地址的劳务服务费按每月劳务服务费的75%支付）；</w:t>
      </w:r>
    </w:p>
    <w:p w14:paraId="402921F1">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合同期内考核分低过80分（不含）达一次的，甲方组织约谈；达到两次的，甲方进行书面警告；达到三次的，甲方有权解除合同，另外如果低于70分（不含）一次有权解除合同，乙方应赔偿甲方停餐、清洁导致的损失（包括但不限于甲方另行委托其他方提供伙食、清洁供应服务的费用等）。</w:t>
      </w:r>
    </w:p>
    <w:p w14:paraId="0A15225F">
      <w:pPr>
        <w:snapToGrid w:val="0"/>
        <w:spacing w:line="360" w:lineRule="auto"/>
        <w:ind w:firstLine="422" w:firstLineChars="200"/>
        <w:contextualSpacing/>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十、其他说明</w:t>
      </w:r>
    </w:p>
    <w:p w14:paraId="1AB01ED4">
      <w:pPr>
        <w:pStyle w:val="205"/>
        <w:adjustRightInd w:val="0"/>
        <w:snapToGrid w:val="0"/>
        <w:spacing w:line="360" w:lineRule="auto"/>
        <w:ind w:firstLine="424" w:firstLineChars="202"/>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1、甲方不提供劳务服务人员的住宿和上下班交通工具。</w:t>
      </w:r>
    </w:p>
    <w:p w14:paraId="2962C51D">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2、乙方应提供所有</w:t>
      </w:r>
      <w:r>
        <w:rPr>
          <w:rFonts w:hint="eastAsia" w:ascii="宋体" w:hAnsi="宋体" w:eastAsia="宋体" w:cs="宋体"/>
          <w:color w:val="auto"/>
          <w:szCs w:val="21"/>
          <w:highlight w:val="none"/>
          <w:lang w:val="zh-CN"/>
        </w:rPr>
        <w:t>劳务服务</w:t>
      </w:r>
      <w:r>
        <w:rPr>
          <w:rFonts w:hint="eastAsia" w:ascii="宋体" w:hAnsi="宋体" w:eastAsia="宋体" w:cs="宋体"/>
          <w:color w:val="auto"/>
          <w:szCs w:val="21"/>
          <w:highlight w:val="none"/>
        </w:rPr>
        <w:t>人员的个人档案资料和劳动合同复印件，经甲方确认后方可上岗。</w:t>
      </w:r>
    </w:p>
    <w:p w14:paraId="1309F3F8">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3、服务期内发生各种事故：包括安全、交通、防火和劳资纠纷等事件由乙方承担责任，与甲方无关，并且乙方确保不影响本项目执行。</w:t>
      </w:r>
    </w:p>
    <w:p w14:paraId="41FB9EF4">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4、乙方应遵守国家有关法律法规，如引起的劳资纠纷问题，影响正常工作的，甲方有权另行聘请人员确保正常工作，所产生的费用由乙方承担。</w:t>
      </w:r>
    </w:p>
    <w:p w14:paraId="6F0B1C0C">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5、乙方劳务服务人员的工作由甲方进行分配、管理。</w:t>
      </w:r>
    </w:p>
    <w:p w14:paraId="7EEA560B">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十一、甲方权利与义务</w:t>
      </w:r>
    </w:p>
    <w:p w14:paraId="3D1E15A5">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1、在服务期内，甲方有权根据实际情况制定、修改或调整与本项目相关的管理制度，乙方应根据甲方制度内容及时调整对劳务服务人员的管理方式和标准等。</w:t>
      </w:r>
    </w:p>
    <w:p w14:paraId="5125F6E0">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方有权根据项目的工作需要制订相应的服务规范、考评办法；甲方有权要求乙方劳务服务人员遵照甲方的服务规范和本合同的约定为甲方提供服务。甲方根据相关服务项目的质量考核方案，按月对乙方的服务质量进行考核。</w:t>
      </w:r>
    </w:p>
    <w:p w14:paraId="3D5811FE">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3、甲方对业务享有监督权，对乙方派出的劳务服务人员可以进行与服务项目相关的必要和适当的工作指导和监督检查，并要求乙方对服务中的不完善之处进行改正。</w:t>
      </w:r>
    </w:p>
    <w:p w14:paraId="0F8FD24C">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4、甲方有权要求乙方提供乙方劳务服务人员的从业资料。</w:t>
      </w:r>
    </w:p>
    <w:p w14:paraId="36DD9A18">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5、甲方有权对乙方向其劳务服务人员的薪酬发放、社会保险缴纳等情况进行必要监督。</w:t>
      </w:r>
    </w:p>
    <w:p w14:paraId="29EF56CB">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6、甲方有权要求乙方劳务服务人员遵守职业操守，做好与工作岗位以及与工作内容有关信息的保密工作。</w:t>
      </w:r>
    </w:p>
    <w:p w14:paraId="6B93B243">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甲方认为乙方有任何违反或可能违反本合同行为，甲方有权提出书面意见要求乙方限期整改。乙方应在收到甲方的书面意见后10个工作日内，以书面形式将其整改的措施和结果回复甲方。如乙方未按要求整改或整改的结果不符合甲方要求的，甲方有权单方解除本合同。</w:t>
      </w:r>
    </w:p>
    <w:p w14:paraId="476F6DB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8、甲方有权对乙方提供的劳务服务人员进行审核确认，服务过程中甲方有权对乙方派驻人员的业务服务能力进行定期考察及要求更换，以确保项目顺利开展，对劳务服务人员是否符合要求有最终决定权；</w:t>
      </w:r>
    </w:p>
    <w:p w14:paraId="02E0F26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9、劳务服务人员有以下情形之一的，甲方可立即通知并退回乙方：</w:t>
      </w:r>
    </w:p>
    <w:p w14:paraId="17C27FB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（1）连续2个月内不符合甲方工作要求的；</w:t>
      </w:r>
    </w:p>
    <w:p w14:paraId="765E9E1B">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（2）严重违反甲方劳动纪律、规章制度的；</w:t>
      </w:r>
    </w:p>
    <w:p w14:paraId="3F345595">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（3）连续3个月考核不合格的；</w:t>
      </w:r>
    </w:p>
    <w:p w14:paraId="5AE8691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（4）严重工作失职，营私舞弊，给甲方造成重大影响的；</w:t>
      </w:r>
    </w:p>
    <w:p w14:paraId="49DA030C">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（5）被依法追究刑事责任的；</w:t>
      </w:r>
    </w:p>
    <w:p w14:paraId="57051BD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出现上述情形的，乙方在次日更换不满足甲方要求的劳务服务人员；</w:t>
      </w:r>
    </w:p>
    <w:p w14:paraId="13784C55">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10、对乙方不履行合同的，甲方有权追究其违约责任；</w:t>
      </w:r>
    </w:p>
    <w:p w14:paraId="55BFE778">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11、甲方应及时向乙方支付本合同约定服务费用，若因审批程序的影响导致拨款未能及时到位的，乙方不得以此为由不履行或怠于履行本合同义务或追究甲方的违约责任。</w:t>
      </w:r>
    </w:p>
    <w:p w14:paraId="44DE88F0">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12、对劳务服务人员的职业道德规范、工作任务、技能培训、应达到的工作要求、应注意的安全事项、应遵守的各项纪律等履行告知、教育、管理督查的义务；</w:t>
      </w:r>
    </w:p>
    <w:p w14:paraId="55DEE911">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十二、乙方的权利与义务</w:t>
      </w:r>
    </w:p>
    <w:p w14:paraId="06100872">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应当严格按照本合同约定和甲方确定的服务要求提供服务，并接受甲方的定期考核。在业务开展过程中，未经甲方许可，乙方不得影响甲方其他业务的开展，不得安排劳务服务人员进行与本项目服务内容无关的工作。</w:t>
      </w:r>
    </w:p>
    <w:p w14:paraId="2A479828">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2、乙方劳务服务人员应符合甲方要求的任职条件，如乙方劳务服务人员人数有明确要求，乙方应确保所安排劳务服务人员数量不低于甲方实际需求数量。</w:t>
      </w:r>
    </w:p>
    <w:p w14:paraId="2455545E">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3、应对劳务服务人员进行必要的培训（包括但不限于上岗培训、在职培训等），以保证提供质量合格的服务。</w:t>
      </w:r>
    </w:p>
    <w:p w14:paraId="0CEDF378">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应按照有关法律法规规定与劳务服务人员订立书面劳动合同，为劳务服务人员在工作所在地办理社会保险手续等，并根据甲方提供的劳务服务人员考勤、考核、教育培训、奖惩等资料情况建立劳务服务人员人事信息档案。对新招劳务服务人员，应在规定时间内办齐所有用工手续，并提供包括但不限于劳务服务人员档案表、花名册、身份证及学历证复印件等供甲方备案。</w:t>
      </w:r>
    </w:p>
    <w:p w14:paraId="492597C5">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5、合作期限内，乙方劳务服务人员劳动合同到期的，乙方应提前与乙方劳务服务人员续签劳动合同或更换其他符合甲方要求的服务人员，不得影响甲方业务的正常开展。</w:t>
      </w:r>
    </w:p>
    <w:p w14:paraId="57283A96">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6、乙方应根据劳务服务人员人数和服务项目情况，配备专门的劳务管理人员，负责劳务服务人员的日常事务，协调处理劳务服务人员与甲方之间的关系，向甲方提供政策法规方面的咨询。</w:t>
      </w:r>
    </w:p>
    <w:p w14:paraId="2DDFAF72">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7、及时掌握国家和省、市有关劳动标准、劳动条件、工资福利、社会保险等方面的最新政策动态并知会甲方，积极配合甲方对新政策规定的组织实施。</w:t>
      </w:r>
    </w:p>
    <w:p w14:paraId="6A5D709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8、按甲方要求，教育劳务服务人员严格遵守甲方的规章制度和管理规范规程、忠于职守、文明礼貌、严格遵守劳动纪律、服从和执行甲方做出的工作安排和调度。</w:t>
      </w:r>
    </w:p>
    <w:p w14:paraId="7D181907">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9、乙方应教育、督促乙方劳务服务人员不得以任何形式向他人提供或泄露甲方的商业秘密，保证甲方利益不受损失，对甲方各类客户的资料、业务数据等应按照甲方相关文件及工作要求执行保密工作。乙方在提供服务期间获悉的甲方信息，乙方负有保密义务。本保密义务不因本合同的解除或终止而失效，直至保密信息被依法公开为止。</w:t>
      </w:r>
    </w:p>
    <w:p w14:paraId="746D806A">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10、乙方须接受甲方对乙方及乙方劳务服务人员提供给甲方的服务的质量检查，且须保证能随时接受行业主管部门的质量考核，并对甲方提出的服务质量改进建议予以及时响应和整改。</w:t>
      </w:r>
    </w:p>
    <w:p w14:paraId="06A69070">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乙方劳务服务人员在提供服务期间发生重大疾病或事故的，由乙方负责调查及处理，依法为劳务服务人员办理工伤认定、伤残鉴定、工伤待遇申报、非工伤死亡待遇申报、意外伤害保险理赔等相关手续并依法承担相应责任，如因前列事故与相关劳务服务人员发生纠纷或争议的，乙方应自行妥善处理并承担责任，不得影响甲方业务的正常进行。如因此导致甲方损失的，乙方需足额向甲方赔偿。乙方须对其工作人员及派驻的劳务人员在服务期内所发生的人身、财产安全和交通事故，及给甲方或其他第三方带来的人身、财产安全负责，甲方不承担任何责任。</w:t>
      </w:r>
    </w:p>
    <w:p w14:paraId="3D067DC1">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12、乙方不得将本合同的内容向甲乙双方以外的、与签订和履行本合同无关的任何第三方透露，不得泄露甲方的商业秘密（包括本合同及其附件和合同签订前的各项方案）。</w:t>
      </w:r>
    </w:p>
    <w:p w14:paraId="7873090F">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13、根据甲方的要求，乙方派出劳务服务人员到甲方指定的岗位提供相应的服务；劳务服务人员需经甲方审核确认后方可上岗；如甲方对乙方提供的人员不满意要求更换时，乙方必须无条件在次日为甲方更换合格的人员；劳务服务人员的工作由甲方进行分配、管理，劳务服务员工须服从甲方的管理和监督,未经甲方同意，乙方不得随意调换乙方劳务服务人员的工作岗位，更不得随意更换乙方劳务服务人员（乙方劳务服务人员提出辞职或因服务不达标被乙方进行岗位调整的情况除外，但乙方应及时通知甲方上述情形），对劳务服务人员的奖惩、撤换或辞退等须经甲方同意认可。</w:t>
      </w:r>
    </w:p>
    <w:p w14:paraId="24C2B2D1">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14、乙方劳务服务人员从甲方领取的工作工具、设备和其他物品，由甲方负责登记管理，在乙方劳务服务人员不再继续提供服务时，由乙方负责协助收回交还甲方。乙方应当为劳务服务人员提供必要的劳务保护用品。</w:t>
      </w:r>
    </w:p>
    <w:p w14:paraId="3EE4D5E2">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15、乙方应定期向甲方通报项目的相关事项，如发生突发性事件，乙方应及时向甲方通报。乙方及其工作人员及劳务服务人员在工作过程中发现存在安全隐患的，应及时向甲方上报，并做好相应预防工作。</w:t>
      </w:r>
    </w:p>
    <w:p w14:paraId="0AAB2F03">
      <w:pPr>
        <w:tabs>
          <w:tab w:val="left" w:pos="0"/>
          <w:tab w:val="left" w:pos="405"/>
          <w:tab w:val="left" w:pos="567"/>
          <w:tab w:val="left" w:pos="601"/>
          <w:tab w:val="left" w:pos="1980"/>
        </w:tabs>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16、乙方应当以自身的技术和劳动力完成业务的主要工作，未经甲方书面同意，乙方不得将业务转包、变相转包或分包。</w:t>
      </w:r>
    </w:p>
    <w:p w14:paraId="7F6C0323">
      <w:pPr>
        <w:tabs>
          <w:tab w:val="left" w:pos="0"/>
          <w:tab w:val="left" w:pos="405"/>
          <w:tab w:val="left" w:pos="567"/>
          <w:tab w:val="left" w:pos="601"/>
          <w:tab w:val="left" w:pos="1980"/>
        </w:tabs>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17、乙方出现拖欠所劳务服务人员工资等，发生劳资纠纷、上访、闹事或其他影响甲方生产经营等情况，全部经济和法律责任由乙方承担，乙方应自行妥善解决，须在4小时内到达现场进行有效处理。</w:t>
      </w:r>
    </w:p>
    <w:p w14:paraId="32AEF8D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18、乙方须依法为劳务服务人员办理社会保险，为劳务服务人员购买法律法规规定的各项社会保险；如发生工伤、重大疾病、非因公死亡等事故，乙方须依照法律法规规定进行调查处理。</w:t>
      </w:r>
    </w:p>
    <w:p w14:paraId="0FD56889">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19、乙方须按时发放劳务服务人员的工资、福利，并依法办理社会保险、住房公积金和个人所得税的代缴代扣等事宜。</w:t>
      </w:r>
    </w:p>
    <w:p w14:paraId="2CF04B4D">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20、乙方负责处理与劳务服务人员相关的各种劳资纠纷，处理相关的劳动仲裁、诉讼等事宜。</w:t>
      </w:r>
    </w:p>
    <w:p w14:paraId="72903BA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21、乙方应对劳务服务人员进行培训，包括但不限于上岗前培训、在岗培训等；须根据甲方的要求，教育劳务服务人员严格遵守甲方的规章管理制度，严格遵守劳动纪律，服从甲方作出的合理工作安排和调度。</w:t>
      </w:r>
    </w:p>
    <w:p w14:paraId="7934150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22、乙方应确实做好资金管理，确保资金安全；须对本项目涉及的所有费用开具增值税发票。</w:t>
      </w:r>
    </w:p>
    <w:p w14:paraId="5CF2E8EB">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23、乙方应及时掌握国家、省、市有关劳动标准、劳动条件、工资福利、社会保险等方面的最新政策动态，并及时告知甲方，积极配合甲方对新政策规定的组织实施。</w:t>
      </w:r>
    </w:p>
    <w:p w14:paraId="418FE46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24、乙方及其劳务服务人员应服从甲方的统筹安排，并严格按照甲方的要求保质保量地提供相应服务。</w:t>
      </w:r>
    </w:p>
    <w:p w14:paraId="6ED9402F">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十三、违约责任</w:t>
      </w:r>
    </w:p>
    <w:p w14:paraId="3B088741">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乙方出现拖欠所劳务服务人员工资等，发生劳资纠纷、上访、闹事或其他影响甲方生产经营等情况而未及时妥善处理的，甲方可直接启用履约担保或从未付款中直接扣除相应款项予以支付或做出相应处理，由此产生的一切经济损失和法律后果由乙方承担。</w:t>
      </w:r>
    </w:p>
    <w:p w14:paraId="75163307">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若乙方违反本合同之约定，或其劳务服务人员为甲方提供劳务服务的员工就劳动、社保、住房公积金等关系向甲方追索，或干扰甲方经营、甲方人员工作，或由于乙方或其所安排的劳务服务人员原因，致使甲方被任意第三方处罚、追索的，乙方应向甲方支付本合同暂定合同含税总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%的违约金；同时，甲方被处罚、追索费用由乙方承担；如由甲方承担被处罚、追索费用的，则乙方应向甲方支付由甲方承担之费用，并有权要求乙方支付本合同暂定合同含税总价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%的违约金。</w:t>
      </w:r>
    </w:p>
    <w:p w14:paraId="70FA879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3、在本合同履行过程中，乙方及其劳务服务人员不得消极怠工或拒不履行合同义务（包括但不限于按合同要求配置人员），每发生一次，乙方应向甲方支付违约金人民币【</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000】元，同时甲方仍有权就违约事宜提出改正；乙方消极怠工或拒不履行合同义务达到3次（含3次），甲方有权单方解除合同，如乙方在甲方限期内仍未完成整改或改正后仍不符合甲方要求的，甲方有权单方解除合同，要求乙方支付本合同暂定合同含税总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】%的违约金，并有权依法委托有资质的第三方继续履行本合同义务，由此造成的一切损失（包括但不限于再行采购的费用、委托第三人继续履行时超出本合同费用部分等）由乙方全部承担。</w:t>
      </w:r>
    </w:p>
    <w:p w14:paraId="1D09ECF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4、未经甲方同意，乙方不得将本合同服务项目发包或转包，否则视为乙方违约，甲方有权终止合同，不予支付合同服务费用，并要求乙方支付本合同暂定合同含税总价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%的违约金。若其对甲方造成经济损失的，由乙方承担并赔偿相关损失。</w:t>
      </w:r>
    </w:p>
    <w:p w14:paraId="69753E40">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5、若乙方在收到甲方用工需求通知后5个工作日内未能配齐符合甲方需求的人员，则视为乙方主动违约，甲方有权终止合同，并要求乙方支付本合同暂定合同含税总价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%的违约金。若其对甲方造成经济损失的，由乙方承担并赔偿相关损失。</w:t>
      </w:r>
    </w:p>
    <w:p w14:paraId="338D6C7B">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6、在服务期间，未经甲方同意，乙方不得随意更换劳务服务人员。劳务服务人员因为调走、辞职或被乙方辞退等原因导致劳务服务人员不足的，而乙方在次日内未能及时补齐符合项目要求的劳务服务人员时，则视为乙方违约，甲方有权终止本合同，并有权拒绝支付当期项目服务费，还可要求乙方支付本合同暂定合同含税总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%的违约金。若其对甲方造成经济损失的，由乙方承担并赔偿相关损失。</w:t>
      </w:r>
    </w:p>
    <w:p w14:paraId="7C2DB63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7、由于乙方工作失误的原因，造成劳务服务人员的经济损失，所产生的损失及后果由乙方承担。</w:t>
      </w:r>
    </w:p>
    <w:p w14:paraId="633374C8">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8、甲方对乙方实行动态管理，对乙方进行定期和不定期的考核，一旦发现乙方违反合同条款，要求其限期整改。整改期间暂停其服务资格；整改完成后达到要求则恢复其资格，否则视为乙方违约，取消其提供服务的资格，甲方有权单方面终止合同并拒绝支付当期项目服务费，还可要求乙方支付本合同暂定合同含税总价</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%的违约金。</w:t>
      </w:r>
    </w:p>
    <w:p w14:paraId="6E09C6E4">
      <w:pPr>
        <w:pStyle w:val="2"/>
        <w:ind w:firstLine="420" w:firstLineChars="200"/>
        <w:rPr>
          <w:rFonts w:hint="eastAsia" w:ascii="宋体" w:hAnsi="宋体" w:eastAsia="宋体" w:cs="宋体"/>
          <w:bCs w:val="0"/>
          <w:color w:val="auto"/>
          <w:sz w:val="21"/>
          <w:szCs w:val="21"/>
          <w:highlight w:val="none"/>
        </w:rPr>
      </w:pPr>
      <w:r>
        <w:rPr>
          <w:rFonts w:hint="eastAsia" w:ascii="宋体" w:hAnsi="宋体" w:eastAsia="宋体" w:cs="宋体"/>
          <w:bCs w:val="0"/>
          <w:color w:val="auto"/>
          <w:sz w:val="21"/>
          <w:szCs w:val="21"/>
          <w:highlight w:val="none"/>
        </w:rPr>
        <w:t>9、如因乙方原因，导致发生法律纠纷案件，甲方被列为承担责任的诉讼当事人（第三人或被告），或造成社会负面影响的，视为乙方违约，甲方即有权对乙方处以</w:t>
      </w:r>
      <w:r>
        <w:rPr>
          <w:rFonts w:hint="eastAsia" w:ascii="宋体" w:hAnsi="宋体" w:eastAsia="宋体" w:cs="宋体"/>
          <w:bCs w:val="0"/>
          <w:color w:val="auto"/>
          <w:sz w:val="21"/>
          <w:szCs w:val="21"/>
          <w:highlight w:val="none"/>
          <w:lang w:val="en-US" w:eastAsia="zh-CN"/>
        </w:rPr>
        <w:t>10万元</w:t>
      </w:r>
      <w:r>
        <w:rPr>
          <w:rFonts w:hint="eastAsia" w:ascii="宋体" w:hAnsi="宋体" w:eastAsia="宋体" w:cs="宋体"/>
          <w:bCs w:val="0"/>
          <w:color w:val="auto"/>
          <w:sz w:val="21"/>
          <w:szCs w:val="21"/>
          <w:highlight w:val="none"/>
        </w:rPr>
        <w:t>的违约金；如造成甲方经济损失的（包括但不限于律师费、诉讼费、保全费、执行费、差旅费等损失），由乙方赔偿所有损失，并将相关情况报相关行政主管部门。甲方收到法院参与诉讼通知之日视为乙方构成违约，甲方即有权要求乙方承担前述违约金、损失赔偿及情况报送主管部门的违约责任，即使甲方最终未被法院判决承担任何责任，乙方也无权要求甲方免除前述违约责任。</w:t>
      </w:r>
    </w:p>
    <w:p w14:paraId="42D2BBD0">
      <w:pPr>
        <w:pStyle w:val="2"/>
        <w:ind w:firstLine="420" w:firstLineChars="200"/>
        <w:rPr>
          <w:rFonts w:hint="default" w:ascii="宋体" w:hAnsi="宋体" w:eastAsia="宋体" w:cs="宋体"/>
          <w:bCs w:val="0"/>
          <w:color w:val="auto"/>
          <w:sz w:val="21"/>
          <w:szCs w:val="21"/>
          <w:highlight w:val="none"/>
          <w:lang w:val="en-US" w:eastAsia="zh-CN"/>
        </w:rPr>
      </w:pPr>
      <w:r>
        <w:rPr>
          <w:rFonts w:hint="eastAsia" w:ascii="宋体" w:hAnsi="宋体" w:eastAsia="宋体" w:cs="宋体"/>
          <w:bCs w:val="0"/>
          <w:color w:val="auto"/>
          <w:sz w:val="21"/>
          <w:szCs w:val="21"/>
          <w:highlight w:val="none"/>
          <w:lang w:val="en-US" w:eastAsia="zh-CN"/>
        </w:rPr>
        <w:t>10、</w:t>
      </w:r>
      <w:r>
        <w:rPr>
          <w:rFonts w:hint="eastAsia" w:ascii="宋体" w:hAnsi="宋体" w:eastAsia="宋体" w:cs="宋体"/>
          <w:bCs w:val="0"/>
          <w:color w:val="auto"/>
          <w:sz w:val="21"/>
          <w:szCs w:val="21"/>
          <w:highlight w:val="none"/>
        </w:rPr>
        <w:t>在本合同履行过程中，如乙方存在违约行为的，本合同项下甲方（包括甲方 1、甲方 2、甲方 3、甲方 4、甲方 5）皆有权按合同之约定追究乙方违约责任；乙方对此同意且没有异议。</w:t>
      </w:r>
    </w:p>
    <w:p w14:paraId="7A57924A">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十四、合同的变更、解除、终止和其他</w:t>
      </w:r>
    </w:p>
    <w:p w14:paraId="08A794C0">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1、甲、乙双方应共同遵守本合同的各项条款。未尽事宜，由双方协商解决。经双方协商一致对本合同进行修改、补充达成的补充协议与本合同具有同等法律效力。</w:t>
      </w:r>
    </w:p>
    <w:p w14:paraId="523E30A7">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2、甲乙双方任一方违约，违约方应向对方承担违约责任，并承担相应的经济赔偿。</w:t>
      </w:r>
    </w:p>
    <w:p w14:paraId="1C27097A">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3、双方一致确认本合同所载明的通讯地址和联系方式为法律文书送达时的法定通讯地址和联系方式。</w:t>
      </w:r>
    </w:p>
    <w:p w14:paraId="35555C71">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十五、争议解决</w:t>
      </w:r>
    </w:p>
    <w:p w14:paraId="1AB85EB6">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1、因本合同产生或与本合同有关的争议，各方可以通过友好协商解决。协商未果，合同任何一方可将争议提交甲方所在地有管辖权的人民法院诉讼解决。</w:t>
      </w:r>
    </w:p>
    <w:p w14:paraId="75A88BFB">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2、因乙方违约，导致甲方为解决纠纷而产生的所有费用（包括但不限于律师费、诉讼费、财产保全费、财产保全担保费、执行费、公证费、鉴定费、差旅费等）均由乙方承担。</w:t>
      </w:r>
    </w:p>
    <w:p w14:paraId="0D7A3D0B">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十六、送达</w:t>
      </w:r>
    </w:p>
    <w:p w14:paraId="2DE3506D">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1、甲乙双方就本合同中涉及各类通知、协议等文件以及就合同发生纠纷时相关文件和法律文书送达时的送达地址及法律后果作如下约定： </w:t>
      </w:r>
    </w:p>
    <w:p w14:paraId="73B47F5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甲方确认其有效的送达地址为【</w:t>
      </w:r>
      <w:r>
        <w:rPr>
          <w:rFonts w:hint="eastAsia" w:ascii="宋体" w:hAnsi="宋体" w:eastAsia="宋体" w:cs="宋体"/>
          <w:color w:val="auto"/>
          <w:szCs w:val="21"/>
          <w:highlight w:val="none"/>
          <w:lang w:val="en-US" w:eastAsia="zh-CN"/>
        </w:rPr>
        <w:t>东莞市东城街道运河路5号东莞市水务集团管网有限公司</w:t>
      </w:r>
      <w:r>
        <w:rPr>
          <w:rFonts w:hint="eastAsia" w:ascii="宋体" w:hAnsi="宋体" w:eastAsia="宋体" w:cs="宋体"/>
          <w:color w:val="auto"/>
          <w:szCs w:val="21"/>
          <w:highlight w:val="none"/>
        </w:rPr>
        <w:t>】；联系人：【】；联系电话【】；电子邮箱【</w:t>
      </w:r>
      <w:r>
        <w:rPr>
          <w:rFonts w:hint="eastAsia" w:ascii="宋体" w:hAnsi="宋体" w:eastAsia="宋体" w:cs="宋体"/>
          <w:color w:val="auto"/>
          <w:szCs w:val="21"/>
          <w:highlight w:val="none"/>
          <w:lang w:val="en-US" w:eastAsia="zh-CN"/>
        </w:rPr>
        <w:t>/</w:t>
      </w:r>
      <w:r>
        <w:rPr>
          <w:rFonts w:hint="eastAsia" w:ascii="宋体" w:hAnsi="宋体" w:eastAsia="宋体" w:cs="宋体"/>
          <w:color w:val="auto"/>
          <w:szCs w:val="21"/>
          <w:highlight w:val="none"/>
        </w:rPr>
        <w:t xml:space="preserve">】。 </w:t>
      </w:r>
    </w:p>
    <w:p w14:paraId="23485857">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乙方确认其有效的送达地址为【】；联系人：【】；联系电话【】；电子邮箱【】。</w:t>
      </w:r>
    </w:p>
    <w:p w14:paraId="4242C54E">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均承诺，上述确认的送达地址和联系电话真实有效，如有错误，所导致的商业信函和诉讼文书送达不能的后果由自身承担；甲乙双方就本合同中涉及各类通知、协议等文件按上述联系地址发出后生效，并视为送达。</w:t>
      </w:r>
    </w:p>
    <w:p w14:paraId="70A1438A">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甲乙双方上述确认送达地址适用范围包括但不限于：双方非诉时各类通知、协议等文件以及就合同发生纠纷时相关文件和法律文书的送达，同时包括在争议进入仲裁、民事诉讼程序后的一审、二审、再审和执行程序。 </w:t>
      </w:r>
    </w:p>
    <w:p w14:paraId="00B4D3F4">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3、甲方的送达地址需要变更时应当履行及时通知的义务，应提前【3】个工作日通过【书面</w:t>
      </w:r>
      <w:r>
        <w:rPr>
          <w:rFonts w:hint="eastAsia" w:ascii="宋体" w:hAnsi="宋体" w:eastAsia="宋体" w:cs="宋体"/>
          <w:color w:val="auto"/>
          <w:szCs w:val="21"/>
          <w:highlight w:val="none"/>
          <w:lang w:val="en-US" w:eastAsia="zh-CN"/>
        </w:rPr>
        <w:t>/电话</w:t>
      </w:r>
      <w:r>
        <w:rPr>
          <w:rFonts w:hint="eastAsia" w:ascii="宋体" w:hAnsi="宋体" w:eastAsia="宋体" w:cs="宋体"/>
          <w:color w:val="auto"/>
          <w:szCs w:val="21"/>
          <w:highlight w:val="none"/>
        </w:rPr>
        <w:t>】 的方式向乙方进行通知；乙方的送达地址需要变更时应当履行及时通知的义务，应提前【3】个工作日通过【书面】的方式向甲方进行通知。</w:t>
      </w:r>
    </w:p>
    <w:p w14:paraId="367CEC91">
      <w:pPr>
        <w:snapToGrid w:val="0"/>
        <w:spacing w:line="360" w:lineRule="auto"/>
        <w:ind w:firstLine="420" w:firstLineChars="200"/>
        <w:contextualSpacing/>
        <w:rPr>
          <w:rFonts w:hint="eastAsia" w:ascii="宋体" w:hAnsi="宋体" w:eastAsia="宋体" w:cs="宋体"/>
          <w:b/>
          <w:bCs/>
          <w:color w:val="auto"/>
          <w:szCs w:val="21"/>
          <w:highlight w:val="none"/>
        </w:rPr>
      </w:pPr>
      <w:r>
        <w:rPr>
          <w:rFonts w:hint="eastAsia" w:ascii="宋体" w:hAnsi="宋体" w:eastAsia="宋体" w:cs="宋体"/>
          <w:color w:val="auto"/>
          <w:szCs w:val="21"/>
          <w:highlight w:val="none"/>
        </w:rPr>
        <w:t>4、本条款具有独立法律效力，不因合同其他条款的无效而无效。</w:t>
      </w:r>
    </w:p>
    <w:p w14:paraId="2B66F858">
      <w:pPr>
        <w:snapToGrid w:val="0"/>
        <w:spacing w:line="360" w:lineRule="auto"/>
        <w:ind w:firstLine="422" w:firstLineChars="200"/>
        <w:contextualSpacing/>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十七、其他</w:t>
      </w:r>
    </w:p>
    <w:p w14:paraId="78E3AB0F">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1、本合同期限</w:t>
      </w:r>
      <w:r>
        <w:rPr>
          <w:rFonts w:hint="eastAsia" w:ascii="宋体" w:hAnsi="宋体" w:eastAsia="宋体" w:cs="宋体"/>
          <w:color w:val="auto"/>
          <w:szCs w:val="21"/>
          <w:highlight w:val="none"/>
          <w:u w:val="single"/>
        </w:rPr>
        <w:t>为自合同签订之日起一年</w:t>
      </w:r>
      <w:r>
        <w:rPr>
          <w:rFonts w:hint="eastAsia" w:ascii="宋体" w:hAnsi="宋体" w:eastAsia="宋体" w:cs="宋体"/>
          <w:color w:val="auto"/>
          <w:szCs w:val="21"/>
          <w:highlight w:val="none"/>
        </w:rPr>
        <w:t xml:space="preserve"> 。</w:t>
      </w:r>
    </w:p>
    <w:p w14:paraId="76C2851C">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2、本合同一式</w:t>
      </w:r>
      <w:r>
        <w:rPr>
          <w:rFonts w:hint="eastAsia" w:ascii="宋体" w:hAnsi="宋体" w:eastAsia="宋体" w:cs="宋体"/>
          <w:color w:val="auto"/>
          <w:szCs w:val="21"/>
          <w:highlight w:val="none"/>
          <w:u w:val="single"/>
        </w:rPr>
        <w:t xml:space="preserve"> 陆 </w:t>
      </w:r>
      <w:r>
        <w:rPr>
          <w:rFonts w:hint="eastAsia" w:ascii="宋体" w:hAnsi="宋体" w:eastAsia="宋体" w:cs="宋体"/>
          <w:color w:val="auto"/>
          <w:szCs w:val="21"/>
          <w:highlight w:val="none"/>
        </w:rPr>
        <w:t>份，甲方持</w:t>
      </w:r>
      <w:r>
        <w:rPr>
          <w:rFonts w:hint="eastAsia" w:ascii="宋体" w:hAnsi="宋体" w:eastAsia="宋体" w:cs="宋体"/>
          <w:color w:val="auto"/>
          <w:szCs w:val="21"/>
          <w:highlight w:val="none"/>
          <w:u w:val="single"/>
        </w:rPr>
        <w:t xml:space="preserve"> 叁 </w:t>
      </w:r>
      <w:r>
        <w:rPr>
          <w:rFonts w:hint="eastAsia" w:ascii="宋体" w:hAnsi="宋体" w:eastAsia="宋体" w:cs="宋体"/>
          <w:color w:val="auto"/>
          <w:szCs w:val="21"/>
          <w:highlight w:val="none"/>
        </w:rPr>
        <w:t>份，乙方持</w:t>
      </w:r>
      <w:r>
        <w:rPr>
          <w:rFonts w:hint="eastAsia" w:ascii="宋体" w:hAnsi="宋体" w:eastAsia="宋体" w:cs="宋体"/>
          <w:color w:val="auto"/>
          <w:szCs w:val="21"/>
          <w:highlight w:val="none"/>
          <w:u w:val="single"/>
        </w:rPr>
        <w:t xml:space="preserve"> 贰 </w:t>
      </w:r>
      <w:r>
        <w:rPr>
          <w:rFonts w:hint="eastAsia" w:ascii="宋体" w:hAnsi="宋体" w:eastAsia="宋体" w:cs="宋体"/>
          <w:color w:val="auto"/>
          <w:szCs w:val="21"/>
          <w:highlight w:val="none"/>
        </w:rPr>
        <w:t>份，招标代理持</w:t>
      </w:r>
      <w:r>
        <w:rPr>
          <w:rFonts w:hint="eastAsia" w:ascii="宋体" w:hAnsi="宋体" w:eastAsia="宋体" w:cs="宋体"/>
          <w:color w:val="auto"/>
          <w:szCs w:val="21"/>
          <w:highlight w:val="none"/>
          <w:u w:val="single"/>
        </w:rPr>
        <w:t xml:space="preserve"> 壹 </w:t>
      </w:r>
      <w:r>
        <w:rPr>
          <w:rFonts w:hint="eastAsia" w:ascii="宋体" w:hAnsi="宋体" w:eastAsia="宋体" w:cs="宋体"/>
          <w:color w:val="auto"/>
          <w:szCs w:val="21"/>
          <w:highlight w:val="none"/>
        </w:rPr>
        <w:t>份，自双方授权代表签字并加盖公司印章后生效。</w:t>
      </w:r>
    </w:p>
    <w:p w14:paraId="38197A50">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3、除本合同另有约定外，未经甲乙双方书面同意，任何一方不得单方面提前终止协议。</w:t>
      </w:r>
    </w:p>
    <w:p w14:paraId="3F3E8184">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4、未经双方书面确认，任何一方不得变更或修改本合同。任何一方不得将本合同的权利、义务部分或全部转让给其他方。</w:t>
      </w:r>
    </w:p>
    <w:p w14:paraId="0483A44C">
      <w:pPr>
        <w:snapToGrid w:val="0"/>
        <w:spacing w:line="360" w:lineRule="auto"/>
        <w:ind w:firstLine="420" w:firstLineChars="200"/>
        <w:contextualSpacing/>
        <w:rPr>
          <w:rFonts w:hint="eastAsia" w:ascii="宋体" w:hAnsi="宋体" w:eastAsia="宋体" w:cs="宋体"/>
          <w:color w:val="auto"/>
          <w:szCs w:val="21"/>
          <w:highlight w:val="none"/>
        </w:rPr>
      </w:pPr>
      <w:r>
        <w:rPr>
          <w:rFonts w:hint="eastAsia" w:ascii="宋体" w:hAnsi="宋体" w:eastAsia="宋体" w:cs="宋体"/>
          <w:color w:val="auto"/>
          <w:szCs w:val="21"/>
          <w:highlight w:val="none"/>
        </w:rPr>
        <w:t>5、对于本合同未尽事宜，双方可签订补充协议，补充协议与本协议具有同等的法律效力。</w:t>
      </w:r>
      <w:r>
        <w:rPr>
          <w:rFonts w:hint="eastAsia" w:ascii="宋体" w:hAnsi="宋体" w:eastAsia="宋体" w:cs="宋体"/>
          <w:color w:val="auto"/>
          <w:szCs w:val="21"/>
          <w:highlight w:val="none"/>
          <w:lang w:val="en-US" w:eastAsia="zh-CN"/>
        </w:rPr>
        <w:t>本</w:t>
      </w:r>
      <w:r>
        <w:rPr>
          <w:rFonts w:hint="eastAsia" w:ascii="宋体" w:hAnsi="宋体" w:eastAsia="宋体" w:cs="宋体"/>
          <w:color w:val="auto"/>
          <w:szCs w:val="21"/>
          <w:highlight w:val="none"/>
        </w:rPr>
        <w:t>合同附件是本合同不可分割内容，与本合同同时生效，同具法律效力</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本合同履约过程中，对本合同项下条款约定存在多种理解方式的情况发生时，按最有利甲方的方式解释。</w:t>
      </w:r>
    </w:p>
    <w:p w14:paraId="2A638174">
      <w:pPr>
        <w:tabs>
          <w:tab w:val="left" w:pos="0"/>
          <w:tab w:val="left" w:pos="405"/>
          <w:tab w:val="left" w:pos="567"/>
          <w:tab w:val="left" w:pos="601"/>
          <w:tab w:val="left" w:pos="1980"/>
        </w:tabs>
        <w:spacing w:line="360" w:lineRule="auto"/>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附件：一、廉洁协议书；</w:t>
      </w:r>
    </w:p>
    <w:p w14:paraId="4721D126">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二、安全生产责任书；</w:t>
      </w:r>
    </w:p>
    <w:p w14:paraId="1AD0C4B1">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三、餐厨服务人员评分表；</w:t>
      </w:r>
    </w:p>
    <w:p w14:paraId="545E6D4A">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四、清洁服务人员评分表；</w:t>
      </w:r>
    </w:p>
    <w:p w14:paraId="7CB0DAB9">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五、服务员（兼前台）人员评分表；</w:t>
      </w:r>
    </w:p>
    <w:p w14:paraId="159DCDD7">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六、投标报价表；</w:t>
      </w:r>
    </w:p>
    <w:p w14:paraId="6F7CF024">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七、中标通知书；</w:t>
      </w:r>
    </w:p>
    <w:p w14:paraId="5D69DC61">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八、承诺书；</w:t>
      </w:r>
    </w:p>
    <w:p w14:paraId="7A7C9002">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九</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用户需求书</w:t>
      </w:r>
      <w:r>
        <w:rPr>
          <w:rFonts w:hint="eastAsia" w:ascii="宋体" w:hAnsi="宋体" w:eastAsia="宋体" w:cs="宋体"/>
          <w:color w:val="auto"/>
          <w:szCs w:val="21"/>
          <w:highlight w:val="none"/>
          <w:lang w:val="en-US" w:eastAsia="zh-CN"/>
        </w:rPr>
        <w:t>；</w:t>
      </w:r>
    </w:p>
    <w:p w14:paraId="1EA8561E">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十、招标文件（另附）；</w:t>
      </w:r>
    </w:p>
    <w:p w14:paraId="25C8291D">
      <w:pPr>
        <w:tabs>
          <w:tab w:val="left" w:pos="0"/>
          <w:tab w:val="left" w:pos="405"/>
          <w:tab w:val="left" w:pos="567"/>
          <w:tab w:val="left" w:pos="601"/>
          <w:tab w:val="left" w:pos="1980"/>
        </w:tabs>
        <w:spacing w:line="360" w:lineRule="auto"/>
        <w:ind w:firstLine="630" w:firstLineChars="3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十</w:t>
      </w:r>
      <w:r>
        <w:rPr>
          <w:rFonts w:hint="eastAsia" w:ascii="宋体" w:hAnsi="宋体" w:eastAsia="宋体" w:cs="宋体"/>
          <w:color w:val="auto"/>
          <w:szCs w:val="21"/>
          <w:highlight w:val="none"/>
          <w:lang w:val="en-US" w:eastAsia="zh-CN"/>
        </w:rPr>
        <w:t>一</w:t>
      </w:r>
      <w:r>
        <w:rPr>
          <w:rFonts w:hint="eastAsia" w:ascii="宋体" w:hAnsi="宋体" w:eastAsia="宋体" w:cs="宋体"/>
          <w:color w:val="auto"/>
          <w:szCs w:val="21"/>
          <w:highlight w:val="none"/>
        </w:rPr>
        <w:t>、投标文件（另附）。</w:t>
      </w:r>
    </w:p>
    <w:p w14:paraId="4DA87455">
      <w:pPr>
        <w:tabs>
          <w:tab w:val="left" w:pos="0"/>
          <w:tab w:val="left" w:pos="405"/>
          <w:tab w:val="left" w:pos="567"/>
          <w:tab w:val="left" w:pos="601"/>
          <w:tab w:val="left" w:pos="1980"/>
        </w:tabs>
        <w:spacing w:line="360" w:lineRule="auto"/>
        <w:ind w:firstLine="1054" w:firstLineChars="500"/>
        <w:jc w:val="left"/>
        <w:rPr>
          <w:rFonts w:hint="eastAsia" w:ascii="宋体" w:hAnsi="宋体" w:eastAsia="宋体" w:cs="宋体"/>
          <w:b/>
          <w:bCs/>
          <w:color w:val="auto"/>
          <w:szCs w:val="21"/>
          <w:highlight w:val="none"/>
        </w:rPr>
        <w:sectPr>
          <w:headerReference r:id="rId3" w:type="default"/>
          <w:footerReference r:id="rId4" w:type="default"/>
          <w:pgSz w:w="11850" w:h="16783"/>
          <w:pgMar w:top="1191" w:right="1043" w:bottom="1191" w:left="1043" w:header="720" w:footer="1003" w:gutter="0"/>
          <w:pgNumType w:start="1"/>
          <w:cols w:space="720" w:num="1"/>
          <w:docGrid w:linePitch="1" w:charSpace="0"/>
        </w:sectPr>
      </w:pPr>
      <w:r>
        <w:rPr>
          <w:rFonts w:hint="eastAsia" w:ascii="宋体" w:hAnsi="宋体" w:eastAsia="宋体" w:cs="宋体"/>
          <w:b/>
          <w:bCs/>
          <w:color w:val="auto"/>
          <w:szCs w:val="21"/>
          <w:highlight w:val="none"/>
        </w:rPr>
        <w:t>(以下无正文内容为签字盖章页）</w:t>
      </w:r>
    </w:p>
    <w:p w14:paraId="288D27CF">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：东莞市水务集团管网有限公司</w:t>
      </w:r>
      <w:r>
        <w:rPr>
          <w:rFonts w:hint="eastAsia" w:ascii="宋体" w:hAnsi="宋体" w:eastAsia="宋体" w:cs="宋体"/>
          <w:b w:val="0"/>
          <w:bCs w:val="0"/>
          <w:color w:val="auto"/>
          <w:sz w:val="21"/>
          <w:szCs w:val="21"/>
          <w:highlight w:val="none"/>
          <w:lang w:val="en-US"/>
        </w:rPr>
        <w:t xml:space="preserve">    </w:t>
      </w:r>
    </w:p>
    <w:p w14:paraId="7375C015">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56987809">
      <w:pPr>
        <w:rPr>
          <w:rFonts w:hint="eastAsia" w:ascii="宋体" w:hAnsi="宋体" w:eastAsia="宋体" w:cs="宋体"/>
          <w:color w:val="auto"/>
          <w:highlight w:val="none"/>
        </w:rPr>
      </w:pPr>
    </w:p>
    <w:p w14:paraId="701F7367">
      <w:pPr>
        <w:pStyle w:val="19"/>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2477905B">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：东莞市莞泽水环境投资有限公司</w:t>
      </w:r>
      <w:r>
        <w:rPr>
          <w:rFonts w:hint="eastAsia" w:ascii="宋体" w:hAnsi="宋体" w:eastAsia="宋体" w:cs="宋体"/>
          <w:b w:val="0"/>
          <w:bCs w:val="0"/>
          <w:color w:val="auto"/>
          <w:sz w:val="21"/>
          <w:szCs w:val="21"/>
          <w:highlight w:val="none"/>
          <w:lang w:val="en-US"/>
        </w:rPr>
        <w:t xml:space="preserve">    </w:t>
      </w:r>
    </w:p>
    <w:p w14:paraId="200D72B7">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7DBD891C">
      <w:pPr>
        <w:snapToGrid w:val="0"/>
        <w:spacing w:line="560" w:lineRule="exact"/>
        <w:rPr>
          <w:rFonts w:hint="eastAsia" w:ascii="宋体" w:hAnsi="宋体" w:eastAsia="宋体" w:cs="宋体"/>
          <w:color w:val="auto"/>
          <w:szCs w:val="21"/>
          <w:highlight w:val="none"/>
        </w:rPr>
      </w:pPr>
    </w:p>
    <w:p w14:paraId="12104249">
      <w:pPr>
        <w:pStyle w:val="5"/>
        <w:rPr>
          <w:rFonts w:hint="eastAsia" w:ascii="宋体" w:hAnsi="宋体" w:eastAsia="宋体" w:cs="宋体"/>
          <w:color w:val="auto"/>
          <w:szCs w:val="21"/>
          <w:highlight w:val="none"/>
        </w:rPr>
      </w:pPr>
    </w:p>
    <w:p w14:paraId="5908E368">
      <w:pPr>
        <w:rPr>
          <w:rFonts w:hint="eastAsia" w:ascii="宋体" w:hAnsi="宋体" w:eastAsia="宋体" w:cs="宋体"/>
          <w:color w:val="auto"/>
          <w:highlight w:val="none"/>
        </w:rPr>
      </w:pPr>
    </w:p>
    <w:p w14:paraId="177B8CB1">
      <w:pPr>
        <w:rPr>
          <w:rFonts w:hint="eastAsia" w:ascii="宋体" w:hAnsi="宋体" w:eastAsia="宋体" w:cs="宋体"/>
          <w:color w:val="auto"/>
          <w:highlight w:val="none"/>
        </w:rPr>
      </w:pPr>
    </w:p>
    <w:p w14:paraId="07AB13D8">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：东莞市东信水环境投资有限公司</w:t>
      </w:r>
      <w:r>
        <w:rPr>
          <w:rFonts w:hint="eastAsia" w:ascii="宋体" w:hAnsi="宋体" w:eastAsia="宋体" w:cs="宋体"/>
          <w:b w:val="0"/>
          <w:bCs w:val="0"/>
          <w:color w:val="auto"/>
          <w:sz w:val="21"/>
          <w:szCs w:val="21"/>
          <w:highlight w:val="none"/>
          <w:lang w:val="en-US"/>
        </w:rPr>
        <w:t xml:space="preserve">    </w:t>
      </w:r>
    </w:p>
    <w:p w14:paraId="195FF875">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37B2651B">
      <w:pPr>
        <w:rPr>
          <w:rFonts w:hint="eastAsia" w:ascii="宋体" w:hAnsi="宋体" w:eastAsia="宋体" w:cs="宋体"/>
          <w:color w:val="auto"/>
          <w:szCs w:val="21"/>
          <w:highlight w:val="none"/>
        </w:rPr>
      </w:pPr>
    </w:p>
    <w:p w14:paraId="4D0189CD">
      <w:pPr>
        <w:pStyle w:val="5"/>
        <w:rPr>
          <w:rFonts w:hint="eastAsia" w:ascii="宋体" w:hAnsi="宋体" w:eastAsia="宋体" w:cs="宋体"/>
          <w:color w:val="auto"/>
          <w:szCs w:val="21"/>
          <w:highlight w:val="none"/>
        </w:rPr>
      </w:pPr>
    </w:p>
    <w:p w14:paraId="4CF15712">
      <w:pPr>
        <w:rPr>
          <w:rFonts w:hint="eastAsia" w:ascii="宋体" w:hAnsi="宋体" w:eastAsia="宋体" w:cs="宋体"/>
          <w:color w:val="auto"/>
          <w:szCs w:val="21"/>
          <w:highlight w:val="none"/>
        </w:rPr>
      </w:pPr>
    </w:p>
    <w:p w14:paraId="0FAEF19F">
      <w:pPr>
        <w:pStyle w:val="5"/>
        <w:rPr>
          <w:rFonts w:hint="eastAsia" w:ascii="宋体" w:hAnsi="宋体" w:eastAsia="宋体" w:cs="宋体"/>
          <w:color w:val="auto"/>
          <w:szCs w:val="21"/>
          <w:highlight w:val="none"/>
        </w:rPr>
      </w:pPr>
    </w:p>
    <w:p w14:paraId="01440B7F">
      <w:pPr>
        <w:rPr>
          <w:rFonts w:hint="eastAsia" w:ascii="宋体" w:hAnsi="宋体" w:eastAsia="宋体" w:cs="宋体"/>
          <w:color w:val="auto"/>
          <w:szCs w:val="21"/>
          <w:highlight w:val="none"/>
        </w:rPr>
      </w:pPr>
    </w:p>
    <w:p w14:paraId="589EC943">
      <w:pPr>
        <w:pStyle w:val="5"/>
        <w:rPr>
          <w:rFonts w:hint="eastAsia" w:ascii="宋体" w:hAnsi="宋体" w:eastAsia="宋体" w:cs="宋体"/>
          <w:color w:val="auto"/>
          <w:szCs w:val="21"/>
          <w:highlight w:val="none"/>
        </w:rPr>
      </w:pPr>
    </w:p>
    <w:p w14:paraId="18C4BE32">
      <w:pPr>
        <w:rPr>
          <w:rFonts w:hint="eastAsia" w:ascii="宋体" w:hAnsi="宋体" w:eastAsia="宋体" w:cs="宋体"/>
          <w:color w:val="auto"/>
          <w:highlight w:val="none"/>
        </w:rPr>
      </w:pPr>
    </w:p>
    <w:p w14:paraId="68388789">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：东莞市东泽水环境投资有限公司</w:t>
      </w:r>
      <w:r>
        <w:rPr>
          <w:rFonts w:hint="eastAsia" w:ascii="宋体" w:hAnsi="宋体" w:eastAsia="宋体" w:cs="宋体"/>
          <w:b w:val="0"/>
          <w:bCs w:val="0"/>
          <w:color w:val="auto"/>
          <w:sz w:val="21"/>
          <w:szCs w:val="21"/>
          <w:highlight w:val="none"/>
          <w:lang w:val="en-US"/>
        </w:rPr>
        <w:t xml:space="preserve">    </w:t>
      </w:r>
    </w:p>
    <w:p w14:paraId="71C0B92E">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1EB4B2DA">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p>
    <w:p w14:paraId="55258525">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p>
    <w:p w14:paraId="59A9CCB3">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p>
    <w:p w14:paraId="32CEFA03">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                 </w:t>
      </w:r>
    </w:p>
    <w:p w14:paraId="1720D5EE">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：东莞市清泽水环境投资有限公司</w:t>
      </w:r>
      <w:r>
        <w:rPr>
          <w:rFonts w:hint="eastAsia" w:ascii="宋体" w:hAnsi="宋体" w:eastAsia="宋体" w:cs="宋体"/>
          <w:b w:val="0"/>
          <w:bCs w:val="0"/>
          <w:color w:val="auto"/>
          <w:sz w:val="21"/>
          <w:szCs w:val="21"/>
          <w:highlight w:val="none"/>
          <w:lang w:val="en-US"/>
        </w:rPr>
        <w:t xml:space="preserve">    </w:t>
      </w:r>
    </w:p>
    <w:p w14:paraId="0A4A1A37">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19D3B426">
      <w:pPr>
        <w:pStyle w:val="19"/>
        <w:snapToGrid w:val="0"/>
        <w:spacing w:line="560" w:lineRule="exact"/>
        <w:ind w:right="0"/>
        <w:jc w:val="left"/>
        <w:rPr>
          <w:rFonts w:hint="eastAsia" w:ascii="宋体" w:hAnsi="宋体" w:eastAsia="宋体" w:cs="宋体"/>
          <w:color w:val="auto"/>
          <w:sz w:val="21"/>
          <w:szCs w:val="21"/>
          <w:highlight w:val="none"/>
        </w:rPr>
      </w:pPr>
    </w:p>
    <w:p w14:paraId="188532D4">
      <w:pPr>
        <w:pStyle w:val="19"/>
        <w:snapToGrid w:val="0"/>
        <w:spacing w:line="560" w:lineRule="exact"/>
        <w:ind w:right="0"/>
        <w:jc w:val="left"/>
        <w:rPr>
          <w:rFonts w:hint="eastAsia" w:ascii="宋体" w:hAnsi="宋体" w:eastAsia="宋体" w:cs="宋体"/>
          <w:b w:val="0"/>
          <w:bCs w:val="0"/>
          <w:color w:val="auto"/>
          <w:sz w:val="21"/>
          <w:szCs w:val="21"/>
          <w:highlight w:val="none"/>
        </w:rPr>
      </w:pPr>
    </w:p>
    <w:p w14:paraId="314BCC63">
      <w:pPr>
        <w:rPr>
          <w:rFonts w:hint="eastAsia" w:ascii="宋体" w:hAnsi="宋体" w:eastAsia="宋体" w:cs="宋体"/>
          <w:color w:val="auto"/>
          <w:szCs w:val="21"/>
          <w:highlight w:val="none"/>
        </w:rPr>
      </w:pPr>
    </w:p>
    <w:p w14:paraId="45C8A78A">
      <w:pPr>
        <w:rPr>
          <w:rFonts w:hint="eastAsia" w:ascii="宋体" w:hAnsi="宋体" w:eastAsia="宋体" w:cs="宋体"/>
          <w:color w:val="auto"/>
          <w:highlight w:val="none"/>
        </w:rPr>
      </w:pPr>
    </w:p>
    <w:p w14:paraId="0A58A533">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乙</w:t>
      </w:r>
      <w:r>
        <w:rPr>
          <w:rFonts w:hint="eastAsia" w:ascii="宋体" w:hAnsi="宋体" w:eastAsia="宋体" w:cs="宋体"/>
          <w:b w:val="0"/>
          <w:bCs w:val="0"/>
          <w:color w:val="auto"/>
          <w:sz w:val="21"/>
          <w:szCs w:val="21"/>
          <w:highlight w:val="none"/>
        </w:rPr>
        <w:t>方：</w:t>
      </w:r>
    </w:p>
    <w:p w14:paraId="6B77F4CC">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rPr>
        <w:t>法定代表（或负责）人：</w:t>
      </w:r>
    </w:p>
    <w:p w14:paraId="2E74AF5A">
      <w:pPr>
        <w:rPr>
          <w:rFonts w:hint="eastAsia" w:ascii="宋体" w:hAnsi="宋体" w:eastAsia="宋体" w:cs="宋体"/>
          <w:color w:val="auto"/>
          <w:highlight w:val="none"/>
        </w:rPr>
      </w:pPr>
    </w:p>
    <w:p w14:paraId="4C31DB57">
      <w:pPr>
        <w:rPr>
          <w:rFonts w:hint="eastAsia" w:ascii="宋体" w:hAnsi="宋体" w:eastAsia="宋体" w:cs="宋体"/>
          <w:color w:val="auto"/>
          <w:highlight w:val="none"/>
        </w:rPr>
      </w:pPr>
    </w:p>
    <w:p w14:paraId="4B45984B">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签约日期：</w:t>
      </w:r>
      <w:r>
        <w:rPr>
          <w:rFonts w:hint="eastAsia" w:ascii="宋体" w:hAnsi="宋体" w:eastAsia="宋体" w:cs="宋体"/>
          <w:b w:val="0"/>
          <w:bCs w:val="0"/>
          <w:color w:val="auto"/>
          <w:sz w:val="21"/>
          <w:szCs w:val="21"/>
          <w:highlight w:val="none"/>
          <w:lang w:val="en-US"/>
        </w:rPr>
        <w:t>202</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lang w:val="en-US"/>
        </w:rPr>
        <w:t xml:space="preserve"> 年    月     日                                                          </w:t>
      </w:r>
    </w:p>
    <w:p w14:paraId="7526253C">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签约地点：</w:t>
      </w:r>
      <w:r>
        <w:rPr>
          <w:rFonts w:hint="eastAsia" w:ascii="宋体" w:hAnsi="宋体" w:eastAsia="宋体" w:cs="宋体"/>
          <w:b w:val="0"/>
          <w:bCs w:val="0"/>
          <w:color w:val="auto"/>
          <w:sz w:val="21"/>
          <w:szCs w:val="21"/>
          <w:highlight w:val="none"/>
          <w:lang w:val="en-US"/>
        </w:rPr>
        <w:t>广东省东莞市</w:t>
      </w:r>
    </w:p>
    <w:p w14:paraId="622B3D57">
      <w:pPr>
        <w:pStyle w:val="19"/>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0ADE22A5">
      <w:pPr>
        <w:tabs>
          <w:tab w:val="left" w:pos="0"/>
          <w:tab w:val="left" w:pos="405"/>
          <w:tab w:val="left" w:pos="567"/>
          <w:tab w:val="left" w:pos="601"/>
          <w:tab w:val="left" w:pos="1980"/>
        </w:tabs>
        <w:spacing w:line="360" w:lineRule="auto"/>
        <w:rPr>
          <w:rFonts w:hint="eastAsia" w:ascii="宋体" w:hAnsi="宋体" w:eastAsia="宋体" w:cs="宋体"/>
          <w:b/>
          <w:color w:val="auto"/>
          <w:highlight w:val="none"/>
        </w:rPr>
      </w:pPr>
      <w:r>
        <w:rPr>
          <w:rFonts w:hint="eastAsia" w:ascii="宋体" w:hAnsi="宋体" w:eastAsia="宋体" w:cs="宋体"/>
          <w:color w:val="auto"/>
          <w:szCs w:val="21"/>
          <w:highlight w:val="none"/>
        </w:rPr>
        <w:br w:type="page"/>
      </w:r>
      <w:r>
        <w:rPr>
          <w:rFonts w:hint="eastAsia" w:ascii="宋体" w:hAnsi="宋体" w:eastAsia="宋体" w:cs="宋体"/>
          <w:b/>
          <w:color w:val="auto"/>
          <w:highlight w:val="none"/>
        </w:rPr>
        <w:t>附件一：廉洁协议书</w:t>
      </w:r>
    </w:p>
    <w:p w14:paraId="68F4D964">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廉洁协议书</w:t>
      </w:r>
    </w:p>
    <w:p w14:paraId="49EAE245">
      <w:pPr>
        <w:spacing w:line="360" w:lineRule="auto"/>
        <w:rPr>
          <w:rFonts w:hint="eastAsia" w:ascii="宋体" w:hAnsi="宋体" w:eastAsia="宋体" w:cs="宋体"/>
          <w:color w:val="auto"/>
          <w:szCs w:val="21"/>
          <w:highlight w:val="none"/>
        </w:rPr>
      </w:pPr>
    </w:p>
    <w:p w14:paraId="435F0B50">
      <w:pPr>
        <w:spacing w:line="360" w:lineRule="auto"/>
        <w:jc w:val="both"/>
        <w:rPr>
          <w:rFonts w:hint="eastAsia" w:ascii="宋体" w:hAnsi="宋体" w:eastAsia="宋体" w:cs="宋体"/>
          <w:b/>
          <w:color w:val="auto"/>
          <w:sz w:val="56"/>
          <w:szCs w:val="56"/>
          <w:highlight w:val="none"/>
        </w:rPr>
      </w:pPr>
      <w:r>
        <w:rPr>
          <w:rFonts w:hint="eastAsia" w:ascii="宋体" w:hAnsi="宋体" w:eastAsia="宋体" w:cs="宋体"/>
          <w:color w:val="auto"/>
          <w:szCs w:val="21"/>
          <w:highlight w:val="none"/>
        </w:rPr>
        <w:t>项目名称：</w:t>
      </w:r>
      <w:r>
        <w:rPr>
          <w:rFonts w:hint="eastAsia" w:ascii="宋体" w:hAnsi="宋体" w:eastAsia="宋体" w:cs="宋体"/>
          <w:b w:val="0"/>
          <w:color w:val="auto"/>
          <w:sz w:val="21"/>
          <w:szCs w:val="21"/>
          <w:highlight w:val="none"/>
        </w:rPr>
        <w:t>东莞市水务集团管网有限公司202</w:t>
      </w:r>
      <w:r>
        <w:rPr>
          <w:rFonts w:hint="eastAsia" w:ascii="宋体" w:hAnsi="宋体" w:eastAsia="宋体" w:cs="宋体"/>
          <w:b w:val="0"/>
          <w:color w:val="auto"/>
          <w:sz w:val="21"/>
          <w:szCs w:val="21"/>
          <w:highlight w:val="none"/>
          <w:lang w:val="en-US" w:eastAsia="zh-CN"/>
        </w:rPr>
        <w:t>5</w:t>
      </w:r>
      <w:r>
        <w:rPr>
          <w:rFonts w:hint="eastAsia" w:ascii="宋体" w:hAnsi="宋体" w:eastAsia="宋体" w:cs="宋体"/>
          <w:b w:val="0"/>
          <w:color w:val="auto"/>
          <w:sz w:val="21"/>
          <w:szCs w:val="21"/>
          <w:highlight w:val="none"/>
        </w:rPr>
        <w:t>年餐厨及清洁服务</w:t>
      </w:r>
    </w:p>
    <w:p w14:paraId="78C21B7B">
      <w:pPr>
        <w:wordWrap w:val="0"/>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（招标编号：）</w:t>
      </w:r>
    </w:p>
    <w:p w14:paraId="5D94E453">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w:t>
      </w:r>
      <w:r>
        <w:rPr>
          <w:rFonts w:hint="eastAsia" w:ascii="宋体" w:hAnsi="宋体" w:eastAsia="宋体" w:cs="宋体"/>
          <w:color w:val="auto"/>
          <w:szCs w:val="21"/>
          <w:highlight w:val="none"/>
          <w:u w:val="none"/>
        </w:rPr>
        <w:t>东莞市水务集团管网有限公司、东莞市莞泽水环境投资有限公司、东莞市东信水环境投资有限公司、东莞市东泽水环境投资有限公司、东莞市清泽水环境投资有限公司</w:t>
      </w:r>
    </w:p>
    <w:p w14:paraId="3FEE18F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乙方：</w:t>
      </w:r>
    </w:p>
    <w:p w14:paraId="0EF562B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规范甲乙双方在订立、履行合同及经济业务往来过程中的行为，保持廉洁自律的工作作风,防止各种违法及不正当行为的发生,确保甲乙双方及其工作人员自觉遵守国家法律、法规及廉洁从业各项规定，特订立本协议。</w:t>
      </w:r>
    </w:p>
    <w:p w14:paraId="168FDB36">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第一条  甲乙双方的权利和义务</w:t>
      </w:r>
    </w:p>
    <w:p w14:paraId="2856ACA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（一）严格遵守党和国家有关法律法规等有关廉洁从业规定。</w:t>
      </w:r>
    </w:p>
    <w:p w14:paraId="24C7F9BB">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（二）严格执行本项目的合同文件，自觉按合同办事。</w:t>
      </w:r>
    </w:p>
    <w:p w14:paraId="3E61D4CB">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（三）双方的业务活动坚持公开、公正、诚信、透明的原则（除法律认定的商业秘密和合同文件另有规定之外）不得损害国家和集体利益，违反工程建设管理及其他法律法规规章制度。</w:t>
      </w:r>
    </w:p>
    <w:p w14:paraId="5F3711F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（四）建立健全廉洁制度，开展廉洁教育，设立廉洁监督公示牌，公布举报电话，监督并认真查处违法违纪行为。</w:t>
      </w:r>
    </w:p>
    <w:p w14:paraId="25F9975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（五）发现对方在业务活动中有违反廉洁规定的行为，有及时提醒对方纠正的权利和义务。</w:t>
      </w:r>
    </w:p>
    <w:p w14:paraId="2F9B136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（六）发现对方严重违反本协议义务条款的行为，有向其上级有关部门举报、建议给予处理并要求告知处理结果的权利。</w:t>
      </w:r>
    </w:p>
    <w:p w14:paraId="535C4562">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第二条  甲方的义务</w:t>
      </w:r>
    </w:p>
    <w:p w14:paraId="4624B1E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（一）甲方及其工作人员不得索要或接受乙方的礼金、有价证券和贵重物品，不得在乙方报销任何应由甲方或个人支付的费用。</w:t>
      </w:r>
    </w:p>
    <w:p w14:paraId="59A68DB4">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（二）甲方工作人员不得参加乙方安排的高消费宴请和娱乐活动；不得接受乙方提供的通讯工具、交通工具和高档办公用品。</w:t>
      </w:r>
    </w:p>
    <w:p w14:paraId="6C1BEE21">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（三）甲方及其工作人员不得要求或者接受乙方为其住房装修、婚丧嫁娶活动、家属或亲友的工作安排以及出国出境、旅游等提供方便。</w:t>
      </w:r>
    </w:p>
    <w:p w14:paraId="1F1302F7">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（四）甲方工作人员不得向乙方介绍其家属或者亲友（包括家属或亲友开办的公司企业）从事于本项目涉及的经济业务活动。</w:t>
      </w:r>
    </w:p>
    <w:p w14:paraId="0256D0D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（五）甲方及其工作人员不得以任何理由向乙方推荐分包单位，不得要求乙方购买合同规定外的材料和设备。</w:t>
      </w:r>
    </w:p>
    <w:p w14:paraId="4185BEC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（六）甲方及其工作人员不得进行违反廉洁规定的其他活动。</w:t>
      </w:r>
    </w:p>
    <w:p w14:paraId="519CA89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（七）甲方应对甲方工作人员进行廉洁监督管理，如甲方工作人员违反本协议第一、第二条，甲方应依据有关法律法规、党纪规定对其进行处理；涉嫌犯罪的，甲方应将其移交司法机关追究刑事责任。</w:t>
      </w:r>
    </w:p>
    <w:p w14:paraId="599EE1C7">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第三条  乙方义务</w:t>
      </w:r>
    </w:p>
    <w:p w14:paraId="7D7CF60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（一）乙方不得以任何理由向甲方及其工作人员馈赠礼金、有价证券、贵重礼品，或报销应由甲方单位或个人支付的任何费用。</w:t>
      </w:r>
    </w:p>
    <w:p w14:paraId="58E1D305">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（二）乙方及其工作人员不得以考察、参观、洽谈业务、签订合同等的借口邀请甲方及其工作人员参加高消费的宴请、娱乐和健身等活动。</w:t>
      </w:r>
    </w:p>
    <w:p w14:paraId="6727B4CB">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（三）乙方不得为甲方单位和个人购置或提供通讯工具、交通工具和高档办公用品等。</w:t>
      </w:r>
    </w:p>
    <w:p w14:paraId="3C035C06">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（四）乙方及其工作人员不得为甲方工作人员购买、装修、维修私人住房、汽车等。</w:t>
      </w:r>
    </w:p>
    <w:p w14:paraId="70503C2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（五）乙方及其工作人员不得为甲方工作人员的婚丧嫁娶、家属或亲友的工作安排，及出国出境提供方便以及报销任何私人消费的费用。</w:t>
      </w:r>
    </w:p>
    <w:p w14:paraId="388950B2">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（六）乙方及其工作人员不得进行影响甲方及其工作人员公正执行合同和履行职务的其他活动。</w:t>
      </w:r>
    </w:p>
    <w:p w14:paraId="79E544A0">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七）乙方应对乙方工作人员进行廉洁监督管理，如乙方工作人员违反本协议第一、第三条，乙方应依据有关法律法规、党纪规定对其进行处理；乙方工作人员涉嫌犯罪的，乙方应将其移交司法机关追究刑事责任。</w:t>
      </w:r>
    </w:p>
    <w:p w14:paraId="7E28B222">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第四条  违约责任</w:t>
      </w:r>
    </w:p>
    <w:p w14:paraId="543CD4C8">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（一）甲方违反本协议第一、第二条给乙方单位造成经济损失的，应予以赔偿。</w:t>
      </w:r>
    </w:p>
    <w:p w14:paraId="2B7E90A3">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（二）乙方违反本协议第一、第三条给甲方单位造成经济损失的，应予以赔偿。</w:t>
      </w:r>
    </w:p>
    <w:p w14:paraId="3286051A">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第五条  监督检查</w:t>
      </w:r>
    </w:p>
    <w:p w14:paraId="0539846C">
      <w:pPr>
        <w:spacing w:line="56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甲乙双方的廉洁从业行为由双方或双方上级单位的纪检、监察部门负责监督，对本协议履行情况进行检查。</w:t>
      </w:r>
    </w:p>
    <w:p w14:paraId="68E76DDA">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第六条 举报信访受理</w:t>
      </w:r>
    </w:p>
    <w:p w14:paraId="56536675">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（一）举报受理部门：东莞市水务集团有限公司纪检监察部。</w:t>
      </w:r>
    </w:p>
    <w:p w14:paraId="1045B803">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（二）举报电话：（0769）23076092。</w:t>
      </w:r>
    </w:p>
    <w:p w14:paraId="25B8174D">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（三）举报邮箱：</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"mailto:jcsj@dgswjt.cn。" </w:instrText>
      </w:r>
      <w:r>
        <w:rPr>
          <w:rFonts w:hint="eastAsia" w:ascii="宋体" w:hAnsi="宋体" w:eastAsia="宋体" w:cs="宋体"/>
          <w:color w:val="auto"/>
          <w:highlight w:val="none"/>
        </w:rPr>
        <w:fldChar w:fldCharType="separate"/>
      </w:r>
      <w:r>
        <w:rPr>
          <w:rStyle w:val="45"/>
          <w:rFonts w:hint="eastAsia" w:ascii="宋体" w:hAnsi="宋体" w:eastAsia="宋体" w:cs="宋体"/>
          <w:color w:val="auto"/>
          <w:sz w:val="21"/>
          <w:szCs w:val="21"/>
          <w:highlight w:val="none"/>
        </w:rPr>
        <w:t>jcsj@dgswjt.cn。</w:t>
      </w:r>
      <w:r>
        <w:rPr>
          <w:rStyle w:val="45"/>
          <w:rFonts w:hint="eastAsia" w:ascii="宋体" w:hAnsi="宋体" w:eastAsia="宋体" w:cs="宋体"/>
          <w:color w:val="auto"/>
          <w:sz w:val="21"/>
          <w:szCs w:val="21"/>
          <w:highlight w:val="none"/>
        </w:rPr>
        <w:fldChar w:fldCharType="end"/>
      </w:r>
    </w:p>
    <w:p w14:paraId="7B587E4F">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（四）信访地址：广东省东莞市东城街道育华路1号。</w:t>
      </w:r>
    </w:p>
    <w:p w14:paraId="74D6267C">
      <w:pPr>
        <w:spacing w:line="560" w:lineRule="exact"/>
        <w:ind w:firstLine="422" w:firstLineChars="200"/>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第七条 其他</w:t>
      </w:r>
    </w:p>
    <w:p w14:paraId="2D477E63">
      <w:pPr>
        <w:spacing w:line="560" w:lineRule="exact"/>
        <w:ind w:firstLine="56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本协议有效期为甲乙双方签字并加盖公章之日起至该工程/采购项目竣工验收完毕，质保期/服务期满后止。本协议一式陆份，甲方执</w:t>
      </w:r>
      <w:r>
        <w:rPr>
          <w:rFonts w:hint="eastAsia" w:ascii="宋体" w:hAnsi="宋体" w:eastAsia="宋体" w:cs="宋体"/>
          <w:color w:val="auto"/>
          <w:szCs w:val="21"/>
          <w:highlight w:val="none"/>
          <w:lang w:val="en-US" w:eastAsia="zh-CN"/>
        </w:rPr>
        <w:t>叁</w:t>
      </w:r>
      <w:r>
        <w:rPr>
          <w:rFonts w:hint="eastAsia" w:ascii="宋体" w:hAnsi="宋体" w:eastAsia="宋体" w:cs="宋体"/>
          <w:color w:val="auto"/>
          <w:szCs w:val="21"/>
          <w:highlight w:val="none"/>
        </w:rPr>
        <w:t>份，乙方执贰份，招标代理执壹份。均具有同等效力。</w:t>
      </w:r>
    </w:p>
    <w:p w14:paraId="6D03BF75">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：东莞市水务集团管网有限公司</w:t>
      </w:r>
      <w:r>
        <w:rPr>
          <w:rFonts w:hint="eastAsia" w:ascii="宋体" w:hAnsi="宋体" w:eastAsia="宋体" w:cs="宋体"/>
          <w:b w:val="0"/>
          <w:bCs w:val="0"/>
          <w:color w:val="auto"/>
          <w:sz w:val="21"/>
          <w:szCs w:val="21"/>
          <w:highlight w:val="none"/>
          <w:lang w:val="en-US"/>
        </w:rPr>
        <w:t xml:space="preserve">    </w:t>
      </w:r>
    </w:p>
    <w:p w14:paraId="42804F4D">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18EA0A1C">
      <w:pPr>
        <w:rPr>
          <w:rFonts w:hint="eastAsia" w:ascii="宋体" w:hAnsi="宋体" w:eastAsia="宋体" w:cs="宋体"/>
          <w:color w:val="auto"/>
          <w:highlight w:val="none"/>
        </w:rPr>
      </w:pPr>
    </w:p>
    <w:p w14:paraId="6C2CF177">
      <w:pPr>
        <w:pStyle w:val="19"/>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1491EB21">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：东莞市莞泽水环境投资有限公司</w:t>
      </w:r>
      <w:r>
        <w:rPr>
          <w:rFonts w:hint="eastAsia" w:ascii="宋体" w:hAnsi="宋体" w:eastAsia="宋体" w:cs="宋体"/>
          <w:b w:val="0"/>
          <w:bCs w:val="0"/>
          <w:color w:val="auto"/>
          <w:sz w:val="21"/>
          <w:szCs w:val="21"/>
          <w:highlight w:val="none"/>
          <w:lang w:val="en-US"/>
        </w:rPr>
        <w:t xml:space="preserve">    </w:t>
      </w:r>
    </w:p>
    <w:p w14:paraId="260A7367">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63FBBAA5">
      <w:pPr>
        <w:snapToGrid w:val="0"/>
        <w:spacing w:line="560" w:lineRule="exact"/>
        <w:rPr>
          <w:rFonts w:hint="eastAsia" w:ascii="宋体" w:hAnsi="宋体" w:eastAsia="宋体" w:cs="宋体"/>
          <w:color w:val="auto"/>
          <w:szCs w:val="21"/>
          <w:highlight w:val="none"/>
        </w:rPr>
      </w:pPr>
    </w:p>
    <w:p w14:paraId="1C598560">
      <w:pPr>
        <w:pStyle w:val="5"/>
        <w:rPr>
          <w:rFonts w:hint="eastAsia" w:ascii="宋体" w:hAnsi="宋体" w:eastAsia="宋体" w:cs="宋体"/>
          <w:color w:val="auto"/>
          <w:szCs w:val="21"/>
          <w:highlight w:val="none"/>
        </w:rPr>
      </w:pPr>
    </w:p>
    <w:p w14:paraId="19A9ABB5">
      <w:pPr>
        <w:rPr>
          <w:rFonts w:hint="eastAsia" w:ascii="宋体" w:hAnsi="宋体" w:eastAsia="宋体" w:cs="宋体"/>
          <w:color w:val="auto"/>
          <w:highlight w:val="none"/>
        </w:rPr>
      </w:pPr>
    </w:p>
    <w:p w14:paraId="02F707D9">
      <w:pPr>
        <w:rPr>
          <w:rFonts w:hint="eastAsia" w:ascii="宋体" w:hAnsi="宋体" w:eastAsia="宋体" w:cs="宋体"/>
          <w:color w:val="auto"/>
          <w:highlight w:val="none"/>
        </w:rPr>
      </w:pPr>
    </w:p>
    <w:p w14:paraId="32BE0791">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：东莞市东信水环境投资有限公司</w:t>
      </w:r>
      <w:r>
        <w:rPr>
          <w:rFonts w:hint="eastAsia" w:ascii="宋体" w:hAnsi="宋体" w:eastAsia="宋体" w:cs="宋体"/>
          <w:b w:val="0"/>
          <w:bCs w:val="0"/>
          <w:color w:val="auto"/>
          <w:sz w:val="21"/>
          <w:szCs w:val="21"/>
          <w:highlight w:val="none"/>
          <w:lang w:val="en-US"/>
        </w:rPr>
        <w:t xml:space="preserve">    </w:t>
      </w:r>
    </w:p>
    <w:p w14:paraId="4126647F">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1BECF2C3">
      <w:pPr>
        <w:rPr>
          <w:rFonts w:hint="eastAsia" w:ascii="宋体" w:hAnsi="宋体" w:eastAsia="宋体" w:cs="宋体"/>
          <w:color w:val="auto"/>
          <w:szCs w:val="21"/>
          <w:highlight w:val="none"/>
        </w:rPr>
      </w:pPr>
    </w:p>
    <w:p w14:paraId="740F4C7A">
      <w:pPr>
        <w:pStyle w:val="5"/>
        <w:rPr>
          <w:rFonts w:hint="eastAsia" w:ascii="宋体" w:hAnsi="宋体" w:eastAsia="宋体" w:cs="宋体"/>
          <w:color w:val="auto"/>
          <w:szCs w:val="21"/>
          <w:highlight w:val="none"/>
        </w:rPr>
      </w:pPr>
    </w:p>
    <w:p w14:paraId="6CDF02CC">
      <w:pPr>
        <w:rPr>
          <w:rFonts w:hint="eastAsia" w:ascii="宋体" w:hAnsi="宋体" w:eastAsia="宋体" w:cs="宋体"/>
          <w:color w:val="auto"/>
          <w:szCs w:val="21"/>
          <w:highlight w:val="none"/>
        </w:rPr>
      </w:pPr>
    </w:p>
    <w:p w14:paraId="380F2628">
      <w:pPr>
        <w:pStyle w:val="5"/>
        <w:rPr>
          <w:rFonts w:hint="eastAsia" w:ascii="宋体" w:hAnsi="宋体" w:eastAsia="宋体" w:cs="宋体"/>
          <w:color w:val="auto"/>
          <w:szCs w:val="21"/>
          <w:highlight w:val="none"/>
        </w:rPr>
      </w:pPr>
    </w:p>
    <w:p w14:paraId="34B000A1">
      <w:pPr>
        <w:rPr>
          <w:rFonts w:hint="eastAsia" w:ascii="宋体" w:hAnsi="宋体" w:eastAsia="宋体" w:cs="宋体"/>
          <w:color w:val="auto"/>
          <w:szCs w:val="21"/>
          <w:highlight w:val="none"/>
        </w:rPr>
      </w:pPr>
    </w:p>
    <w:p w14:paraId="1AE73F1F">
      <w:pPr>
        <w:pStyle w:val="5"/>
        <w:rPr>
          <w:rFonts w:hint="eastAsia" w:ascii="宋体" w:hAnsi="宋体" w:eastAsia="宋体" w:cs="宋体"/>
          <w:color w:val="auto"/>
          <w:szCs w:val="21"/>
          <w:highlight w:val="none"/>
        </w:rPr>
      </w:pPr>
    </w:p>
    <w:p w14:paraId="1FD663EB">
      <w:pPr>
        <w:rPr>
          <w:rFonts w:hint="eastAsia" w:ascii="宋体" w:hAnsi="宋体" w:eastAsia="宋体" w:cs="宋体"/>
          <w:color w:val="auto"/>
          <w:highlight w:val="none"/>
        </w:rPr>
      </w:pPr>
    </w:p>
    <w:p w14:paraId="52A7EFB9">
      <w:pPr>
        <w:rPr>
          <w:rFonts w:hint="eastAsia" w:ascii="宋体" w:hAnsi="宋体" w:eastAsia="宋体" w:cs="宋体"/>
          <w:color w:val="auto"/>
          <w:highlight w:val="none"/>
        </w:rPr>
      </w:pPr>
    </w:p>
    <w:p w14:paraId="65DFCA40">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：东莞市东泽水环境投资有限公司</w:t>
      </w:r>
      <w:r>
        <w:rPr>
          <w:rFonts w:hint="eastAsia" w:ascii="宋体" w:hAnsi="宋体" w:eastAsia="宋体" w:cs="宋体"/>
          <w:b w:val="0"/>
          <w:bCs w:val="0"/>
          <w:color w:val="auto"/>
          <w:sz w:val="21"/>
          <w:szCs w:val="21"/>
          <w:highlight w:val="none"/>
          <w:lang w:val="en-US"/>
        </w:rPr>
        <w:t xml:space="preserve">    </w:t>
      </w:r>
    </w:p>
    <w:p w14:paraId="440217F5">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117B78A8">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p>
    <w:p w14:paraId="4F35C87D">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p>
    <w:p w14:paraId="29747EFF">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p>
    <w:p w14:paraId="2741B0D9">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                 </w:t>
      </w:r>
    </w:p>
    <w:p w14:paraId="37A8585D">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：东莞市清泽水环境投资有限公司</w:t>
      </w:r>
      <w:r>
        <w:rPr>
          <w:rFonts w:hint="eastAsia" w:ascii="宋体" w:hAnsi="宋体" w:eastAsia="宋体" w:cs="宋体"/>
          <w:b w:val="0"/>
          <w:bCs w:val="0"/>
          <w:color w:val="auto"/>
          <w:sz w:val="21"/>
          <w:szCs w:val="21"/>
          <w:highlight w:val="none"/>
          <w:lang w:val="en-US"/>
        </w:rPr>
        <w:t xml:space="preserve">    </w:t>
      </w:r>
    </w:p>
    <w:p w14:paraId="29385AC0">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6E3118D8">
      <w:pPr>
        <w:pStyle w:val="19"/>
        <w:snapToGrid w:val="0"/>
        <w:spacing w:line="560" w:lineRule="exact"/>
        <w:ind w:right="0"/>
        <w:jc w:val="left"/>
        <w:rPr>
          <w:rFonts w:hint="eastAsia" w:ascii="宋体" w:hAnsi="宋体" w:eastAsia="宋体" w:cs="宋体"/>
          <w:color w:val="auto"/>
          <w:sz w:val="21"/>
          <w:szCs w:val="21"/>
          <w:highlight w:val="none"/>
        </w:rPr>
      </w:pPr>
    </w:p>
    <w:p w14:paraId="6CE4B5A2">
      <w:pPr>
        <w:pStyle w:val="19"/>
        <w:snapToGrid w:val="0"/>
        <w:spacing w:line="560" w:lineRule="exact"/>
        <w:ind w:right="0"/>
        <w:jc w:val="left"/>
        <w:rPr>
          <w:rFonts w:hint="eastAsia" w:ascii="宋体" w:hAnsi="宋体" w:eastAsia="宋体" w:cs="宋体"/>
          <w:b w:val="0"/>
          <w:bCs w:val="0"/>
          <w:color w:val="auto"/>
          <w:sz w:val="21"/>
          <w:szCs w:val="21"/>
          <w:highlight w:val="none"/>
        </w:rPr>
      </w:pPr>
    </w:p>
    <w:p w14:paraId="5F87A3F3">
      <w:pPr>
        <w:rPr>
          <w:rFonts w:hint="eastAsia" w:ascii="宋体" w:hAnsi="宋体" w:eastAsia="宋体" w:cs="宋体"/>
          <w:color w:val="auto"/>
          <w:szCs w:val="21"/>
          <w:highlight w:val="none"/>
        </w:rPr>
      </w:pPr>
    </w:p>
    <w:p w14:paraId="2097B4A8">
      <w:pPr>
        <w:rPr>
          <w:rFonts w:hint="eastAsia" w:ascii="宋体" w:hAnsi="宋体" w:eastAsia="宋体" w:cs="宋体"/>
          <w:color w:val="auto"/>
          <w:highlight w:val="none"/>
        </w:rPr>
      </w:pPr>
    </w:p>
    <w:p w14:paraId="5C6F5109">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乙</w:t>
      </w:r>
      <w:r>
        <w:rPr>
          <w:rFonts w:hint="eastAsia" w:ascii="宋体" w:hAnsi="宋体" w:eastAsia="宋体" w:cs="宋体"/>
          <w:b w:val="0"/>
          <w:bCs w:val="0"/>
          <w:color w:val="auto"/>
          <w:sz w:val="21"/>
          <w:szCs w:val="21"/>
          <w:highlight w:val="none"/>
        </w:rPr>
        <w:t>方：</w:t>
      </w:r>
    </w:p>
    <w:p w14:paraId="4DEBEBF0">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rPr>
        <w:t>法定代表（或负责）人：</w:t>
      </w:r>
    </w:p>
    <w:p w14:paraId="52D354D0">
      <w:pPr>
        <w:rPr>
          <w:rFonts w:hint="eastAsia" w:ascii="宋体" w:hAnsi="宋体" w:eastAsia="宋体" w:cs="宋体"/>
          <w:color w:val="auto"/>
          <w:highlight w:val="none"/>
        </w:rPr>
      </w:pPr>
    </w:p>
    <w:p w14:paraId="6FA9229C">
      <w:pPr>
        <w:rPr>
          <w:rFonts w:hint="eastAsia" w:ascii="宋体" w:hAnsi="宋体" w:eastAsia="宋体" w:cs="宋体"/>
          <w:color w:val="auto"/>
          <w:highlight w:val="none"/>
        </w:rPr>
      </w:pPr>
    </w:p>
    <w:p w14:paraId="0F217F59">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签约日期：</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rPr>
        <w:t xml:space="preserve"> 年    月     日                                                          </w:t>
      </w:r>
    </w:p>
    <w:p w14:paraId="1743FEE3">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签约地点：</w:t>
      </w:r>
      <w:r>
        <w:rPr>
          <w:rFonts w:hint="eastAsia" w:ascii="宋体" w:hAnsi="宋体" w:eastAsia="宋体" w:cs="宋体"/>
          <w:b w:val="0"/>
          <w:bCs w:val="0"/>
          <w:color w:val="auto"/>
          <w:sz w:val="21"/>
          <w:szCs w:val="21"/>
          <w:highlight w:val="none"/>
          <w:lang w:val="en-US"/>
        </w:rPr>
        <w:t>广东省东莞市</w:t>
      </w:r>
    </w:p>
    <w:p w14:paraId="51AC127F">
      <w:pPr>
        <w:pStyle w:val="19"/>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18C3B0CF">
      <w:pPr>
        <w:pStyle w:val="19"/>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1DBF8C18">
      <w:pPr>
        <w:rPr>
          <w:rFonts w:hint="eastAsia" w:ascii="宋体" w:hAnsi="宋体" w:eastAsia="宋体" w:cs="宋体"/>
          <w:color w:val="auto"/>
          <w:highlight w:val="none"/>
        </w:rPr>
      </w:pPr>
      <w:r>
        <w:rPr>
          <w:rFonts w:hint="eastAsia" w:ascii="宋体" w:hAnsi="宋体" w:eastAsia="宋体" w:cs="宋体"/>
          <w:color w:val="auto"/>
          <w:szCs w:val="21"/>
          <w:highlight w:val="none"/>
        </w:rPr>
        <w:br w:type="page"/>
      </w:r>
    </w:p>
    <w:p w14:paraId="373FA2E9">
      <w:pPr>
        <w:pStyle w:val="19"/>
        <w:jc w:val="left"/>
        <w:rPr>
          <w:rFonts w:hint="eastAsia" w:ascii="宋体" w:hAnsi="宋体" w:eastAsia="宋体" w:cs="宋体"/>
          <w:bCs w:val="0"/>
          <w:color w:val="auto"/>
          <w:sz w:val="24"/>
          <w:szCs w:val="24"/>
          <w:highlight w:val="none"/>
          <w:lang w:val="en-US"/>
        </w:rPr>
      </w:pPr>
    </w:p>
    <w:p w14:paraId="2402BCE3">
      <w:pPr>
        <w:spacing w:line="360" w:lineRule="auto"/>
        <w:rPr>
          <w:rFonts w:hint="eastAsia" w:ascii="宋体" w:hAnsi="宋体" w:eastAsia="宋体" w:cs="宋体"/>
          <w:b/>
          <w:color w:val="auto"/>
          <w:highlight w:val="none"/>
        </w:rPr>
      </w:pPr>
      <w:r>
        <w:rPr>
          <w:rFonts w:hint="eastAsia" w:ascii="宋体" w:hAnsi="宋体" w:eastAsia="宋体" w:cs="宋体"/>
          <w:b/>
          <w:color w:val="auto"/>
          <w:highlight w:val="none"/>
        </w:rPr>
        <w:t>附件二：安全生产责任书</w:t>
      </w:r>
    </w:p>
    <w:p w14:paraId="7F241F2A">
      <w:pPr>
        <w:spacing w:line="360" w:lineRule="auto"/>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安全生产责任书</w:t>
      </w:r>
    </w:p>
    <w:p w14:paraId="7AE22DE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为更好地贯彻“安全第一、预防为主、以人为本、强化管理、落实责任”的安全生产方针，全面落实企业安全生产主体责任，推进安全生产标准化管理，切实做好各甲方的安全生产工作，杜绝各类事故的发生，保障甲方财产和员工的人身安全，实现安全生产目标，甲方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 xml:space="preserve">乙方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签订安全生产责任书。</w:t>
      </w:r>
    </w:p>
    <w:p w14:paraId="317538B9">
      <w:pPr>
        <w:numPr>
          <w:ilvl w:val="0"/>
          <w:numId w:val="3"/>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安全生产目标</w:t>
      </w:r>
    </w:p>
    <w:p w14:paraId="465119E9">
      <w:pPr>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杜绝重伤及以上生产安全事故；</w:t>
      </w:r>
    </w:p>
    <w:p w14:paraId="2E176BAE">
      <w:pPr>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杜绝火灾、爆炸责任事故；</w:t>
      </w:r>
    </w:p>
    <w:p w14:paraId="6B622184">
      <w:pPr>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杜绝多人严重急性中毒事故；</w:t>
      </w:r>
    </w:p>
    <w:p w14:paraId="2F2488ED">
      <w:pPr>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工伤事故中轻伤率不超过3‰；</w:t>
      </w:r>
    </w:p>
    <w:p w14:paraId="19AE2AB2">
      <w:pPr>
        <w:numPr>
          <w:ilvl w:val="0"/>
          <w:numId w:val="4"/>
        </w:num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生产经营范围内无刑事案件发生。</w:t>
      </w:r>
    </w:p>
    <w:p w14:paraId="36682224">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二、安全生产责任</w:t>
      </w:r>
    </w:p>
    <w:p w14:paraId="7C00140A">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1. </w:t>
      </w:r>
      <w:r>
        <w:rPr>
          <w:rFonts w:hint="eastAsia" w:ascii="宋体" w:hAnsi="宋体" w:eastAsia="宋体" w:cs="宋体"/>
          <w:color w:val="auto"/>
          <w:szCs w:val="21"/>
          <w:highlight w:val="none"/>
          <w:u w:val="single"/>
          <w:shd w:val="clear" w:color="090000" w:fill="FFFFFF"/>
        </w:rPr>
        <w:t xml:space="preserve"> </w:t>
      </w:r>
      <w:r>
        <w:rPr>
          <w:rFonts w:hint="eastAsia" w:ascii="宋体" w:hAnsi="宋体" w:eastAsia="宋体" w:cs="宋体"/>
          <w:color w:val="auto"/>
          <w:szCs w:val="21"/>
          <w:highlight w:val="none"/>
          <w:u w:val="single"/>
          <w:shd w:val="clear" w:color="090000" w:fill="FFFFFF"/>
          <w:lang w:val="en-US" w:eastAsia="zh-CN"/>
        </w:rPr>
        <w:t>乙方</w:t>
      </w:r>
      <w:r>
        <w:rPr>
          <w:rFonts w:hint="eastAsia" w:ascii="宋体" w:hAnsi="宋体" w:eastAsia="宋体" w:cs="宋体"/>
          <w:color w:val="auto"/>
          <w:szCs w:val="21"/>
          <w:highlight w:val="none"/>
          <w:u w:val="single"/>
          <w:shd w:val="clear" w:color="090000" w:fill="FFFFFF"/>
        </w:rPr>
        <w:t xml:space="preserve"> </w:t>
      </w:r>
      <w:r>
        <w:rPr>
          <w:rFonts w:hint="eastAsia" w:ascii="宋体" w:hAnsi="宋体" w:eastAsia="宋体" w:cs="宋体"/>
          <w:color w:val="auto"/>
          <w:szCs w:val="21"/>
          <w:highlight w:val="none"/>
          <w:shd w:val="clear" w:color="090000" w:fill="FFFFFF"/>
        </w:rPr>
        <w:t>为餐厨、清洁服务安全生产工作的第一责任人，对餐厨及清洁服务安全生产工作负全面领导责任；其他人员对业务工作范围内的安全生产工作负直接责任</w:t>
      </w:r>
      <w:r>
        <w:rPr>
          <w:rFonts w:hint="eastAsia" w:ascii="宋体" w:hAnsi="宋体" w:eastAsia="宋体" w:cs="宋体"/>
          <w:color w:val="auto"/>
          <w:szCs w:val="21"/>
          <w:highlight w:val="none"/>
        </w:rPr>
        <w:t>。</w:t>
      </w:r>
    </w:p>
    <w:p w14:paraId="44826D8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2. 遵守《安全生产法》、《消防法》、《劳动法》等法律法规，贯彻和执行甲方有关安全生产的制度、规程和标准，全面推动安全管理工作。</w:t>
      </w:r>
    </w:p>
    <w:p w14:paraId="4C10E06E">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3. 积极参与甲方组织的安全培训、“安全生产活动月”、“消防安全月”等活动。</w:t>
      </w:r>
    </w:p>
    <w:p w14:paraId="5317D0B7">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 参加甲方召开安全生产工作会议，落实会议的相关要求。</w:t>
      </w:r>
    </w:p>
    <w:p w14:paraId="5EFBAB2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5. 参与甲方组织开展生产安全事故应急预案演练，提高应急技能及应急管理水平。</w:t>
      </w:r>
    </w:p>
    <w:p w14:paraId="17892176">
      <w:pPr>
        <w:spacing w:line="360" w:lineRule="auto"/>
        <w:ind w:firstLine="424" w:firstLineChars="202"/>
        <w:rPr>
          <w:rFonts w:hint="eastAsia" w:ascii="宋体" w:hAnsi="宋体" w:eastAsia="宋体" w:cs="宋体"/>
          <w:color w:val="auto"/>
          <w:szCs w:val="21"/>
          <w:highlight w:val="none"/>
        </w:rPr>
      </w:pPr>
      <w:r>
        <w:rPr>
          <w:rFonts w:hint="eastAsia" w:ascii="宋体" w:hAnsi="宋体" w:eastAsia="宋体" w:cs="宋体"/>
          <w:color w:val="auto"/>
          <w:szCs w:val="21"/>
          <w:highlight w:val="none"/>
        </w:rPr>
        <w:t>6. 发生安全事故时及时组织救援并上报，协助开展事故调查分析工作。</w:t>
      </w:r>
    </w:p>
    <w:p w14:paraId="00D48F63">
      <w:pPr>
        <w:numPr>
          <w:ilvl w:val="0"/>
          <w:numId w:val="5"/>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考核与奖惩</w:t>
      </w:r>
    </w:p>
    <w:p w14:paraId="4144D28D">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甲方负责对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u w:val="single"/>
          <w:lang w:val="en-US" w:eastAsia="zh-CN"/>
        </w:rPr>
        <w:t>乙方</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的安全生产管理工作进行检查和考核。</w:t>
      </w:r>
    </w:p>
    <w:p w14:paraId="778FAB3A">
      <w:pPr>
        <w:numPr>
          <w:ilvl w:val="0"/>
          <w:numId w:val="5"/>
        </w:num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p w14:paraId="1D300AE2">
      <w:pPr>
        <w:spacing w:line="360" w:lineRule="auto"/>
        <w:ind w:right="-26"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本安全生产责任书自考核方与责任方盖章签字之日起生效，有效期为</w:t>
      </w:r>
      <w:r>
        <w:rPr>
          <w:rFonts w:hint="eastAsia" w:ascii="宋体" w:hAnsi="宋体" w:eastAsia="宋体" w:cs="宋体"/>
          <w:color w:val="auto"/>
          <w:szCs w:val="21"/>
          <w:highlight w:val="none"/>
          <w:u w:val="single"/>
        </w:rPr>
        <w:t>一</w:t>
      </w:r>
      <w:r>
        <w:rPr>
          <w:rFonts w:hint="eastAsia" w:ascii="宋体" w:hAnsi="宋体" w:eastAsia="宋体" w:cs="宋体"/>
          <w:color w:val="auto"/>
          <w:szCs w:val="21"/>
          <w:highlight w:val="none"/>
        </w:rPr>
        <w:t>年。</w:t>
      </w:r>
    </w:p>
    <w:p w14:paraId="222A4493">
      <w:pPr>
        <w:rPr>
          <w:rFonts w:hint="eastAsia" w:ascii="宋体" w:hAnsi="宋体" w:eastAsia="宋体" w:cs="宋体"/>
          <w:color w:val="auto"/>
          <w:highlight w:val="none"/>
        </w:rPr>
      </w:pPr>
    </w:p>
    <w:p w14:paraId="18289E56">
      <w:pPr>
        <w:ind w:firstLine="420"/>
        <w:rPr>
          <w:rFonts w:hint="eastAsia" w:ascii="宋体" w:hAnsi="宋体" w:eastAsia="宋体" w:cs="宋体"/>
          <w:b/>
          <w:color w:val="auto"/>
          <w:szCs w:val="21"/>
          <w:highlight w:val="none"/>
        </w:rPr>
      </w:pPr>
    </w:p>
    <w:p w14:paraId="6B16058E">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1</w:t>
      </w:r>
      <w:r>
        <w:rPr>
          <w:rFonts w:hint="eastAsia" w:ascii="宋体" w:hAnsi="宋体" w:eastAsia="宋体" w:cs="宋体"/>
          <w:b w:val="0"/>
          <w:bCs w:val="0"/>
          <w:color w:val="auto"/>
          <w:sz w:val="21"/>
          <w:szCs w:val="21"/>
          <w:highlight w:val="none"/>
        </w:rPr>
        <w:t>：东莞市水务集团管网有限公司</w:t>
      </w:r>
      <w:r>
        <w:rPr>
          <w:rFonts w:hint="eastAsia" w:ascii="宋体" w:hAnsi="宋体" w:eastAsia="宋体" w:cs="宋体"/>
          <w:b w:val="0"/>
          <w:bCs w:val="0"/>
          <w:color w:val="auto"/>
          <w:sz w:val="21"/>
          <w:szCs w:val="21"/>
          <w:highlight w:val="none"/>
          <w:lang w:val="en-US"/>
        </w:rPr>
        <w:t xml:space="preserve">    </w:t>
      </w:r>
    </w:p>
    <w:p w14:paraId="67B118E8">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489DFF85">
      <w:pPr>
        <w:rPr>
          <w:rFonts w:hint="eastAsia" w:ascii="宋体" w:hAnsi="宋体" w:eastAsia="宋体" w:cs="宋体"/>
          <w:color w:val="auto"/>
          <w:highlight w:val="none"/>
        </w:rPr>
      </w:pPr>
    </w:p>
    <w:p w14:paraId="4A7AE799">
      <w:pPr>
        <w:pStyle w:val="19"/>
        <w:snapToGrid w:val="0"/>
        <w:spacing w:line="560" w:lineRule="exact"/>
        <w:ind w:right="0"/>
        <w:jc w:val="left"/>
        <w:rPr>
          <w:rFonts w:hint="eastAsia" w:ascii="宋体" w:hAnsi="宋体" w:eastAsia="宋体" w:cs="宋体"/>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6CD3EE54">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：东莞市莞泽水环境投资有限公司</w:t>
      </w:r>
      <w:r>
        <w:rPr>
          <w:rFonts w:hint="eastAsia" w:ascii="宋体" w:hAnsi="宋体" w:eastAsia="宋体" w:cs="宋体"/>
          <w:b w:val="0"/>
          <w:bCs w:val="0"/>
          <w:color w:val="auto"/>
          <w:sz w:val="21"/>
          <w:szCs w:val="21"/>
          <w:highlight w:val="none"/>
          <w:lang w:val="en-US"/>
        </w:rPr>
        <w:t xml:space="preserve">    </w:t>
      </w:r>
    </w:p>
    <w:p w14:paraId="5FABC1CC">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4F031BBC">
      <w:pPr>
        <w:snapToGrid w:val="0"/>
        <w:spacing w:line="560" w:lineRule="exact"/>
        <w:rPr>
          <w:rFonts w:hint="eastAsia" w:ascii="宋体" w:hAnsi="宋体" w:eastAsia="宋体" w:cs="宋体"/>
          <w:color w:val="auto"/>
          <w:szCs w:val="21"/>
          <w:highlight w:val="none"/>
        </w:rPr>
      </w:pPr>
    </w:p>
    <w:p w14:paraId="39528647">
      <w:pPr>
        <w:pStyle w:val="5"/>
        <w:rPr>
          <w:rFonts w:hint="eastAsia" w:ascii="宋体" w:hAnsi="宋体" w:eastAsia="宋体" w:cs="宋体"/>
          <w:color w:val="auto"/>
          <w:szCs w:val="21"/>
          <w:highlight w:val="none"/>
        </w:rPr>
      </w:pPr>
    </w:p>
    <w:p w14:paraId="7BA8A5F6">
      <w:pPr>
        <w:rPr>
          <w:rFonts w:hint="eastAsia" w:ascii="宋体" w:hAnsi="宋体" w:eastAsia="宋体" w:cs="宋体"/>
          <w:color w:val="auto"/>
          <w:highlight w:val="none"/>
        </w:rPr>
      </w:pPr>
    </w:p>
    <w:p w14:paraId="398CF6E9">
      <w:pPr>
        <w:rPr>
          <w:rFonts w:hint="eastAsia" w:ascii="宋体" w:hAnsi="宋体" w:eastAsia="宋体" w:cs="宋体"/>
          <w:color w:val="auto"/>
          <w:highlight w:val="none"/>
        </w:rPr>
      </w:pPr>
    </w:p>
    <w:p w14:paraId="67B3B5D8">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：东莞市东信水环境投资有限公司</w:t>
      </w:r>
      <w:r>
        <w:rPr>
          <w:rFonts w:hint="eastAsia" w:ascii="宋体" w:hAnsi="宋体" w:eastAsia="宋体" w:cs="宋体"/>
          <w:b w:val="0"/>
          <w:bCs w:val="0"/>
          <w:color w:val="auto"/>
          <w:sz w:val="21"/>
          <w:szCs w:val="21"/>
          <w:highlight w:val="none"/>
          <w:lang w:val="en-US"/>
        </w:rPr>
        <w:t xml:space="preserve">    </w:t>
      </w:r>
    </w:p>
    <w:p w14:paraId="47D1E714">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4CEBAA9E">
      <w:pPr>
        <w:rPr>
          <w:rFonts w:hint="eastAsia" w:ascii="宋体" w:hAnsi="宋体" w:eastAsia="宋体" w:cs="宋体"/>
          <w:color w:val="auto"/>
          <w:szCs w:val="21"/>
          <w:highlight w:val="none"/>
        </w:rPr>
      </w:pPr>
    </w:p>
    <w:p w14:paraId="16860B4F">
      <w:pPr>
        <w:pStyle w:val="5"/>
        <w:rPr>
          <w:rFonts w:hint="eastAsia" w:ascii="宋体" w:hAnsi="宋体" w:eastAsia="宋体" w:cs="宋体"/>
          <w:color w:val="auto"/>
          <w:szCs w:val="21"/>
          <w:highlight w:val="none"/>
        </w:rPr>
      </w:pPr>
    </w:p>
    <w:p w14:paraId="3BB77AE9">
      <w:pPr>
        <w:rPr>
          <w:rFonts w:hint="eastAsia" w:ascii="宋体" w:hAnsi="宋体" w:eastAsia="宋体" w:cs="宋体"/>
          <w:color w:val="auto"/>
          <w:szCs w:val="21"/>
          <w:highlight w:val="none"/>
        </w:rPr>
      </w:pPr>
    </w:p>
    <w:p w14:paraId="560707DC">
      <w:pPr>
        <w:pStyle w:val="5"/>
        <w:rPr>
          <w:rFonts w:hint="eastAsia" w:ascii="宋体" w:hAnsi="宋体" w:eastAsia="宋体" w:cs="宋体"/>
          <w:color w:val="auto"/>
          <w:szCs w:val="21"/>
          <w:highlight w:val="none"/>
        </w:rPr>
      </w:pPr>
    </w:p>
    <w:p w14:paraId="2A3DE85F">
      <w:pPr>
        <w:rPr>
          <w:rFonts w:hint="eastAsia" w:ascii="宋体" w:hAnsi="宋体" w:eastAsia="宋体" w:cs="宋体"/>
          <w:color w:val="auto"/>
          <w:highlight w:val="none"/>
        </w:rPr>
      </w:pPr>
    </w:p>
    <w:p w14:paraId="599DDFAD">
      <w:pPr>
        <w:rPr>
          <w:rFonts w:hint="eastAsia" w:ascii="宋体" w:hAnsi="宋体" w:eastAsia="宋体" w:cs="宋体"/>
          <w:color w:val="auto"/>
          <w:highlight w:val="none"/>
        </w:rPr>
      </w:pPr>
    </w:p>
    <w:p w14:paraId="7DCA9D39">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4</w:t>
      </w:r>
      <w:r>
        <w:rPr>
          <w:rFonts w:hint="eastAsia" w:ascii="宋体" w:hAnsi="宋体" w:eastAsia="宋体" w:cs="宋体"/>
          <w:b w:val="0"/>
          <w:bCs w:val="0"/>
          <w:color w:val="auto"/>
          <w:sz w:val="21"/>
          <w:szCs w:val="21"/>
          <w:highlight w:val="none"/>
        </w:rPr>
        <w:t>：东莞市东泽水环境投资有限公司</w:t>
      </w:r>
      <w:r>
        <w:rPr>
          <w:rFonts w:hint="eastAsia" w:ascii="宋体" w:hAnsi="宋体" w:eastAsia="宋体" w:cs="宋体"/>
          <w:b w:val="0"/>
          <w:bCs w:val="0"/>
          <w:color w:val="auto"/>
          <w:sz w:val="21"/>
          <w:szCs w:val="21"/>
          <w:highlight w:val="none"/>
          <w:lang w:val="en-US"/>
        </w:rPr>
        <w:t xml:space="preserve">    </w:t>
      </w:r>
    </w:p>
    <w:p w14:paraId="12435D39">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209B359F">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lang w:val="en-US"/>
        </w:rPr>
        <w:t xml:space="preserve">    </w:t>
      </w:r>
    </w:p>
    <w:p w14:paraId="66B2F4F4">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p>
    <w:p w14:paraId="738EA114">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 xml:space="preserve">             </w:t>
      </w:r>
    </w:p>
    <w:p w14:paraId="1A1CB40F">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甲方</w:t>
      </w:r>
      <w:r>
        <w:rPr>
          <w:rFonts w:hint="eastAsia" w:ascii="宋体" w:hAnsi="宋体" w:eastAsia="宋体" w:cs="宋体"/>
          <w:b w:val="0"/>
          <w:bCs w:val="0"/>
          <w:color w:val="auto"/>
          <w:sz w:val="21"/>
          <w:szCs w:val="21"/>
          <w:highlight w:val="none"/>
          <w:lang w:val="en-US" w:eastAsia="zh-CN"/>
        </w:rPr>
        <w:t>5</w:t>
      </w:r>
      <w:r>
        <w:rPr>
          <w:rFonts w:hint="eastAsia" w:ascii="宋体" w:hAnsi="宋体" w:eastAsia="宋体" w:cs="宋体"/>
          <w:b w:val="0"/>
          <w:bCs w:val="0"/>
          <w:color w:val="auto"/>
          <w:sz w:val="21"/>
          <w:szCs w:val="21"/>
          <w:highlight w:val="none"/>
        </w:rPr>
        <w:t>：东莞市清泽水环境投资有限公司</w:t>
      </w:r>
      <w:r>
        <w:rPr>
          <w:rFonts w:hint="eastAsia" w:ascii="宋体" w:hAnsi="宋体" w:eastAsia="宋体" w:cs="宋体"/>
          <w:b w:val="0"/>
          <w:bCs w:val="0"/>
          <w:color w:val="auto"/>
          <w:sz w:val="21"/>
          <w:szCs w:val="21"/>
          <w:highlight w:val="none"/>
          <w:lang w:val="en-US"/>
        </w:rPr>
        <w:t xml:space="preserve">    </w:t>
      </w:r>
    </w:p>
    <w:p w14:paraId="501054AA">
      <w:pPr>
        <w:pStyle w:val="19"/>
        <w:snapToGrid w:val="0"/>
        <w:spacing w:line="560" w:lineRule="exact"/>
        <w:ind w:right="0"/>
        <w:jc w:val="left"/>
        <w:rPr>
          <w:rFonts w:hint="eastAsia" w:ascii="宋体" w:hAnsi="宋体" w:eastAsia="宋体" w:cs="宋体"/>
          <w:color w:val="auto"/>
          <w:szCs w:val="21"/>
          <w:highlight w:val="none"/>
        </w:rPr>
      </w:pPr>
      <w:r>
        <w:rPr>
          <w:rFonts w:hint="eastAsia" w:ascii="宋体" w:hAnsi="宋体" w:eastAsia="宋体" w:cs="宋体"/>
          <w:b w:val="0"/>
          <w:bCs w:val="0"/>
          <w:color w:val="auto"/>
          <w:sz w:val="21"/>
          <w:szCs w:val="21"/>
          <w:highlight w:val="none"/>
        </w:rPr>
        <w:t>法定代表（或负责）人：</w:t>
      </w:r>
      <w:r>
        <w:rPr>
          <w:rFonts w:hint="eastAsia" w:ascii="宋体" w:hAnsi="宋体" w:eastAsia="宋体" w:cs="宋体"/>
          <w:b w:val="0"/>
          <w:bCs w:val="0"/>
          <w:color w:val="auto"/>
          <w:sz w:val="21"/>
          <w:szCs w:val="21"/>
          <w:highlight w:val="none"/>
          <w:lang w:val="en-US"/>
        </w:rPr>
        <w:t xml:space="preserve">                  </w:t>
      </w:r>
    </w:p>
    <w:p w14:paraId="15A7F606">
      <w:pPr>
        <w:pStyle w:val="5"/>
        <w:rPr>
          <w:rFonts w:hint="eastAsia" w:ascii="宋体" w:hAnsi="宋体" w:eastAsia="宋体" w:cs="宋体"/>
          <w:color w:val="auto"/>
          <w:highlight w:val="none"/>
        </w:rPr>
      </w:pPr>
    </w:p>
    <w:p w14:paraId="497B6135">
      <w:pPr>
        <w:rPr>
          <w:rFonts w:hint="eastAsia" w:ascii="宋体" w:hAnsi="宋体" w:eastAsia="宋体" w:cs="宋体"/>
          <w:color w:val="auto"/>
          <w:highlight w:val="none"/>
        </w:rPr>
      </w:pPr>
    </w:p>
    <w:p w14:paraId="675EF115">
      <w:pPr>
        <w:pStyle w:val="5"/>
        <w:rPr>
          <w:rFonts w:hint="eastAsia" w:ascii="宋体" w:hAnsi="宋体" w:eastAsia="宋体" w:cs="宋体"/>
          <w:color w:val="auto"/>
          <w:highlight w:val="none"/>
        </w:rPr>
      </w:pPr>
    </w:p>
    <w:p w14:paraId="1D8410CF">
      <w:pPr>
        <w:rPr>
          <w:rFonts w:hint="eastAsia" w:ascii="宋体" w:hAnsi="宋体" w:eastAsia="宋体" w:cs="宋体"/>
          <w:color w:val="auto"/>
          <w:highlight w:val="none"/>
        </w:rPr>
      </w:pPr>
    </w:p>
    <w:p w14:paraId="09020E6C">
      <w:pPr>
        <w:pStyle w:val="5"/>
        <w:rPr>
          <w:rFonts w:hint="eastAsia" w:ascii="宋体" w:hAnsi="宋体" w:eastAsia="宋体" w:cs="宋体"/>
          <w:color w:val="auto"/>
          <w:highlight w:val="none"/>
        </w:rPr>
      </w:pPr>
    </w:p>
    <w:p w14:paraId="07F90056">
      <w:pPr>
        <w:rPr>
          <w:rFonts w:hint="eastAsia" w:ascii="宋体" w:hAnsi="宋体" w:eastAsia="宋体" w:cs="宋体"/>
          <w:color w:val="auto"/>
          <w:highlight w:val="none"/>
        </w:rPr>
      </w:pPr>
    </w:p>
    <w:p w14:paraId="0AD5C904">
      <w:pPr>
        <w:pStyle w:val="19"/>
        <w:snapToGrid w:val="0"/>
        <w:spacing w:line="560" w:lineRule="exact"/>
        <w:ind w:right="0"/>
        <w:jc w:val="lef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rPr>
        <w:t>乙</w:t>
      </w:r>
      <w:r>
        <w:rPr>
          <w:rFonts w:hint="eastAsia" w:ascii="宋体" w:hAnsi="宋体" w:eastAsia="宋体" w:cs="宋体"/>
          <w:b w:val="0"/>
          <w:bCs w:val="0"/>
          <w:color w:val="auto"/>
          <w:sz w:val="21"/>
          <w:szCs w:val="21"/>
          <w:highlight w:val="none"/>
        </w:rPr>
        <w:t>方：</w:t>
      </w:r>
    </w:p>
    <w:p w14:paraId="48EDF0F1">
      <w:pPr>
        <w:pStyle w:val="19"/>
        <w:snapToGrid w:val="0"/>
        <w:spacing w:line="560" w:lineRule="exact"/>
        <w:ind w:right="0"/>
        <w:jc w:val="left"/>
        <w:rPr>
          <w:rFonts w:hint="eastAsia" w:ascii="宋体" w:hAnsi="宋体" w:eastAsia="宋体" w:cs="宋体"/>
          <w:color w:val="auto"/>
          <w:highlight w:val="none"/>
        </w:rPr>
      </w:pPr>
      <w:r>
        <w:rPr>
          <w:rFonts w:hint="eastAsia" w:ascii="宋体" w:hAnsi="宋体" w:eastAsia="宋体" w:cs="宋体"/>
          <w:b w:val="0"/>
          <w:bCs w:val="0"/>
          <w:color w:val="auto"/>
          <w:sz w:val="21"/>
          <w:szCs w:val="21"/>
          <w:highlight w:val="none"/>
          <w:lang w:val="en-US"/>
        </w:rPr>
        <w:t xml:space="preserve"> </w:t>
      </w:r>
      <w:r>
        <w:rPr>
          <w:rFonts w:hint="eastAsia" w:ascii="宋体" w:hAnsi="宋体" w:eastAsia="宋体" w:cs="宋体"/>
          <w:b w:val="0"/>
          <w:bCs w:val="0"/>
          <w:color w:val="auto"/>
          <w:sz w:val="21"/>
          <w:szCs w:val="21"/>
          <w:highlight w:val="none"/>
        </w:rPr>
        <w:t>法定代表（或负责）人：</w:t>
      </w:r>
    </w:p>
    <w:p w14:paraId="07B64096">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签约日期：</w:t>
      </w:r>
      <w:r>
        <w:rPr>
          <w:rFonts w:hint="eastAsia" w:ascii="宋体" w:hAnsi="宋体" w:eastAsia="宋体" w:cs="宋体"/>
          <w:b w:val="0"/>
          <w:bCs w:val="0"/>
          <w:color w:val="auto"/>
          <w:sz w:val="21"/>
          <w:szCs w:val="21"/>
          <w:highlight w:val="none"/>
          <w:lang w:val="en-US" w:eastAsia="zh-CN"/>
        </w:rPr>
        <w:t xml:space="preserve">   </w:t>
      </w:r>
      <w:r>
        <w:rPr>
          <w:rFonts w:hint="eastAsia" w:ascii="宋体" w:hAnsi="宋体" w:eastAsia="宋体" w:cs="宋体"/>
          <w:b w:val="0"/>
          <w:bCs w:val="0"/>
          <w:color w:val="auto"/>
          <w:sz w:val="21"/>
          <w:szCs w:val="21"/>
          <w:highlight w:val="none"/>
          <w:lang w:val="en-US"/>
        </w:rPr>
        <w:t xml:space="preserve"> 年    月     日                                                          </w:t>
      </w:r>
    </w:p>
    <w:p w14:paraId="74E32163">
      <w:pPr>
        <w:pStyle w:val="19"/>
        <w:snapToGrid w:val="0"/>
        <w:spacing w:line="560" w:lineRule="exact"/>
        <w:ind w:right="0"/>
        <w:jc w:val="left"/>
        <w:rPr>
          <w:rFonts w:hint="eastAsia" w:ascii="宋体" w:hAnsi="宋体" w:eastAsia="宋体" w:cs="宋体"/>
          <w:b w:val="0"/>
          <w:bCs w:val="0"/>
          <w:color w:val="auto"/>
          <w:sz w:val="21"/>
          <w:szCs w:val="21"/>
          <w:highlight w:val="none"/>
          <w:lang w:val="en-US"/>
        </w:rPr>
      </w:pPr>
      <w:r>
        <w:rPr>
          <w:rFonts w:hint="eastAsia" w:ascii="宋体" w:hAnsi="宋体" w:eastAsia="宋体" w:cs="宋体"/>
          <w:b w:val="0"/>
          <w:bCs w:val="0"/>
          <w:color w:val="auto"/>
          <w:sz w:val="21"/>
          <w:szCs w:val="21"/>
          <w:highlight w:val="none"/>
        </w:rPr>
        <w:t>签约地点：</w:t>
      </w:r>
      <w:r>
        <w:rPr>
          <w:rFonts w:hint="eastAsia" w:ascii="宋体" w:hAnsi="宋体" w:eastAsia="宋体" w:cs="宋体"/>
          <w:b w:val="0"/>
          <w:bCs w:val="0"/>
          <w:color w:val="auto"/>
          <w:sz w:val="21"/>
          <w:szCs w:val="21"/>
          <w:highlight w:val="none"/>
          <w:lang w:val="en-US"/>
        </w:rPr>
        <w:t>广东省东莞市</w:t>
      </w:r>
    </w:p>
    <w:p w14:paraId="04D9D17C">
      <w:pPr>
        <w:pStyle w:val="5"/>
        <w:pageBreakBefore/>
        <w:rPr>
          <w:rFonts w:hint="eastAsia" w:ascii="宋体" w:hAnsi="宋体" w:eastAsia="宋体" w:cs="宋体"/>
          <w:color w:val="auto"/>
          <w:highlight w:val="none"/>
        </w:rPr>
      </w:pPr>
      <w:r>
        <w:rPr>
          <w:rFonts w:hint="eastAsia" w:ascii="宋体" w:hAnsi="宋体" w:eastAsia="宋体" w:cs="宋体"/>
          <w:b/>
          <w:color w:val="auto"/>
          <w:highlight w:val="none"/>
        </w:rPr>
        <w:t>附件三：餐厨服务人员评分表</w:t>
      </w:r>
    </w:p>
    <w:p w14:paraId="109C5C29">
      <w:pPr>
        <w:spacing w:before="120" w:beforeLines="50" w:line="360"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餐厨服务人员评分表</w:t>
      </w:r>
    </w:p>
    <w:tbl>
      <w:tblPr>
        <w:tblStyle w:val="39"/>
        <w:tblW w:w="9108" w:type="dxa"/>
        <w:jc w:val="center"/>
        <w:tblLayout w:type="autofit"/>
        <w:tblCellMar>
          <w:top w:w="0" w:type="dxa"/>
          <w:left w:w="0" w:type="dxa"/>
          <w:bottom w:w="0" w:type="dxa"/>
          <w:right w:w="0" w:type="dxa"/>
        </w:tblCellMar>
      </w:tblPr>
      <w:tblGrid>
        <w:gridCol w:w="584"/>
        <w:gridCol w:w="451"/>
        <w:gridCol w:w="5936"/>
        <w:gridCol w:w="533"/>
        <w:gridCol w:w="469"/>
        <w:gridCol w:w="1135"/>
      </w:tblGrid>
      <w:tr w14:paraId="380CC711">
        <w:tblPrEx>
          <w:tblCellMar>
            <w:top w:w="0" w:type="dxa"/>
            <w:left w:w="0" w:type="dxa"/>
            <w:bottom w:w="0" w:type="dxa"/>
            <w:right w:w="0" w:type="dxa"/>
          </w:tblCellMar>
        </w:tblPrEx>
        <w:trPr>
          <w:trHeight w:val="806" w:hRule="atLeast"/>
          <w:jc w:val="center"/>
        </w:trPr>
        <w:tc>
          <w:tcPr>
            <w:tcW w:w="9108" w:type="dxa"/>
            <w:gridSpan w:val="6"/>
            <w:tcBorders>
              <w:top w:val="nil"/>
              <w:left w:val="nil"/>
              <w:bottom w:val="nil"/>
              <w:right w:val="nil"/>
            </w:tcBorders>
            <w:tcMar>
              <w:top w:w="12" w:type="dxa"/>
              <w:left w:w="12" w:type="dxa"/>
              <w:right w:w="12" w:type="dxa"/>
            </w:tcMar>
            <w:vAlign w:val="bottom"/>
          </w:tcPr>
          <w:p w14:paraId="67F7F3D8">
            <w:pPr>
              <w:widowControl/>
              <w:autoSpaceDE w:val="0"/>
              <w:autoSpaceDN w:val="0"/>
              <w:adjustRightInd w:val="0"/>
              <w:spacing w:line="360" w:lineRule="auto"/>
              <w:textAlignment w:val="bottom"/>
              <w:rPr>
                <w:rFonts w:hint="eastAsia" w:ascii="宋体" w:hAnsi="宋体" w:eastAsia="宋体" w:cs="宋体"/>
                <w:bCs/>
                <w:color w:val="auto"/>
                <w:kern w:val="0"/>
                <w:szCs w:val="21"/>
                <w:highlight w:val="none"/>
                <w:lang w:bidi="ar"/>
              </w:rPr>
            </w:pPr>
            <w:r>
              <w:rPr>
                <w:rFonts w:hint="eastAsia" w:ascii="宋体" w:hAnsi="宋体" w:eastAsia="宋体" w:cs="宋体"/>
                <w:bCs/>
                <w:color w:val="auto"/>
                <w:kern w:val="0"/>
                <w:szCs w:val="21"/>
                <w:highlight w:val="none"/>
                <w:lang w:bidi="ar"/>
              </w:rPr>
              <w:t xml:space="preserve">标准分：100分                 考核时间：   年   月 </w:t>
            </w:r>
          </w:p>
          <w:p w14:paraId="05C59FE1">
            <w:pPr>
              <w:widowControl/>
              <w:autoSpaceDE w:val="0"/>
              <w:autoSpaceDN w:val="0"/>
              <w:adjustRightInd w:val="0"/>
              <w:spacing w:line="360" w:lineRule="auto"/>
              <w:textAlignment w:val="bottom"/>
              <w:rPr>
                <w:rFonts w:hint="eastAsia" w:ascii="宋体" w:hAnsi="宋体" w:eastAsia="宋体" w:cs="宋体"/>
                <w:b/>
                <w:color w:val="auto"/>
                <w:kern w:val="0"/>
                <w:szCs w:val="21"/>
                <w:highlight w:val="none"/>
              </w:rPr>
            </w:pPr>
            <w:r>
              <w:rPr>
                <w:rFonts w:hint="eastAsia" w:ascii="宋体" w:hAnsi="宋体" w:eastAsia="宋体" w:cs="宋体"/>
                <w:bCs/>
                <w:color w:val="auto"/>
                <w:kern w:val="0"/>
                <w:szCs w:val="21"/>
                <w:highlight w:val="none"/>
                <w:lang w:bidi="ar"/>
              </w:rPr>
              <w:t xml:space="preserve">服务地址：    </w:t>
            </w:r>
          </w:p>
        </w:tc>
      </w:tr>
      <w:tr w14:paraId="2803F417">
        <w:tblPrEx>
          <w:tblCellMar>
            <w:top w:w="0" w:type="dxa"/>
            <w:left w:w="0" w:type="dxa"/>
            <w:bottom w:w="0" w:type="dxa"/>
            <w:right w:w="0" w:type="dxa"/>
          </w:tblCellMar>
        </w:tblPrEx>
        <w:trPr>
          <w:trHeight w:val="747" w:hRule="atLeast"/>
          <w:jc w:val="center"/>
        </w:trPr>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531C79">
            <w:pPr>
              <w:widowControl/>
              <w:autoSpaceDE w:val="0"/>
              <w:autoSpaceDN w:val="0"/>
              <w:adjustRightInd w:val="0"/>
              <w:spacing w:line="360" w:lineRule="auto"/>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类别</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4B4A1C">
            <w:pPr>
              <w:widowControl/>
              <w:autoSpaceDE w:val="0"/>
              <w:autoSpaceDN w:val="0"/>
              <w:adjustRightInd w:val="0"/>
              <w:spacing w:line="360" w:lineRule="auto"/>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序号</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BD1BD4">
            <w:pPr>
              <w:widowControl/>
              <w:autoSpaceDE w:val="0"/>
              <w:autoSpaceDN w:val="0"/>
              <w:adjustRightInd w:val="0"/>
              <w:spacing w:line="360" w:lineRule="auto"/>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考核标准</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24EB3F">
            <w:pPr>
              <w:widowControl/>
              <w:autoSpaceDE w:val="0"/>
              <w:autoSpaceDN w:val="0"/>
              <w:adjustRightInd w:val="0"/>
              <w:spacing w:line="360" w:lineRule="auto"/>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标准分</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AAEF3E">
            <w:pPr>
              <w:widowControl/>
              <w:autoSpaceDE w:val="0"/>
              <w:autoSpaceDN w:val="0"/>
              <w:adjustRightInd w:val="0"/>
              <w:spacing w:line="360" w:lineRule="auto"/>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得分</w:t>
            </w: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4DF611">
            <w:pPr>
              <w:widowControl/>
              <w:autoSpaceDE w:val="0"/>
              <w:autoSpaceDN w:val="0"/>
              <w:adjustRightInd w:val="0"/>
              <w:spacing w:line="360" w:lineRule="auto"/>
              <w:jc w:val="center"/>
              <w:textAlignment w:val="center"/>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备注</w:t>
            </w:r>
          </w:p>
        </w:tc>
      </w:tr>
      <w:tr w14:paraId="1EB35CC4">
        <w:tblPrEx>
          <w:tblCellMar>
            <w:top w:w="0" w:type="dxa"/>
            <w:left w:w="0" w:type="dxa"/>
            <w:bottom w:w="0" w:type="dxa"/>
            <w:right w:w="0" w:type="dxa"/>
          </w:tblCellMar>
        </w:tblPrEx>
        <w:trPr>
          <w:trHeight w:val="594"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3D402158">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工作纪律</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97B9D9">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FB105E">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在岗期间未按规定穿着制服、口罩、水鞋；每违反一次扣1分，扣完为止。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A947C2">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6EF8490">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026C27">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AE04928">
        <w:tblPrEx>
          <w:tblCellMar>
            <w:top w:w="0" w:type="dxa"/>
            <w:left w:w="0" w:type="dxa"/>
            <w:bottom w:w="0" w:type="dxa"/>
            <w:right w:w="0" w:type="dxa"/>
          </w:tblCellMar>
        </w:tblPrEx>
        <w:trPr>
          <w:trHeight w:val="67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0BA44A01">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394BF8">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2</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D705EF">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遵守公司排班表,不迟到，不早退，不旷工；每违反一次扣1分，扣完为止。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650A091">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58F89E">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1F9AE8">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3B52366">
        <w:tblPrEx>
          <w:tblCellMar>
            <w:top w:w="0" w:type="dxa"/>
            <w:left w:w="0" w:type="dxa"/>
            <w:bottom w:w="0" w:type="dxa"/>
            <w:right w:w="0" w:type="dxa"/>
          </w:tblCellMar>
        </w:tblPrEx>
        <w:trPr>
          <w:trHeight w:val="650"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3F8B1A31">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A82F5F">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3</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9C52410">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休假提前申请,并在安排好工作代理人后方可休假；每违反一次扣1分，扣完为止。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857022">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587D40">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91A328">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224AA07">
        <w:tblPrEx>
          <w:tblCellMar>
            <w:top w:w="0" w:type="dxa"/>
            <w:left w:w="0" w:type="dxa"/>
            <w:bottom w:w="0" w:type="dxa"/>
            <w:right w:w="0" w:type="dxa"/>
          </w:tblCellMar>
        </w:tblPrEx>
        <w:trPr>
          <w:trHeight w:val="61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27A5DC52">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C28336">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4</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75B351">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工作期间不串岗,不脱岗,不偷懒，不做与工作无关的事情；每违反一次扣1分，扣完为止。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83778F9">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9A0A8F">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7863FA">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F47904A">
        <w:tblPrEx>
          <w:tblCellMar>
            <w:top w:w="0" w:type="dxa"/>
            <w:left w:w="0" w:type="dxa"/>
            <w:bottom w:w="0" w:type="dxa"/>
            <w:right w:w="0" w:type="dxa"/>
          </w:tblCellMar>
        </w:tblPrEx>
        <w:trPr>
          <w:trHeight w:val="651"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00FB9FE4">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0FD021">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8E18AC">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全月工作态度勤恳,无接到投诉或不良反映；每接到投诉一次扣2分，扣完为止。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D6EBC9">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59EB39">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D2D256">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87EC3A6">
        <w:tblPrEx>
          <w:tblCellMar>
            <w:top w:w="0" w:type="dxa"/>
            <w:left w:w="0" w:type="dxa"/>
            <w:bottom w:w="0" w:type="dxa"/>
            <w:right w:w="0" w:type="dxa"/>
          </w:tblCellMar>
        </w:tblPrEx>
        <w:trPr>
          <w:trHeight w:val="77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5C863F61">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2B3383">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37EAFA">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与同事和睦相处，做事不斤斤计较，不因小事与同事闹矛盾，更不能当众吵架；每违反一次扣1分，扣完为止。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23C0F6">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CB220D">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2F1B99">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BDBB7A7">
        <w:tblPrEx>
          <w:tblCellMar>
            <w:top w:w="0" w:type="dxa"/>
            <w:left w:w="0" w:type="dxa"/>
            <w:bottom w:w="0" w:type="dxa"/>
            <w:right w:w="0" w:type="dxa"/>
          </w:tblCellMar>
        </w:tblPrEx>
        <w:trPr>
          <w:trHeight w:val="65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56E1B3DA">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A2ACFB">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7</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475100">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爱护公司资源，节约用水、用电；根据需要领用</w:t>
            </w:r>
            <w:r>
              <w:rPr>
                <w:rFonts w:hint="eastAsia" w:ascii="宋体" w:hAnsi="宋体" w:eastAsia="宋体" w:cs="宋体"/>
                <w:color w:val="auto"/>
                <w:kern w:val="0"/>
                <w:szCs w:val="21"/>
                <w:highlight w:val="none"/>
                <w:lang w:val="en-US" w:eastAsia="zh-CN" w:bidi="ar"/>
              </w:rPr>
              <w:t>厨房</w:t>
            </w:r>
            <w:r>
              <w:rPr>
                <w:rFonts w:hint="eastAsia" w:ascii="宋体" w:hAnsi="宋体" w:eastAsia="宋体" w:cs="宋体"/>
                <w:color w:val="auto"/>
                <w:kern w:val="0"/>
                <w:szCs w:val="21"/>
                <w:highlight w:val="none"/>
                <w:lang w:bidi="ar"/>
              </w:rPr>
              <w:t>用品，杜绝浪费；每违反一次扣1分，扣完为止。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D6258B">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260F0B">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79E18B">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C32EE98">
        <w:tblPrEx>
          <w:tblCellMar>
            <w:top w:w="0" w:type="dxa"/>
            <w:left w:w="0" w:type="dxa"/>
            <w:bottom w:w="0" w:type="dxa"/>
            <w:right w:w="0" w:type="dxa"/>
          </w:tblCellMar>
        </w:tblPrEx>
        <w:trPr>
          <w:trHeight w:val="38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FB5C409">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E8A8AA">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8</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965026">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工作人员按公司规定人数出勤，每缺一个扣3分，扣完为止。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76D3D2C">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lang w:bidi="ar"/>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AF45CB">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6CEC41">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448AC85">
        <w:tblPrEx>
          <w:tblCellMar>
            <w:top w:w="0" w:type="dxa"/>
            <w:left w:w="0" w:type="dxa"/>
            <w:bottom w:w="0" w:type="dxa"/>
            <w:right w:w="0" w:type="dxa"/>
          </w:tblCellMar>
        </w:tblPrEx>
        <w:trPr>
          <w:trHeight w:val="385"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4B8D58F5">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4C7A9BF">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9</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DE6DC7">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不服从工作安排，直接扣5分。</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BAFCEEE">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5</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8A1ACC">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06C971">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DFE16FA">
        <w:tblPrEx>
          <w:tblCellMar>
            <w:top w:w="0" w:type="dxa"/>
            <w:left w:w="0" w:type="dxa"/>
            <w:bottom w:w="0" w:type="dxa"/>
            <w:right w:w="0" w:type="dxa"/>
          </w:tblCellMar>
        </w:tblPrEx>
        <w:trPr>
          <w:trHeight w:val="714" w:hRule="atLeast"/>
          <w:jc w:val="center"/>
        </w:trPr>
        <w:tc>
          <w:tcPr>
            <w:tcW w:w="58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0C34DC">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工作要求</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CDE6A1">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EEFDCB">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人员持有效健康证上岗；未持有效健康证上岗的每发现一个扣2分，扣完为止。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F79036">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439D1B">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1B425F4">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19C53C9E">
        <w:tblPrEx>
          <w:tblCellMar>
            <w:top w:w="0" w:type="dxa"/>
            <w:left w:w="0" w:type="dxa"/>
            <w:bottom w:w="0" w:type="dxa"/>
            <w:right w:w="0" w:type="dxa"/>
          </w:tblCellMar>
        </w:tblPrEx>
        <w:trPr>
          <w:trHeight w:val="92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CC1091">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3F856F">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11</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C47FC3">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未按照公司规定时间开餐；每发现一次超时扣2分，扣完为止。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81EAD48">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FC7034">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1181032">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8634266">
        <w:tblPrEx>
          <w:tblCellMar>
            <w:top w:w="0" w:type="dxa"/>
            <w:left w:w="0" w:type="dxa"/>
            <w:bottom w:w="0" w:type="dxa"/>
            <w:right w:w="0" w:type="dxa"/>
          </w:tblCellMar>
        </w:tblPrEx>
        <w:trPr>
          <w:trHeight w:val="1039"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2464DD">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2F8167">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12</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9E1A7A">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菜品出现其他异物，如包装袋，钢丝球丝、头发；每发现一次扣2分，扣完为止。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256E48">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F74C0D">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2CCE4B">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8BA489A">
        <w:tblPrEx>
          <w:tblCellMar>
            <w:top w:w="0" w:type="dxa"/>
            <w:left w:w="0" w:type="dxa"/>
            <w:bottom w:w="0" w:type="dxa"/>
            <w:right w:w="0" w:type="dxa"/>
          </w:tblCellMar>
        </w:tblPrEx>
        <w:trPr>
          <w:trHeight w:val="1532"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D7FDC2">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22676E">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13</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583AD73">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使用变质过期食品；</w:t>
            </w:r>
            <w:r>
              <w:rPr>
                <w:rFonts w:hint="eastAsia" w:ascii="宋体" w:hAnsi="宋体" w:eastAsia="宋体" w:cs="宋体"/>
                <w:color w:val="auto"/>
                <w:kern w:val="0"/>
                <w:szCs w:val="21"/>
                <w:highlight w:val="none"/>
                <w:lang w:bidi="ar"/>
              </w:rPr>
              <w:t>每</w:t>
            </w:r>
            <w:r>
              <w:rPr>
                <w:rFonts w:hint="eastAsia" w:ascii="宋体" w:hAnsi="宋体" w:eastAsia="宋体" w:cs="宋体"/>
                <w:color w:val="auto"/>
                <w:kern w:val="0"/>
                <w:szCs w:val="21"/>
                <w:highlight w:val="none"/>
              </w:rPr>
              <w:t>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EC344E">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1D90FC4">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490F32">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7E1E86F4">
        <w:tblPrEx>
          <w:tblCellMar>
            <w:top w:w="0" w:type="dxa"/>
            <w:left w:w="0" w:type="dxa"/>
            <w:bottom w:w="0" w:type="dxa"/>
            <w:right w:w="0" w:type="dxa"/>
          </w:tblCellMar>
        </w:tblPrEx>
        <w:trPr>
          <w:trHeight w:val="816"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76DCC5">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955E8E">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14</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D59774">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未按公司规定进行留样；每发现一次扣2分，扣完为止。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988205">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F6ABADB">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F952B5">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6130509A">
        <w:tblPrEx>
          <w:tblCellMar>
            <w:top w:w="0" w:type="dxa"/>
            <w:left w:w="0" w:type="dxa"/>
            <w:bottom w:w="0" w:type="dxa"/>
            <w:right w:w="0" w:type="dxa"/>
          </w:tblCellMar>
        </w:tblPrEx>
        <w:trPr>
          <w:trHeight w:val="7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DE5CD1">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3A13340">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15</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EF0AB8A">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未按公司规定进行食堂清洁和消毒；</w:t>
            </w:r>
            <w:r>
              <w:rPr>
                <w:rFonts w:hint="eastAsia" w:ascii="宋体" w:hAnsi="宋体" w:eastAsia="宋体" w:cs="宋体"/>
                <w:color w:val="auto"/>
                <w:kern w:val="0"/>
                <w:szCs w:val="21"/>
                <w:highlight w:val="none"/>
                <w:lang w:bidi="ar"/>
              </w:rPr>
              <w:t>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73FD4E">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8A2CF9D">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C94506">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2D0F4181">
        <w:tblPrEx>
          <w:tblCellMar>
            <w:top w:w="0" w:type="dxa"/>
            <w:left w:w="0" w:type="dxa"/>
            <w:bottom w:w="0" w:type="dxa"/>
            <w:right w:w="0" w:type="dxa"/>
          </w:tblCellMar>
        </w:tblPrEx>
        <w:trPr>
          <w:trHeight w:val="7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63F097">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92A1505">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16</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FEA385">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库房要按公司规定保持清洁、干燥，摆放物品要规范、整洁，未按要求的每发现一次扣2分，扣完为止。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23B782">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AB2F938">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1E11E8">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4E06CD9A">
        <w:tblPrEx>
          <w:tblCellMar>
            <w:top w:w="0" w:type="dxa"/>
            <w:left w:w="0" w:type="dxa"/>
            <w:bottom w:w="0" w:type="dxa"/>
            <w:right w:w="0" w:type="dxa"/>
          </w:tblCellMar>
        </w:tblPrEx>
        <w:trPr>
          <w:trHeight w:val="747"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D2CEBA3">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54CC464">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17</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E5C919">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厨具需清洁卫生、无油迹及污迹，未达要求的每发现一次扣2分，扣完为止。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354DC5">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42DA15C">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E7DA85">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6802CA7">
        <w:tblPrEx>
          <w:tblCellMar>
            <w:top w:w="0" w:type="dxa"/>
            <w:left w:w="0" w:type="dxa"/>
            <w:bottom w:w="0" w:type="dxa"/>
            <w:right w:w="0" w:type="dxa"/>
          </w:tblCellMar>
        </w:tblPrEx>
        <w:trPr>
          <w:trHeight w:val="544" w:hRule="atLeast"/>
          <w:jc w:val="center"/>
        </w:trPr>
        <w:tc>
          <w:tcPr>
            <w:tcW w:w="58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5BB15A7">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9B8CFA">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18</w:t>
            </w: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1A1FFE">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严格遵守《东莞市水务集团管网有限公司食堂管理办法》内容规定，未落实规定的</w:t>
            </w:r>
            <w:r>
              <w:rPr>
                <w:rFonts w:hint="eastAsia" w:ascii="宋体" w:hAnsi="宋体" w:eastAsia="宋体" w:cs="宋体"/>
                <w:color w:val="auto"/>
                <w:kern w:val="0"/>
                <w:szCs w:val="21"/>
                <w:highlight w:val="none"/>
              </w:rPr>
              <w:t>每发现一次扣2分，扣完为止。</w:t>
            </w: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5CC922">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6</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9D4746">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ADABFE">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5B0DA351">
        <w:tblPrEx>
          <w:tblCellMar>
            <w:top w:w="0" w:type="dxa"/>
            <w:left w:w="0" w:type="dxa"/>
            <w:bottom w:w="0" w:type="dxa"/>
            <w:right w:w="0" w:type="dxa"/>
          </w:tblCellMar>
        </w:tblPrEx>
        <w:trPr>
          <w:trHeight w:val="385" w:hRule="atLeast"/>
          <w:jc w:val="center"/>
        </w:trPr>
        <w:tc>
          <w:tcPr>
            <w:tcW w:w="58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39710A">
            <w:pPr>
              <w:widowControl/>
              <w:autoSpaceDE w:val="0"/>
              <w:autoSpaceDN w:val="0"/>
              <w:adjustRightInd w:val="0"/>
              <w:spacing w:line="360" w:lineRule="auto"/>
              <w:jc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合计</w:t>
            </w:r>
          </w:p>
        </w:tc>
        <w:tc>
          <w:tcPr>
            <w:tcW w:w="4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244216">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593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3104F2E">
            <w:pPr>
              <w:widowControl/>
              <w:autoSpaceDE w:val="0"/>
              <w:autoSpaceDN w:val="0"/>
              <w:adjustRightInd w:val="0"/>
              <w:spacing w:line="360" w:lineRule="auto"/>
              <w:jc w:val="left"/>
              <w:rPr>
                <w:rFonts w:hint="eastAsia" w:ascii="宋体" w:hAnsi="宋体" w:eastAsia="宋体" w:cs="宋体"/>
                <w:color w:val="auto"/>
                <w:kern w:val="0"/>
                <w:szCs w:val="21"/>
                <w:highlight w:val="none"/>
              </w:rPr>
            </w:pPr>
          </w:p>
        </w:tc>
        <w:tc>
          <w:tcPr>
            <w:tcW w:w="5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66560E">
            <w:pPr>
              <w:widowControl/>
              <w:autoSpaceDE w:val="0"/>
              <w:autoSpaceDN w:val="0"/>
              <w:adjustRightInd w:val="0"/>
              <w:spacing w:line="360" w:lineRule="auto"/>
              <w:jc w:val="center"/>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100</w:t>
            </w:r>
          </w:p>
        </w:tc>
        <w:tc>
          <w:tcPr>
            <w:tcW w:w="46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5F915B">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c>
          <w:tcPr>
            <w:tcW w:w="113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B7E8E9">
            <w:pPr>
              <w:widowControl/>
              <w:autoSpaceDE w:val="0"/>
              <w:autoSpaceDN w:val="0"/>
              <w:adjustRightInd w:val="0"/>
              <w:spacing w:line="360" w:lineRule="auto"/>
              <w:jc w:val="center"/>
              <w:rPr>
                <w:rFonts w:hint="eastAsia" w:ascii="宋体" w:hAnsi="宋体" w:eastAsia="宋体" w:cs="宋体"/>
                <w:color w:val="auto"/>
                <w:kern w:val="0"/>
                <w:szCs w:val="21"/>
                <w:highlight w:val="none"/>
              </w:rPr>
            </w:pPr>
          </w:p>
        </w:tc>
      </w:tr>
      <w:tr w14:paraId="0F646653">
        <w:tblPrEx>
          <w:tblCellMar>
            <w:top w:w="0" w:type="dxa"/>
            <w:left w:w="0" w:type="dxa"/>
            <w:bottom w:w="0" w:type="dxa"/>
            <w:right w:w="0" w:type="dxa"/>
          </w:tblCellMar>
        </w:tblPrEx>
        <w:trPr>
          <w:trHeight w:val="501" w:hRule="atLeast"/>
          <w:jc w:val="center"/>
        </w:trPr>
        <w:tc>
          <w:tcPr>
            <w:tcW w:w="9108" w:type="dxa"/>
            <w:gridSpan w:val="6"/>
            <w:tcBorders>
              <w:top w:val="nil"/>
              <w:left w:val="nil"/>
              <w:bottom w:val="nil"/>
              <w:right w:val="nil"/>
            </w:tcBorders>
            <w:tcMar>
              <w:top w:w="12" w:type="dxa"/>
              <w:left w:w="12" w:type="dxa"/>
              <w:right w:w="12" w:type="dxa"/>
            </w:tcMar>
            <w:vAlign w:val="center"/>
          </w:tcPr>
          <w:p w14:paraId="1D07558E">
            <w:pPr>
              <w:widowControl/>
              <w:autoSpaceDE w:val="0"/>
              <w:autoSpaceDN w:val="0"/>
              <w:adjustRightInd w:val="0"/>
              <w:spacing w:line="360" w:lineRule="auto"/>
              <w:jc w:val="left"/>
              <w:textAlignment w:val="center"/>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bidi="ar"/>
              </w:rPr>
              <w:t>评分人：                                             部门负责人：</w:t>
            </w:r>
          </w:p>
        </w:tc>
      </w:tr>
    </w:tbl>
    <w:p w14:paraId="0A18B2C3">
      <w:pPr>
        <w:pStyle w:val="2"/>
        <w:rPr>
          <w:rFonts w:hint="eastAsia" w:ascii="宋体" w:hAnsi="宋体" w:eastAsia="宋体" w:cs="宋体"/>
          <w:color w:val="auto"/>
          <w:highlight w:val="none"/>
        </w:rPr>
      </w:pPr>
    </w:p>
    <w:p w14:paraId="12234C53">
      <w:pPr>
        <w:pStyle w:val="5"/>
        <w:pageBreakBefore/>
        <w:rPr>
          <w:rFonts w:hint="eastAsia" w:ascii="宋体" w:hAnsi="宋体" w:eastAsia="宋体" w:cs="宋体"/>
          <w:b/>
          <w:color w:val="auto"/>
          <w:highlight w:val="none"/>
        </w:rPr>
      </w:pPr>
      <w:r>
        <w:rPr>
          <w:rFonts w:hint="eastAsia" w:ascii="宋体" w:hAnsi="宋体" w:eastAsia="宋体" w:cs="宋体"/>
          <w:b/>
          <w:color w:val="auto"/>
          <w:highlight w:val="none"/>
        </w:rPr>
        <w:t>附件四：清洁服务人员评分表</w:t>
      </w:r>
    </w:p>
    <w:p w14:paraId="56EE8BE1">
      <w:pPr>
        <w:spacing w:before="120" w:beforeLines="50" w:line="360" w:lineRule="auto"/>
        <w:jc w:val="center"/>
        <w:rPr>
          <w:rFonts w:hint="eastAsia" w:ascii="宋体" w:hAnsi="宋体" w:eastAsia="宋体" w:cs="宋体"/>
          <w:b/>
          <w:color w:val="auto"/>
          <w:sz w:val="32"/>
          <w:szCs w:val="32"/>
          <w:highlight w:val="none"/>
          <w:lang w:bidi="ar"/>
        </w:rPr>
      </w:pPr>
      <w:r>
        <w:rPr>
          <w:rFonts w:hint="eastAsia" w:ascii="宋体" w:hAnsi="宋体" w:eastAsia="宋体" w:cs="宋体"/>
          <w:b/>
          <w:color w:val="auto"/>
          <w:sz w:val="32"/>
          <w:szCs w:val="32"/>
          <w:highlight w:val="none"/>
          <w:lang w:bidi="ar"/>
        </w:rPr>
        <w:t>清洁服务人员评分表</w:t>
      </w:r>
    </w:p>
    <w:tbl>
      <w:tblPr>
        <w:tblStyle w:val="39"/>
        <w:tblW w:w="9108" w:type="dxa"/>
        <w:jc w:val="center"/>
        <w:tblLayout w:type="autofit"/>
        <w:tblCellMar>
          <w:top w:w="0" w:type="dxa"/>
          <w:left w:w="0" w:type="dxa"/>
          <w:bottom w:w="0" w:type="dxa"/>
          <w:right w:w="0" w:type="dxa"/>
        </w:tblCellMar>
      </w:tblPr>
      <w:tblGrid>
        <w:gridCol w:w="937"/>
        <w:gridCol w:w="725"/>
        <w:gridCol w:w="5115"/>
        <w:gridCol w:w="779"/>
        <w:gridCol w:w="779"/>
        <w:gridCol w:w="773"/>
      </w:tblGrid>
      <w:tr w14:paraId="1AE8A536">
        <w:tblPrEx>
          <w:tblCellMar>
            <w:top w:w="0" w:type="dxa"/>
            <w:left w:w="0" w:type="dxa"/>
            <w:bottom w:w="0" w:type="dxa"/>
            <w:right w:w="0" w:type="dxa"/>
          </w:tblCellMar>
        </w:tblPrEx>
        <w:trPr>
          <w:trHeight w:val="806" w:hRule="atLeast"/>
          <w:jc w:val="center"/>
        </w:trPr>
        <w:tc>
          <w:tcPr>
            <w:tcW w:w="9082"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bottom"/>
          </w:tcPr>
          <w:p w14:paraId="7FBEF2C0">
            <w:pPr>
              <w:widowControl/>
              <w:spacing w:line="560" w:lineRule="exact"/>
              <w:jc w:val="center"/>
              <w:textAlignment w:val="bottom"/>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                           标准分：100分          考核时间：   年   月</w:t>
            </w:r>
          </w:p>
          <w:p w14:paraId="6C1E2BE3">
            <w:pPr>
              <w:widowControl/>
              <w:spacing w:line="560" w:lineRule="exact"/>
              <w:textAlignment w:val="bottom"/>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bidi="ar"/>
              </w:rPr>
              <w:t xml:space="preserve">服务地址：    </w:t>
            </w:r>
          </w:p>
        </w:tc>
      </w:tr>
      <w:tr w14:paraId="51426A7A">
        <w:tblPrEx>
          <w:tblCellMar>
            <w:top w:w="0" w:type="dxa"/>
            <w:left w:w="0" w:type="dxa"/>
            <w:bottom w:w="0" w:type="dxa"/>
            <w:right w:w="0" w:type="dxa"/>
          </w:tblCellMar>
        </w:tblPrEx>
        <w:trPr>
          <w:trHeight w:val="747" w:hRule="atLeast"/>
          <w:jc w:val="center"/>
        </w:trPr>
        <w:tc>
          <w:tcPr>
            <w:tcW w:w="934"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E83C634">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类别</w:t>
            </w:r>
          </w:p>
        </w:tc>
        <w:tc>
          <w:tcPr>
            <w:tcW w:w="723"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769A083">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序号</w:t>
            </w:r>
          </w:p>
        </w:tc>
        <w:tc>
          <w:tcPr>
            <w:tcW w:w="5100"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3E0D96C">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考核标准</w:t>
            </w:r>
          </w:p>
        </w:tc>
        <w:tc>
          <w:tcPr>
            <w:tcW w:w="77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0E1A2DDC">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标准分</w:t>
            </w:r>
          </w:p>
        </w:tc>
        <w:tc>
          <w:tcPr>
            <w:tcW w:w="777"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13DD7200">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得分</w:t>
            </w:r>
          </w:p>
        </w:tc>
        <w:tc>
          <w:tcPr>
            <w:tcW w:w="771" w:type="dxa"/>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2A353952">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备注</w:t>
            </w:r>
          </w:p>
        </w:tc>
      </w:tr>
      <w:tr w14:paraId="0AF1F323">
        <w:tblPrEx>
          <w:tblCellMar>
            <w:top w:w="0" w:type="dxa"/>
            <w:left w:w="0" w:type="dxa"/>
            <w:bottom w:w="0" w:type="dxa"/>
            <w:right w:w="0" w:type="dxa"/>
          </w:tblCellMar>
        </w:tblPrEx>
        <w:trPr>
          <w:trHeight w:val="594" w:hRule="atLeast"/>
          <w:jc w:val="center"/>
        </w:trPr>
        <w:tc>
          <w:tcPr>
            <w:tcW w:w="934" w:type="dxa"/>
            <w:vMerge w:val="restart"/>
            <w:tcBorders>
              <w:top w:val="single" w:color="auto"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28B0051D">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工作纪律</w:t>
            </w:r>
          </w:p>
        </w:tc>
        <w:tc>
          <w:tcPr>
            <w:tcW w:w="723"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5F9D2732">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5100"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5CED177F">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在岗期间未按规定着制服；每违反一次扣1分，扣完为止。</w:t>
            </w:r>
          </w:p>
        </w:tc>
        <w:tc>
          <w:tcPr>
            <w:tcW w:w="777"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4526383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284A816B">
            <w:pPr>
              <w:widowControl/>
              <w:spacing w:line="300" w:lineRule="exact"/>
              <w:jc w:val="center"/>
              <w:rPr>
                <w:rFonts w:hint="eastAsia" w:ascii="宋体" w:hAnsi="宋体" w:eastAsia="宋体" w:cs="宋体"/>
                <w:color w:val="auto"/>
                <w:szCs w:val="21"/>
                <w:highlight w:val="none"/>
              </w:rPr>
            </w:pPr>
          </w:p>
        </w:tc>
        <w:tc>
          <w:tcPr>
            <w:tcW w:w="771" w:type="dxa"/>
            <w:tcBorders>
              <w:top w:val="single" w:color="auto" w:sz="4" w:space="0"/>
              <w:left w:val="single" w:color="000000" w:sz="4" w:space="0"/>
              <w:bottom w:val="single" w:color="000000" w:sz="4" w:space="0"/>
              <w:right w:val="single" w:color="000000" w:sz="4" w:space="0"/>
            </w:tcBorders>
            <w:tcMar>
              <w:top w:w="12" w:type="dxa"/>
              <w:left w:w="12" w:type="dxa"/>
              <w:right w:w="12" w:type="dxa"/>
            </w:tcMar>
            <w:vAlign w:val="center"/>
          </w:tcPr>
          <w:p w14:paraId="66FF90B1">
            <w:pPr>
              <w:widowControl/>
              <w:spacing w:line="300" w:lineRule="exact"/>
              <w:jc w:val="center"/>
              <w:rPr>
                <w:rFonts w:hint="eastAsia" w:ascii="宋体" w:hAnsi="宋体" w:eastAsia="宋体" w:cs="宋体"/>
                <w:color w:val="auto"/>
                <w:szCs w:val="21"/>
                <w:highlight w:val="none"/>
              </w:rPr>
            </w:pPr>
          </w:p>
        </w:tc>
      </w:tr>
      <w:tr w14:paraId="2A14CAA6">
        <w:tblPrEx>
          <w:tblCellMar>
            <w:top w:w="0" w:type="dxa"/>
            <w:left w:w="0" w:type="dxa"/>
            <w:bottom w:w="0" w:type="dxa"/>
            <w:right w:w="0" w:type="dxa"/>
          </w:tblCellMar>
        </w:tblPrEx>
        <w:trPr>
          <w:trHeight w:val="679"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6D6A99E5">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0CBC5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10BD356">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遵守公司清洁排班表,不迟到，不早退，不旷工；每违反一次扣1分，扣完为止。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D858C5A">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AF01827">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DD8E87">
            <w:pPr>
              <w:widowControl/>
              <w:spacing w:line="300" w:lineRule="exact"/>
              <w:jc w:val="center"/>
              <w:rPr>
                <w:rFonts w:hint="eastAsia" w:ascii="宋体" w:hAnsi="宋体" w:eastAsia="宋体" w:cs="宋体"/>
                <w:color w:val="auto"/>
                <w:szCs w:val="21"/>
                <w:highlight w:val="none"/>
              </w:rPr>
            </w:pPr>
          </w:p>
        </w:tc>
      </w:tr>
      <w:tr w14:paraId="51D87400">
        <w:tblPrEx>
          <w:tblCellMar>
            <w:top w:w="0" w:type="dxa"/>
            <w:left w:w="0" w:type="dxa"/>
            <w:bottom w:w="0" w:type="dxa"/>
            <w:right w:w="0" w:type="dxa"/>
          </w:tblCellMar>
        </w:tblPrEx>
        <w:trPr>
          <w:trHeight w:val="650"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215C9695">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9E0380">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B9E31C5">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休假提前申请,并在安排好工作代理人后方可休假；每违反一次扣1分，扣完为止。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80E46A">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294BD4">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B4AE97E">
            <w:pPr>
              <w:widowControl/>
              <w:spacing w:line="300" w:lineRule="exact"/>
              <w:jc w:val="center"/>
              <w:rPr>
                <w:rFonts w:hint="eastAsia" w:ascii="宋体" w:hAnsi="宋体" w:eastAsia="宋体" w:cs="宋体"/>
                <w:color w:val="auto"/>
                <w:szCs w:val="21"/>
                <w:highlight w:val="none"/>
              </w:rPr>
            </w:pPr>
          </w:p>
        </w:tc>
      </w:tr>
      <w:tr w14:paraId="5E11310E">
        <w:tblPrEx>
          <w:tblCellMar>
            <w:top w:w="0" w:type="dxa"/>
            <w:left w:w="0" w:type="dxa"/>
            <w:bottom w:w="0" w:type="dxa"/>
            <w:right w:w="0" w:type="dxa"/>
          </w:tblCellMar>
        </w:tblPrEx>
        <w:trPr>
          <w:trHeight w:val="61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7A166979">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C1B730">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3AC3BB">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工作期间不串岗,不脱岗,不偷懒，不做与工作无关的事情；每违反一次扣1分，扣完为止。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BE5B9C">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205EE6">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126DDE7">
            <w:pPr>
              <w:widowControl/>
              <w:spacing w:line="300" w:lineRule="exact"/>
              <w:jc w:val="center"/>
              <w:rPr>
                <w:rFonts w:hint="eastAsia" w:ascii="宋体" w:hAnsi="宋体" w:eastAsia="宋体" w:cs="宋体"/>
                <w:color w:val="auto"/>
                <w:szCs w:val="21"/>
                <w:highlight w:val="none"/>
              </w:rPr>
            </w:pPr>
          </w:p>
        </w:tc>
      </w:tr>
      <w:tr w14:paraId="57D43271">
        <w:tblPrEx>
          <w:tblCellMar>
            <w:top w:w="0" w:type="dxa"/>
            <w:left w:w="0" w:type="dxa"/>
            <w:bottom w:w="0" w:type="dxa"/>
            <w:right w:w="0" w:type="dxa"/>
          </w:tblCellMar>
        </w:tblPrEx>
        <w:trPr>
          <w:trHeight w:val="651"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2E55488E">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8C1726">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3D595A">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全月工作态度勤恳,无接到投诉或不良反映；每接到投诉一次扣2分，扣完为止。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520F9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673649">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EF7CEDB">
            <w:pPr>
              <w:widowControl/>
              <w:spacing w:line="300" w:lineRule="exact"/>
              <w:jc w:val="center"/>
              <w:rPr>
                <w:rFonts w:hint="eastAsia" w:ascii="宋体" w:hAnsi="宋体" w:eastAsia="宋体" w:cs="宋体"/>
                <w:color w:val="auto"/>
                <w:szCs w:val="21"/>
                <w:highlight w:val="none"/>
              </w:rPr>
            </w:pPr>
          </w:p>
        </w:tc>
      </w:tr>
      <w:tr w14:paraId="7815E1A2">
        <w:tblPrEx>
          <w:tblCellMar>
            <w:top w:w="0" w:type="dxa"/>
            <w:left w:w="0" w:type="dxa"/>
            <w:bottom w:w="0" w:type="dxa"/>
            <w:right w:w="0" w:type="dxa"/>
          </w:tblCellMar>
        </w:tblPrEx>
        <w:trPr>
          <w:trHeight w:val="77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09D111D5">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F3BB2D7">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8B3E2B">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与同事和睦相处，做事不斤斤计较，不因小事与同事闹矛盾，更不能当众吵架；每违反一次扣1分，扣完为止。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972DB8">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F33567">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410F68">
            <w:pPr>
              <w:widowControl/>
              <w:spacing w:line="300" w:lineRule="exact"/>
              <w:jc w:val="center"/>
              <w:rPr>
                <w:rFonts w:hint="eastAsia" w:ascii="宋体" w:hAnsi="宋体" w:eastAsia="宋体" w:cs="宋体"/>
                <w:color w:val="auto"/>
                <w:szCs w:val="21"/>
                <w:highlight w:val="none"/>
              </w:rPr>
            </w:pPr>
          </w:p>
        </w:tc>
      </w:tr>
      <w:tr w14:paraId="039BD3F9">
        <w:tblPrEx>
          <w:tblCellMar>
            <w:top w:w="0" w:type="dxa"/>
            <w:left w:w="0" w:type="dxa"/>
            <w:bottom w:w="0" w:type="dxa"/>
            <w:right w:w="0" w:type="dxa"/>
          </w:tblCellMar>
        </w:tblPrEx>
        <w:trPr>
          <w:trHeight w:val="652"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3EE992E9">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A187C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7</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C84852">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爱护公司资源,节约用水、用电；根据需要领用劳保用品，杜绝浪费；每违反一次扣1分，扣完为止。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19DF02">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100EE1">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617824">
            <w:pPr>
              <w:widowControl/>
              <w:spacing w:line="300" w:lineRule="exact"/>
              <w:jc w:val="center"/>
              <w:rPr>
                <w:rFonts w:hint="eastAsia" w:ascii="宋体" w:hAnsi="宋体" w:eastAsia="宋体" w:cs="宋体"/>
                <w:color w:val="auto"/>
                <w:szCs w:val="21"/>
                <w:highlight w:val="none"/>
              </w:rPr>
            </w:pPr>
          </w:p>
        </w:tc>
      </w:tr>
      <w:tr w14:paraId="7C726030">
        <w:tblPrEx>
          <w:tblCellMar>
            <w:top w:w="0" w:type="dxa"/>
            <w:left w:w="0" w:type="dxa"/>
            <w:bottom w:w="0" w:type="dxa"/>
            <w:right w:w="0" w:type="dxa"/>
          </w:tblCellMar>
        </w:tblPrEx>
        <w:trPr>
          <w:trHeight w:val="693"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43933088">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E39D37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8</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00A41E">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每小时巡查卫生一次，确保所管区域清洁；每违反一次扣1分，扣完为止。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B1ADCC">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994FCC8">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8C85F7">
            <w:pPr>
              <w:widowControl/>
              <w:spacing w:line="300" w:lineRule="exact"/>
              <w:jc w:val="center"/>
              <w:rPr>
                <w:rFonts w:hint="eastAsia" w:ascii="宋体" w:hAnsi="宋体" w:eastAsia="宋体" w:cs="宋体"/>
                <w:color w:val="auto"/>
                <w:szCs w:val="21"/>
                <w:highlight w:val="none"/>
              </w:rPr>
            </w:pPr>
          </w:p>
        </w:tc>
      </w:tr>
      <w:tr w14:paraId="7493B92F">
        <w:tblPrEx>
          <w:tblCellMar>
            <w:top w:w="0" w:type="dxa"/>
            <w:left w:w="0" w:type="dxa"/>
            <w:bottom w:w="0" w:type="dxa"/>
            <w:right w:w="0" w:type="dxa"/>
          </w:tblCellMar>
        </w:tblPrEx>
        <w:trPr>
          <w:trHeight w:val="385"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textDirection w:val="tbRlV"/>
            <w:vAlign w:val="center"/>
          </w:tcPr>
          <w:p w14:paraId="161B48B3">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7F883D1">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9</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FCB81F2">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不服从工作安排，直接扣5分。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244097">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96F0C7">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33A63B">
            <w:pPr>
              <w:widowControl/>
              <w:spacing w:line="300" w:lineRule="exact"/>
              <w:jc w:val="center"/>
              <w:rPr>
                <w:rFonts w:hint="eastAsia" w:ascii="宋体" w:hAnsi="宋体" w:eastAsia="宋体" w:cs="宋体"/>
                <w:color w:val="auto"/>
                <w:szCs w:val="21"/>
                <w:highlight w:val="none"/>
              </w:rPr>
            </w:pPr>
          </w:p>
        </w:tc>
      </w:tr>
      <w:tr w14:paraId="4C3B3D95">
        <w:tblPrEx>
          <w:tblCellMar>
            <w:top w:w="0" w:type="dxa"/>
            <w:left w:w="0" w:type="dxa"/>
            <w:bottom w:w="0" w:type="dxa"/>
            <w:right w:w="0" w:type="dxa"/>
          </w:tblCellMar>
        </w:tblPrEx>
        <w:trPr>
          <w:trHeight w:val="714" w:hRule="atLeast"/>
          <w:jc w:val="center"/>
        </w:trPr>
        <w:tc>
          <w:tcPr>
            <w:tcW w:w="934"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68722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环境卫生</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218B451">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496F2E">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每天按公司要求清扫办公楼，未按要求每违反一次扣1分，扣完为止。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5C6E154">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AE9181">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C8456F2">
            <w:pPr>
              <w:widowControl/>
              <w:spacing w:line="300" w:lineRule="exact"/>
              <w:jc w:val="center"/>
              <w:rPr>
                <w:rFonts w:hint="eastAsia" w:ascii="宋体" w:hAnsi="宋体" w:eastAsia="宋体" w:cs="宋体"/>
                <w:color w:val="auto"/>
                <w:szCs w:val="21"/>
                <w:highlight w:val="none"/>
              </w:rPr>
            </w:pPr>
          </w:p>
        </w:tc>
      </w:tr>
      <w:tr w14:paraId="34F4004E">
        <w:tblPrEx>
          <w:tblCellMar>
            <w:top w:w="0" w:type="dxa"/>
            <w:left w:w="0" w:type="dxa"/>
            <w:bottom w:w="0" w:type="dxa"/>
            <w:right w:w="0" w:type="dxa"/>
          </w:tblCellMar>
        </w:tblPrEx>
        <w:trPr>
          <w:trHeight w:val="92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FB4186">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B46678">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11</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3A4DD7">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每天上班后首先清除楼道内的垃圾，并及时将垃圾运送到指定地点，办公楼清洁按公司规定清扫各楼内卫生；每违反一次扣1分，扣完为止。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910C75E">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65B6D21">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E80184F">
            <w:pPr>
              <w:widowControl/>
              <w:spacing w:line="300" w:lineRule="exact"/>
              <w:jc w:val="center"/>
              <w:rPr>
                <w:rFonts w:hint="eastAsia" w:ascii="宋体" w:hAnsi="宋体" w:eastAsia="宋体" w:cs="宋体"/>
                <w:color w:val="auto"/>
                <w:szCs w:val="21"/>
                <w:highlight w:val="none"/>
              </w:rPr>
            </w:pPr>
          </w:p>
        </w:tc>
      </w:tr>
      <w:tr w14:paraId="213D8CC9">
        <w:tblPrEx>
          <w:tblCellMar>
            <w:top w:w="0" w:type="dxa"/>
            <w:left w:w="0" w:type="dxa"/>
            <w:bottom w:w="0" w:type="dxa"/>
            <w:right w:w="0" w:type="dxa"/>
          </w:tblCellMar>
        </w:tblPrEx>
        <w:trPr>
          <w:trHeight w:val="1039"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0ACB1BB">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75940B5">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12</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2BB9D5">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走廊、楼梯等公共卫生区域地面灰尘、痰迹、烟头、纸屑等杂物，地面、墙角无积灰、无杂物、无污（包括地角墙壁）；每发现一次扣1分，扣完为止。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39C7BE">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DC1A99">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52C4BB">
            <w:pPr>
              <w:widowControl/>
              <w:spacing w:line="300" w:lineRule="exact"/>
              <w:jc w:val="center"/>
              <w:rPr>
                <w:rFonts w:hint="eastAsia" w:ascii="宋体" w:hAnsi="宋体" w:eastAsia="宋体" w:cs="宋体"/>
                <w:color w:val="auto"/>
                <w:szCs w:val="21"/>
                <w:highlight w:val="none"/>
              </w:rPr>
            </w:pPr>
          </w:p>
        </w:tc>
      </w:tr>
      <w:tr w14:paraId="3B8462D8">
        <w:tblPrEx>
          <w:tblCellMar>
            <w:top w:w="0" w:type="dxa"/>
            <w:left w:w="0" w:type="dxa"/>
            <w:bottom w:w="0" w:type="dxa"/>
            <w:right w:w="0" w:type="dxa"/>
          </w:tblCellMar>
        </w:tblPrEx>
        <w:trPr>
          <w:trHeight w:val="1532"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D6412E">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195515">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13</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D67155E">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卫生间无异味，便池内无积存便垢，地面无污水、污垢、痰迹、烟头；水池无明显沉淀、无虫子，池边底无明显结垢现象，定期消毒、盐酸清洗，四壁瓷砖无污迹、无积灰，间隔墙顶无积灰、无杂物，水箱内无大沉淀物、外无污渍；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C036E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A3A1694">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C29ED9">
            <w:pPr>
              <w:widowControl/>
              <w:spacing w:line="300" w:lineRule="exact"/>
              <w:jc w:val="center"/>
              <w:rPr>
                <w:rFonts w:hint="eastAsia" w:ascii="宋体" w:hAnsi="宋体" w:eastAsia="宋体" w:cs="宋体"/>
                <w:color w:val="auto"/>
                <w:szCs w:val="21"/>
                <w:highlight w:val="none"/>
              </w:rPr>
            </w:pPr>
          </w:p>
        </w:tc>
      </w:tr>
      <w:tr w14:paraId="5DD2319B">
        <w:tblPrEx>
          <w:tblCellMar>
            <w:top w:w="0" w:type="dxa"/>
            <w:left w:w="0" w:type="dxa"/>
            <w:bottom w:w="0" w:type="dxa"/>
            <w:right w:w="0" w:type="dxa"/>
          </w:tblCellMar>
        </w:tblPrEx>
        <w:trPr>
          <w:trHeight w:val="816"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DFDADF">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02B75FA">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14</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F9D00A">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洗手间内水池四周及水龙头清洁无水迹，水池下弯管无积灰、无污渍，镜面无水迹，镜框无锈迹；每发现一次扣1分，扣完为止。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8ACAC6">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85574A">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33C8789">
            <w:pPr>
              <w:widowControl/>
              <w:spacing w:line="300" w:lineRule="exact"/>
              <w:jc w:val="center"/>
              <w:rPr>
                <w:rFonts w:hint="eastAsia" w:ascii="宋体" w:hAnsi="宋体" w:eastAsia="宋体" w:cs="宋体"/>
                <w:color w:val="auto"/>
                <w:szCs w:val="21"/>
                <w:highlight w:val="none"/>
              </w:rPr>
            </w:pPr>
          </w:p>
        </w:tc>
      </w:tr>
      <w:tr w14:paraId="715A0591">
        <w:tblPrEx>
          <w:tblCellMar>
            <w:top w:w="0" w:type="dxa"/>
            <w:left w:w="0" w:type="dxa"/>
            <w:bottom w:w="0" w:type="dxa"/>
            <w:right w:w="0" w:type="dxa"/>
          </w:tblCellMar>
        </w:tblPrEx>
        <w:trPr>
          <w:trHeight w:val="74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0B25BF0">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46198CC">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15</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FC59894">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楼梯扶手、栏杆、窗台要用湿抹布擦干净，无灰尘、污渍；每发现一次扣1分，扣完为止。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DF8365">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81C388">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0F93CC">
            <w:pPr>
              <w:widowControl/>
              <w:spacing w:line="300" w:lineRule="exact"/>
              <w:jc w:val="center"/>
              <w:rPr>
                <w:rFonts w:hint="eastAsia" w:ascii="宋体" w:hAnsi="宋体" w:eastAsia="宋体" w:cs="宋体"/>
                <w:color w:val="auto"/>
                <w:szCs w:val="21"/>
                <w:highlight w:val="none"/>
              </w:rPr>
            </w:pPr>
          </w:p>
        </w:tc>
      </w:tr>
      <w:tr w14:paraId="160F0CEC">
        <w:tblPrEx>
          <w:tblCellMar>
            <w:top w:w="0" w:type="dxa"/>
            <w:left w:w="0" w:type="dxa"/>
            <w:bottom w:w="0" w:type="dxa"/>
            <w:right w:w="0" w:type="dxa"/>
          </w:tblCellMar>
        </w:tblPrEx>
        <w:trPr>
          <w:trHeight w:val="74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67B541E">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33CB908">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16</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9CC7D36">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墙壁、天花板无蜘蛛网、脚印、球印、痰迹等；每发现一次扣1分，扣完为止。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5F57E2">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CC11AE">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3AFCCB8">
            <w:pPr>
              <w:widowControl/>
              <w:spacing w:line="300" w:lineRule="exact"/>
              <w:jc w:val="center"/>
              <w:rPr>
                <w:rFonts w:hint="eastAsia" w:ascii="宋体" w:hAnsi="宋体" w:eastAsia="宋体" w:cs="宋体"/>
                <w:color w:val="auto"/>
                <w:szCs w:val="21"/>
                <w:highlight w:val="none"/>
              </w:rPr>
            </w:pPr>
          </w:p>
        </w:tc>
      </w:tr>
      <w:tr w14:paraId="2E3BB932">
        <w:tblPrEx>
          <w:tblCellMar>
            <w:top w:w="0" w:type="dxa"/>
            <w:left w:w="0" w:type="dxa"/>
            <w:bottom w:w="0" w:type="dxa"/>
            <w:right w:w="0" w:type="dxa"/>
          </w:tblCellMar>
        </w:tblPrEx>
        <w:trPr>
          <w:trHeight w:val="747"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DB05D95">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1B2179B">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17</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EB9692">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所管辖的门窗玻璃整洁、明亮、无明显污渍；每发现一次扣1分，扣完为止。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954E086">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AA8B66">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F643584">
            <w:pPr>
              <w:widowControl/>
              <w:spacing w:line="300" w:lineRule="exact"/>
              <w:jc w:val="center"/>
              <w:rPr>
                <w:rFonts w:hint="eastAsia" w:ascii="宋体" w:hAnsi="宋体" w:eastAsia="宋体" w:cs="宋体"/>
                <w:color w:val="auto"/>
                <w:szCs w:val="21"/>
                <w:highlight w:val="none"/>
              </w:rPr>
            </w:pPr>
          </w:p>
        </w:tc>
      </w:tr>
      <w:tr w14:paraId="726C0F4C">
        <w:tblPrEx>
          <w:tblCellMar>
            <w:top w:w="0" w:type="dxa"/>
            <w:left w:w="0" w:type="dxa"/>
            <w:bottom w:w="0" w:type="dxa"/>
            <w:right w:w="0" w:type="dxa"/>
          </w:tblCellMar>
        </w:tblPrEx>
        <w:trPr>
          <w:trHeight w:val="843"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E1C3CCD">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D94D077">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18</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8E9E2AF">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开关、消防器材、配电箱、电表箱等无灰尘、污渍，灯具无明显灰尘，透明度好；每发现一次扣1分，扣完为止。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39EF765">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36A239">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549903F">
            <w:pPr>
              <w:widowControl/>
              <w:spacing w:line="300" w:lineRule="exact"/>
              <w:jc w:val="center"/>
              <w:rPr>
                <w:rFonts w:hint="eastAsia" w:ascii="宋体" w:hAnsi="宋体" w:eastAsia="宋体" w:cs="宋体"/>
                <w:color w:val="auto"/>
                <w:szCs w:val="21"/>
                <w:highlight w:val="none"/>
              </w:rPr>
            </w:pPr>
          </w:p>
        </w:tc>
      </w:tr>
      <w:tr w14:paraId="5BAA75DA">
        <w:tblPrEx>
          <w:tblCellMar>
            <w:top w:w="0" w:type="dxa"/>
            <w:left w:w="0" w:type="dxa"/>
            <w:bottom w:w="0" w:type="dxa"/>
            <w:right w:w="0" w:type="dxa"/>
          </w:tblCellMar>
        </w:tblPrEx>
        <w:trPr>
          <w:trHeight w:val="544"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A5674A3">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EBD6B6">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19</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71FD379">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公共区内不得堆放各种杂物；每发现一次扣1分，扣完为止。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77BBCF">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28371D">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CF60E1A">
            <w:pPr>
              <w:widowControl/>
              <w:spacing w:line="300" w:lineRule="exact"/>
              <w:jc w:val="center"/>
              <w:rPr>
                <w:rFonts w:hint="eastAsia" w:ascii="宋体" w:hAnsi="宋体" w:eastAsia="宋体" w:cs="宋体"/>
                <w:color w:val="auto"/>
                <w:szCs w:val="21"/>
                <w:highlight w:val="none"/>
              </w:rPr>
            </w:pPr>
          </w:p>
        </w:tc>
      </w:tr>
      <w:tr w14:paraId="40863673">
        <w:tblPrEx>
          <w:tblCellMar>
            <w:top w:w="0" w:type="dxa"/>
            <w:left w:w="0" w:type="dxa"/>
            <w:bottom w:w="0" w:type="dxa"/>
            <w:right w:w="0" w:type="dxa"/>
          </w:tblCellMar>
        </w:tblPrEx>
        <w:trPr>
          <w:trHeight w:val="678" w:hRule="atLeast"/>
          <w:jc w:val="center"/>
        </w:trPr>
        <w:tc>
          <w:tcPr>
            <w:tcW w:w="934"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475AD1">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3748A0">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5D6493D">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堆放垃圾处无污秽、异味，垃圾桶、撮子内外表面清洁；每发现一次扣1分，扣完为止。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17C37B4">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E64D275">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A5DFBD">
            <w:pPr>
              <w:widowControl/>
              <w:spacing w:line="300" w:lineRule="exact"/>
              <w:jc w:val="center"/>
              <w:rPr>
                <w:rFonts w:hint="eastAsia" w:ascii="宋体" w:hAnsi="宋体" w:eastAsia="宋体" w:cs="宋体"/>
                <w:color w:val="auto"/>
                <w:szCs w:val="21"/>
                <w:highlight w:val="none"/>
              </w:rPr>
            </w:pPr>
          </w:p>
        </w:tc>
      </w:tr>
      <w:tr w14:paraId="28CE39AD">
        <w:tblPrEx>
          <w:tblCellMar>
            <w:top w:w="0" w:type="dxa"/>
            <w:left w:w="0" w:type="dxa"/>
            <w:bottom w:w="0" w:type="dxa"/>
            <w:right w:w="0" w:type="dxa"/>
          </w:tblCellMar>
        </w:tblPrEx>
        <w:trPr>
          <w:trHeight w:val="385" w:hRule="atLeast"/>
          <w:jc w:val="center"/>
        </w:trPr>
        <w:tc>
          <w:tcPr>
            <w:tcW w:w="934"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73B3896">
            <w:pPr>
              <w:widowControl/>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23"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3F646771">
            <w:pPr>
              <w:widowControl/>
              <w:spacing w:line="300" w:lineRule="exact"/>
              <w:jc w:val="center"/>
              <w:rPr>
                <w:rFonts w:hint="eastAsia" w:ascii="宋体" w:hAnsi="宋体" w:eastAsia="宋体" w:cs="宋体"/>
                <w:color w:val="auto"/>
                <w:szCs w:val="21"/>
                <w:highlight w:val="none"/>
              </w:rPr>
            </w:pPr>
          </w:p>
        </w:tc>
        <w:tc>
          <w:tcPr>
            <w:tcW w:w="5100"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3113B231">
            <w:pPr>
              <w:widowControl/>
              <w:spacing w:line="300" w:lineRule="exact"/>
              <w:rPr>
                <w:rFonts w:hint="eastAsia" w:ascii="宋体" w:hAnsi="宋体" w:eastAsia="宋体" w:cs="宋体"/>
                <w:color w:val="auto"/>
                <w:szCs w:val="21"/>
                <w:highlight w:val="none"/>
              </w:rPr>
            </w:pPr>
          </w:p>
        </w:tc>
        <w:tc>
          <w:tcPr>
            <w:tcW w:w="77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399E6788">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w:t>
            </w:r>
          </w:p>
        </w:tc>
        <w:tc>
          <w:tcPr>
            <w:tcW w:w="777"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492B2CBC">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auto" w:sz="4" w:space="0"/>
              <w:right w:val="single" w:color="000000" w:sz="4" w:space="0"/>
            </w:tcBorders>
            <w:tcMar>
              <w:top w:w="12" w:type="dxa"/>
              <w:left w:w="12" w:type="dxa"/>
              <w:right w:w="12" w:type="dxa"/>
            </w:tcMar>
            <w:vAlign w:val="center"/>
          </w:tcPr>
          <w:p w14:paraId="67CFC229">
            <w:pPr>
              <w:widowControl/>
              <w:spacing w:line="300" w:lineRule="exact"/>
              <w:jc w:val="center"/>
              <w:rPr>
                <w:rFonts w:hint="eastAsia" w:ascii="宋体" w:hAnsi="宋体" w:eastAsia="宋体" w:cs="宋体"/>
                <w:color w:val="auto"/>
                <w:szCs w:val="21"/>
                <w:highlight w:val="none"/>
              </w:rPr>
            </w:pPr>
          </w:p>
        </w:tc>
      </w:tr>
      <w:tr w14:paraId="2D946F23">
        <w:tblPrEx>
          <w:tblCellMar>
            <w:top w:w="0" w:type="dxa"/>
            <w:left w:w="0" w:type="dxa"/>
            <w:bottom w:w="0" w:type="dxa"/>
            <w:right w:w="0" w:type="dxa"/>
          </w:tblCellMar>
        </w:tblPrEx>
        <w:trPr>
          <w:trHeight w:val="501" w:hRule="atLeast"/>
          <w:jc w:val="center"/>
        </w:trPr>
        <w:tc>
          <w:tcPr>
            <w:tcW w:w="9082" w:type="dxa"/>
            <w:gridSpan w:val="6"/>
            <w:tcBorders>
              <w:top w:val="single" w:color="auto" w:sz="4" w:space="0"/>
              <w:left w:val="single" w:color="auto" w:sz="4" w:space="0"/>
              <w:bottom w:val="single" w:color="auto" w:sz="4" w:space="0"/>
              <w:right w:val="single" w:color="auto" w:sz="4" w:space="0"/>
            </w:tcBorders>
            <w:tcMar>
              <w:top w:w="12" w:type="dxa"/>
              <w:left w:w="12" w:type="dxa"/>
              <w:right w:w="12" w:type="dxa"/>
            </w:tcMar>
            <w:vAlign w:val="center"/>
          </w:tcPr>
          <w:p w14:paraId="341E194B">
            <w:pPr>
              <w:widowControl/>
              <w:spacing w:line="56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评分人：                                             部门负责人：</w:t>
            </w:r>
          </w:p>
        </w:tc>
      </w:tr>
    </w:tbl>
    <w:p w14:paraId="08E295A5">
      <w:pPr>
        <w:pStyle w:val="5"/>
        <w:pageBreakBefore/>
        <w:rPr>
          <w:rFonts w:hint="eastAsia" w:ascii="宋体" w:hAnsi="宋体" w:eastAsia="宋体" w:cs="宋体"/>
          <w:b/>
          <w:color w:val="auto"/>
          <w:highlight w:val="none"/>
        </w:rPr>
      </w:pPr>
      <w:r>
        <w:rPr>
          <w:rFonts w:hint="eastAsia" w:ascii="宋体" w:hAnsi="宋体" w:eastAsia="宋体" w:cs="宋体"/>
          <w:b/>
          <w:color w:val="auto"/>
          <w:highlight w:val="none"/>
        </w:rPr>
        <w:t>附件五：服务员（兼前台）</w:t>
      </w:r>
      <w:r>
        <w:rPr>
          <w:rFonts w:hint="eastAsia" w:ascii="宋体" w:hAnsi="宋体" w:eastAsia="宋体" w:cs="宋体"/>
          <w:b/>
          <w:color w:val="auto"/>
          <w:highlight w:val="none"/>
          <w:lang w:val="en-US" w:eastAsia="zh-CN"/>
        </w:rPr>
        <w:t>人员</w:t>
      </w:r>
      <w:r>
        <w:rPr>
          <w:rFonts w:hint="eastAsia" w:ascii="宋体" w:hAnsi="宋体" w:eastAsia="宋体" w:cs="宋体"/>
          <w:b/>
          <w:color w:val="auto"/>
          <w:highlight w:val="none"/>
        </w:rPr>
        <w:t>评分表</w:t>
      </w:r>
    </w:p>
    <w:tbl>
      <w:tblPr>
        <w:tblStyle w:val="39"/>
        <w:tblW w:w="9082" w:type="dxa"/>
        <w:jc w:val="center"/>
        <w:tblLayout w:type="autofit"/>
        <w:tblCellMar>
          <w:top w:w="0" w:type="dxa"/>
          <w:left w:w="0" w:type="dxa"/>
          <w:bottom w:w="0" w:type="dxa"/>
          <w:right w:w="0" w:type="dxa"/>
        </w:tblCellMar>
      </w:tblPr>
      <w:tblGrid>
        <w:gridCol w:w="934"/>
        <w:gridCol w:w="723"/>
        <w:gridCol w:w="5100"/>
        <w:gridCol w:w="777"/>
        <w:gridCol w:w="777"/>
        <w:gridCol w:w="771"/>
      </w:tblGrid>
      <w:tr w14:paraId="26AF2F42">
        <w:tblPrEx>
          <w:tblCellMar>
            <w:top w:w="0" w:type="dxa"/>
            <w:left w:w="0" w:type="dxa"/>
            <w:bottom w:w="0" w:type="dxa"/>
            <w:right w:w="0" w:type="dxa"/>
          </w:tblCellMar>
        </w:tblPrEx>
        <w:trPr>
          <w:trHeight w:val="686" w:hRule="atLeast"/>
          <w:jc w:val="center"/>
        </w:trPr>
        <w:tc>
          <w:tcPr>
            <w:tcW w:w="9082" w:type="dxa"/>
            <w:gridSpan w:val="6"/>
            <w:tcBorders>
              <w:top w:val="nil"/>
              <w:left w:val="nil"/>
              <w:bottom w:val="nil"/>
              <w:right w:val="nil"/>
            </w:tcBorders>
            <w:tcMar>
              <w:top w:w="12" w:type="dxa"/>
              <w:left w:w="12" w:type="dxa"/>
              <w:right w:w="12" w:type="dxa"/>
            </w:tcMar>
            <w:vAlign w:val="center"/>
          </w:tcPr>
          <w:p w14:paraId="7B3BDFCF">
            <w:pPr>
              <w:widowControl/>
              <w:spacing w:before="120" w:beforeLines="50" w:line="360" w:lineRule="auto"/>
              <w:jc w:val="center"/>
              <w:textAlignment w:val="auto"/>
              <w:rPr>
                <w:rFonts w:hint="eastAsia" w:ascii="宋体" w:hAnsi="宋体" w:eastAsia="宋体" w:cs="宋体"/>
                <w:b/>
                <w:color w:val="auto"/>
                <w:sz w:val="20"/>
                <w:szCs w:val="20"/>
                <w:highlight w:val="none"/>
              </w:rPr>
            </w:pPr>
            <w:r>
              <w:rPr>
                <w:rFonts w:hint="eastAsia" w:ascii="宋体" w:hAnsi="宋体" w:eastAsia="宋体" w:cs="宋体"/>
                <w:b/>
                <w:color w:val="auto"/>
                <w:kern w:val="2"/>
                <w:sz w:val="32"/>
                <w:szCs w:val="32"/>
                <w:highlight w:val="none"/>
                <w:lang w:bidi="ar"/>
              </w:rPr>
              <w:t>服务员（兼前台）人员评分表</w:t>
            </w:r>
          </w:p>
        </w:tc>
      </w:tr>
      <w:tr w14:paraId="565613EB">
        <w:tblPrEx>
          <w:tblCellMar>
            <w:top w:w="0" w:type="dxa"/>
            <w:left w:w="0" w:type="dxa"/>
            <w:bottom w:w="0" w:type="dxa"/>
            <w:right w:w="0" w:type="dxa"/>
          </w:tblCellMar>
        </w:tblPrEx>
        <w:trPr>
          <w:trHeight w:val="806" w:hRule="atLeast"/>
          <w:jc w:val="center"/>
        </w:trPr>
        <w:tc>
          <w:tcPr>
            <w:tcW w:w="9082" w:type="dxa"/>
            <w:gridSpan w:val="6"/>
            <w:tcBorders>
              <w:top w:val="nil"/>
              <w:left w:val="nil"/>
              <w:bottom w:val="nil"/>
              <w:right w:val="nil"/>
            </w:tcBorders>
            <w:tcMar>
              <w:top w:w="12" w:type="dxa"/>
              <w:left w:w="12" w:type="dxa"/>
              <w:right w:w="12" w:type="dxa"/>
            </w:tcMar>
            <w:vAlign w:val="bottom"/>
          </w:tcPr>
          <w:p w14:paraId="5D0D1EE5">
            <w:pPr>
              <w:widowControl/>
              <w:spacing w:line="560" w:lineRule="exact"/>
              <w:jc w:val="center"/>
              <w:textAlignment w:val="bottom"/>
              <w:rPr>
                <w:rFonts w:hint="eastAsia" w:ascii="宋体" w:hAnsi="宋体" w:eastAsia="宋体" w:cs="宋体"/>
                <w:bCs/>
                <w:color w:val="auto"/>
                <w:szCs w:val="21"/>
                <w:highlight w:val="none"/>
                <w:lang w:bidi="ar"/>
              </w:rPr>
            </w:pPr>
            <w:r>
              <w:rPr>
                <w:rFonts w:hint="eastAsia" w:ascii="宋体" w:hAnsi="宋体" w:eastAsia="宋体" w:cs="宋体"/>
                <w:bCs/>
                <w:color w:val="auto"/>
                <w:szCs w:val="21"/>
                <w:highlight w:val="none"/>
                <w:lang w:bidi="ar"/>
              </w:rPr>
              <w:t xml:space="preserve">                           标准分：100分                    考核时间：   年   月 </w:t>
            </w:r>
          </w:p>
          <w:p w14:paraId="595DBD1D">
            <w:pPr>
              <w:widowControl/>
              <w:spacing w:line="560" w:lineRule="exact"/>
              <w:textAlignment w:val="bottom"/>
              <w:rPr>
                <w:rFonts w:hint="eastAsia" w:ascii="宋体" w:hAnsi="宋体" w:eastAsia="宋体" w:cs="宋体"/>
                <w:b/>
                <w:color w:val="auto"/>
                <w:szCs w:val="21"/>
                <w:highlight w:val="none"/>
              </w:rPr>
            </w:pPr>
            <w:r>
              <w:rPr>
                <w:rFonts w:hint="eastAsia" w:ascii="宋体" w:hAnsi="宋体" w:eastAsia="宋体" w:cs="宋体"/>
                <w:bCs/>
                <w:color w:val="auto"/>
                <w:szCs w:val="21"/>
                <w:highlight w:val="none"/>
                <w:lang w:bidi="ar"/>
              </w:rPr>
              <w:t xml:space="preserve">服务地址：    </w:t>
            </w:r>
          </w:p>
        </w:tc>
      </w:tr>
      <w:tr w14:paraId="5B700D0E">
        <w:tblPrEx>
          <w:tblCellMar>
            <w:top w:w="0" w:type="dxa"/>
            <w:left w:w="0" w:type="dxa"/>
            <w:bottom w:w="0" w:type="dxa"/>
            <w:right w:w="0" w:type="dxa"/>
          </w:tblCellMar>
        </w:tblPrEx>
        <w:trPr>
          <w:trHeight w:val="747" w:hRule="atLeast"/>
          <w:jc w:val="center"/>
        </w:trPr>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A2A40CF">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类别</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B1472A7">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序号</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BCBFCA2">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考核标准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2082CDD">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标准分</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F8D5D4E">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得分</w:t>
            </w: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B92CD2B">
            <w:pPr>
              <w:widowControl/>
              <w:spacing w:line="300" w:lineRule="exact"/>
              <w:jc w:val="center"/>
              <w:textAlignment w:val="center"/>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lang w:bidi="ar"/>
              </w:rPr>
              <w:t>备注</w:t>
            </w:r>
          </w:p>
        </w:tc>
      </w:tr>
      <w:tr w14:paraId="3FEA023E">
        <w:tblPrEx>
          <w:tblCellMar>
            <w:top w:w="0" w:type="dxa"/>
            <w:left w:w="0" w:type="dxa"/>
            <w:bottom w:w="0" w:type="dxa"/>
            <w:right w:w="0" w:type="dxa"/>
          </w:tblCellMar>
        </w:tblPrEx>
        <w:trPr>
          <w:trHeight w:val="594" w:hRule="atLeast"/>
          <w:jc w:val="center"/>
        </w:trPr>
        <w:tc>
          <w:tcPr>
            <w:tcW w:w="934" w:type="dxa"/>
            <w:vMerge w:val="restart"/>
            <w:tcBorders>
              <w:top w:val="single" w:color="000000" w:sz="4" w:space="0"/>
              <w:left w:val="single" w:color="000000" w:sz="4" w:space="0"/>
              <w:right w:val="single" w:color="000000" w:sz="4" w:space="0"/>
            </w:tcBorders>
            <w:tcMar>
              <w:top w:w="12" w:type="dxa"/>
              <w:left w:w="12" w:type="dxa"/>
              <w:right w:w="12" w:type="dxa"/>
            </w:tcMar>
            <w:textDirection w:val="tbRlV"/>
            <w:vAlign w:val="center"/>
          </w:tcPr>
          <w:p w14:paraId="1CD2637B">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工作纪律</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75C9E5">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D7D7CE">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在岗期间穿戴整齐，仪容整洁；每违反一次扣2分，扣完为止。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C181CA7">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46818C1">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5CC8D9">
            <w:pPr>
              <w:widowControl/>
              <w:spacing w:line="300" w:lineRule="exact"/>
              <w:jc w:val="center"/>
              <w:rPr>
                <w:rFonts w:hint="eastAsia" w:ascii="宋体" w:hAnsi="宋体" w:eastAsia="宋体" w:cs="宋体"/>
                <w:color w:val="auto"/>
                <w:szCs w:val="21"/>
                <w:highlight w:val="none"/>
              </w:rPr>
            </w:pPr>
          </w:p>
        </w:tc>
      </w:tr>
      <w:tr w14:paraId="7F3DB55D">
        <w:tblPrEx>
          <w:tblCellMar>
            <w:top w:w="0" w:type="dxa"/>
            <w:left w:w="0" w:type="dxa"/>
            <w:bottom w:w="0" w:type="dxa"/>
            <w:right w:w="0" w:type="dxa"/>
          </w:tblCellMar>
        </w:tblPrEx>
        <w:trPr>
          <w:trHeight w:val="679"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62A2A8C0">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8FFFB3D">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AEF647F">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外部人员接待；未按招标人（甲方）要求执行每违反一次扣5分，扣完为止。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EA0ADBD">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48B1039">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74FC4CC">
            <w:pPr>
              <w:widowControl/>
              <w:spacing w:line="300" w:lineRule="exact"/>
              <w:jc w:val="center"/>
              <w:rPr>
                <w:rFonts w:hint="eastAsia" w:ascii="宋体" w:hAnsi="宋体" w:eastAsia="宋体" w:cs="宋体"/>
                <w:color w:val="auto"/>
                <w:szCs w:val="21"/>
                <w:highlight w:val="none"/>
              </w:rPr>
            </w:pPr>
          </w:p>
        </w:tc>
      </w:tr>
      <w:tr w14:paraId="358CD756">
        <w:tblPrEx>
          <w:tblCellMar>
            <w:top w:w="0" w:type="dxa"/>
            <w:left w:w="0" w:type="dxa"/>
            <w:bottom w:w="0" w:type="dxa"/>
            <w:right w:w="0" w:type="dxa"/>
          </w:tblCellMar>
        </w:tblPrEx>
        <w:trPr>
          <w:trHeight w:val="650"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7BF4EE60">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3F4FE7E">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3</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8B3CE97">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定期派送刊物及提醒员工取快递；逾期2天（含）以上扣5分，扣完为止。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50F4C53">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0C4805B">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303677DF">
            <w:pPr>
              <w:widowControl/>
              <w:spacing w:line="300" w:lineRule="exact"/>
              <w:jc w:val="center"/>
              <w:rPr>
                <w:rFonts w:hint="eastAsia" w:ascii="宋体" w:hAnsi="宋体" w:eastAsia="宋体" w:cs="宋体"/>
                <w:color w:val="auto"/>
                <w:szCs w:val="21"/>
                <w:highlight w:val="none"/>
              </w:rPr>
            </w:pPr>
          </w:p>
        </w:tc>
      </w:tr>
      <w:tr w14:paraId="26387B70">
        <w:tblPrEx>
          <w:tblCellMar>
            <w:top w:w="0" w:type="dxa"/>
            <w:left w:w="0" w:type="dxa"/>
            <w:bottom w:w="0" w:type="dxa"/>
            <w:right w:w="0" w:type="dxa"/>
          </w:tblCellMar>
        </w:tblPrEx>
        <w:trPr>
          <w:trHeight w:val="615"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73461A0F">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1500A73">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4</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A08CF58">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做好会议工作，未按招标人（甲方）要求执行每违反一次扣5分，扣完为止。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F47C223">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276A2A9">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B9DC8D">
            <w:pPr>
              <w:widowControl/>
              <w:spacing w:line="300" w:lineRule="exact"/>
              <w:jc w:val="center"/>
              <w:rPr>
                <w:rFonts w:hint="eastAsia" w:ascii="宋体" w:hAnsi="宋体" w:eastAsia="宋体" w:cs="宋体"/>
                <w:color w:val="auto"/>
                <w:szCs w:val="21"/>
                <w:highlight w:val="none"/>
              </w:rPr>
            </w:pPr>
          </w:p>
        </w:tc>
      </w:tr>
      <w:tr w14:paraId="09C2EA51">
        <w:tblPrEx>
          <w:tblCellMar>
            <w:top w:w="0" w:type="dxa"/>
            <w:left w:w="0" w:type="dxa"/>
            <w:bottom w:w="0" w:type="dxa"/>
            <w:right w:w="0" w:type="dxa"/>
          </w:tblCellMar>
        </w:tblPrEx>
        <w:trPr>
          <w:trHeight w:val="651"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38E175A1">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B0CDCB">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5</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2D5AF4FA">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迟到早退一次扣5分，扣完为止。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89D2DDE">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A53C207">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C838FDE">
            <w:pPr>
              <w:widowControl/>
              <w:spacing w:line="300" w:lineRule="exact"/>
              <w:jc w:val="center"/>
              <w:rPr>
                <w:rFonts w:hint="eastAsia" w:ascii="宋体" w:hAnsi="宋体" w:eastAsia="宋体" w:cs="宋体"/>
                <w:color w:val="auto"/>
                <w:szCs w:val="21"/>
                <w:highlight w:val="none"/>
              </w:rPr>
            </w:pPr>
          </w:p>
        </w:tc>
      </w:tr>
      <w:tr w14:paraId="5B9E808D">
        <w:tblPrEx>
          <w:tblCellMar>
            <w:top w:w="0" w:type="dxa"/>
            <w:left w:w="0" w:type="dxa"/>
            <w:bottom w:w="0" w:type="dxa"/>
            <w:right w:w="0" w:type="dxa"/>
          </w:tblCellMar>
        </w:tblPrEx>
        <w:trPr>
          <w:trHeight w:val="775" w:hRule="atLeast"/>
          <w:jc w:val="center"/>
        </w:trPr>
        <w:tc>
          <w:tcPr>
            <w:tcW w:w="934" w:type="dxa"/>
            <w:vMerge w:val="continue"/>
            <w:tcBorders>
              <w:left w:val="single" w:color="000000" w:sz="4" w:space="0"/>
              <w:right w:val="single" w:color="000000" w:sz="4" w:space="0"/>
            </w:tcBorders>
            <w:tcMar>
              <w:top w:w="12" w:type="dxa"/>
              <w:left w:w="12" w:type="dxa"/>
              <w:right w:w="12" w:type="dxa"/>
            </w:tcMar>
            <w:textDirection w:val="tbRlV"/>
            <w:vAlign w:val="center"/>
          </w:tcPr>
          <w:p w14:paraId="75494210">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43E7219">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6</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4C286802">
            <w:pPr>
              <w:widowControl/>
              <w:spacing w:line="30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做好保密工作，每违反一次扣10分，扣完为止。</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845D65">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20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5081CAF">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711AC4C">
            <w:pPr>
              <w:widowControl/>
              <w:spacing w:line="300" w:lineRule="exact"/>
              <w:jc w:val="center"/>
              <w:rPr>
                <w:rFonts w:hint="eastAsia" w:ascii="宋体" w:hAnsi="宋体" w:eastAsia="宋体" w:cs="宋体"/>
                <w:color w:val="auto"/>
                <w:szCs w:val="21"/>
                <w:highlight w:val="none"/>
              </w:rPr>
            </w:pPr>
          </w:p>
        </w:tc>
      </w:tr>
      <w:tr w14:paraId="36EF8F25">
        <w:trPr>
          <w:trHeight w:val="385" w:hRule="atLeast"/>
          <w:jc w:val="center"/>
        </w:trPr>
        <w:tc>
          <w:tcPr>
            <w:tcW w:w="934" w:type="dxa"/>
            <w:tcBorders>
              <w:left w:val="single" w:color="000000" w:sz="4" w:space="0"/>
              <w:right w:val="single" w:color="000000" w:sz="4" w:space="0"/>
            </w:tcBorders>
            <w:tcMar>
              <w:top w:w="12" w:type="dxa"/>
              <w:left w:w="12" w:type="dxa"/>
              <w:right w:w="12" w:type="dxa"/>
            </w:tcMar>
            <w:vAlign w:val="center"/>
          </w:tcPr>
          <w:p w14:paraId="40BD878A">
            <w:pPr>
              <w:widowControl/>
              <w:spacing w:line="300" w:lineRule="exact"/>
              <w:jc w:val="center"/>
              <w:rPr>
                <w:rFonts w:hint="eastAsia" w:ascii="宋体" w:hAnsi="宋体" w:eastAsia="宋体" w:cs="宋体"/>
                <w:color w:val="auto"/>
                <w:szCs w:val="21"/>
                <w:highlight w:val="none"/>
              </w:rPr>
            </w:pP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4828588">
            <w:pPr>
              <w:widowControl/>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7</w:t>
            </w: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908E2B2">
            <w:pPr>
              <w:widowControl/>
              <w:spacing w:line="300" w:lineRule="exact"/>
              <w:rPr>
                <w:rFonts w:hint="eastAsia" w:ascii="宋体" w:hAnsi="宋体" w:eastAsia="宋体" w:cs="宋体"/>
                <w:color w:val="auto"/>
                <w:szCs w:val="21"/>
                <w:highlight w:val="none"/>
              </w:rPr>
            </w:pPr>
            <w:r>
              <w:rPr>
                <w:rFonts w:hint="eastAsia" w:ascii="宋体" w:hAnsi="宋体" w:eastAsia="宋体" w:cs="宋体"/>
                <w:color w:val="auto"/>
                <w:szCs w:val="21"/>
                <w:highlight w:val="none"/>
              </w:rPr>
              <w:t>做好</w:t>
            </w:r>
            <w:r>
              <w:rPr>
                <w:rFonts w:hint="eastAsia" w:ascii="宋体" w:hAnsi="宋体" w:eastAsia="宋体" w:cs="宋体"/>
                <w:color w:val="auto"/>
                <w:szCs w:val="21"/>
                <w:highlight w:val="none"/>
                <w:lang w:bidi="ar"/>
              </w:rPr>
              <w:t>招标人（甲方）</w:t>
            </w:r>
            <w:r>
              <w:rPr>
                <w:rFonts w:hint="eastAsia" w:ascii="宋体" w:hAnsi="宋体" w:eastAsia="宋体" w:cs="宋体"/>
                <w:color w:val="auto"/>
                <w:szCs w:val="21"/>
                <w:highlight w:val="none"/>
              </w:rPr>
              <w:t>交办的其他任务</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6F5DFF">
            <w:pPr>
              <w:widowControl/>
              <w:spacing w:line="300" w:lineRule="exact"/>
              <w:jc w:val="center"/>
              <w:textAlignment w:val="center"/>
              <w:rPr>
                <w:rFonts w:hint="eastAsia" w:ascii="宋体" w:hAnsi="宋体" w:eastAsia="宋体" w:cs="宋体"/>
                <w:color w:val="auto"/>
                <w:szCs w:val="21"/>
                <w:highlight w:val="none"/>
                <w:lang w:bidi="ar"/>
              </w:rPr>
            </w:pPr>
            <w:r>
              <w:rPr>
                <w:rFonts w:hint="eastAsia" w:ascii="宋体" w:hAnsi="宋体" w:eastAsia="宋体" w:cs="宋体"/>
                <w:color w:val="auto"/>
                <w:szCs w:val="21"/>
                <w:highlight w:val="none"/>
                <w:lang w:bidi="ar"/>
              </w:rPr>
              <w:t>10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56240AC2">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20888A5">
            <w:pPr>
              <w:widowControl/>
              <w:spacing w:line="300" w:lineRule="exact"/>
              <w:jc w:val="center"/>
              <w:rPr>
                <w:rFonts w:hint="eastAsia" w:ascii="宋体" w:hAnsi="宋体" w:eastAsia="宋体" w:cs="宋体"/>
                <w:color w:val="auto"/>
                <w:szCs w:val="21"/>
                <w:highlight w:val="none"/>
              </w:rPr>
            </w:pPr>
          </w:p>
        </w:tc>
      </w:tr>
      <w:tr w14:paraId="71FB2544">
        <w:tblPrEx>
          <w:tblCellMar>
            <w:top w:w="0" w:type="dxa"/>
            <w:left w:w="0" w:type="dxa"/>
            <w:bottom w:w="0" w:type="dxa"/>
            <w:right w:w="0" w:type="dxa"/>
          </w:tblCellMar>
        </w:tblPrEx>
        <w:trPr>
          <w:trHeight w:val="385" w:hRule="atLeast"/>
          <w:jc w:val="center"/>
        </w:trPr>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7CBE82ED">
            <w:pPr>
              <w:widowControl/>
              <w:spacing w:line="300" w:lineRule="exact"/>
              <w:jc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合计</w:t>
            </w:r>
          </w:p>
        </w:tc>
        <w:tc>
          <w:tcPr>
            <w:tcW w:w="72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015948">
            <w:pPr>
              <w:widowControl/>
              <w:spacing w:line="300" w:lineRule="exact"/>
              <w:jc w:val="center"/>
              <w:rPr>
                <w:rFonts w:hint="eastAsia" w:ascii="宋体" w:hAnsi="宋体" w:eastAsia="宋体" w:cs="宋体"/>
                <w:color w:val="auto"/>
                <w:szCs w:val="21"/>
                <w:highlight w:val="none"/>
              </w:rPr>
            </w:pPr>
          </w:p>
        </w:tc>
        <w:tc>
          <w:tcPr>
            <w:tcW w:w="51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223EC82">
            <w:pPr>
              <w:widowControl/>
              <w:spacing w:line="300" w:lineRule="exact"/>
              <w:rPr>
                <w:rFonts w:hint="eastAsia" w:ascii="宋体" w:hAnsi="宋体" w:eastAsia="宋体" w:cs="宋体"/>
                <w:color w:val="auto"/>
                <w:szCs w:val="21"/>
                <w:highlight w:val="none"/>
              </w:rPr>
            </w:pP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6CE81BB8">
            <w:pPr>
              <w:widowControl/>
              <w:spacing w:line="300" w:lineRule="exact"/>
              <w:jc w:val="center"/>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100</w:t>
            </w:r>
          </w:p>
        </w:tc>
        <w:tc>
          <w:tcPr>
            <w:tcW w:w="7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00E672B9">
            <w:pPr>
              <w:widowControl/>
              <w:spacing w:line="300" w:lineRule="exact"/>
              <w:jc w:val="center"/>
              <w:rPr>
                <w:rFonts w:hint="eastAsia" w:ascii="宋体" w:hAnsi="宋体" w:eastAsia="宋体" w:cs="宋体"/>
                <w:color w:val="auto"/>
                <w:szCs w:val="21"/>
                <w:highlight w:val="none"/>
              </w:rPr>
            </w:pPr>
          </w:p>
        </w:tc>
        <w:tc>
          <w:tcPr>
            <w:tcW w:w="77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14:paraId="14C005B2">
            <w:pPr>
              <w:widowControl/>
              <w:spacing w:line="300" w:lineRule="exact"/>
              <w:jc w:val="center"/>
              <w:rPr>
                <w:rFonts w:hint="eastAsia" w:ascii="宋体" w:hAnsi="宋体" w:eastAsia="宋体" w:cs="宋体"/>
                <w:color w:val="auto"/>
                <w:szCs w:val="21"/>
                <w:highlight w:val="none"/>
              </w:rPr>
            </w:pPr>
          </w:p>
        </w:tc>
      </w:tr>
      <w:tr w14:paraId="15FEBE46">
        <w:tblPrEx>
          <w:tblCellMar>
            <w:top w:w="0" w:type="dxa"/>
            <w:left w:w="0" w:type="dxa"/>
            <w:bottom w:w="0" w:type="dxa"/>
            <w:right w:w="0" w:type="dxa"/>
          </w:tblCellMar>
        </w:tblPrEx>
        <w:trPr>
          <w:trHeight w:val="501" w:hRule="atLeast"/>
          <w:jc w:val="center"/>
        </w:trPr>
        <w:tc>
          <w:tcPr>
            <w:tcW w:w="9082" w:type="dxa"/>
            <w:gridSpan w:val="6"/>
            <w:tcBorders>
              <w:top w:val="nil"/>
              <w:left w:val="nil"/>
              <w:bottom w:val="nil"/>
              <w:right w:val="nil"/>
            </w:tcBorders>
            <w:tcMar>
              <w:top w:w="12" w:type="dxa"/>
              <w:left w:w="12" w:type="dxa"/>
              <w:right w:w="12" w:type="dxa"/>
            </w:tcMar>
            <w:vAlign w:val="center"/>
          </w:tcPr>
          <w:p w14:paraId="11365790">
            <w:pPr>
              <w:widowControl/>
              <w:spacing w:line="560" w:lineRule="exact"/>
              <w:textAlignment w:val="center"/>
              <w:rPr>
                <w:rFonts w:hint="eastAsia" w:ascii="宋体" w:hAnsi="宋体" w:eastAsia="宋体" w:cs="宋体"/>
                <w:color w:val="auto"/>
                <w:szCs w:val="21"/>
                <w:highlight w:val="none"/>
              </w:rPr>
            </w:pPr>
            <w:r>
              <w:rPr>
                <w:rFonts w:hint="eastAsia" w:ascii="宋体" w:hAnsi="宋体" w:eastAsia="宋体" w:cs="宋体"/>
                <w:color w:val="auto"/>
                <w:szCs w:val="21"/>
                <w:highlight w:val="none"/>
                <w:lang w:bidi="ar"/>
              </w:rPr>
              <w:t>评分人：                                             部门负责人：</w:t>
            </w:r>
          </w:p>
        </w:tc>
      </w:tr>
    </w:tbl>
    <w:p w14:paraId="79DEABBA">
      <w:pPr>
        <w:pStyle w:val="5"/>
        <w:pageBreakBefore/>
        <w:rPr>
          <w:rFonts w:hint="eastAsia" w:ascii="宋体" w:hAnsi="宋体" w:eastAsia="宋体" w:cs="宋体"/>
          <w:b/>
          <w:color w:val="auto"/>
          <w:highlight w:val="none"/>
        </w:rPr>
      </w:pPr>
      <w:r>
        <w:rPr>
          <w:rFonts w:hint="eastAsia" w:ascii="宋体" w:hAnsi="宋体" w:eastAsia="宋体" w:cs="宋体"/>
          <w:b/>
          <w:color w:val="auto"/>
          <w:highlight w:val="none"/>
        </w:rPr>
        <w:t>附件六：投标报价表</w:t>
      </w:r>
    </w:p>
    <w:p w14:paraId="4E030B56">
      <w:pPr>
        <w:rPr>
          <w:rFonts w:hint="eastAsia" w:ascii="宋体" w:hAnsi="宋体" w:eastAsia="宋体" w:cs="宋体"/>
          <w:color w:val="auto"/>
          <w:highlight w:val="none"/>
          <w:lang w:eastAsia="zh-CN"/>
        </w:rPr>
      </w:pPr>
    </w:p>
    <w:p w14:paraId="37393D5E">
      <w:pPr>
        <w:pStyle w:val="5"/>
        <w:rPr>
          <w:rFonts w:hint="eastAsia" w:ascii="宋体" w:hAnsi="宋体" w:eastAsia="宋体" w:cs="宋体"/>
          <w:color w:val="auto"/>
          <w:highlight w:val="none"/>
          <w:lang w:eastAsia="zh-CN"/>
        </w:rPr>
      </w:pPr>
    </w:p>
    <w:p w14:paraId="220F0CEF">
      <w:pPr>
        <w:rPr>
          <w:rFonts w:hint="eastAsia" w:ascii="宋体" w:hAnsi="宋体" w:eastAsia="宋体" w:cs="宋体"/>
          <w:color w:val="auto"/>
          <w:highlight w:val="none"/>
          <w:lang w:eastAsia="zh-CN"/>
        </w:rPr>
      </w:pPr>
    </w:p>
    <w:p w14:paraId="073E1CF6">
      <w:pPr>
        <w:pStyle w:val="5"/>
        <w:rPr>
          <w:rFonts w:hint="eastAsia" w:ascii="宋体" w:hAnsi="宋体" w:eastAsia="宋体" w:cs="宋体"/>
          <w:color w:val="auto"/>
          <w:highlight w:val="none"/>
          <w:lang w:eastAsia="zh-CN"/>
        </w:rPr>
      </w:pPr>
    </w:p>
    <w:p w14:paraId="1E9846A1">
      <w:pPr>
        <w:pStyle w:val="5"/>
        <w:pageBreakBefore/>
        <w:rPr>
          <w:rFonts w:hint="eastAsia" w:ascii="宋体" w:hAnsi="宋体" w:eastAsia="宋体" w:cs="宋体"/>
          <w:b/>
          <w:color w:val="auto"/>
          <w:highlight w:val="none"/>
        </w:rPr>
      </w:pPr>
      <w:r>
        <w:rPr>
          <w:rFonts w:hint="eastAsia" w:ascii="宋体" w:hAnsi="宋体" w:eastAsia="宋体" w:cs="宋体"/>
          <w:b/>
          <w:color w:val="auto"/>
          <w:highlight w:val="none"/>
        </w:rPr>
        <w:t>附件七：中标通知书</w:t>
      </w:r>
    </w:p>
    <w:p w14:paraId="2DF3DD5F">
      <w:pPr>
        <w:rPr>
          <w:rFonts w:hint="eastAsia" w:ascii="宋体" w:hAnsi="宋体" w:eastAsia="宋体" w:cs="宋体"/>
          <w:color w:val="auto"/>
          <w:highlight w:val="none"/>
          <w:lang w:eastAsia="zh-CN"/>
        </w:rPr>
      </w:pPr>
    </w:p>
    <w:p w14:paraId="395DF762">
      <w:pPr>
        <w:pStyle w:val="5"/>
        <w:pageBreakBefore/>
        <w:rPr>
          <w:rFonts w:hint="eastAsia" w:ascii="宋体" w:hAnsi="宋体" w:eastAsia="宋体" w:cs="宋体"/>
          <w:b/>
          <w:color w:val="auto"/>
          <w:highlight w:val="none"/>
        </w:rPr>
      </w:pPr>
      <w:r>
        <w:rPr>
          <w:rFonts w:hint="eastAsia" w:ascii="宋体" w:hAnsi="宋体" w:eastAsia="宋体" w:cs="宋体"/>
          <w:b/>
          <w:color w:val="auto"/>
          <w:highlight w:val="none"/>
        </w:rPr>
        <w:t>附件八：承诺书</w:t>
      </w:r>
    </w:p>
    <w:p w14:paraId="256837B8">
      <w:pPr>
        <w:spacing w:line="360" w:lineRule="auto"/>
        <w:ind w:firstLine="880" w:firstLineChars="200"/>
        <w:jc w:val="center"/>
        <w:rPr>
          <w:rFonts w:hint="eastAsia" w:ascii="宋体" w:hAnsi="宋体" w:eastAsia="宋体" w:cs="宋体"/>
          <w:color w:val="auto"/>
          <w:sz w:val="44"/>
          <w:szCs w:val="44"/>
          <w:highlight w:val="none"/>
        </w:rPr>
      </w:pPr>
      <w:r>
        <w:rPr>
          <w:rFonts w:hint="eastAsia" w:ascii="宋体" w:hAnsi="宋体" w:eastAsia="宋体" w:cs="宋体"/>
          <w:color w:val="auto"/>
          <w:sz w:val="44"/>
          <w:szCs w:val="44"/>
          <w:highlight w:val="none"/>
        </w:rPr>
        <w:t>承诺书</w:t>
      </w:r>
    </w:p>
    <w:p w14:paraId="56527346">
      <w:pPr>
        <w:spacing w:line="360" w:lineRule="auto"/>
        <w:ind w:firstLine="420" w:firstLineChars="200"/>
        <w:rPr>
          <w:rFonts w:hint="eastAsia" w:ascii="宋体" w:hAnsi="宋体" w:eastAsia="宋体" w:cs="宋体"/>
          <w:color w:val="auto"/>
          <w:szCs w:val="21"/>
          <w:highlight w:val="none"/>
          <w:u w:val="single"/>
        </w:rPr>
      </w:pPr>
    </w:p>
    <w:p w14:paraId="33422F2E">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 xml:space="preserve">东莞市水务集团管网有限公司、东莞市莞泽水环境投资有限公司、东莞市东信水环境投资有限公司、东莞市东泽水环境投资有限公司、东莞市清泽水环境投资有限公司： </w:t>
      </w:r>
    </w:p>
    <w:p w14:paraId="3ED1850E">
      <w:pPr>
        <w:spacing w:line="360" w:lineRule="auto"/>
        <w:ind w:firstLine="420" w:firstLineChars="200"/>
        <w:rPr>
          <w:rFonts w:hint="eastAsia" w:ascii="宋体" w:hAnsi="宋体" w:eastAsia="宋体" w:cs="宋体"/>
          <w:color w:val="auto"/>
          <w:szCs w:val="21"/>
          <w:highlight w:val="none"/>
          <w:u w:val="none"/>
        </w:rPr>
      </w:pPr>
      <w:r>
        <w:rPr>
          <w:rFonts w:hint="eastAsia" w:ascii="宋体" w:hAnsi="宋体" w:eastAsia="宋体" w:cs="宋体"/>
          <w:color w:val="auto"/>
          <w:szCs w:val="21"/>
          <w:highlight w:val="none"/>
          <w:u w:val="none"/>
        </w:rPr>
        <w:t>我司根据《</w:t>
      </w:r>
      <w:r>
        <w:rPr>
          <w:rFonts w:hint="eastAsia" w:ascii="宋体" w:hAnsi="宋体" w:eastAsia="宋体" w:cs="宋体"/>
          <w:b w:val="0"/>
          <w:color w:val="auto"/>
          <w:sz w:val="21"/>
          <w:szCs w:val="21"/>
          <w:highlight w:val="none"/>
          <w:u w:val="none"/>
        </w:rPr>
        <w:t>东莞市水务集团管网有限公司202</w:t>
      </w:r>
      <w:r>
        <w:rPr>
          <w:rFonts w:hint="eastAsia" w:ascii="宋体" w:hAnsi="宋体" w:eastAsia="宋体" w:cs="宋体"/>
          <w:b w:val="0"/>
          <w:color w:val="auto"/>
          <w:sz w:val="21"/>
          <w:szCs w:val="21"/>
          <w:highlight w:val="none"/>
          <w:u w:val="none"/>
          <w:lang w:val="en-US" w:eastAsia="zh-CN"/>
        </w:rPr>
        <w:t>5</w:t>
      </w:r>
      <w:r>
        <w:rPr>
          <w:rFonts w:hint="eastAsia" w:ascii="宋体" w:hAnsi="宋体" w:eastAsia="宋体" w:cs="宋体"/>
          <w:b w:val="0"/>
          <w:color w:val="auto"/>
          <w:sz w:val="21"/>
          <w:szCs w:val="21"/>
          <w:highlight w:val="none"/>
          <w:u w:val="none"/>
        </w:rPr>
        <w:t>年餐厨及清洁服务合同</w:t>
      </w:r>
      <w:r>
        <w:rPr>
          <w:rFonts w:hint="eastAsia" w:ascii="宋体" w:hAnsi="宋体" w:eastAsia="宋体" w:cs="宋体"/>
          <w:color w:val="auto"/>
          <w:szCs w:val="21"/>
          <w:highlight w:val="none"/>
          <w:u w:val="none"/>
        </w:rPr>
        <w:t>》相关条款全力配合贵公司工作，并自愿做出如下承诺：</w:t>
      </w:r>
    </w:p>
    <w:p w14:paraId="76797DBB">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一）如我司有拖欠所雇用员工工资等，发生劳资纠纷、上访、闹事或其他影响贵公司生产经营等情况而未及时妥善处理的，我司同意贵公司可直接启用履约担保或从未付款中直接扣除相应款项予以支付或作出相应处理，由此产生的一切法律后果由我司承担；</w:t>
      </w:r>
    </w:p>
    <w:p w14:paraId="44482A39">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二）如我司不履行、怠于履行或没有在约定时间内完成合同项下的全部义务，合同条款中有相应违约条款的，我司承诺将按照合同约定承担违约责任；其他无约定情形的，我司同意按照暂定合同含税总价的5%向贵公司承担违约金。同时，贵公司有权另行委派其他单位实施本项目，由此产生的差价及相关费用等由我司承担；</w:t>
      </w:r>
    </w:p>
    <w:p w14:paraId="1AE68B51">
      <w:pPr>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（三）如我司有违反本项目管理及合同约定等行为，我司将同意并接受贵公司根据相关约定对我司进行处罚；</w:t>
      </w:r>
    </w:p>
    <w:p w14:paraId="7A760A85">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（四）</w:t>
      </w:r>
      <w:r>
        <w:rPr>
          <w:rFonts w:hint="eastAsia" w:ascii="宋体" w:hAnsi="宋体" w:eastAsia="宋体" w:cs="宋体"/>
          <w:color w:val="auto"/>
          <w:kern w:val="0"/>
          <w:szCs w:val="21"/>
          <w:highlight w:val="none"/>
        </w:rPr>
        <w:t>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480F356A">
      <w:pPr>
        <w:widowControl/>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0FAF1101">
      <w:pPr>
        <w:spacing w:line="360" w:lineRule="auto"/>
        <w:ind w:firstLine="420" w:firstLineChars="200"/>
        <w:rPr>
          <w:rFonts w:hint="eastAsia" w:ascii="宋体" w:hAnsi="宋体" w:eastAsia="宋体" w:cs="宋体"/>
          <w:color w:val="auto"/>
          <w:szCs w:val="21"/>
          <w:highlight w:val="none"/>
        </w:rPr>
      </w:pPr>
    </w:p>
    <w:p w14:paraId="3AD20A82">
      <w:pPr>
        <w:spacing w:line="360" w:lineRule="auto"/>
        <w:ind w:right="960"/>
        <w:jc w:val="right"/>
        <w:rPr>
          <w:rFonts w:hint="eastAsia" w:ascii="宋体" w:hAnsi="宋体" w:eastAsia="宋体" w:cs="宋体"/>
          <w:color w:val="auto"/>
          <w:szCs w:val="21"/>
          <w:highlight w:val="none"/>
        </w:rPr>
      </w:pPr>
      <w:r>
        <w:rPr>
          <w:rFonts w:hint="eastAsia" w:ascii="宋体" w:hAnsi="宋体" w:eastAsia="宋体" w:cs="宋体"/>
          <w:color w:val="auto"/>
          <w:w w:val="105"/>
          <w:szCs w:val="21"/>
          <w:highlight w:val="none"/>
        </w:rPr>
        <w:t xml:space="preserve">           </w:t>
      </w:r>
      <w:r>
        <w:rPr>
          <w:rFonts w:hint="eastAsia" w:ascii="宋体" w:hAnsi="宋体" w:eastAsia="宋体" w:cs="宋体"/>
          <w:color w:val="auto"/>
          <w:szCs w:val="21"/>
          <w:highlight w:val="none"/>
        </w:rPr>
        <w:t xml:space="preserve"> 承诺单位（盖章）：</w:t>
      </w:r>
    </w:p>
    <w:p w14:paraId="6473DD4D">
      <w:pPr>
        <w:spacing w:line="360" w:lineRule="auto"/>
        <w:ind w:right="960"/>
        <w:jc w:val="right"/>
        <w:rPr>
          <w:rFonts w:hint="eastAsia" w:ascii="宋体" w:hAnsi="宋体" w:eastAsia="宋体" w:cs="宋体"/>
          <w:color w:val="auto"/>
          <w:highlight w:val="none"/>
        </w:rPr>
      </w:pPr>
      <w:r>
        <w:rPr>
          <w:rFonts w:hint="eastAsia" w:ascii="宋体" w:hAnsi="宋体" w:eastAsia="宋体" w:cs="宋体"/>
          <w:color w:val="auto"/>
          <w:szCs w:val="21"/>
          <w:highlight w:val="none"/>
        </w:rPr>
        <w:t>法人代表人（授权代理人）签名（或盖私章）：</w:t>
      </w:r>
    </w:p>
    <w:p w14:paraId="5F9AA69F">
      <w:pPr>
        <w:spacing w:line="360" w:lineRule="auto"/>
        <w:ind w:right="960" w:firstLine="420" w:firstLineChars="200"/>
        <w:rPr>
          <w:rFonts w:hint="eastAsia" w:ascii="宋体" w:hAnsi="宋体" w:eastAsia="宋体" w:cs="宋体"/>
          <w:color w:val="auto"/>
          <w:highlight w:val="none"/>
        </w:rPr>
      </w:pPr>
    </w:p>
    <w:p w14:paraId="25ED4F00">
      <w:pPr>
        <w:rPr>
          <w:rFonts w:hint="eastAsia" w:ascii="宋体" w:hAnsi="宋体" w:eastAsia="宋体" w:cs="宋体"/>
          <w:color w:val="auto"/>
          <w:highlight w:val="none"/>
        </w:rPr>
      </w:pPr>
    </w:p>
    <w:p w14:paraId="1577C469">
      <w:pPr>
        <w:rPr>
          <w:rFonts w:hint="eastAsia" w:ascii="宋体" w:hAnsi="宋体" w:eastAsia="宋体" w:cs="宋体"/>
          <w:color w:val="auto"/>
          <w:highlight w:val="none"/>
        </w:rPr>
      </w:pPr>
    </w:p>
    <w:p w14:paraId="4BA19F29">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14:paraId="463E8D32">
      <w:pPr>
        <w:autoSpaceDE w:val="0"/>
        <w:autoSpaceDN w:val="0"/>
        <w:adjustRightInd w:val="0"/>
        <w:snapToGrid w:val="0"/>
        <w:spacing w:line="360" w:lineRule="auto"/>
        <w:ind w:firstLine="420" w:firstLineChars="200"/>
        <w:contextualSpacing/>
        <w:jc w:val="left"/>
        <w:rPr>
          <w:rFonts w:hint="eastAsia" w:ascii="宋体" w:hAnsi="宋体" w:eastAsia="宋体" w:cs="宋体"/>
          <w:color w:val="auto"/>
          <w:kern w:val="0"/>
          <w:szCs w:val="21"/>
          <w:highlight w:val="none"/>
        </w:rPr>
      </w:pPr>
    </w:p>
    <w:p w14:paraId="0CAFD338">
      <w:pPr>
        <w:autoSpaceDE w:val="0"/>
        <w:autoSpaceDN w:val="0"/>
        <w:adjustRightInd w:val="0"/>
        <w:snapToGrid w:val="0"/>
        <w:spacing w:line="360" w:lineRule="auto"/>
        <w:jc w:val="left"/>
        <w:rPr>
          <w:rFonts w:hint="eastAsia" w:ascii="宋体" w:hAnsi="宋体" w:eastAsia="宋体" w:cs="宋体"/>
          <w:color w:val="auto"/>
          <w:kern w:val="0"/>
          <w:szCs w:val="21"/>
          <w:highlight w:val="none"/>
        </w:rPr>
      </w:pPr>
    </w:p>
    <w:p w14:paraId="2F9DDEFA">
      <w:pPr>
        <w:widowControl/>
        <w:jc w:val="left"/>
        <w:rPr>
          <w:rFonts w:hint="eastAsia" w:ascii="宋体" w:hAnsi="宋体" w:eastAsia="宋体" w:cs="宋体"/>
          <w:color w:val="auto"/>
          <w:szCs w:val="24"/>
          <w:highlight w:val="none"/>
          <w:lang w:val="zh-CN"/>
        </w:rPr>
      </w:pPr>
    </w:p>
    <w:p w14:paraId="27FEAE41">
      <w:pPr>
        <w:pStyle w:val="5"/>
        <w:pageBreakBefore/>
        <w:rPr>
          <w:rFonts w:hint="eastAsia" w:ascii="宋体" w:hAnsi="宋体" w:eastAsia="宋体" w:cs="宋体"/>
          <w:b/>
          <w:bCs/>
          <w:color w:val="auto"/>
          <w:kern w:val="44"/>
          <w:sz w:val="32"/>
          <w:szCs w:val="32"/>
          <w:highlight w:val="none"/>
          <w:lang w:val="zh-CN"/>
        </w:rPr>
      </w:pPr>
      <w:r>
        <w:rPr>
          <w:rFonts w:hint="eastAsia" w:ascii="宋体" w:hAnsi="宋体" w:eastAsia="宋体" w:cs="宋体"/>
          <w:b/>
          <w:color w:val="auto"/>
          <w:highlight w:val="none"/>
        </w:rPr>
        <w:t>附件</w:t>
      </w:r>
      <w:r>
        <w:rPr>
          <w:rFonts w:hint="eastAsia" w:ascii="宋体" w:hAnsi="宋体" w:eastAsia="宋体" w:cs="宋体"/>
          <w:b/>
          <w:color w:val="auto"/>
          <w:highlight w:val="none"/>
          <w:lang w:val="en-US" w:eastAsia="zh-CN"/>
        </w:rPr>
        <w:t>九</w:t>
      </w:r>
      <w:r>
        <w:rPr>
          <w:rFonts w:hint="eastAsia" w:ascii="宋体" w:hAnsi="宋体" w:eastAsia="宋体" w:cs="宋体"/>
          <w:b/>
          <w:color w:val="auto"/>
          <w:highlight w:val="none"/>
        </w:rPr>
        <w:t>：</w:t>
      </w:r>
      <w:r>
        <w:rPr>
          <w:rFonts w:hint="eastAsia" w:ascii="宋体" w:hAnsi="宋体" w:eastAsia="宋体" w:cs="宋体"/>
          <w:b/>
          <w:color w:val="auto"/>
          <w:highlight w:val="none"/>
          <w:lang w:val="en-US" w:eastAsia="zh-CN"/>
        </w:rPr>
        <w:t>用户需求</w:t>
      </w:r>
      <w:r>
        <w:rPr>
          <w:rFonts w:hint="eastAsia" w:ascii="宋体" w:hAnsi="宋体" w:eastAsia="宋体" w:cs="宋体"/>
          <w:b/>
          <w:color w:val="auto"/>
          <w:highlight w:val="none"/>
        </w:rPr>
        <w:t>书</w:t>
      </w:r>
      <w:r>
        <w:rPr>
          <w:rFonts w:hint="eastAsia" w:ascii="宋体" w:hAnsi="宋体" w:eastAsia="宋体" w:cs="宋体"/>
          <w:b/>
          <w:color w:val="auto"/>
          <w:highlight w:val="none"/>
          <w:lang w:val="en-US" w:eastAsia="zh-CN"/>
        </w:rPr>
        <w:t xml:space="preserve">              </w:t>
      </w:r>
    </w:p>
    <w:p w14:paraId="4CEC8AB1">
      <w:pPr>
        <w:spacing w:line="360" w:lineRule="auto"/>
        <w:rPr>
          <w:rFonts w:hint="eastAsia" w:ascii="宋体" w:hAnsi="宋体" w:eastAsia="宋体" w:cs="宋体"/>
          <w:b/>
          <w:color w:val="auto"/>
          <w:szCs w:val="21"/>
          <w:highlight w:val="none"/>
          <w:lang w:val="zh-CN"/>
        </w:rPr>
      </w:pPr>
    </w:p>
    <w:p w14:paraId="310E4DAC">
      <w:pPr>
        <w:pStyle w:val="19"/>
        <w:rPr>
          <w:rFonts w:hint="eastAsia" w:ascii="宋体" w:hAnsi="宋体" w:eastAsia="宋体" w:cs="宋体"/>
          <w:color w:val="auto"/>
          <w:highlight w:val="none"/>
          <w:lang w:val="zh-CN"/>
        </w:rPr>
      </w:pPr>
    </w:p>
    <w:p w14:paraId="7E8F6D73">
      <w:pPr>
        <w:pageBreakBefore/>
        <w:spacing w:before="120" w:beforeLines="50" w:after="120" w:afterLines="50" w:line="360" w:lineRule="auto"/>
        <w:ind w:firstLine="640"/>
        <w:jc w:val="center"/>
        <w:outlineLvl w:val="0"/>
        <w:rPr>
          <w:rFonts w:hint="eastAsia" w:ascii="宋体" w:hAnsi="宋体" w:eastAsia="宋体" w:cs="宋体"/>
          <w:b/>
          <w:bCs/>
          <w:color w:val="auto"/>
          <w:sz w:val="32"/>
          <w:szCs w:val="32"/>
          <w:highlight w:val="none"/>
          <w:lang w:val="zh-CN"/>
        </w:rPr>
      </w:pPr>
      <w:r>
        <w:rPr>
          <w:rFonts w:hint="eastAsia" w:ascii="宋体" w:hAnsi="宋体" w:eastAsia="宋体" w:cs="宋体"/>
          <w:b/>
          <w:bCs/>
          <w:color w:val="auto"/>
          <w:sz w:val="32"/>
          <w:szCs w:val="32"/>
          <w:highlight w:val="none"/>
          <w:lang w:val="zh-CN"/>
        </w:rPr>
        <w:t>第五篇 相关保函格式</w:t>
      </w:r>
      <w:bookmarkEnd w:id="382"/>
      <w:bookmarkEnd w:id="383"/>
      <w:bookmarkEnd w:id="384"/>
      <w:bookmarkEnd w:id="385"/>
      <w:bookmarkEnd w:id="386"/>
      <w:bookmarkEnd w:id="387"/>
      <w:bookmarkEnd w:id="388"/>
      <w:bookmarkEnd w:id="389"/>
      <w:bookmarkEnd w:id="390"/>
      <w:bookmarkStart w:id="391" w:name="_Toc447045091"/>
      <w:bookmarkStart w:id="392" w:name="_Toc447044604"/>
      <w:bookmarkStart w:id="393" w:name="_Toc447044480"/>
    </w:p>
    <w:p w14:paraId="5BB032E7">
      <w:pPr>
        <w:autoSpaceDE w:val="0"/>
        <w:autoSpaceDN w:val="0"/>
        <w:adjustRightInd w:val="0"/>
        <w:spacing w:after="120" w:afterLines="50" w:line="360" w:lineRule="auto"/>
        <w:jc w:val="left"/>
        <w:outlineLvl w:val="1"/>
        <w:rPr>
          <w:rFonts w:hint="eastAsia" w:ascii="宋体" w:hAnsi="宋体" w:eastAsia="宋体" w:cs="宋体"/>
          <w:b/>
          <w:color w:val="auto"/>
          <w:kern w:val="0"/>
          <w:sz w:val="28"/>
          <w:szCs w:val="28"/>
          <w:highlight w:val="none"/>
        </w:rPr>
      </w:pPr>
      <w:bookmarkStart w:id="394" w:name="_Toc26521_WPSOffice_Level2"/>
      <w:r>
        <w:rPr>
          <w:rFonts w:hint="eastAsia" w:ascii="宋体" w:hAnsi="宋体" w:eastAsia="宋体" w:cs="宋体"/>
          <w:b/>
          <w:color w:val="auto"/>
          <w:kern w:val="0"/>
          <w:sz w:val="28"/>
          <w:szCs w:val="28"/>
          <w:highlight w:val="none"/>
        </w:rPr>
        <w:t>一、不可撤销银行履约保函格式</w:t>
      </w:r>
      <w:bookmarkEnd w:id="391"/>
      <w:bookmarkEnd w:id="392"/>
      <w:bookmarkEnd w:id="393"/>
      <w:bookmarkEnd w:id="394"/>
    </w:p>
    <w:p w14:paraId="1569A5F1">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不可撤销银行履约保函</w:t>
      </w:r>
    </w:p>
    <w:p w14:paraId="1D2B6FD6">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2E5BE60">
      <w:pPr>
        <w:autoSpaceDE w:val="0"/>
        <w:autoSpaceDN w:val="0"/>
        <w:adjustRightInd w:val="0"/>
        <w:spacing w:line="360" w:lineRule="auto"/>
        <w:ind w:firstLine="63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银行编号：</w:t>
      </w:r>
    </w:p>
    <w:p w14:paraId="1AE31CA9">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72D93A4B">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项目名称       （招标编号：         ）</w:t>
      </w:r>
      <w:r>
        <w:rPr>
          <w:rFonts w:hint="eastAsia" w:ascii="宋体" w:hAnsi="宋体" w:eastAsia="宋体" w:cs="宋体"/>
          <w:color w:val="auto"/>
          <w:kern w:val="0"/>
          <w:szCs w:val="21"/>
          <w:highlight w:val="none"/>
        </w:rPr>
        <w:t>合同（招标文件）中规定的义务履行合同。</w:t>
      </w:r>
    </w:p>
    <w:p w14:paraId="7C119AF9">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的无条件、不可撤销银行履约保函，作为申请人履行上述合同的担保。</w:t>
      </w:r>
    </w:p>
    <w:p w14:paraId="32636C71">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（银行名称）</w:t>
      </w:r>
      <w:r>
        <w:rPr>
          <w:rFonts w:hint="eastAsia" w:ascii="宋体" w:hAnsi="宋体" w:eastAsia="宋体" w:cs="宋体"/>
          <w:color w:val="auto"/>
          <w:kern w:val="0"/>
          <w:szCs w:val="21"/>
          <w:highlight w:val="none"/>
        </w:rPr>
        <w:t>，受申请人的委托，无条件和不可撤销地在受益人出具本保函原件且提出因申请人没有履行上述合同规定，而要求我方承担保证责任</w:t>
      </w:r>
      <w:r>
        <w:rPr>
          <w:rFonts w:hint="eastAsia" w:ascii="宋体" w:hAnsi="宋体" w:eastAsia="宋体" w:cs="宋体"/>
          <w:color w:val="auto"/>
          <w:kern w:val="0"/>
          <w:szCs w:val="21"/>
          <w:highlight w:val="none"/>
          <w:lang w:val="en-US" w:eastAsia="zh-CN"/>
        </w:rPr>
        <w:t>后，</w:t>
      </w:r>
      <w:r>
        <w:rPr>
          <w:rFonts w:hint="eastAsia" w:ascii="宋体" w:hAnsi="宋体" w:eastAsia="宋体" w:cs="宋体"/>
          <w:color w:val="auto"/>
          <w:kern w:val="0"/>
          <w:szCs w:val="21"/>
          <w:highlight w:val="none"/>
        </w:rPr>
        <w:t>在保函限额内向受益人支付不超过人民币（大写）_________（¥_______元）的款项。</w:t>
      </w:r>
    </w:p>
    <w:p w14:paraId="16800D5F">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在向我行提出要求前，我行将不坚持要求受益人首先向申请人提出上述款项的索赔。</w:t>
      </w:r>
    </w:p>
    <w:p w14:paraId="66EC5157">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我方还同意，任何受益人与申请人之间可能对合同条款的修改、规范或其他合同文件的变动补充，都不能免除我方按本保函所承担的责任。因此，有关上述变动、补充和修改无须通知或征得我方同意。</w:t>
      </w:r>
    </w:p>
    <w:p w14:paraId="19E64510">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本保函应自合同签订之日起至合同期限届满并履行完毕相关服务义务且结算完毕之后二十八（28）日内保持有效。</w:t>
      </w:r>
    </w:p>
    <w:p w14:paraId="092A59D2">
      <w:pPr>
        <w:widowControl/>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p>
    <w:p w14:paraId="6F3D99B5">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rPr>
        <w:t>担 保 银 行：</w:t>
      </w:r>
      <w:r>
        <w:rPr>
          <w:rFonts w:hint="eastAsia" w:ascii="宋体" w:hAnsi="宋体" w:eastAsia="宋体" w:cs="宋体"/>
          <w:color w:val="auto"/>
          <w:kern w:val="0"/>
          <w:szCs w:val="21"/>
          <w:highlight w:val="none"/>
          <w:u w:val="single"/>
        </w:rPr>
        <w:t xml:space="preserve">          银行全称          (盖章)   </w:t>
      </w:r>
    </w:p>
    <w:p w14:paraId="48768105">
      <w:pPr>
        <w:widowControl/>
        <w:autoSpaceDE w:val="0"/>
        <w:autoSpaceDN w:val="0"/>
        <w:adjustRightInd w:val="0"/>
        <w:spacing w:line="360" w:lineRule="auto"/>
        <w:ind w:firstLine="2520" w:firstLineChars="1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法定代表人或其授权的代表人：</w:t>
      </w:r>
      <w:r>
        <w:rPr>
          <w:rFonts w:hint="eastAsia" w:ascii="宋体" w:hAnsi="宋体" w:eastAsia="宋体" w:cs="宋体"/>
          <w:color w:val="auto"/>
          <w:kern w:val="0"/>
          <w:szCs w:val="21"/>
          <w:highlight w:val="none"/>
          <w:u w:val="single"/>
        </w:rPr>
        <w:t xml:space="preserve">       (职务)         </w:t>
      </w:r>
    </w:p>
    <w:p w14:paraId="3D3F6CBD">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(姓名)         </w:t>
      </w:r>
    </w:p>
    <w:p w14:paraId="118353A2">
      <w:pPr>
        <w:widowControl/>
        <w:autoSpaceDE w:val="0"/>
        <w:autoSpaceDN w:val="0"/>
        <w:adjustRightInd w:val="0"/>
        <w:spacing w:line="360" w:lineRule="auto"/>
        <w:ind w:firstLine="5502" w:firstLineChars="2620"/>
        <w:jc w:val="left"/>
        <w:outlineLvl w:val="9"/>
        <w:rPr>
          <w:rFonts w:hint="eastAsia" w:ascii="宋体" w:hAnsi="宋体" w:eastAsia="宋体" w:cs="宋体"/>
          <w:color w:val="auto"/>
          <w:kern w:val="0"/>
          <w:szCs w:val="21"/>
          <w:highlight w:val="none"/>
          <w:u w:val="single"/>
        </w:rPr>
      </w:pPr>
      <w:r>
        <w:rPr>
          <w:rFonts w:hint="eastAsia" w:ascii="宋体" w:hAnsi="宋体" w:eastAsia="宋体" w:cs="宋体"/>
          <w:color w:val="auto"/>
          <w:kern w:val="0"/>
          <w:szCs w:val="21"/>
          <w:highlight w:val="none"/>
          <w:u w:val="single"/>
        </w:rPr>
        <w:t xml:space="preserve">       (签章)         </w:t>
      </w:r>
    </w:p>
    <w:p w14:paraId="7701AFFA">
      <w:pPr>
        <w:autoSpaceDE w:val="0"/>
        <w:autoSpaceDN w:val="0"/>
        <w:adjustRightInd w:val="0"/>
        <w:spacing w:line="360" w:lineRule="auto"/>
        <w:ind w:left="84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年</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月</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日</w:t>
      </w:r>
    </w:p>
    <w:p w14:paraId="5BBD67C3">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2A774309">
      <w:pPr>
        <w:widowControl/>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0D5C148D">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sectPr>
          <w:headerReference r:id="rId6" w:type="first"/>
          <w:footerReference r:id="rId8" w:type="first"/>
          <w:headerReference r:id="rId5" w:type="default"/>
          <w:footerReference r:id="rId7" w:type="default"/>
          <w:pgSz w:w="12240" w:h="15840"/>
          <w:pgMar w:top="1191" w:right="1043" w:bottom="1191" w:left="1043" w:header="720" w:footer="720" w:gutter="0"/>
          <w:cols w:space="720" w:num="1"/>
          <w:titlePg/>
          <w:docGrid w:linePitch="326" w:charSpace="0"/>
        </w:sectPr>
      </w:pPr>
    </w:p>
    <w:p w14:paraId="14711C3B">
      <w:pPr>
        <w:numPr>
          <w:ilvl w:val="0"/>
          <w:numId w:val="0"/>
        </w:numPr>
        <w:outlineLvl w:val="1"/>
        <w:rPr>
          <w:rFonts w:hint="eastAsia" w:ascii="宋体" w:hAnsi="宋体" w:eastAsia="宋体" w:cs="宋体"/>
          <w:b/>
          <w:color w:val="auto"/>
          <w:kern w:val="0"/>
          <w:sz w:val="28"/>
          <w:szCs w:val="28"/>
          <w:highlight w:val="none"/>
          <w:lang w:val="en-US" w:eastAsia="zh-CN"/>
        </w:rPr>
      </w:pPr>
      <w:r>
        <w:rPr>
          <w:rFonts w:hint="eastAsia" w:ascii="宋体" w:hAnsi="宋体" w:eastAsia="宋体" w:cs="宋体"/>
          <w:b/>
          <w:color w:val="auto"/>
          <w:kern w:val="0"/>
          <w:sz w:val="28"/>
          <w:szCs w:val="28"/>
          <w:highlight w:val="none"/>
          <w:lang w:val="en-US" w:eastAsia="zh-CN" w:bidi="ar-SA"/>
        </w:rPr>
        <w:t>二、</w:t>
      </w:r>
      <w:r>
        <w:rPr>
          <w:rFonts w:hint="eastAsia" w:ascii="宋体" w:hAnsi="宋体" w:eastAsia="宋体" w:cs="宋体"/>
          <w:b/>
          <w:color w:val="auto"/>
          <w:kern w:val="0"/>
          <w:sz w:val="28"/>
          <w:szCs w:val="28"/>
          <w:highlight w:val="none"/>
          <w:lang w:val="en-US" w:eastAsia="zh-CN"/>
        </w:rPr>
        <w:t>履约保证保险凭证格式</w:t>
      </w:r>
    </w:p>
    <w:p w14:paraId="437F2DD9">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p>
    <w:p w14:paraId="49424EE3">
      <w:pPr>
        <w:autoSpaceDE w:val="0"/>
        <w:autoSpaceDN w:val="0"/>
        <w:adjustRightInd w:val="0"/>
        <w:jc w:val="cente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t>履约保证保险凭证</w:t>
      </w:r>
    </w:p>
    <w:p w14:paraId="51A0FA15">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7CFDBB45">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编号：</w:t>
      </w:r>
    </w:p>
    <w:p w14:paraId="7F10400B">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（下称“受益人”）： </w:t>
      </w:r>
    </w:p>
    <w:p w14:paraId="368472A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lang w:val="en-US" w:eastAsia="zh-CN"/>
        </w:rPr>
      </w:pPr>
    </w:p>
    <w:p w14:paraId="0633BEF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鉴于</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（下称“申请人”）已与贵方签订了</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。我方已接受申请人的请求，并出具《履约保证保险》保险单。 </w:t>
      </w:r>
    </w:p>
    <w:p w14:paraId="2481A0FB">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一、保证保险金额 </w:t>
      </w:r>
    </w:p>
    <w:p w14:paraId="6F351348">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我方承担的履约保证保险的保险金额（最高限额）为人民币（大写）</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元 （¥</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lang w:val="en-US" w:eastAsia="zh-CN"/>
        </w:rPr>
        <w:t xml:space="preserve"> ）。 </w:t>
      </w:r>
    </w:p>
    <w:p w14:paraId="15442B42">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二、保证保险的责任范围 </w:t>
      </w:r>
    </w:p>
    <w:p w14:paraId="1947416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在保险期间内，申请人因自身原因未按照与贵方签订的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w:t>
      </w:r>
      <w:r>
        <w:rPr>
          <w:rFonts w:hint="eastAsia" w:ascii="宋体" w:hAnsi="宋体" w:eastAsia="宋体" w:cs="宋体"/>
          <w:color w:val="auto"/>
          <w:kern w:val="0"/>
          <w:szCs w:val="21"/>
          <w:highlight w:val="none"/>
          <w:lang w:val="en-US" w:eastAsia="zh-CN"/>
        </w:rPr>
        <w:t xml:space="preserve">履行相关义务，给贵方造成损失的，贵方可向我方提出索赔，我方按照保险合同的约定承担损失赔偿责任。 </w:t>
      </w:r>
    </w:p>
    <w:p w14:paraId="4F17A6D6">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三、代偿的安排 </w:t>
      </w:r>
    </w:p>
    <w:p w14:paraId="7D3A0A6E">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贵方要求我方承担保证保险责任的，我方无条件和不可撤销地在贵方出具本履约保证保险原件且提出因申请人没有履行上述合同规定，而要求我方承担保证责任后，在保险限额内向贵方支付不超过人民币（大写）_________（¥_______元）的款项。</w:t>
      </w:r>
    </w:p>
    <w:p w14:paraId="7E166F17">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四、生效时间 </w:t>
      </w:r>
    </w:p>
    <w:p w14:paraId="0E594C65">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本保险凭证自我方法定代表人（或其授权代理人）签字并加盖保险承保章之日起生效。 </w:t>
      </w:r>
    </w:p>
    <w:p w14:paraId="08D40FCF">
      <w:pPr>
        <w:numPr>
          <w:ilvl w:val="0"/>
          <w:numId w:val="0"/>
        </w:numPr>
        <w:autoSpaceDE w:val="0"/>
        <w:autoSpaceDN w:val="0"/>
        <w:adjustRightInd w:val="0"/>
        <w:spacing w:line="360" w:lineRule="auto"/>
        <w:ind w:firstLine="437" w:firstLineChars="0"/>
        <w:jc w:val="left"/>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 w:val="21"/>
          <w:szCs w:val="21"/>
          <w:highlight w:val="none"/>
          <w:lang w:val="en-US" w:eastAsia="zh-CN" w:bidi="ar-SA"/>
        </w:rPr>
        <w:t>五、</w:t>
      </w:r>
      <w:r>
        <w:rPr>
          <w:rFonts w:hint="eastAsia" w:ascii="宋体" w:hAnsi="宋体" w:eastAsia="宋体" w:cs="宋体"/>
          <w:color w:val="auto"/>
          <w:kern w:val="0"/>
          <w:szCs w:val="21"/>
          <w:highlight w:val="none"/>
          <w:lang w:val="en-US" w:eastAsia="zh-CN"/>
        </w:rPr>
        <w:t>其他</w:t>
      </w:r>
    </w:p>
    <w:p w14:paraId="636C8CBC">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w:t>
      </w:r>
      <w:r>
        <w:rPr>
          <w:rFonts w:hint="eastAsia" w:ascii="宋体" w:hAnsi="宋体" w:eastAsia="宋体" w:cs="宋体"/>
          <w:color w:val="auto"/>
          <w:kern w:val="0"/>
          <w:szCs w:val="21"/>
          <w:highlight w:val="none"/>
          <w:lang w:val="en-US" w:eastAsia="zh-CN"/>
        </w:rPr>
        <w:t>履约保证保险</w:t>
      </w:r>
      <w:r>
        <w:rPr>
          <w:rFonts w:hint="eastAsia" w:ascii="宋体" w:hAnsi="宋体" w:eastAsia="宋体" w:cs="宋体"/>
          <w:color w:val="auto"/>
          <w:kern w:val="0"/>
          <w:szCs w:val="21"/>
          <w:highlight w:val="none"/>
        </w:rPr>
        <w:t>应自合同签订之日起至合同期限届满并履行完毕相关服务义务且结算完毕之后二十八（28）日内保持有效。</w:t>
      </w:r>
    </w:p>
    <w:p w14:paraId="64D098E1">
      <w:pPr>
        <w:numPr>
          <w:ilvl w:val="0"/>
          <w:numId w:val="0"/>
        </w:numPr>
        <w:outlineLvl w:val="9"/>
        <w:rPr>
          <w:rFonts w:hint="eastAsia" w:ascii="宋体" w:hAnsi="宋体" w:eastAsia="宋体" w:cs="宋体"/>
          <w:color w:val="auto"/>
          <w:highlight w:val="none"/>
          <w:lang w:val="en-US" w:eastAsia="zh-CN"/>
        </w:rPr>
      </w:pPr>
    </w:p>
    <w:p w14:paraId="08FBE60F">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附：《XXX 保险有限公司履约保证保险（X 款）条款》及保单 </w:t>
      </w:r>
    </w:p>
    <w:p w14:paraId="4EACB1EA">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 xml:space="preserve">                                            </w:t>
      </w:r>
    </w:p>
    <w:p w14:paraId="77F66C8F">
      <w:pPr>
        <w:autoSpaceDE w:val="0"/>
        <w:autoSpaceDN w:val="0"/>
        <w:adjustRightInd w:val="0"/>
        <w:spacing w:line="360" w:lineRule="auto"/>
        <w:ind w:firstLine="437"/>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                                             保险人：（盖章）</w:t>
      </w:r>
    </w:p>
    <w:p w14:paraId="64754803">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 xml:space="preserve">法定代表人或授权代理人：________ </w:t>
      </w:r>
    </w:p>
    <w:p w14:paraId="4B79707D">
      <w:pPr>
        <w:autoSpaceDE w:val="0"/>
        <w:autoSpaceDN w:val="0"/>
        <w:adjustRightInd w:val="0"/>
        <w:spacing w:line="360" w:lineRule="auto"/>
        <w:ind w:firstLine="437"/>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年 月 日</w:t>
      </w:r>
    </w:p>
    <w:p w14:paraId="70525468">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br w:type="page"/>
      </w:r>
    </w:p>
    <w:p w14:paraId="61F26687">
      <w:pPr>
        <w:autoSpaceDE w:val="0"/>
        <w:autoSpaceDN w:val="0"/>
        <w:adjustRightInd w:val="0"/>
        <w:spacing w:after="120" w:afterLines="50" w:line="360" w:lineRule="auto"/>
        <w:jc w:val="left"/>
        <w:outlineLvl w:val="1"/>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lang w:val="en-US" w:eastAsia="zh-CN"/>
        </w:rPr>
        <w:t>三</w:t>
      </w:r>
      <w:r>
        <w:rPr>
          <w:rFonts w:hint="eastAsia" w:ascii="宋体" w:hAnsi="宋体" w:eastAsia="宋体" w:cs="宋体"/>
          <w:b/>
          <w:color w:val="auto"/>
          <w:kern w:val="0"/>
          <w:sz w:val="28"/>
          <w:szCs w:val="28"/>
          <w:highlight w:val="none"/>
        </w:rPr>
        <w:t>、担保公司履约担保书格式</w:t>
      </w:r>
    </w:p>
    <w:p w14:paraId="6A272504">
      <w:pPr>
        <w:autoSpaceDE w:val="0"/>
        <w:autoSpaceDN w:val="0"/>
        <w:adjustRightInd w:val="0"/>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担保公司履约担保书</w:t>
      </w:r>
    </w:p>
    <w:p w14:paraId="7DA44914">
      <w:pPr>
        <w:widowControl/>
        <w:autoSpaceDE w:val="0"/>
        <w:autoSpaceDN w:val="0"/>
        <w:adjustRightInd w:val="0"/>
        <w:spacing w:before="100" w:beforeAutospacing="1" w:after="100" w:afterAutospacing="1"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b/>
          <w:color w:val="auto"/>
          <w:kern w:val="0"/>
          <w:szCs w:val="21"/>
          <w:highlight w:val="none"/>
          <w:u w:val="single"/>
        </w:rPr>
        <w:t xml:space="preserve">                    </w:t>
      </w:r>
      <w:r>
        <w:rPr>
          <w:rFonts w:hint="eastAsia" w:ascii="宋体" w:hAnsi="宋体" w:eastAsia="宋体" w:cs="宋体"/>
          <w:color w:val="auto"/>
          <w:kern w:val="0"/>
          <w:szCs w:val="21"/>
          <w:highlight w:val="none"/>
        </w:rPr>
        <w:t>（下称“受益人”）</w:t>
      </w:r>
    </w:p>
    <w:p w14:paraId="4BD2E89D">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鉴于</w:t>
      </w:r>
      <w:r>
        <w:rPr>
          <w:rFonts w:hint="eastAsia" w:ascii="宋体" w:hAnsi="宋体" w:eastAsia="宋体" w:cs="宋体"/>
          <w:color w:val="auto"/>
          <w:kern w:val="0"/>
          <w:szCs w:val="21"/>
          <w:highlight w:val="none"/>
          <w:u w:val="single"/>
        </w:rPr>
        <w:t xml:space="preserve">  （申请人的名称与地址）  </w:t>
      </w:r>
      <w:r>
        <w:rPr>
          <w:rFonts w:hint="eastAsia" w:ascii="宋体" w:hAnsi="宋体" w:eastAsia="宋体" w:cs="宋体"/>
          <w:color w:val="auto"/>
          <w:kern w:val="0"/>
          <w:szCs w:val="21"/>
          <w:highlight w:val="none"/>
        </w:rPr>
        <w:t>（下称“申请人”），已保证按拟签订的</w:t>
      </w:r>
      <w:r>
        <w:rPr>
          <w:rFonts w:hint="eastAsia" w:ascii="宋体" w:hAnsi="宋体" w:eastAsia="宋体" w:cs="宋体"/>
          <w:color w:val="auto"/>
          <w:kern w:val="0"/>
          <w:szCs w:val="21"/>
          <w:highlight w:val="none"/>
          <w:u w:val="single"/>
        </w:rPr>
        <w:t xml:space="preserve">          项目（招标编号：        ）</w:t>
      </w:r>
      <w:r>
        <w:rPr>
          <w:rFonts w:hint="eastAsia" w:ascii="宋体" w:hAnsi="宋体" w:eastAsia="宋体" w:cs="宋体"/>
          <w:color w:val="auto"/>
          <w:kern w:val="0"/>
          <w:szCs w:val="21"/>
          <w:highlight w:val="none"/>
        </w:rPr>
        <w:t>合同（招标文件）中规定的义务履行合同。</w:t>
      </w:r>
    </w:p>
    <w:p w14:paraId="3B6BBA42">
      <w:pPr>
        <w:widowControl/>
        <w:autoSpaceDE w:val="0"/>
        <w:autoSpaceDN w:val="0"/>
        <w:adjustRightInd w:val="0"/>
        <w:spacing w:line="360" w:lineRule="auto"/>
        <w:ind w:firstLine="567" w:firstLine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根据上述合同（招标文件）规定，申请人应向受益人提供一份金额为人民币（大写）</w:t>
      </w:r>
      <w:r>
        <w:rPr>
          <w:rFonts w:hint="eastAsia" w:ascii="宋体" w:hAnsi="宋体" w:eastAsia="宋体" w:cs="宋体"/>
          <w:color w:val="auto"/>
          <w:kern w:val="0"/>
          <w:szCs w:val="21"/>
          <w:highlight w:val="none"/>
          <w:u w:val="single"/>
        </w:rPr>
        <w:t xml:space="preserve">     （RMB元）</w:t>
      </w:r>
      <w:r>
        <w:rPr>
          <w:rFonts w:hint="eastAsia" w:ascii="宋体" w:hAnsi="宋体" w:eastAsia="宋体" w:cs="宋体"/>
          <w:color w:val="auto"/>
          <w:kern w:val="0"/>
          <w:szCs w:val="21"/>
          <w:highlight w:val="none"/>
        </w:rPr>
        <w:t>的无条件、</w:t>
      </w:r>
      <w:r>
        <w:rPr>
          <w:rFonts w:hint="eastAsia" w:ascii="宋体" w:hAnsi="宋体" w:eastAsia="宋体" w:cs="宋体"/>
          <w:bCs/>
          <w:color w:val="auto"/>
          <w:kern w:val="0"/>
          <w:szCs w:val="21"/>
          <w:highlight w:val="none"/>
        </w:rPr>
        <w:t>不可撤销</w:t>
      </w:r>
      <w:r>
        <w:rPr>
          <w:rFonts w:hint="eastAsia" w:ascii="宋体" w:hAnsi="宋体" w:eastAsia="宋体" w:cs="宋体"/>
          <w:color w:val="auto"/>
          <w:kern w:val="0"/>
          <w:szCs w:val="21"/>
          <w:highlight w:val="none"/>
        </w:rPr>
        <w:t>履约担保，作为申请人履行上述合同的担保，</w:t>
      </w:r>
      <w:r>
        <w:rPr>
          <w:rFonts w:hint="eastAsia" w:ascii="宋体" w:hAnsi="宋体" w:eastAsia="宋体" w:cs="宋体"/>
          <w:color w:val="auto"/>
          <w:kern w:val="0"/>
          <w:szCs w:val="21"/>
          <w:highlight w:val="none"/>
          <w:lang w:eastAsia="zh-Hans"/>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在</w:t>
      </w:r>
      <w:r>
        <w:rPr>
          <w:rFonts w:hint="eastAsia" w:ascii="宋体" w:hAnsi="宋体" w:eastAsia="宋体" w:cs="宋体"/>
          <w:color w:val="auto"/>
          <w:kern w:val="0"/>
          <w:szCs w:val="21"/>
          <w:highlight w:val="none"/>
          <w:lang w:eastAsia="zh-Hans"/>
        </w:rPr>
        <w:t>本合同项下的保证责任为连带责任保证</w:t>
      </w:r>
      <w:r>
        <w:rPr>
          <w:rFonts w:hint="eastAsia" w:ascii="宋体" w:hAnsi="宋体" w:eastAsia="宋体" w:cs="宋体"/>
          <w:color w:val="auto"/>
          <w:kern w:val="0"/>
          <w:szCs w:val="21"/>
          <w:highlight w:val="none"/>
        </w:rPr>
        <w:t>。</w:t>
      </w:r>
    </w:p>
    <w:p w14:paraId="73578EE7">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（担保公司名称）  </w:t>
      </w:r>
      <w:r>
        <w:rPr>
          <w:rFonts w:hint="eastAsia" w:ascii="宋体" w:hAnsi="宋体" w:eastAsia="宋体" w:cs="宋体"/>
          <w:color w:val="auto"/>
          <w:kern w:val="0"/>
          <w:szCs w:val="21"/>
          <w:highlight w:val="none"/>
        </w:rPr>
        <w:t>，受申请人的委托，无条件和不可撤销地在受益人出具本担保书原件且提出因申请人没有履行上述合同规定，在担保书限额内向受益人支付不超过人民币（大写）_________（¥_______元）的款项。</w:t>
      </w:r>
    </w:p>
    <w:p w14:paraId="6F4CB857">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我方还同意，任何受益人与申请人之间可能对合同条款的修改、规范或其他合同文件的变动补充，都不能免除我方按本担保函所承担的责任。因此，有关上述变动、补充和修改无须通知或征得我方同意。</w:t>
      </w:r>
    </w:p>
    <w:p w14:paraId="737EB08C">
      <w:pPr>
        <w:autoSpaceDE w:val="0"/>
        <w:autoSpaceDN w:val="0"/>
        <w:adjustRightInd w:val="0"/>
        <w:spacing w:line="360" w:lineRule="auto"/>
        <w:ind w:firstLine="437"/>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本保函应自合同签订之日起至合同期限届满并履行完毕相关服务义务且结算完毕之后二十八（28）日内保持有效。</w:t>
      </w:r>
    </w:p>
    <w:p w14:paraId="0E90BA23">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2C8ACF25">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法定代表人或其授权的代理人：（签字或盖私章）</w:t>
      </w:r>
    </w:p>
    <w:p w14:paraId="0443DE2E">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担保公司盖章：</w:t>
      </w:r>
    </w:p>
    <w:p w14:paraId="17116AE5">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联系电话：</w:t>
      </w:r>
    </w:p>
    <w:p w14:paraId="7F64AB92">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地址：</w:t>
      </w:r>
    </w:p>
    <w:p w14:paraId="46DAB585">
      <w:pPr>
        <w:autoSpaceDE w:val="0"/>
        <w:autoSpaceDN w:val="0"/>
        <w:adjustRightInd w:val="0"/>
        <w:spacing w:line="360" w:lineRule="auto"/>
        <w:ind w:firstLine="3990" w:firstLineChars="1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4BA82EBD">
      <w:pPr>
        <w:autoSpaceDE w:val="0"/>
        <w:autoSpaceDN w:val="0"/>
        <w:adjustRightInd w:val="0"/>
        <w:spacing w:line="360" w:lineRule="auto"/>
        <w:ind w:right="368" w:rightChars="175"/>
        <w:jc w:val="left"/>
        <w:outlineLvl w:val="9"/>
        <w:rPr>
          <w:rFonts w:hint="eastAsia" w:ascii="宋体" w:hAnsi="宋体" w:eastAsia="宋体" w:cs="宋体"/>
          <w:color w:val="auto"/>
          <w:kern w:val="0"/>
          <w:szCs w:val="21"/>
          <w:highlight w:val="none"/>
        </w:rPr>
      </w:pPr>
    </w:p>
    <w:p w14:paraId="4FF4A666">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06D330D">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10FC6075">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186C5E8C">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0329782E">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7CB7A662">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7BD7739E">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227ECC5D">
      <w:pPr>
        <w:autoSpaceDE w:val="0"/>
        <w:autoSpaceDN w:val="0"/>
        <w:adjustRightInd w:val="0"/>
        <w:spacing w:line="360" w:lineRule="auto"/>
        <w:ind w:firstLine="5775" w:firstLineChars="2750"/>
        <w:jc w:val="left"/>
        <w:outlineLvl w:val="9"/>
        <w:rPr>
          <w:rFonts w:hint="eastAsia" w:ascii="宋体" w:hAnsi="宋体" w:eastAsia="宋体" w:cs="宋体"/>
          <w:color w:val="auto"/>
          <w:kern w:val="0"/>
          <w:szCs w:val="21"/>
          <w:highlight w:val="none"/>
        </w:rPr>
      </w:pPr>
    </w:p>
    <w:p w14:paraId="465FE138">
      <w:pPr>
        <w:autoSpaceDE w:val="0"/>
        <w:autoSpaceDN w:val="0"/>
        <w:adjustRightInd w:val="0"/>
        <w:spacing w:line="360" w:lineRule="auto"/>
        <w:ind w:firstLine="420" w:firstLineChars="200"/>
        <w:jc w:val="left"/>
        <w:rPr>
          <w:rFonts w:hint="eastAsia" w:ascii="宋体" w:hAnsi="宋体" w:eastAsia="宋体" w:cs="宋体"/>
          <w:color w:val="auto"/>
          <w:kern w:val="0"/>
          <w:szCs w:val="21"/>
          <w:highlight w:val="none"/>
        </w:rPr>
      </w:pPr>
    </w:p>
    <w:p w14:paraId="12BB4CF0">
      <w:pPr>
        <w:pageBreakBefore/>
        <w:tabs>
          <w:tab w:val="left" w:pos="1080"/>
        </w:tabs>
        <w:autoSpaceDE w:val="0"/>
        <w:autoSpaceDN w:val="0"/>
        <w:adjustRightInd w:val="0"/>
        <w:spacing w:line="360" w:lineRule="auto"/>
        <w:ind w:left="357" w:leftChars="-100" w:hanging="567"/>
        <w:jc w:val="center"/>
        <w:outlineLvl w:val="0"/>
        <w:rPr>
          <w:rFonts w:hint="eastAsia" w:ascii="宋体" w:hAnsi="宋体" w:eastAsia="宋体" w:cs="宋体"/>
          <w:b/>
          <w:bCs/>
          <w:color w:val="auto"/>
          <w:kern w:val="44"/>
          <w:sz w:val="32"/>
          <w:szCs w:val="32"/>
          <w:highlight w:val="none"/>
        </w:rPr>
      </w:pPr>
      <w:bookmarkStart w:id="395" w:name="_Toc9738"/>
      <w:bookmarkStart w:id="396" w:name="_Toc32761_WPSOffice_Level1"/>
      <w:bookmarkStart w:id="397" w:name="_Toc486167708"/>
      <w:bookmarkStart w:id="398" w:name="_Toc142508361"/>
      <w:bookmarkStart w:id="399" w:name="_Toc9840"/>
      <w:bookmarkStart w:id="400" w:name="_Toc450662895"/>
      <w:bookmarkStart w:id="401" w:name="_Toc15817"/>
      <w:r>
        <w:rPr>
          <w:rFonts w:hint="eastAsia" w:ascii="宋体" w:hAnsi="宋体" w:eastAsia="宋体" w:cs="宋体"/>
          <w:b/>
          <w:bCs/>
          <w:color w:val="auto"/>
          <w:kern w:val="44"/>
          <w:sz w:val="32"/>
          <w:szCs w:val="32"/>
          <w:highlight w:val="none"/>
          <w:lang w:val="zh-CN"/>
        </w:rPr>
        <w:t>第六篇 投标文件格式</w:t>
      </w:r>
      <w:bookmarkEnd w:id="395"/>
      <w:bookmarkEnd w:id="396"/>
      <w:bookmarkEnd w:id="397"/>
      <w:bookmarkEnd w:id="398"/>
      <w:bookmarkEnd w:id="399"/>
      <w:bookmarkEnd w:id="400"/>
      <w:bookmarkEnd w:id="401"/>
    </w:p>
    <w:p w14:paraId="292F31BB">
      <w:pPr>
        <w:rPr>
          <w:rFonts w:hint="eastAsia" w:ascii="宋体" w:hAnsi="宋体" w:eastAsia="宋体" w:cs="宋体"/>
          <w:color w:val="auto"/>
          <w:sz w:val="84"/>
          <w:highlight w:val="none"/>
        </w:rPr>
      </w:pPr>
      <w:bookmarkStart w:id="402" w:name="_Toc102860067"/>
      <w:bookmarkStart w:id="403" w:name="_Toc102860411"/>
      <w:bookmarkStart w:id="404" w:name="_Toc1977721"/>
      <w:bookmarkStart w:id="405" w:name="_Toc140596921"/>
      <w:bookmarkStart w:id="406" w:name="_Toc142508362"/>
      <w:bookmarkStart w:id="407" w:name="_Toc21133_WPSOffice_Level2"/>
      <w:bookmarkStart w:id="408" w:name="_Toc104991868"/>
      <w:bookmarkStart w:id="409" w:name="_Toc94107202"/>
      <w:bookmarkStart w:id="410" w:name="_Toc533708121"/>
      <w:bookmarkStart w:id="411" w:name="_Toc486167709"/>
      <w:r>
        <w:rPr>
          <w:rFonts w:hint="eastAsia" w:ascii="宋体" w:hAnsi="宋体" w:eastAsia="宋体" w:cs="宋体"/>
          <w:b/>
          <w:color w:val="auto"/>
          <w:kern w:val="0"/>
          <w:sz w:val="32"/>
          <w:szCs w:val="32"/>
          <w:highlight w:val="none"/>
        </w:rPr>
        <w:br w:type="page"/>
      </w:r>
    </w:p>
    <w:p w14:paraId="509EB736">
      <w:pPr>
        <w:pStyle w:val="20"/>
        <w:spacing w:line="360" w:lineRule="auto"/>
        <w:jc w:val="center"/>
        <w:outlineLvl w:val="9"/>
        <w:rPr>
          <w:rFonts w:hint="eastAsia" w:ascii="宋体" w:hAnsi="宋体" w:eastAsia="宋体" w:cs="宋体"/>
          <w:color w:val="auto"/>
          <w:sz w:val="84"/>
          <w:highlight w:val="none"/>
        </w:rPr>
      </w:pPr>
    </w:p>
    <w:p w14:paraId="419099DA">
      <w:pPr>
        <w:pStyle w:val="20"/>
        <w:spacing w:line="360" w:lineRule="auto"/>
        <w:jc w:val="center"/>
        <w:outlineLvl w:val="9"/>
        <w:rPr>
          <w:rFonts w:hint="eastAsia" w:ascii="宋体" w:hAnsi="宋体" w:eastAsia="宋体" w:cs="宋体"/>
          <w:color w:val="auto"/>
          <w:sz w:val="84"/>
          <w:highlight w:val="none"/>
        </w:rPr>
      </w:pPr>
    </w:p>
    <w:p w14:paraId="1A581318">
      <w:pPr>
        <w:pStyle w:val="20"/>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20475AC1">
      <w:pPr>
        <w:pStyle w:val="20"/>
        <w:spacing w:line="360" w:lineRule="auto"/>
        <w:outlineLvl w:val="9"/>
        <w:rPr>
          <w:rFonts w:hint="eastAsia" w:ascii="宋体" w:hAnsi="宋体" w:eastAsia="宋体" w:cs="宋体"/>
          <w:color w:val="auto"/>
          <w:highlight w:val="none"/>
        </w:rPr>
      </w:pPr>
    </w:p>
    <w:p w14:paraId="548D5E95">
      <w:pPr>
        <w:pStyle w:val="20"/>
        <w:spacing w:line="360" w:lineRule="auto"/>
        <w:outlineLvl w:val="9"/>
        <w:rPr>
          <w:rFonts w:hint="eastAsia" w:ascii="宋体" w:hAnsi="宋体" w:eastAsia="宋体" w:cs="宋体"/>
          <w:color w:val="auto"/>
          <w:highlight w:val="none"/>
        </w:rPr>
      </w:pPr>
    </w:p>
    <w:p w14:paraId="12E4280D">
      <w:pPr>
        <w:pStyle w:val="20"/>
        <w:spacing w:line="360" w:lineRule="auto"/>
        <w:outlineLvl w:val="9"/>
        <w:rPr>
          <w:rFonts w:hint="eastAsia" w:ascii="宋体" w:hAnsi="宋体" w:eastAsia="宋体" w:cs="宋体"/>
          <w:color w:val="auto"/>
          <w:highlight w:val="none"/>
        </w:rPr>
      </w:pPr>
    </w:p>
    <w:p w14:paraId="30D4D5B5">
      <w:pPr>
        <w:pStyle w:val="20"/>
        <w:spacing w:line="360" w:lineRule="auto"/>
        <w:outlineLvl w:val="9"/>
        <w:rPr>
          <w:rFonts w:hint="eastAsia" w:ascii="宋体" w:hAnsi="宋体" w:eastAsia="宋体" w:cs="宋体"/>
          <w:color w:val="auto"/>
          <w:highlight w:val="none"/>
        </w:rPr>
      </w:pPr>
    </w:p>
    <w:p w14:paraId="5F2C6BD3">
      <w:pPr>
        <w:pStyle w:val="20"/>
        <w:spacing w:line="360" w:lineRule="auto"/>
        <w:outlineLvl w:val="9"/>
        <w:rPr>
          <w:rFonts w:hint="eastAsia" w:ascii="宋体" w:hAnsi="宋体" w:eastAsia="宋体" w:cs="宋体"/>
          <w:color w:val="auto"/>
          <w:highlight w:val="none"/>
        </w:rPr>
      </w:pPr>
    </w:p>
    <w:p w14:paraId="269173D1">
      <w:pPr>
        <w:pStyle w:val="20"/>
        <w:spacing w:line="360" w:lineRule="auto"/>
        <w:outlineLvl w:val="9"/>
        <w:rPr>
          <w:rFonts w:hint="eastAsia" w:ascii="宋体" w:hAnsi="宋体" w:eastAsia="宋体" w:cs="宋体"/>
          <w:color w:val="auto"/>
          <w:highlight w:val="none"/>
        </w:rPr>
      </w:pPr>
    </w:p>
    <w:p w14:paraId="5CEB7A9A">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CF42A8F">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4C5DD87C">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投标文件商务部分 </w:t>
      </w:r>
    </w:p>
    <w:p w14:paraId="3AC7326A">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122E31FB">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13F48E32">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7D4A2D42">
      <w:pPr>
        <w:pStyle w:val="20"/>
        <w:spacing w:line="360" w:lineRule="auto"/>
        <w:outlineLvl w:val="9"/>
        <w:rPr>
          <w:rFonts w:hint="eastAsia" w:ascii="宋体" w:hAnsi="宋体" w:eastAsia="宋体" w:cs="宋体"/>
          <w:color w:val="auto"/>
          <w:highlight w:val="none"/>
        </w:rPr>
      </w:pPr>
    </w:p>
    <w:p w14:paraId="493E55AF">
      <w:pPr>
        <w:pStyle w:val="2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24A7EDD6">
      <w:pPr>
        <w:pStyle w:val="20"/>
        <w:spacing w:line="360" w:lineRule="auto"/>
        <w:outlineLvl w:val="9"/>
        <w:rPr>
          <w:rFonts w:hint="eastAsia" w:ascii="宋体" w:hAnsi="宋体" w:eastAsia="宋体" w:cs="宋体"/>
          <w:color w:val="auto"/>
          <w:highlight w:val="none"/>
        </w:rPr>
      </w:pPr>
    </w:p>
    <w:p w14:paraId="524A222D">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投标文件商务评审部分索引表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57"/>
        <w:gridCol w:w="4059"/>
      </w:tblGrid>
      <w:tr w14:paraId="29BDC26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57EBF76D">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01D97AF8">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0" w:type="pct"/>
            <w:vAlign w:val="center"/>
          </w:tcPr>
          <w:p w14:paraId="167F5251">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7" w:type="pct"/>
            <w:tcBorders>
              <w:left w:val="single" w:color="auto" w:sz="4" w:space="0"/>
            </w:tcBorders>
            <w:vAlign w:val="center"/>
          </w:tcPr>
          <w:p w14:paraId="68D6BAE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A76453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500C23EB">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008B479C">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0" w:type="pct"/>
            <w:vAlign w:val="center"/>
          </w:tcPr>
          <w:p w14:paraId="25A19477">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14CFECF6">
            <w:pPr>
              <w:adjustRightInd w:val="0"/>
              <w:snapToGrid w:val="0"/>
              <w:spacing w:line="360" w:lineRule="auto"/>
              <w:outlineLvl w:val="9"/>
              <w:rPr>
                <w:rFonts w:hint="eastAsia" w:ascii="宋体" w:hAnsi="宋体" w:eastAsia="宋体" w:cs="宋体"/>
                <w:bCs/>
                <w:color w:val="auto"/>
                <w:szCs w:val="21"/>
                <w:highlight w:val="none"/>
              </w:rPr>
            </w:pPr>
          </w:p>
        </w:tc>
      </w:tr>
      <w:tr w14:paraId="22E5F4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C7460AC">
            <w:pPr>
              <w:outlineLvl w:val="9"/>
              <w:rPr>
                <w:rFonts w:hint="eastAsia" w:ascii="宋体" w:hAnsi="宋体" w:eastAsia="宋体" w:cs="宋体"/>
                <w:bCs/>
                <w:color w:val="auto"/>
                <w:szCs w:val="21"/>
                <w:highlight w:val="none"/>
              </w:rPr>
            </w:pPr>
          </w:p>
        </w:tc>
        <w:tc>
          <w:tcPr>
            <w:tcW w:w="1337" w:type="pct"/>
            <w:vAlign w:val="center"/>
          </w:tcPr>
          <w:p w14:paraId="7DAED38A">
            <w:pPr>
              <w:outlineLvl w:val="9"/>
              <w:rPr>
                <w:rFonts w:hint="eastAsia" w:ascii="宋体" w:hAnsi="宋体" w:eastAsia="宋体" w:cs="宋体"/>
                <w:bCs/>
                <w:color w:val="auto"/>
                <w:szCs w:val="21"/>
                <w:highlight w:val="none"/>
              </w:rPr>
            </w:pPr>
          </w:p>
        </w:tc>
        <w:tc>
          <w:tcPr>
            <w:tcW w:w="1040" w:type="pct"/>
            <w:vAlign w:val="center"/>
          </w:tcPr>
          <w:p w14:paraId="4FEB177A">
            <w:pP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210158A3">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159C42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6CC39298">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2C557864">
            <w:pPr>
              <w:adjustRightInd w:val="0"/>
              <w:snapToGrid w:val="0"/>
              <w:spacing w:line="360" w:lineRule="auto"/>
              <w:outlineLvl w:val="9"/>
              <w:rPr>
                <w:rFonts w:hint="eastAsia" w:ascii="宋体" w:hAnsi="宋体" w:eastAsia="宋体" w:cs="宋体"/>
                <w:bCs/>
                <w:color w:val="auto"/>
                <w:szCs w:val="21"/>
                <w:highlight w:val="none"/>
              </w:rPr>
            </w:pPr>
          </w:p>
        </w:tc>
        <w:tc>
          <w:tcPr>
            <w:tcW w:w="1040" w:type="pct"/>
            <w:vAlign w:val="center"/>
          </w:tcPr>
          <w:p w14:paraId="190E43E9">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tcBorders>
            <w:vAlign w:val="center"/>
          </w:tcPr>
          <w:p w14:paraId="13BBF7C3">
            <w:pPr>
              <w:spacing w:line="360" w:lineRule="auto"/>
              <w:ind w:firstLine="8" w:firstLineChars="4"/>
              <w:outlineLvl w:val="9"/>
              <w:rPr>
                <w:rFonts w:hint="eastAsia" w:ascii="宋体" w:hAnsi="宋体" w:eastAsia="宋体" w:cs="宋体"/>
                <w:bCs/>
                <w:color w:val="auto"/>
                <w:szCs w:val="21"/>
                <w:highlight w:val="none"/>
              </w:rPr>
            </w:pPr>
          </w:p>
        </w:tc>
      </w:tr>
      <w:tr w14:paraId="762194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7776758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91FFBFD">
            <w:pPr>
              <w:adjustRightInd w:val="0"/>
              <w:snapToGrid w:val="0"/>
              <w:spacing w:line="360" w:lineRule="auto"/>
              <w:outlineLvl w:val="9"/>
              <w:rPr>
                <w:rFonts w:hint="eastAsia" w:ascii="宋体" w:hAnsi="宋体" w:eastAsia="宋体" w:cs="宋体"/>
                <w:bCs/>
                <w:color w:val="auto"/>
                <w:szCs w:val="21"/>
                <w:highlight w:val="none"/>
              </w:rPr>
            </w:pPr>
          </w:p>
        </w:tc>
        <w:tc>
          <w:tcPr>
            <w:tcW w:w="1040" w:type="pct"/>
            <w:tcBorders>
              <w:top w:val="single" w:color="auto" w:sz="6" w:space="0"/>
              <w:left w:val="single" w:color="auto" w:sz="6" w:space="0"/>
              <w:bottom w:val="outset" w:color="808080" w:sz="6" w:space="0"/>
              <w:right w:val="single" w:color="auto" w:sz="6" w:space="0"/>
            </w:tcBorders>
            <w:vAlign w:val="center"/>
          </w:tcPr>
          <w:p w14:paraId="51CCF60B">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top w:val="single" w:color="auto" w:sz="6" w:space="0"/>
              <w:left w:val="single" w:color="auto" w:sz="4" w:space="0"/>
              <w:bottom w:val="outset" w:color="808080" w:sz="6" w:space="0"/>
              <w:right w:val="single" w:color="auto" w:sz="6" w:space="0"/>
            </w:tcBorders>
            <w:vAlign w:val="center"/>
          </w:tcPr>
          <w:p w14:paraId="6742873A">
            <w:pPr>
              <w:adjustRightInd w:val="0"/>
              <w:snapToGrid w:val="0"/>
              <w:spacing w:line="360" w:lineRule="auto"/>
              <w:outlineLvl w:val="9"/>
              <w:rPr>
                <w:rFonts w:hint="eastAsia" w:ascii="宋体" w:hAnsi="宋体" w:eastAsia="宋体" w:cs="宋体"/>
                <w:bCs/>
                <w:color w:val="auto"/>
                <w:szCs w:val="21"/>
                <w:highlight w:val="none"/>
              </w:rPr>
            </w:pPr>
          </w:p>
        </w:tc>
      </w:tr>
      <w:tr w14:paraId="585A167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0381E9FC">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0" w:type="pct"/>
            <w:tcBorders>
              <w:bottom w:val="single" w:color="auto" w:sz="4" w:space="0"/>
            </w:tcBorders>
            <w:vAlign w:val="center"/>
          </w:tcPr>
          <w:p w14:paraId="0327F934">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7" w:type="pct"/>
            <w:tcBorders>
              <w:left w:val="single" w:color="auto" w:sz="4" w:space="0"/>
              <w:bottom w:val="single" w:color="auto" w:sz="4" w:space="0"/>
            </w:tcBorders>
            <w:vAlign w:val="center"/>
          </w:tcPr>
          <w:p w14:paraId="20B81621">
            <w:pPr>
              <w:spacing w:line="360" w:lineRule="auto"/>
              <w:jc w:val="center"/>
              <w:outlineLvl w:val="9"/>
              <w:rPr>
                <w:rFonts w:hint="eastAsia" w:ascii="宋体" w:hAnsi="宋体" w:eastAsia="宋体" w:cs="宋体"/>
                <w:bCs/>
                <w:color w:val="auto"/>
                <w:szCs w:val="21"/>
                <w:highlight w:val="none"/>
              </w:rPr>
            </w:pPr>
          </w:p>
        </w:tc>
      </w:tr>
    </w:tbl>
    <w:p w14:paraId="286DF566">
      <w:pPr>
        <w:outlineLvl w:val="9"/>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rPr>
        <w:br w:type="page"/>
      </w:r>
    </w:p>
    <w:p w14:paraId="61448553">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bookmarkStart w:id="412" w:name="_Toc23782"/>
      <w:bookmarkStart w:id="413" w:name="_Toc13281"/>
      <w:bookmarkStart w:id="414" w:name="_Toc27679"/>
      <w:r>
        <w:rPr>
          <w:rFonts w:hint="eastAsia" w:ascii="宋体" w:hAnsi="宋体" w:eastAsia="宋体" w:cs="宋体"/>
          <w:b/>
          <w:color w:val="auto"/>
          <w:kern w:val="0"/>
          <w:sz w:val="32"/>
          <w:szCs w:val="32"/>
          <w:highlight w:val="none"/>
        </w:rPr>
        <w:t>一、投标函格式</w:t>
      </w:r>
      <w:bookmarkEnd w:id="402"/>
      <w:bookmarkEnd w:id="403"/>
      <w:bookmarkEnd w:id="404"/>
      <w:bookmarkEnd w:id="405"/>
      <w:bookmarkEnd w:id="406"/>
      <w:bookmarkEnd w:id="407"/>
      <w:bookmarkEnd w:id="408"/>
      <w:bookmarkEnd w:id="409"/>
      <w:bookmarkEnd w:id="410"/>
      <w:bookmarkEnd w:id="411"/>
      <w:bookmarkEnd w:id="412"/>
      <w:bookmarkEnd w:id="413"/>
      <w:bookmarkEnd w:id="414"/>
    </w:p>
    <w:p w14:paraId="653E86E2">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415" w:name="_Toc16695_WPSOffice_Level3"/>
      <w:r>
        <w:rPr>
          <w:rFonts w:hint="eastAsia" w:ascii="宋体" w:hAnsi="宋体" w:eastAsia="宋体" w:cs="宋体"/>
          <w:b/>
          <w:bCs/>
          <w:color w:val="auto"/>
          <w:sz w:val="30"/>
          <w:szCs w:val="30"/>
          <w:highlight w:val="none"/>
          <w:lang w:val="zh-CN"/>
        </w:rPr>
        <w:t>投 标 函</w:t>
      </w:r>
      <w:bookmarkEnd w:id="415"/>
    </w:p>
    <w:p w14:paraId="59AA75D3">
      <w:pPr>
        <w:autoSpaceDE w:val="0"/>
        <w:autoSpaceDN w:val="0"/>
        <w:adjustRightInd w:val="0"/>
        <w:spacing w:line="360" w:lineRule="auto"/>
        <w:outlineLvl w:val="9"/>
        <w:rPr>
          <w:rFonts w:hint="eastAsia" w:ascii="宋体" w:hAnsi="宋体" w:eastAsia="宋体" w:cs="宋体"/>
          <w:color w:val="auto"/>
          <w:szCs w:val="21"/>
          <w:highlight w:val="none"/>
          <w:lang w:val="zh-CN"/>
        </w:rPr>
      </w:pPr>
    </w:p>
    <w:p w14:paraId="283061D6">
      <w:pPr>
        <w:autoSpaceDE w:val="0"/>
        <w:autoSpaceDN w:val="0"/>
        <w:adjustRightInd w:val="0"/>
        <w:spacing w:line="360" w:lineRule="auto"/>
        <w:outlineLvl w:val="9"/>
        <w:rPr>
          <w:rFonts w:hint="eastAsia" w:ascii="宋体" w:hAnsi="宋体" w:eastAsia="宋体" w:cs="宋体"/>
          <w:color w:val="auto"/>
          <w:szCs w:val="21"/>
          <w:highlight w:val="none"/>
          <w:lang w:val="zh-CN" w:eastAsia="zh-CN"/>
        </w:rPr>
      </w:pPr>
      <w:r>
        <w:rPr>
          <w:rFonts w:hint="eastAsia" w:ascii="宋体" w:hAnsi="宋体" w:eastAsia="宋体" w:cs="宋体"/>
          <w:color w:val="auto"/>
          <w:szCs w:val="21"/>
          <w:highlight w:val="none"/>
          <w:lang w:val="zh-CN"/>
        </w:rPr>
        <w:t>致：</w:t>
      </w:r>
      <w:r>
        <w:rPr>
          <w:rFonts w:hint="eastAsia" w:ascii="宋体" w:hAnsi="宋体" w:eastAsia="宋体" w:cs="宋体"/>
          <w:color w:val="auto"/>
          <w:kern w:val="0"/>
          <w:szCs w:val="21"/>
          <w:highlight w:val="none"/>
          <w:u w:val="single"/>
        </w:rPr>
        <w:t>东莞市水务集团管网有限公司</w:t>
      </w:r>
    </w:p>
    <w:p w14:paraId="31A81D33">
      <w:pPr>
        <w:autoSpaceDE w:val="0"/>
        <w:autoSpaceDN w:val="0"/>
        <w:adjustRightInd w:val="0"/>
        <w:spacing w:line="360" w:lineRule="auto"/>
        <w:outlineLvl w:val="9"/>
        <w:rPr>
          <w:rFonts w:hint="eastAsia" w:ascii="宋体" w:hAnsi="宋体" w:eastAsia="宋体" w:cs="宋体"/>
          <w:color w:val="auto"/>
          <w:szCs w:val="21"/>
          <w:highlight w:val="none"/>
        </w:rPr>
      </w:pPr>
    </w:p>
    <w:p w14:paraId="32A68D8F">
      <w:pPr>
        <w:wordWrap w:val="0"/>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根据贵方为</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年餐厨及清洁服务采购项目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YDZB25DGQY0006</w:t>
      </w:r>
      <w:r>
        <w:rPr>
          <w:rFonts w:hint="eastAsia" w:ascii="宋体" w:hAnsi="宋体" w:eastAsia="宋体" w:cs="宋体"/>
          <w:color w:val="auto"/>
          <w:szCs w:val="21"/>
          <w:highlight w:val="none"/>
          <w:lang w:val="zh-CN"/>
        </w:rPr>
        <w:t>)的投标邀请，我方（投标人名称）作为投标人正式授权</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授权代表全名，职务）代表我方进行有关本次投标的一切事宜。</w:t>
      </w:r>
    </w:p>
    <w:p w14:paraId="597B07C5">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在此提交的投标文件，包括如下等内容，并已单独密封封装：</w:t>
      </w:r>
    </w:p>
    <w:p w14:paraId="3B8B7C30">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（—）唱标信封【</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份】（含投标文件电子文件）；</w:t>
      </w:r>
    </w:p>
    <w:p w14:paraId="4A92B3C2">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（二）投标文件【正本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份，副本</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lang w:val="zh-CN"/>
        </w:rPr>
        <w:t>份】。</w:t>
      </w:r>
    </w:p>
    <w:p w14:paraId="401B836B">
      <w:pPr>
        <w:autoSpaceDE w:val="0"/>
        <w:autoSpaceDN w:val="0"/>
        <w:adjustRightInd w:val="0"/>
        <w:spacing w:line="360" w:lineRule="auto"/>
        <w:ind w:firstLine="42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我方已完全明白招标文件的所有条款要求，并重申以下几点：</w:t>
      </w:r>
    </w:p>
    <w:p w14:paraId="06774E43">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（—）我方决定参加招标编号为</w:t>
      </w:r>
      <w:r>
        <w:rPr>
          <w:rFonts w:hint="eastAsia" w:ascii="宋体" w:hAnsi="宋体" w:eastAsia="宋体" w:cs="宋体"/>
          <w:color w:val="auto"/>
          <w:szCs w:val="21"/>
          <w:highlight w:val="none"/>
          <w:u w:val="single"/>
          <w:lang w:val="zh-CN"/>
        </w:rPr>
        <w:t>YDZB25DGQY0006</w:t>
      </w:r>
      <w:r>
        <w:rPr>
          <w:rFonts w:hint="eastAsia" w:ascii="宋体" w:hAnsi="宋体" w:eastAsia="宋体" w:cs="宋体"/>
          <w:color w:val="auto"/>
          <w:szCs w:val="21"/>
          <w:highlight w:val="none"/>
          <w:lang w:val="zh-CN"/>
        </w:rPr>
        <w:t>的投标；</w:t>
      </w:r>
    </w:p>
    <w:p w14:paraId="62A74EC9">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（二）本投标文件的有效期自递交投标文件截止时间届满后90日有效，如中标，有效期将延至合同终止日为止；</w:t>
      </w:r>
    </w:p>
    <w:p w14:paraId="4F788A05">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（三）我方已详细研究了招标文件的所有内容包括修正文（如有）和所有已提供的参考资料以及有关附件并完全明白，我方放弃在此方面提出含糊意见或误解的一切权力；</w:t>
      </w:r>
    </w:p>
    <w:p w14:paraId="39F23C59">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（四）我方明白并愿意在规定的递交投标文件截止时间和日期之后，投标有效期之内撤回投标，则不予退还我方投标保证金；</w:t>
      </w:r>
    </w:p>
    <w:p w14:paraId="75AF07FE">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（五）我方同意按照贵方可能提出的要求而提供与投标有关的任何其它数据或信息；</w:t>
      </w:r>
    </w:p>
    <w:p w14:paraId="59A15A82">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（六）我方理解贵方不一定接受最低报价或任何贵方可能收到的报价；</w:t>
      </w:r>
    </w:p>
    <w:p w14:paraId="7C79838A">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（七）我方如果中标，将保证履行招标文件以及招标文件修改书（如有）中的全部责任和义务，按质、按量、按期完成《合同书》中的全部任务；</w:t>
      </w:r>
    </w:p>
    <w:p w14:paraId="665EC60C">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（八）保证投标文件中所有资料均真实有效，否则按无效投标处理或可取消中标资格，并愿意接受按弄虚作假骗取中标的有关规定进行处理，并不予退还我方投标保证金；</w:t>
      </w:r>
    </w:p>
    <w:p w14:paraId="492FA606">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（九）若我方中标后，我方一定按照招标文件的要求和投标文件的承诺签订和履行合同，否则贵方可取消我方中标资格，并依法不予退还我方投标保证金或履约担保，我方愿意接受违约处罚；</w:t>
      </w:r>
    </w:p>
    <w:p w14:paraId="04BCB88F">
      <w:pPr>
        <w:autoSpaceDE w:val="0"/>
        <w:autoSpaceDN w:val="0"/>
        <w:adjustRightInd w:val="0"/>
        <w:spacing w:line="360" w:lineRule="auto"/>
        <w:ind w:left="0" w:leftChars="0"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（十）若我方中标后，核查出投标文件内容前后不一致，我方愿按最高标准的承诺履约义务；</w:t>
      </w:r>
    </w:p>
    <w:p w14:paraId="5E54191B">
      <w:pPr>
        <w:autoSpaceDE w:val="0"/>
        <w:autoSpaceDN w:val="0"/>
        <w:adjustRightInd w:val="0"/>
        <w:spacing w:line="360" w:lineRule="auto"/>
        <w:ind w:firstLine="315" w:firstLineChars="1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（十一）所有与本投标有关的函件请发往下列地址：</w:t>
      </w:r>
    </w:p>
    <w:p w14:paraId="510017FD">
      <w:pPr>
        <w:autoSpaceDE w:val="0"/>
        <w:autoSpaceDN w:val="0"/>
        <w:adjustRightInd w:val="0"/>
        <w:spacing w:line="360" w:lineRule="auto"/>
        <w:ind w:left="395" w:leftChars="-12" w:hanging="420" w:hangingChars="200"/>
        <w:outlineLvl w:val="9"/>
        <w:rPr>
          <w:rFonts w:hint="eastAsia" w:ascii="宋体" w:hAnsi="宋体" w:eastAsia="宋体" w:cs="宋体"/>
          <w:color w:val="auto"/>
          <w:szCs w:val="21"/>
          <w:highlight w:val="none"/>
          <w:u w:val="single"/>
          <w:lang w:val="zh-CN"/>
        </w:rPr>
      </w:pPr>
    </w:p>
    <w:p w14:paraId="31335683">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u w:val="single"/>
          <w:lang w:val="zh-CN"/>
        </w:rPr>
      </w:pPr>
      <w:r>
        <w:rPr>
          <w:rFonts w:hint="eastAsia" w:ascii="宋体" w:hAnsi="宋体" w:eastAsia="宋体" w:cs="宋体"/>
          <w:color w:val="auto"/>
          <w:szCs w:val="21"/>
          <w:highlight w:val="none"/>
          <w:lang w:val="zh-CN"/>
        </w:rPr>
        <w:t>地  　址：</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邮政编码：</w:t>
      </w:r>
      <w:r>
        <w:rPr>
          <w:rFonts w:hint="eastAsia" w:ascii="宋体" w:hAnsi="宋体" w:eastAsia="宋体" w:cs="宋体"/>
          <w:color w:val="auto"/>
          <w:szCs w:val="21"/>
          <w:highlight w:val="none"/>
          <w:u w:val="single"/>
          <w:lang w:val="zh-CN"/>
        </w:rPr>
        <w:t xml:space="preserve">　　　　　　　　　　 </w:t>
      </w:r>
    </w:p>
    <w:p w14:paraId="7DE7CBD8">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电　　话：</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代表姓名：</w:t>
      </w:r>
      <w:r>
        <w:rPr>
          <w:rFonts w:hint="eastAsia" w:ascii="宋体" w:hAnsi="宋体" w:eastAsia="宋体" w:cs="宋体"/>
          <w:color w:val="auto"/>
          <w:szCs w:val="21"/>
          <w:highlight w:val="none"/>
          <w:u w:val="single"/>
          <w:lang w:val="zh-CN"/>
        </w:rPr>
        <w:t>　　　　　　　　　　　</w:t>
      </w:r>
    </w:p>
    <w:p w14:paraId="43ABEC65">
      <w:pPr>
        <w:autoSpaceDE w:val="0"/>
        <w:autoSpaceDN w:val="0"/>
        <w:adjustRightInd w:val="0"/>
        <w:spacing w:line="360" w:lineRule="auto"/>
        <w:ind w:firstLine="420" w:firstLineChars="20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传　　真：</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 xml:space="preserve">        职　　务：</w:t>
      </w:r>
      <w:r>
        <w:rPr>
          <w:rFonts w:hint="eastAsia" w:ascii="宋体" w:hAnsi="宋体" w:eastAsia="宋体" w:cs="宋体"/>
          <w:color w:val="auto"/>
          <w:szCs w:val="21"/>
          <w:highlight w:val="none"/>
          <w:u w:val="single"/>
          <w:lang w:val="zh-CN"/>
        </w:rPr>
        <w:t xml:space="preserve">　　　　　　　　　　 </w:t>
      </w:r>
    </w:p>
    <w:p w14:paraId="07FD07B4">
      <w:pPr>
        <w:autoSpaceDE w:val="0"/>
        <w:autoSpaceDN w:val="0"/>
        <w:adjustRightInd w:val="0"/>
        <w:spacing w:line="360" w:lineRule="auto"/>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en-US" w:eastAsia="zh-CN"/>
        </w:rPr>
        <w:t>电子邮箱：</w:t>
      </w:r>
      <w:r>
        <w:rPr>
          <w:rFonts w:hint="eastAsia" w:ascii="宋体" w:hAnsi="宋体" w:eastAsia="宋体" w:cs="宋体"/>
          <w:color w:val="auto"/>
          <w:szCs w:val="21"/>
          <w:highlight w:val="none"/>
          <w:u w:val="single"/>
          <w:lang w:val="zh-CN"/>
        </w:rPr>
        <w:t>　　　　　　　　　　　</w:t>
      </w:r>
      <w:r>
        <w:rPr>
          <w:rFonts w:hint="eastAsia" w:ascii="宋体" w:hAnsi="宋体" w:eastAsia="宋体" w:cs="宋体"/>
          <w:color w:val="auto"/>
          <w:szCs w:val="21"/>
          <w:highlight w:val="none"/>
          <w:lang w:val="zh-CN"/>
        </w:rPr>
        <w:tab/>
      </w:r>
    </w:p>
    <w:p w14:paraId="2DD47B43">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p>
    <w:p w14:paraId="42FD32CC">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31F62FF4">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CADEC28">
      <w:pPr>
        <w:autoSpaceDE w:val="0"/>
        <w:autoSpaceDN w:val="0"/>
        <w:adjustRightInd w:val="0"/>
        <w:spacing w:line="360" w:lineRule="auto"/>
        <w:ind w:firstLine="4960" w:firstLineChars="2362"/>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5C90816D">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kern w:val="0"/>
          <w:sz w:val="24"/>
          <w:szCs w:val="24"/>
          <w:highlight w:val="none"/>
        </w:rPr>
        <w:br w:type="page"/>
      </w:r>
      <w:bookmarkStart w:id="416" w:name="_Toc140596922"/>
      <w:bookmarkStart w:id="417" w:name="_Toc102860068"/>
      <w:bookmarkStart w:id="418" w:name="_Toc142508363"/>
      <w:bookmarkStart w:id="419" w:name="_Toc30995"/>
      <w:bookmarkStart w:id="420" w:name="_Toc533708122"/>
      <w:bookmarkStart w:id="421" w:name="_Toc12417"/>
      <w:bookmarkStart w:id="422" w:name="_Toc104991869"/>
      <w:bookmarkStart w:id="423" w:name="_Toc1977722"/>
      <w:bookmarkStart w:id="424" w:name="_Toc28613_WPSOffice_Level2"/>
      <w:bookmarkStart w:id="425" w:name="_Toc102860412"/>
      <w:bookmarkStart w:id="426" w:name="_Toc94107203"/>
      <w:bookmarkStart w:id="427" w:name="_Toc486167710"/>
      <w:bookmarkStart w:id="428" w:name="_Toc3104"/>
      <w:r>
        <w:rPr>
          <w:rFonts w:hint="eastAsia" w:ascii="宋体" w:hAnsi="宋体" w:eastAsia="宋体" w:cs="宋体"/>
          <w:b/>
          <w:color w:val="auto"/>
          <w:kern w:val="0"/>
          <w:sz w:val="32"/>
          <w:szCs w:val="32"/>
          <w:highlight w:val="none"/>
        </w:rPr>
        <w:t>二、投标承诺书格式</w:t>
      </w:r>
      <w:bookmarkEnd w:id="416"/>
      <w:bookmarkEnd w:id="417"/>
      <w:bookmarkEnd w:id="418"/>
      <w:bookmarkEnd w:id="419"/>
      <w:bookmarkEnd w:id="420"/>
      <w:bookmarkEnd w:id="421"/>
      <w:bookmarkEnd w:id="422"/>
      <w:bookmarkEnd w:id="423"/>
      <w:bookmarkEnd w:id="424"/>
      <w:bookmarkEnd w:id="425"/>
      <w:bookmarkEnd w:id="426"/>
      <w:bookmarkEnd w:id="427"/>
      <w:bookmarkEnd w:id="428"/>
    </w:p>
    <w:p w14:paraId="1119E8F7">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投标承诺书</w:t>
      </w:r>
    </w:p>
    <w:p w14:paraId="66EC82A1">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2B3BCA2A">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（投标人名称）已完整阅读了</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eastAsia="zh-CN"/>
        </w:rPr>
        <w:t>5</w:t>
      </w:r>
      <w:r>
        <w:rPr>
          <w:rFonts w:hint="eastAsia" w:ascii="宋体" w:hAnsi="宋体" w:eastAsia="宋体" w:cs="宋体"/>
          <w:color w:val="auto"/>
          <w:kern w:val="0"/>
          <w:szCs w:val="21"/>
          <w:highlight w:val="none"/>
          <w:u w:val="single"/>
        </w:rPr>
        <w:t>年餐厨及清洁服务采购项目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YDZB25DGQY0006</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rPr>
        <w:t>招标文件的所有内容（包括澄清，以及所有已提供的参考资料和有关附件），并完全理解上述文件所表达的意思，该项目递交投标文件时间截止后，我方承诺不再对上述文件内容进行询问或</w:t>
      </w:r>
      <w:r>
        <w:rPr>
          <w:rFonts w:hint="eastAsia" w:ascii="宋体" w:hAnsi="宋体" w:eastAsia="宋体" w:cs="宋体"/>
          <w:color w:val="auto"/>
          <w:kern w:val="0"/>
          <w:szCs w:val="21"/>
          <w:highlight w:val="none"/>
          <w:lang w:eastAsia="zh-CN"/>
        </w:rPr>
        <w:t>异议</w:t>
      </w: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rPr>
        <w:cr/>
      </w:r>
      <w:r>
        <w:rPr>
          <w:rFonts w:hint="eastAsia" w:ascii="宋体" w:hAnsi="宋体" w:eastAsia="宋体" w:cs="宋体"/>
          <w:color w:val="auto"/>
          <w:kern w:val="0"/>
          <w:szCs w:val="21"/>
          <w:highlight w:val="none"/>
        </w:rPr>
        <w:t xml:space="preserve">    我方承诺，若我方存在通过弄虚作假、虚假响应招标文件要求等手段骗取中标的，招标人有权或协助主管部门认定我方严重失信的不良行为，纳入相关企业信用“黑名单”，限制我方参与依法必须招标项目的投标，并向行政主管部门报送结果。同时，招标人有权根据《关于对环境保护领域失信生产经营单位及其有关人员开展联合惩戒的合作备忘录》等规定，通过“信用中国”网站向社会公示我方的失信行为，实现“一处失信、处处受限”。</w:t>
      </w:r>
    </w:p>
    <w:p w14:paraId="48B3EF82">
      <w:pPr>
        <w:widowControl/>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若我方在投标或履行本合同过程中存在提供虚假材料、虚假响应招标文件要求等弄虚作假行为，或未能根据招标文件投标人须知第29.2款约定按时提供原件核查的，因此导致我方无法参与东莞市水务集团有限公司相关招标采购活动的，由我方自行承担全部后果。</w:t>
      </w:r>
    </w:p>
    <w:p w14:paraId="7F20F46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p>
    <w:p w14:paraId="3C0D208A">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2EF19F47">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08B74079">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12A5AAAA">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1FC4604B">
      <w:pPr>
        <w:autoSpaceDE w:val="0"/>
        <w:autoSpaceDN w:val="0"/>
        <w:adjustRightInd w:val="0"/>
        <w:spacing w:line="360" w:lineRule="auto"/>
        <w:ind w:firstLine="5040"/>
        <w:outlineLvl w:val="9"/>
        <w:rPr>
          <w:rFonts w:hint="eastAsia" w:ascii="宋体" w:hAnsi="宋体" w:eastAsia="宋体" w:cs="宋体"/>
          <w:color w:val="auto"/>
          <w:sz w:val="24"/>
          <w:szCs w:val="24"/>
          <w:highlight w:val="none"/>
          <w:lang w:val="zh-CN"/>
        </w:rPr>
      </w:pPr>
      <w:r>
        <w:rPr>
          <w:rFonts w:hint="eastAsia" w:ascii="宋体" w:hAnsi="宋体" w:eastAsia="宋体" w:cs="宋体"/>
          <w:color w:val="auto"/>
          <w:szCs w:val="24"/>
          <w:highlight w:val="none"/>
          <w:lang w:val="zh-CN"/>
        </w:rPr>
        <w:t>日期：   年   月   日</w:t>
      </w:r>
    </w:p>
    <w:p w14:paraId="2B825914">
      <w:pPr>
        <w:autoSpaceDE w:val="0"/>
        <w:autoSpaceDN w:val="0"/>
        <w:adjustRightInd w:val="0"/>
        <w:spacing w:line="360" w:lineRule="auto"/>
        <w:ind w:firstLine="480" w:firstLineChars="200"/>
        <w:jc w:val="left"/>
        <w:outlineLvl w:val="9"/>
        <w:rPr>
          <w:rFonts w:hint="eastAsia" w:ascii="宋体" w:hAnsi="宋体" w:eastAsia="宋体" w:cs="宋体"/>
          <w:color w:val="auto"/>
          <w:kern w:val="0"/>
          <w:sz w:val="24"/>
          <w:szCs w:val="24"/>
          <w:highlight w:val="none"/>
        </w:rPr>
      </w:pPr>
    </w:p>
    <w:p w14:paraId="7BFF94E6">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p>
    <w:p w14:paraId="72168E86">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rPr>
      </w:pPr>
      <w:bookmarkStart w:id="429" w:name="_Toc311032584"/>
      <w:bookmarkStart w:id="430" w:name="_Toc316896755"/>
      <w:bookmarkStart w:id="431" w:name="_Toc326768876"/>
    </w:p>
    <w:p w14:paraId="1A34058D">
      <w:pPr>
        <w:pageBreakBefore/>
        <w:autoSpaceDE w:val="0"/>
        <w:autoSpaceDN w:val="0"/>
        <w:adjustRightInd w:val="0"/>
        <w:spacing w:line="360" w:lineRule="auto"/>
        <w:jc w:val="left"/>
        <w:outlineLvl w:val="1"/>
        <w:rPr>
          <w:rFonts w:hint="eastAsia" w:ascii="宋体" w:hAnsi="宋体" w:eastAsia="宋体" w:cs="宋体"/>
          <w:b/>
          <w:color w:val="auto"/>
          <w:kern w:val="44"/>
          <w:sz w:val="32"/>
          <w:szCs w:val="32"/>
          <w:highlight w:val="none"/>
        </w:rPr>
      </w:pPr>
      <w:bookmarkStart w:id="432" w:name="_Toc104991870"/>
      <w:bookmarkStart w:id="433" w:name="_Toc102860413"/>
      <w:bookmarkStart w:id="434" w:name="_Toc24336"/>
      <w:bookmarkStart w:id="435" w:name="_Toc82182546"/>
      <w:bookmarkStart w:id="436" w:name="_Toc142508364"/>
      <w:bookmarkStart w:id="437" w:name="_Toc94107204"/>
      <w:bookmarkStart w:id="438" w:name="_Toc140596923"/>
      <w:bookmarkStart w:id="439" w:name="_Toc86764083"/>
      <w:bookmarkStart w:id="440" w:name="_Toc29910"/>
      <w:bookmarkStart w:id="441" w:name="_Toc5075"/>
      <w:bookmarkStart w:id="442" w:name="_Toc102860069"/>
      <w:bookmarkStart w:id="443" w:name="_Toc533708123"/>
      <w:bookmarkStart w:id="444" w:name="_Toc7024_WPSOffice_Level2"/>
      <w:bookmarkStart w:id="445" w:name="_Toc1977723"/>
      <w:bookmarkStart w:id="446" w:name="_Toc486167711"/>
      <w:r>
        <w:rPr>
          <w:rFonts w:hint="eastAsia" w:ascii="宋体" w:hAnsi="宋体" w:eastAsia="宋体" w:cs="宋体"/>
          <w:b/>
          <w:color w:val="auto"/>
          <w:kern w:val="44"/>
          <w:sz w:val="32"/>
          <w:szCs w:val="32"/>
          <w:highlight w:val="none"/>
        </w:rPr>
        <w:t>三、供货及/或提供服务过程承诺函格式</w:t>
      </w:r>
      <w:bookmarkEnd w:id="432"/>
      <w:bookmarkEnd w:id="433"/>
      <w:bookmarkEnd w:id="434"/>
      <w:bookmarkEnd w:id="435"/>
      <w:bookmarkEnd w:id="436"/>
      <w:bookmarkEnd w:id="437"/>
      <w:bookmarkEnd w:id="438"/>
      <w:bookmarkEnd w:id="439"/>
      <w:bookmarkEnd w:id="440"/>
      <w:bookmarkEnd w:id="441"/>
      <w:bookmarkEnd w:id="442"/>
    </w:p>
    <w:p w14:paraId="5CE434D6">
      <w:pPr>
        <w:autoSpaceDE w:val="0"/>
        <w:autoSpaceDN w:val="0"/>
        <w:adjustRightInd w:val="0"/>
        <w:spacing w:line="360" w:lineRule="auto"/>
        <w:jc w:val="center"/>
        <w:outlineLvl w:val="9"/>
        <w:rPr>
          <w:rFonts w:hint="eastAsia" w:ascii="宋体" w:hAnsi="宋体" w:eastAsia="宋体" w:cs="宋体"/>
          <w:b/>
          <w:color w:val="auto"/>
          <w:kern w:val="44"/>
          <w:sz w:val="30"/>
          <w:szCs w:val="30"/>
          <w:highlight w:val="none"/>
        </w:rPr>
      </w:pPr>
      <w:r>
        <w:rPr>
          <w:rFonts w:hint="eastAsia" w:ascii="宋体" w:hAnsi="宋体" w:eastAsia="宋体" w:cs="宋体"/>
          <w:b/>
          <w:color w:val="auto"/>
          <w:kern w:val="44"/>
          <w:sz w:val="30"/>
          <w:szCs w:val="30"/>
          <w:highlight w:val="none"/>
        </w:rPr>
        <w:t>供货及/或提供服务过程承诺函</w:t>
      </w:r>
    </w:p>
    <w:p w14:paraId="3BDD8B57">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致</w:t>
      </w:r>
      <w:r>
        <w:rPr>
          <w:rFonts w:hint="eastAsia" w:ascii="宋体" w:hAnsi="宋体" w:eastAsia="宋体" w:cs="宋体"/>
          <w:color w:val="auto"/>
          <w:kern w:val="0"/>
          <w:szCs w:val="21"/>
          <w:highlight w:val="none"/>
          <w:u w:val="single"/>
        </w:rPr>
        <w:t>东莞市水务集团管网有限公司</w:t>
      </w:r>
      <w:r>
        <w:rPr>
          <w:rFonts w:hint="eastAsia" w:ascii="宋体" w:hAnsi="宋体" w:eastAsia="宋体" w:cs="宋体"/>
          <w:color w:val="auto"/>
          <w:kern w:val="0"/>
          <w:szCs w:val="21"/>
          <w:highlight w:val="none"/>
        </w:rPr>
        <w:t>：</w:t>
      </w:r>
    </w:p>
    <w:p w14:paraId="3283FE15">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我方</w:t>
      </w:r>
      <w:r>
        <w:rPr>
          <w:rFonts w:hint="eastAsia" w:ascii="宋体" w:hAnsi="宋体" w:eastAsia="宋体" w:cs="宋体"/>
          <w:color w:val="auto"/>
          <w:kern w:val="0"/>
          <w:szCs w:val="21"/>
          <w:highlight w:val="none"/>
          <w:u w:val="single"/>
        </w:rPr>
        <w:t xml:space="preserve">                   </w:t>
      </w:r>
      <w:r>
        <w:rPr>
          <w:rFonts w:hint="eastAsia" w:ascii="宋体" w:hAnsi="宋体" w:eastAsia="宋体" w:cs="宋体"/>
          <w:color w:val="auto"/>
          <w:kern w:val="0"/>
          <w:szCs w:val="21"/>
          <w:highlight w:val="none"/>
        </w:rPr>
        <w:t>（投标人名称）为招标人公开招标的</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eastAsia="zh-CN"/>
        </w:rPr>
        <w:t>5</w:t>
      </w:r>
      <w:r>
        <w:rPr>
          <w:rFonts w:hint="eastAsia" w:ascii="宋体" w:hAnsi="宋体" w:eastAsia="宋体" w:cs="宋体"/>
          <w:color w:val="auto"/>
          <w:kern w:val="0"/>
          <w:szCs w:val="21"/>
          <w:highlight w:val="none"/>
          <w:u w:val="single"/>
        </w:rPr>
        <w:t>年餐厨及清洁服务采购项目</w:t>
      </w:r>
      <w:r>
        <w:rPr>
          <w:rFonts w:hint="eastAsia" w:ascii="宋体" w:hAnsi="宋体" w:eastAsia="宋体" w:cs="宋体"/>
          <w:color w:val="auto"/>
          <w:szCs w:val="21"/>
          <w:highlight w:val="none"/>
          <w:lang w:val="zh-CN"/>
        </w:rPr>
        <w:t>(招标编号：</w:t>
      </w:r>
      <w:r>
        <w:rPr>
          <w:rFonts w:hint="eastAsia" w:ascii="宋体" w:hAnsi="宋体" w:eastAsia="宋体" w:cs="宋体"/>
          <w:color w:val="auto"/>
          <w:szCs w:val="21"/>
          <w:highlight w:val="none"/>
          <w:u w:val="single"/>
          <w:lang w:val="zh-CN"/>
        </w:rPr>
        <w:t>YDZB25DGQY0006</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rPr>
        <w:t>的投标单位，为确保供货及/或提供服务过程中的人身、财产安全，我方承诺，如我方获得中标资格，将严格按照下列要求开展工作。</w:t>
      </w:r>
    </w:p>
    <w:p w14:paraId="1935C8B2">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1、我方承诺将严格遵守国家、地方政府有关安全生产及劳动保护的法律法规、标准、规定，贯彻执行招标人的各项安全管理规章制度。</w:t>
      </w:r>
    </w:p>
    <w:p w14:paraId="7A825E8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2、我方承诺将依法参加工伤保险，为安排至招标人从事本项目的工作人员缴纳保险费，并为从事危险作业的人员办理意外伤害保险。</w:t>
      </w:r>
    </w:p>
    <w:p w14:paraId="3543E18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我方承诺服从招标人的安全管理，保证作业区域的现场文明安全管理达标，现场临时用电、机器设备、安全防护齐全、完好，并接受和配合招标人的安全监督检查，我方提供到招标人现场作业的所有安全装置、防护设施必须依据经招标人审批后的安全技术方案进行搭设、安装，同时我方无条件保证安全防护设施使用的搭设材料的质量安全，在用于安全防护的物资进场前将有关物资的材质证明报招标人，经招标人确认后方可使用。</w:t>
      </w:r>
    </w:p>
    <w:p w14:paraId="3199FEC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我方承诺携带进场的机器设备、机具必须是合格产品，并对携带进场的机器设备、机具安全负责管理、维护及检查，对招标人和自查发现的安全隐患落实整改措施。如我方使用不合格机器设备、机具造成事故的，由我方自行承担责任。</w:t>
      </w:r>
    </w:p>
    <w:p w14:paraId="014EDCD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我方人员未经许可不随意到作业区域以外的其它工作场所活动，我方作业人员擅自到作业区域以外的其它工作场所活动，出现人身损害或财产损失的，由我方自行负责一切责任。我方作业人员如需动用或作业涉及到招标人所属设备、电器、管线及其他设施等，承诺事先征得招标人代表的同意，并采取安全防护措施。</w:t>
      </w:r>
    </w:p>
    <w:p w14:paraId="45F4536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我方承诺在进行卸货等工作时，严格遵守相关劳动安全规定，并按要求佩戴相关安全劳动防护用具。我方承诺做好安全防护措施，在工作过程中出现的安全事故由我方自行处理并承担全部责任。我方承诺我方人员在招标人场所遵守招标人的一切规章制度和安全条例，服从招标人的监督。我方在提供服务过程中，如因违反招标人相关规章制度、安全条例，或因不服从招标人监督而发生安全事故的，其结果与责任均由我方负责，招标人无须承担任何结果与责任。</w:t>
      </w:r>
    </w:p>
    <w:p w14:paraId="37005AEF">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7、我方承诺协助和指导招标人进行货物的储存，对招标人的储存方式、方法、储存数量、仓库的安全设施设备、安全生产规章制度等是否符合国家标准或者国家有关规定提出合理的建议，并进行技术指导。</w:t>
      </w:r>
    </w:p>
    <w:p w14:paraId="4C1DABF9">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8、我方车辆在招标人场所行驶时，将严格遵守厂区道路限行，限速和限重要求，如因我方未遵守前述要求，对厂区/招标人（含其人员）、我方人员、第三方造成损失的，由我方承担赔偿责任。</w:t>
      </w:r>
    </w:p>
    <w:p w14:paraId="6AFF655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如我方开展服务项目需进行外出调研或现场作业的，由我方派人负责安全保卫工作，按国家有关规定，对作业的现场人员进行安全防护、劳动保护等，并承担相应的费用。若发生工作人员或第三人人身伤害等事故的，由我方全部承担责任。</w:t>
      </w:r>
    </w:p>
    <w:p w14:paraId="5EC28C3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10、因我方原因，造成我方损失，由我方自负，给招标人造成财产损失和人员伤害，我方承担全部责任，并全额赔偿招标人。</w:t>
      </w:r>
    </w:p>
    <w:p w14:paraId="6C29819A">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11、非因招标人原因，造成我方损失的，招标人无需承担任何责任，由我方自行承担全部责任。</w:t>
      </w:r>
    </w:p>
    <w:p w14:paraId="26309AE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12、我方承诺严格遵守法律法规以及招标人的安全管理要求，并接受招标人的安全生产工作协调和监督，积极消除安全隐患。安全管理的基本要求包括但不限于以下条款：</w:t>
      </w:r>
    </w:p>
    <w:p w14:paraId="3763AE7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①禁火区内严禁吸烟、动火。有火灾危险的作业区域，我方承诺配置足够的灭火设施。</w:t>
      </w:r>
    </w:p>
    <w:p w14:paraId="0C6D45C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②我方承诺焊接、气割作业时两瓶距离必须达到5M及以上，气瓶距可能产生火花的电器、设备和其它火源的间距必须达到10M及以上。</w:t>
      </w:r>
    </w:p>
    <w:p w14:paraId="3F37FE70">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③我方承诺不在厂内道路、消防通道内搭建临时建筑或堆放物资。</w:t>
      </w:r>
    </w:p>
    <w:p w14:paraId="0F25B41B">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④我方承诺电动工具、电焊机等均具有漏电保护器和相应的安全防护装置。</w:t>
      </w:r>
    </w:p>
    <w:p w14:paraId="11E83BD7">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⑤我方承诺用电设施符合要求，杜绝电线乱接、乱拉，刀闸和开关无盖，在电器设施上堆放物品等行为。</w:t>
      </w:r>
    </w:p>
    <w:p w14:paraId="739C1951">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⑥我方承诺防雷、防静电设施及用电设施有良好接地。</w:t>
      </w:r>
    </w:p>
    <w:p w14:paraId="14FE0E48">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⑦我方承诺为从业人员提供符合国家标准或者行业标准的劳动防护用品，并监督、教育从业人员按照使用规则佩戴、使用，防止工伤事故的发生。我方承诺，如发生各类工伤事故，绝不隐瞒不报。发生重伤及重伤以上事故，应及时组织抢救、保护好现场，并立即报告招标人主管领导。</w:t>
      </w:r>
    </w:p>
    <w:p w14:paraId="03D9625E">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13、我方承诺接受招标人的检查与监督，并主动配合，做好安全工作，凡有违反上述条款的即视为我方违约，招标人有权视情况从货物/服务价款中扣除2000元/次作为违约金。</w:t>
      </w:r>
    </w:p>
    <w:p w14:paraId="6556F03C">
      <w:pPr>
        <w:autoSpaceDE w:val="0"/>
        <w:autoSpaceDN w:val="0"/>
        <w:adjustRightInd w:val="0"/>
        <w:spacing w:line="360" w:lineRule="auto"/>
        <w:ind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如因我方违反上述条款造成安全生产事故的，我方将承担由此引发的一切责任与后果，如造成招标人损失的，我方将予以足额赔偿，同时，招标人有权没收我方提交的履约担保。</w:t>
      </w:r>
    </w:p>
    <w:p w14:paraId="7F713656">
      <w:pPr>
        <w:autoSpaceDE w:val="0"/>
        <w:autoSpaceDN w:val="0"/>
        <w:adjustRightInd w:val="0"/>
        <w:spacing w:line="360" w:lineRule="auto"/>
        <w:ind w:firstLine="504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w:t>
      </w:r>
    </w:p>
    <w:p w14:paraId="508E3D1C">
      <w:pPr>
        <w:autoSpaceDE w:val="0"/>
        <w:autoSpaceDN w:val="0"/>
        <w:adjustRightInd w:val="0"/>
        <w:spacing w:line="360" w:lineRule="auto"/>
        <w:ind w:firstLine="504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投标人：（加盖投标人法人公章）</w:t>
      </w:r>
    </w:p>
    <w:p w14:paraId="229545E5">
      <w:pPr>
        <w:autoSpaceDE w:val="0"/>
        <w:autoSpaceDN w:val="0"/>
        <w:adjustRightInd w:val="0"/>
        <w:spacing w:line="360" w:lineRule="auto"/>
        <w:ind w:firstLine="504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法定代表人或其授权代表签名（或盖私章）：</w:t>
      </w:r>
    </w:p>
    <w:p w14:paraId="669EECA2">
      <w:pPr>
        <w:autoSpaceDE w:val="0"/>
        <w:autoSpaceDN w:val="0"/>
        <w:adjustRightInd w:val="0"/>
        <w:spacing w:line="360" w:lineRule="auto"/>
        <w:ind w:right="420" w:firstLine="5040" w:firstLineChars="24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szCs w:val="24"/>
          <w:highlight w:val="none"/>
          <w:lang w:val="zh-CN"/>
        </w:rPr>
        <w:t>日期：   年   月   日</w:t>
      </w:r>
    </w:p>
    <w:p w14:paraId="51941B04">
      <w:pPr>
        <w:pageBreakBefore/>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bookmarkStart w:id="447" w:name="_Toc102860071"/>
      <w:bookmarkStart w:id="448" w:name="_Toc18346"/>
      <w:bookmarkStart w:id="449" w:name="_Toc102860415"/>
      <w:bookmarkStart w:id="450" w:name="_Toc1140"/>
      <w:bookmarkStart w:id="451" w:name="_Toc142508366"/>
      <w:bookmarkStart w:id="452" w:name="_Toc140596925"/>
      <w:bookmarkStart w:id="453" w:name="_Toc13416"/>
      <w:bookmarkStart w:id="454" w:name="_Toc104991872"/>
      <w:bookmarkStart w:id="455" w:name="_Toc94107206"/>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、投标报价表格式</w:t>
      </w:r>
      <w:bookmarkEnd w:id="443"/>
      <w:bookmarkEnd w:id="444"/>
      <w:bookmarkEnd w:id="445"/>
      <w:bookmarkEnd w:id="446"/>
      <w:bookmarkEnd w:id="447"/>
      <w:bookmarkEnd w:id="448"/>
      <w:bookmarkEnd w:id="449"/>
      <w:bookmarkEnd w:id="450"/>
      <w:bookmarkEnd w:id="451"/>
      <w:bookmarkEnd w:id="452"/>
      <w:bookmarkEnd w:id="453"/>
      <w:bookmarkEnd w:id="454"/>
      <w:bookmarkEnd w:id="455"/>
    </w:p>
    <w:p w14:paraId="2E3135E3">
      <w:pPr>
        <w:tabs>
          <w:tab w:val="left" w:pos="567"/>
        </w:tabs>
        <w:autoSpaceDE w:val="0"/>
        <w:autoSpaceDN w:val="0"/>
        <w:adjustRightInd w:val="0"/>
        <w:spacing w:line="360" w:lineRule="auto"/>
        <w:ind w:left="711" w:hanging="711" w:hangingChars="236"/>
        <w:jc w:val="left"/>
        <w:outlineLvl w:val="2"/>
        <w:rPr>
          <w:rFonts w:hint="eastAsia" w:ascii="宋体" w:hAnsi="宋体" w:eastAsia="宋体" w:cs="宋体"/>
          <w:b/>
          <w:color w:val="auto"/>
          <w:kern w:val="0"/>
          <w:sz w:val="30"/>
          <w:szCs w:val="30"/>
          <w:highlight w:val="none"/>
        </w:rPr>
      </w:pPr>
      <w:bookmarkStart w:id="456" w:name="_Toc104991873"/>
      <w:bookmarkStart w:id="457" w:name="_Toc140596926"/>
      <w:bookmarkStart w:id="458" w:name="_Toc1294"/>
      <w:bookmarkStart w:id="459" w:name="_Toc15425"/>
      <w:bookmarkStart w:id="460" w:name="_Toc2395_WPSOffice_Level3"/>
      <w:bookmarkStart w:id="461" w:name="_Toc102860072"/>
      <w:bookmarkStart w:id="462" w:name="_Toc24175"/>
      <w:bookmarkStart w:id="463" w:name="_Toc94107207"/>
      <w:bookmarkStart w:id="464" w:name="_Toc102860416"/>
      <w:bookmarkStart w:id="465" w:name="_Toc142508367"/>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投标报价表</w:t>
      </w:r>
      <w:bookmarkEnd w:id="456"/>
      <w:bookmarkEnd w:id="457"/>
      <w:bookmarkEnd w:id="458"/>
      <w:bookmarkEnd w:id="459"/>
      <w:bookmarkEnd w:id="460"/>
      <w:bookmarkEnd w:id="461"/>
      <w:bookmarkEnd w:id="462"/>
      <w:bookmarkEnd w:id="463"/>
      <w:bookmarkEnd w:id="464"/>
      <w:bookmarkEnd w:id="465"/>
    </w:p>
    <w:p w14:paraId="54CADEFF">
      <w:pPr>
        <w:spacing w:line="360" w:lineRule="auto"/>
        <w:jc w:val="center"/>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 w:val="30"/>
          <w:szCs w:val="30"/>
          <w:highlight w:val="none"/>
          <w:lang w:val="zh-CN"/>
        </w:rPr>
        <w:t>投标报价表</w:t>
      </w:r>
    </w:p>
    <w:p w14:paraId="0E856D95">
      <w:pPr>
        <w:spacing w:line="360" w:lineRule="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年餐厨及清洁服务采购项目</w:t>
      </w:r>
    </w:p>
    <w:p w14:paraId="1D35D695">
      <w:pPr>
        <w:spacing w:line="360" w:lineRule="auto"/>
        <w:outlineLvl w:val="9"/>
        <w:rPr>
          <w:rFonts w:hint="eastAsia" w:ascii="宋体" w:hAnsi="宋体" w:eastAsia="宋体" w:cs="宋体"/>
          <w:bCs/>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b w:val="0"/>
          <w:bCs/>
          <w:color w:val="auto"/>
          <w:kern w:val="0"/>
          <w:szCs w:val="21"/>
          <w:highlight w:val="none"/>
          <w:u w:val="single"/>
        </w:rPr>
        <w:t>YDZB25DGQY0006</w:t>
      </w:r>
    </w:p>
    <w:tbl>
      <w:tblPr>
        <w:tblStyle w:val="39"/>
        <w:tblW w:w="5000"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6"/>
        <w:gridCol w:w="4729"/>
        <w:gridCol w:w="3273"/>
        <w:gridCol w:w="1332"/>
      </w:tblGrid>
      <w:tr w14:paraId="73CF3A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72" w:hRule="atLeast"/>
        </w:trPr>
        <w:tc>
          <w:tcPr>
            <w:tcW w:w="500" w:type="pct"/>
            <w:tcBorders>
              <w:top w:val="single" w:color="auto" w:sz="4" w:space="0"/>
              <w:left w:val="single" w:color="auto" w:sz="4" w:space="0"/>
              <w:bottom w:val="single" w:color="auto" w:sz="4" w:space="0"/>
              <w:right w:val="single" w:color="auto" w:sz="4" w:space="0"/>
            </w:tcBorders>
            <w:vAlign w:val="center"/>
          </w:tcPr>
          <w:p w14:paraId="55D6977E">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2280" w:type="pct"/>
            <w:tcBorders>
              <w:top w:val="single" w:color="auto" w:sz="4" w:space="0"/>
              <w:left w:val="single" w:color="auto" w:sz="4" w:space="0"/>
              <w:bottom w:val="single" w:color="auto" w:sz="4" w:space="0"/>
              <w:right w:val="single" w:color="auto" w:sz="4" w:space="0"/>
            </w:tcBorders>
            <w:vAlign w:val="center"/>
          </w:tcPr>
          <w:p w14:paraId="5377C591">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名称</w:t>
            </w:r>
          </w:p>
        </w:tc>
        <w:tc>
          <w:tcPr>
            <w:tcW w:w="1578" w:type="pct"/>
            <w:tcBorders>
              <w:top w:val="single" w:color="auto" w:sz="4" w:space="0"/>
              <w:left w:val="single" w:color="auto" w:sz="4" w:space="0"/>
              <w:bottom w:val="single" w:color="auto" w:sz="4" w:space="0"/>
              <w:right w:val="single" w:color="auto" w:sz="4" w:space="0"/>
            </w:tcBorders>
            <w:vAlign w:val="center"/>
          </w:tcPr>
          <w:p w14:paraId="716B291E">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投标报价（不含销项税，元）</w:t>
            </w:r>
          </w:p>
        </w:tc>
        <w:tc>
          <w:tcPr>
            <w:tcW w:w="642" w:type="pct"/>
            <w:tcBorders>
              <w:top w:val="single" w:color="auto" w:sz="4" w:space="0"/>
              <w:left w:val="single" w:color="auto" w:sz="4" w:space="0"/>
              <w:bottom w:val="single" w:color="auto" w:sz="4" w:space="0"/>
              <w:right w:val="single" w:color="auto" w:sz="4" w:space="0"/>
            </w:tcBorders>
            <w:vAlign w:val="center"/>
          </w:tcPr>
          <w:p w14:paraId="49BC1EE4">
            <w:pPr>
              <w:autoSpaceDE w:val="0"/>
              <w:autoSpaceDN w:val="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3B5470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0" w:hRule="atLeast"/>
        </w:trPr>
        <w:tc>
          <w:tcPr>
            <w:tcW w:w="500" w:type="pct"/>
            <w:tcBorders>
              <w:top w:val="single" w:color="auto" w:sz="4" w:space="0"/>
              <w:left w:val="single" w:color="auto" w:sz="4" w:space="0"/>
              <w:right w:val="single" w:color="auto" w:sz="4" w:space="0"/>
            </w:tcBorders>
            <w:vAlign w:val="center"/>
          </w:tcPr>
          <w:p w14:paraId="291D9EE1">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2280" w:type="pct"/>
            <w:tcBorders>
              <w:top w:val="single" w:color="auto" w:sz="4" w:space="0"/>
              <w:left w:val="single" w:color="auto" w:sz="4" w:space="0"/>
              <w:right w:val="single" w:color="auto" w:sz="4" w:space="0"/>
            </w:tcBorders>
            <w:vAlign w:val="center"/>
          </w:tcPr>
          <w:p w14:paraId="246D7542">
            <w:pPr>
              <w:autoSpaceDE w:val="0"/>
              <w:autoSpaceDN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u w:val="none"/>
              </w:rPr>
              <w:t>东莞市水务集团管网有限公司202</w:t>
            </w:r>
            <w:r>
              <w:rPr>
                <w:rFonts w:hint="eastAsia" w:ascii="宋体" w:hAnsi="宋体" w:eastAsia="宋体" w:cs="宋体"/>
                <w:color w:val="auto"/>
                <w:kern w:val="0"/>
                <w:szCs w:val="21"/>
                <w:highlight w:val="none"/>
                <w:u w:val="none"/>
                <w:lang w:val="en-US" w:eastAsia="zh-CN"/>
              </w:rPr>
              <w:t>5</w:t>
            </w:r>
            <w:r>
              <w:rPr>
                <w:rFonts w:hint="eastAsia" w:ascii="宋体" w:hAnsi="宋体" w:eastAsia="宋体" w:cs="宋体"/>
                <w:color w:val="auto"/>
                <w:kern w:val="0"/>
                <w:szCs w:val="21"/>
                <w:highlight w:val="none"/>
                <w:u w:val="none"/>
              </w:rPr>
              <w:t>年餐厨及清洁服务采购项目</w:t>
            </w:r>
          </w:p>
        </w:tc>
        <w:tc>
          <w:tcPr>
            <w:tcW w:w="1578" w:type="pct"/>
            <w:tcBorders>
              <w:top w:val="single" w:color="auto" w:sz="4" w:space="0"/>
              <w:left w:val="single" w:color="auto" w:sz="4" w:space="0"/>
              <w:right w:val="single" w:color="auto" w:sz="4" w:space="0"/>
            </w:tcBorders>
            <w:vAlign w:val="center"/>
          </w:tcPr>
          <w:p w14:paraId="7C94BBB1">
            <w:pPr>
              <w:tabs>
                <w:tab w:val="left" w:pos="8610"/>
              </w:tabs>
              <w:spacing w:line="360" w:lineRule="auto"/>
              <w:outlineLvl w:val="9"/>
              <w:rPr>
                <w:rFonts w:hint="default" w:ascii="宋体" w:hAnsi="宋体" w:eastAsia="宋体" w:cs="宋体"/>
                <w:color w:val="auto"/>
                <w:kern w:val="0"/>
                <w:szCs w:val="21"/>
                <w:highlight w:val="none"/>
                <w:u w:val="single"/>
                <w:lang w:val="en-US" w:eastAsia="zh-CN"/>
              </w:rPr>
            </w:pPr>
            <w:r>
              <w:rPr>
                <w:rFonts w:hint="eastAsia" w:ascii="宋体" w:hAnsi="宋体" w:eastAsia="宋体" w:cs="宋体"/>
                <w:color w:val="auto"/>
                <w:kern w:val="0"/>
                <w:szCs w:val="21"/>
                <w:highlight w:val="none"/>
              </w:rPr>
              <w:t>小写（人民币）：</w:t>
            </w:r>
            <w:r>
              <w:rPr>
                <w:rFonts w:hint="eastAsia" w:ascii="宋体" w:hAnsi="宋体" w:eastAsia="宋体" w:cs="宋体"/>
                <w:color w:val="auto"/>
                <w:kern w:val="0"/>
                <w:szCs w:val="21"/>
                <w:highlight w:val="none"/>
                <w:u w:val="single"/>
                <w:lang w:val="en-US" w:eastAsia="zh-CN"/>
              </w:rPr>
              <w:t xml:space="preserve">           </w:t>
            </w:r>
          </w:p>
          <w:p w14:paraId="300617DA">
            <w:pPr>
              <w:pStyle w:val="2"/>
              <w:rPr>
                <w:rFonts w:hint="eastAsia" w:eastAsiaTheme="minorEastAsia"/>
                <w:color w:val="auto"/>
                <w:highlight w:val="none"/>
                <w:lang w:val="en-US" w:eastAsia="zh-CN"/>
              </w:rPr>
            </w:pPr>
            <w:r>
              <w:rPr>
                <w:rFonts w:hint="eastAsia" w:hAnsi="宋体" w:eastAsia="宋体" w:cs="宋体"/>
                <w:color w:val="auto"/>
                <w:highlight w:val="none"/>
                <w:lang w:val="en-US" w:eastAsia="zh-CN"/>
              </w:rPr>
              <w:t>大写（人民币）</w:t>
            </w:r>
            <w:r>
              <w:rPr>
                <w:rFonts w:hint="eastAsia" w:ascii="宋体" w:hAnsi="宋体" w:eastAsia="宋体" w:cs="宋体"/>
                <w:color w:val="auto"/>
                <w:highlight w:val="none"/>
                <w:lang w:val="en-US" w:eastAsia="zh-CN"/>
              </w:rPr>
              <w:t>：</w:t>
            </w:r>
            <w:r>
              <w:rPr>
                <w:rFonts w:hint="eastAsia" w:ascii="宋体" w:hAnsi="宋体" w:eastAsia="宋体" w:cs="宋体"/>
                <w:color w:val="auto"/>
                <w:kern w:val="0"/>
                <w:szCs w:val="21"/>
                <w:highlight w:val="none"/>
                <w:u w:val="single"/>
                <w:lang w:val="en-US" w:eastAsia="zh-CN"/>
              </w:rPr>
              <w:t xml:space="preserve">           </w:t>
            </w:r>
          </w:p>
        </w:tc>
        <w:tc>
          <w:tcPr>
            <w:tcW w:w="642" w:type="pct"/>
            <w:tcBorders>
              <w:top w:val="single" w:color="auto" w:sz="4" w:space="0"/>
              <w:left w:val="single" w:color="auto" w:sz="4" w:space="0"/>
              <w:right w:val="single" w:color="auto" w:sz="4" w:space="0"/>
            </w:tcBorders>
            <w:vAlign w:val="center"/>
          </w:tcPr>
          <w:p w14:paraId="271AEBFC">
            <w:pPr>
              <w:tabs>
                <w:tab w:val="left" w:pos="8610"/>
              </w:tabs>
              <w:spacing w:line="360" w:lineRule="auto"/>
              <w:jc w:val="center"/>
              <w:outlineLvl w:val="9"/>
              <w:rPr>
                <w:rFonts w:hint="eastAsia" w:ascii="宋体" w:hAnsi="宋体" w:eastAsia="宋体" w:cs="宋体"/>
                <w:color w:val="auto"/>
                <w:kern w:val="0"/>
                <w:szCs w:val="21"/>
                <w:highlight w:val="none"/>
              </w:rPr>
            </w:pPr>
          </w:p>
        </w:tc>
      </w:tr>
    </w:tbl>
    <w:p w14:paraId="43DB36FB">
      <w:pPr>
        <w:outlineLvl w:val="9"/>
        <w:rPr>
          <w:rFonts w:hint="eastAsia" w:ascii="宋体" w:hAnsi="宋体" w:eastAsia="宋体" w:cs="宋体"/>
          <w:color w:val="auto"/>
          <w:kern w:val="0"/>
          <w:sz w:val="20"/>
          <w:szCs w:val="21"/>
          <w:highlight w:val="none"/>
        </w:rPr>
      </w:pPr>
    </w:p>
    <w:p w14:paraId="13C4030A">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178C6A74">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r>
        <w:rPr>
          <w:rFonts w:hint="eastAsia" w:ascii="宋体" w:hAnsi="宋体" w:eastAsia="宋体" w:cs="宋体"/>
          <w:b/>
          <w:color w:val="auto"/>
          <w:kern w:val="0"/>
          <w:szCs w:val="21"/>
          <w:highlight w:val="none"/>
          <w:u w:val="single"/>
        </w:rPr>
        <w:t>本表的投标报价为总价报价（不含增值税），投标人只需根据本招标文件第六篇的投标总报价表填报唯一的总价报价。总价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。本招标文件所称的不含税价是指不含本采购项目的投标人销项税额，包含了投标人完成合同义务（含投标人代缴代扣、分包及委外服务、施工、采购货物等所产生的价税）的其他全部费用。</w:t>
      </w:r>
      <w:r>
        <w:rPr>
          <w:rFonts w:hint="eastAsia" w:ascii="宋体" w:hAnsi="宋体" w:eastAsia="宋体" w:cs="宋体"/>
          <w:color w:val="auto"/>
          <w:szCs w:val="21"/>
          <w:highlight w:val="none"/>
          <w:lang w:val="zh-CN"/>
        </w:rPr>
        <w:t>本采购项目的销项税额由招标人承担</w:t>
      </w:r>
      <w:r>
        <w:rPr>
          <w:rFonts w:hint="eastAsia" w:ascii="宋体" w:hAnsi="宋体" w:eastAsia="宋体" w:cs="宋体"/>
          <w:color w:val="auto"/>
          <w:kern w:val="0"/>
          <w:szCs w:val="21"/>
          <w:highlight w:val="none"/>
        </w:rPr>
        <w:t>，不计入投标报价。</w:t>
      </w:r>
    </w:p>
    <w:p w14:paraId="31D71EBA">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lang w:eastAsia="zh-CN"/>
        </w:rPr>
      </w:pP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lang w:val="en-US" w:eastAsia="zh-CN"/>
        </w:rPr>
        <w:t>2</w:t>
      </w:r>
      <w:r>
        <w:rPr>
          <w:rFonts w:hint="eastAsia" w:ascii="宋体" w:hAnsi="宋体" w:eastAsia="宋体" w:cs="宋体"/>
          <w:b/>
          <w:bCs/>
          <w:color w:val="auto"/>
          <w:kern w:val="0"/>
          <w:szCs w:val="21"/>
          <w:highlight w:val="none"/>
          <w:lang w:eastAsia="zh-CN"/>
        </w:rPr>
        <w:t>）</w:t>
      </w:r>
      <w:r>
        <w:rPr>
          <w:rFonts w:hint="eastAsia" w:ascii="宋体" w:hAnsi="宋体" w:eastAsia="宋体" w:cs="宋体"/>
          <w:b/>
          <w:bCs/>
          <w:color w:val="auto"/>
          <w:kern w:val="0"/>
          <w:szCs w:val="21"/>
          <w:highlight w:val="none"/>
        </w:rPr>
        <w:t>本表的总价报价应包括完成本合同服务所需的全部费用，包括但不限于人工费（工资及福利、社保、膳食、意外伤害保险、加班费、住宿补贴等）、办公费、交通费、管理费用、保险、利润、本项目所发生的供应商销项税额以外的税费、其他完成本合同下服务相关的直接及间接费用（如劳务服务人员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70D9B26C">
      <w:pPr>
        <w:autoSpaceDE w:val="0"/>
        <w:autoSpaceDN w:val="0"/>
        <w:adjustRightInd w:val="0"/>
        <w:snapToGrid w:val="0"/>
        <w:spacing w:line="360" w:lineRule="auto"/>
        <w:ind w:left="607" w:leftChars="18" w:hanging="569"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en-US" w:eastAsia="zh-CN"/>
        </w:rPr>
        <w:t>3</w:t>
      </w:r>
      <w:r>
        <w:rPr>
          <w:rFonts w:hint="eastAsia" w:ascii="宋体" w:hAnsi="宋体" w:eastAsia="宋体" w:cs="宋体"/>
          <w:b/>
          <w:bCs/>
          <w:color w:val="auto"/>
          <w:kern w:val="0"/>
          <w:szCs w:val="21"/>
          <w:highlight w:val="none"/>
        </w:rPr>
        <w:t>）投标人的投标报价高于</w:t>
      </w:r>
      <w:r>
        <w:rPr>
          <w:rFonts w:hint="eastAsia" w:ascii="宋体" w:hAnsi="宋体" w:eastAsia="宋体" w:cs="宋体"/>
          <w:b/>
          <w:bCs/>
          <w:color w:val="auto"/>
          <w:kern w:val="0"/>
          <w:szCs w:val="24"/>
          <w:highlight w:val="none"/>
          <w:u w:val="none"/>
        </w:rPr>
        <w:t>最高</w:t>
      </w:r>
      <w:r>
        <w:rPr>
          <w:rFonts w:hint="eastAsia" w:ascii="宋体" w:hAnsi="宋体" w:eastAsia="宋体" w:cs="宋体"/>
          <w:b/>
          <w:bCs/>
          <w:color w:val="auto"/>
          <w:kern w:val="0"/>
          <w:szCs w:val="24"/>
          <w:highlight w:val="none"/>
          <w:u w:val="none"/>
          <w:lang w:val="en-US" w:eastAsia="zh-CN"/>
        </w:rPr>
        <w:t>投标</w:t>
      </w:r>
      <w:r>
        <w:rPr>
          <w:rFonts w:hint="eastAsia" w:ascii="宋体" w:hAnsi="宋体" w:eastAsia="宋体" w:cs="宋体"/>
          <w:b/>
          <w:bCs/>
          <w:color w:val="auto"/>
          <w:kern w:val="0"/>
          <w:szCs w:val="24"/>
          <w:highlight w:val="none"/>
          <w:u w:val="none"/>
        </w:rPr>
        <w:t>限价</w:t>
      </w:r>
      <w:r>
        <w:rPr>
          <w:rFonts w:hint="eastAsia" w:ascii="宋体" w:hAnsi="宋体" w:eastAsia="宋体" w:cs="宋体"/>
          <w:b/>
          <w:bCs/>
          <w:color w:val="auto"/>
          <w:kern w:val="0"/>
          <w:szCs w:val="21"/>
          <w:highlight w:val="none"/>
        </w:rPr>
        <w:t>的，该投标人的投标文件将被视为无效投标。</w:t>
      </w:r>
    </w:p>
    <w:p w14:paraId="031FB681">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4</w:t>
      </w:r>
      <w:r>
        <w:rPr>
          <w:rFonts w:hint="eastAsia" w:ascii="宋体" w:hAnsi="宋体" w:eastAsia="宋体" w:cs="宋体"/>
          <w:color w:val="auto"/>
          <w:kern w:val="0"/>
          <w:szCs w:val="21"/>
          <w:highlight w:val="none"/>
        </w:rPr>
        <w:t>）本投标报价表报价与分项报价表报价不一致的，以本投标报价表为准。</w:t>
      </w:r>
      <w:r>
        <w:rPr>
          <w:rFonts w:hint="eastAsia" w:ascii="宋体" w:hAnsi="宋体" w:eastAsia="宋体" w:cs="Times New Roman"/>
          <w:color w:val="auto"/>
          <w:kern w:val="0"/>
          <w:szCs w:val="21"/>
          <w:highlight w:val="none"/>
        </w:rPr>
        <w:t>本投标报价表报价以数字表示的金额与以文字表示的金额不一致时，以文字表示的金额为准。</w:t>
      </w:r>
      <w:r>
        <w:rPr>
          <w:rFonts w:hint="eastAsia" w:ascii="宋体" w:hAnsi="宋体" w:eastAsia="宋体" w:cs="宋体"/>
          <w:color w:val="auto"/>
          <w:kern w:val="0"/>
          <w:szCs w:val="21"/>
          <w:highlight w:val="none"/>
        </w:rPr>
        <w:t>对不同文字文本投标文件的解释发生异议的，以中文文本为准。</w:t>
      </w:r>
    </w:p>
    <w:p w14:paraId="0C4BE72A">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
          <w:bCs/>
          <w:color w:val="auto"/>
          <w:kern w:val="0"/>
          <w:szCs w:val="21"/>
          <w:highlight w:val="none"/>
          <w:lang w:val="zh-CN"/>
        </w:rPr>
      </w:pPr>
      <w:r>
        <w:rPr>
          <w:rFonts w:hint="eastAsia" w:ascii="宋体" w:hAnsi="宋体" w:eastAsia="宋体" w:cs="宋体"/>
          <w:color w:val="auto"/>
          <w:kern w:val="0"/>
          <w:szCs w:val="21"/>
          <w:highlight w:val="none"/>
        </w:rPr>
        <w:t>（</w:t>
      </w:r>
      <w:r>
        <w:rPr>
          <w:rFonts w:hint="eastAsia" w:ascii="宋体" w:hAnsi="宋体" w:eastAsia="宋体" w:cs="宋体"/>
          <w:color w:val="auto"/>
          <w:kern w:val="0"/>
          <w:szCs w:val="21"/>
          <w:highlight w:val="none"/>
          <w:lang w:val="en-US" w:eastAsia="zh-CN"/>
        </w:rPr>
        <w:t>5</w:t>
      </w:r>
      <w:r>
        <w:rPr>
          <w:rFonts w:hint="eastAsia" w:ascii="宋体" w:hAnsi="宋体" w:eastAsia="宋体" w:cs="宋体"/>
          <w:color w:val="auto"/>
          <w:kern w:val="0"/>
          <w:szCs w:val="21"/>
          <w:highlight w:val="none"/>
        </w:rPr>
        <w:t>）</w:t>
      </w:r>
      <w:r>
        <w:rPr>
          <w:rFonts w:hint="eastAsia" w:ascii="宋体" w:hAnsi="宋体" w:eastAsia="宋体" w:cs="宋体"/>
          <w:b/>
          <w:bCs/>
          <w:color w:val="auto"/>
          <w:kern w:val="0"/>
          <w:szCs w:val="21"/>
          <w:highlight w:val="none"/>
          <w:u w:val="single"/>
          <w:lang w:val="zh-CN"/>
        </w:rPr>
        <w:t>本表一式二份，一份随唱标信封一起提交，一份编入投标文件商务文件</w:t>
      </w:r>
      <w:r>
        <w:rPr>
          <w:rFonts w:hint="eastAsia" w:ascii="宋体" w:hAnsi="宋体" w:eastAsia="宋体" w:cs="宋体"/>
          <w:b/>
          <w:bCs/>
          <w:color w:val="auto"/>
          <w:kern w:val="0"/>
          <w:szCs w:val="21"/>
          <w:highlight w:val="none"/>
          <w:lang w:val="zh-CN"/>
        </w:rPr>
        <w:t>。</w:t>
      </w:r>
    </w:p>
    <w:p w14:paraId="21F85D71">
      <w:pPr>
        <w:autoSpaceDE w:val="0"/>
        <w:autoSpaceDN w:val="0"/>
        <w:adjustRightInd w:val="0"/>
        <w:snapToGrid w:val="0"/>
        <w:spacing w:line="360" w:lineRule="auto"/>
        <w:ind w:left="605" w:leftChars="18" w:hanging="567" w:hangingChars="270"/>
        <w:jc w:val="left"/>
        <w:outlineLvl w:val="9"/>
        <w:rPr>
          <w:rFonts w:hint="eastAsia" w:ascii="宋体" w:hAnsi="宋体" w:eastAsia="宋体" w:cs="宋体"/>
          <w:bCs/>
          <w:color w:val="auto"/>
          <w:kern w:val="0"/>
          <w:szCs w:val="21"/>
          <w:highlight w:val="none"/>
          <w:lang w:val="zh-CN"/>
        </w:rPr>
      </w:pPr>
      <w:r>
        <w:rPr>
          <w:rFonts w:hint="eastAsia" w:ascii="宋体" w:hAnsi="宋体" w:eastAsia="宋体" w:cs="宋体"/>
          <w:bCs/>
          <w:color w:val="auto"/>
          <w:kern w:val="0"/>
          <w:szCs w:val="21"/>
          <w:highlight w:val="none"/>
          <w:lang w:val="zh-CN"/>
        </w:rPr>
        <w:t>（</w:t>
      </w: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val="zh-CN"/>
        </w:rPr>
        <w:t>）</w:t>
      </w:r>
      <w:r>
        <w:rPr>
          <w:rFonts w:hint="eastAsia" w:ascii="宋体" w:hAnsi="宋体" w:eastAsia="宋体" w:cs="宋体"/>
          <w:color w:val="auto"/>
          <w:kern w:val="0"/>
          <w:szCs w:val="21"/>
          <w:highlight w:val="none"/>
        </w:rPr>
        <w:t>报价保留小数点后两位。</w:t>
      </w:r>
    </w:p>
    <w:p w14:paraId="4AE6B5DA">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szCs w:val="24"/>
          <w:highlight w:val="none"/>
          <w:lang w:val="zh-CN"/>
        </w:rPr>
        <w:t>加盖投标人法人公章</w:t>
      </w:r>
      <w:r>
        <w:rPr>
          <w:rFonts w:hint="eastAsia" w:ascii="宋体" w:hAnsi="宋体" w:eastAsia="宋体" w:cs="宋体"/>
          <w:color w:val="auto"/>
          <w:szCs w:val="21"/>
          <w:highlight w:val="none"/>
          <w:lang w:val="zh-CN"/>
        </w:rPr>
        <w:t>）</w:t>
      </w:r>
    </w:p>
    <w:p w14:paraId="7908AE88">
      <w:pPr>
        <w:autoSpaceDE w:val="0"/>
        <w:autoSpaceDN w:val="0"/>
        <w:adjustRightInd w:val="0"/>
        <w:spacing w:line="360" w:lineRule="auto"/>
        <w:ind w:firstLine="4960" w:firstLineChars="2362"/>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法定代表人或其授权代表签名（或盖私章）：</w:t>
      </w:r>
    </w:p>
    <w:p w14:paraId="4A4DFE32">
      <w:pPr>
        <w:autoSpaceDE w:val="0"/>
        <w:autoSpaceDN w:val="0"/>
        <w:adjustRightInd w:val="0"/>
        <w:spacing w:line="360" w:lineRule="auto"/>
        <w:ind w:firstLine="4960" w:firstLineChars="236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1"/>
          <w:highlight w:val="none"/>
          <w:lang w:val="zh-CN"/>
        </w:rPr>
        <w:t>日</w:t>
      </w:r>
      <w:r>
        <w:rPr>
          <w:rFonts w:hint="eastAsia" w:ascii="宋体" w:hAnsi="宋体" w:eastAsia="宋体" w:cs="宋体"/>
          <w:color w:val="auto"/>
          <w:szCs w:val="24"/>
          <w:highlight w:val="none"/>
          <w:lang w:val="zh-CN"/>
        </w:rPr>
        <w:t>期：   年   月   日</w:t>
      </w:r>
    </w:p>
    <w:p w14:paraId="3C75882B">
      <w:pPr>
        <w:tabs>
          <w:tab w:val="left" w:pos="567"/>
        </w:tabs>
        <w:autoSpaceDE w:val="0"/>
        <w:autoSpaceDN w:val="0"/>
        <w:adjustRightInd w:val="0"/>
        <w:spacing w:line="360" w:lineRule="auto"/>
        <w:ind w:left="496" w:hanging="495" w:hangingChars="236"/>
        <w:jc w:val="left"/>
        <w:outlineLvl w:val="2"/>
        <w:rPr>
          <w:rFonts w:hint="eastAsia" w:ascii="宋体" w:hAnsi="宋体" w:eastAsia="宋体" w:cs="宋体"/>
          <w:b/>
          <w:color w:val="auto"/>
          <w:sz w:val="30"/>
          <w:szCs w:val="30"/>
          <w:highlight w:val="none"/>
          <w:lang w:val="zh-CN"/>
        </w:rPr>
      </w:pPr>
      <w:r>
        <w:rPr>
          <w:rFonts w:hint="eastAsia" w:ascii="宋体" w:hAnsi="宋体" w:eastAsia="宋体" w:cs="宋体"/>
          <w:color w:val="auto"/>
          <w:szCs w:val="24"/>
          <w:highlight w:val="none"/>
          <w:lang w:val="zh-CN"/>
        </w:rPr>
        <w:br w:type="page"/>
      </w:r>
      <w:bookmarkStart w:id="466" w:name="_Toc15059"/>
      <w:bookmarkStart w:id="467" w:name="_Toc140596927"/>
      <w:bookmarkStart w:id="468" w:name="_Toc5265"/>
      <w:bookmarkStart w:id="469" w:name="_Toc102860073"/>
      <w:bookmarkStart w:id="470" w:name="_Toc94107208"/>
      <w:bookmarkStart w:id="471" w:name="_Toc102860417"/>
      <w:bookmarkStart w:id="472" w:name="_Toc142508368"/>
      <w:bookmarkStart w:id="473" w:name="_Toc21142"/>
      <w:bookmarkStart w:id="474" w:name="_Toc104991874"/>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分项报价表</w:t>
      </w:r>
      <w:bookmarkEnd w:id="466"/>
      <w:bookmarkEnd w:id="467"/>
      <w:bookmarkEnd w:id="468"/>
      <w:bookmarkEnd w:id="469"/>
      <w:bookmarkEnd w:id="470"/>
      <w:bookmarkEnd w:id="471"/>
      <w:bookmarkEnd w:id="472"/>
      <w:bookmarkEnd w:id="473"/>
      <w:bookmarkEnd w:id="474"/>
    </w:p>
    <w:p w14:paraId="1ED735B2">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分项报价表</w:t>
      </w:r>
    </w:p>
    <w:p w14:paraId="250EF69F">
      <w:pPr>
        <w:spacing w:line="360" w:lineRule="auto"/>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项目名称：</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年餐厨及清洁服务采购项目</w:t>
      </w:r>
    </w:p>
    <w:p w14:paraId="4B343093">
      <w:pPr>
        <w:spacing w:line="360" w:lineRule="auto"/>
        <w:outlineLvl w:val="9"/>
        <w:rPr>
          <w:rFonts w:hint="eastAsia" w:ascii="宋体" w:hAnsi="宋体" w:eastAsia="宋体" w:cs="宋体"/>
          <w:color w:val="auto"/>
          <w:kern w:val="0"/>
          <w:szCs w:val="21"/>
          <w:highlight w:val="none"/>
          <w:u w:val="single"/>
        </w:rPr>
      </w:pPr>
      <w:r>
        <w:rPr>
          <w:rFonts w:hint="eastAsia" w:ascii="宋体" w:hAnsi="宋体" w:eastAsia="宋体" w:cs="宋体"/>
          <w:b/>
          <w:color w:val="auto"/>
          <w:kern w:val="0"/>
          <w:szCs w:val="21"/>
          <w:highlight w:val="none"/>
        </w:rPr>
        <w:t>招标编号：</w:t>
      </w:r>
      <w:r>
        <w:rPr>
          <w:rFonts w:hint="eastAsia" w:ascii="宋体" w:hAnsi="宋体" w:eastAsia="宋体" w:cs="宋体"/>
          <w:b w:val="0"/>
          <w:bCs/>
          <w:color w:val="auto"/>
          <w:kern w:val="0"/>
          <w:szCs w:val="21"/>
          <w:highlight w:val="none"/>
          <w:u w:val="single"/>
        </w:rPr>
        <w:t>YDZB25DGQY0006</w:t>
      </w:r>
    </w:p>
    <w:tbl>
      <w:tblPr>
        <w:tblStyle w:val="39"/>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1101"/>
        <w:gridCol w:w="1516"/>
        <w:gridCol w:w="1810"/>
        <w:gridCol w:w="2177"/>
        <w:gridCol w:w="2092"/>
        <w:gridCol w:w="974"/>
      </w:tblGrid>
      <w:tr w14:paraId="28B0C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335" w:type="pct"/>
            <w:tcBorders>
              <w:top w:val="single" w:color="auto" w:sz="4" w:space="0"/>
              <w:left w:val="single" w:color="auto" w:sz="4" w:space="0"/>
              <w:bottom w:val="single" w:color="auto" w:sz="4" w:space="0"/>
              <w:right w:val="single" w:color="auto" w:sz="4" w:space="0"/>
            </w:tcBorders>
            <w:vAlign w:val="center"/>
          </w:tcPr>
          <w:p w14:paraId="7EA17147">
            <w:pPr>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31" w:type="pct"/>
            <w:tcBorders>
              <w:top w:val="single" w:color="auto" w:sz="4" w:space="0"/>
              <w:left w:val="single" w:color="auto" w:sz="4" w:space="0"/>
              <w:bottom w:val="single" w:color="auto" w:sz="4" w:space="0"/>
              <w:right w:val="single" w:color="auto" w:sz="4" w:space="0"/>
            </w:tcBorders>
            <w:vAlign w:val="center"/>
          </w:tcPr>
          <w:p w14:paraId="49DB1555">
            <w:pPr>
              <w:spacing w:line="400" w:lineRule="exact"/>
              <w:jc w:val="center"/>
              <w:outlineLvl w:val="9"/>
              <w:rPr>
                <w:rFonts w:hint="eastAsia" w:ascii="宋体" w:hAnsi="宋体" w:eastAsia="宋体" w:cs="宋体"/>
                <w:b/>
                <w:color w:val="auto"/>
                <w:kern w:val="0"/>
                <w:szCs w:val="21"/>
                <w:highlight w:val="none"/>
                <w:lang w:val="en-US" w:eastAsia="zh-CN"/>
              </w:rPr>
            </w:pPr>
            <w:r>
              <w:rPr>
                <w:rFonts w:hint="eastAsia" w:ascii="宋体" w:hAnsi="宋体" w:eastAsia="宋体" w:cs="宋体"/>
                <w:b/>
                <w:color w:val="auto"/>
                <w:kern w:val="0"/>
                <w:szCs w:val="21"/>
                <w:highlight w:val="none"/>
                <w:lang w:val="en-US" w:eastAsia="zh-CN"/>
              </w:rPr>
              <w:t>岗位类型</w:t>
            </w:r>
          </w:p>
        </w:tc>
        <w:tc>
          <w:tcPr>
            <w:tcW w:w="731" w:type="pct"/>
            <w:tcBorders>
              <w:top w:val="single" w:color="auto" w:sz="4" w:space="0"/>
              <w:left w:val="single" w:color="auto" w:sz="4" w:space="0"/>
              <w:bottom w:val="single" w:color="auto" w:sz="4" w:space="0"/>
              <w:right w:val="single" w:color="auto" w:sz="4" w:space="0"/>
            </w:tcBorders>
            <w:vAlign w:val="center"/>
          </w:tcPr>
          <w:p w14:paraId="7B6E6B5C">
            <w:pPr>
              <w:spacing w:line="400" w:lineRule="exact"/>
              <w:jc w:val="center"/>
              <w:outlineLvl w:val="9"/>
              <w:rPr>
                <w:rFonts w:hint="eastAsia" w:ascii="宋体" w:hAnsi="宋体" w:eastAsia="宋体" w:cs="宋体"/>
                <w:b/>
                <w:color w:val="auto"/>
                <w:kern w:val="0"/>
                <w:szCs w:val="21"/>
                <w:highlight w:val="none"/>
                <w:lang w:eastAsia="zh-CN"/>
              </w:rPr>
            </w:pPr>
            <w:r>
              <w:rPr>
                <w:rFonts w:hint="eastAsia" w:ascii="宋体" w:hAnsi="宋体" w:eastAsia="宋体" w:cs="宋体"/>
                <w:b/>
                <w:color w:val="auto"/>
                <w:kern w:val="0"/>
                <w:szCs w:val="21"/>
                <w:highlight w:val="none"/>
                <w:lang w:val="en-US" w:eastAsia="zh-CN"/>
              </w:rPr>
              <w:t>人员数量（人）</w:t>
            </w:r>
          </w:p>
        </w:tc>
        <w:tc>
          <w:tcPr>
            <w:tcW w:w="873" w:type="pct"/>
            <w:tcBorders>
              <w:top w:val="single" w:color="auto" w:sz="4" w:space="0"/>
              <w:left w:val="single" w:color="auto" w:sz="4" w:space="0"/>
              <w:bottom w:val="single" w:color="auto" w:sz="4" w:space="0"/>
              <w:right w:val="single" w:color="auto" w:sz="4" w:space="0"/>
            </w:tcBorders>
            <w:vAlign w:val="center"/>
          </w:tcPr>
          <w:p w14:paraId="28ABDB19">
            <w:pPr>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综合单价（元/人/月，不含税）</w:t>
            </w:r>
          </w:p>
        </w:tc>
        <w:tc>
          <w:tcPr>
            <w:tcW w:w="1049" w:type="pct"/>
            <w:tcBorders>
              <w:top w:val="single" w:color="auto" w:sz="4" w:space="0"/>
              <w:left w:val="single" w:color="auto" w:sz="4" w:space="0"/>
              <w:bottom w:val="single" w:color="auto" w:sz="4" w:space="0"/>
              <w:right w:val="single" w:color="auto" w:sz="4" w:space="0"/>
            </w:tcBorders>
            <w:vAlign w:val="center"/>
          </w:tcPr>
          <w:p w14:paraId="086A6396">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月小计（元，不含税）</w:t>
            </w:r>
          </w:p>
        </w:tc>
        <w:tc>
          <w:tcPr>
            <w:tcW w:w="1009" w:type="pct"/>
            <w:tcBorders>
              <w:top w:val="single" w:color="auto" w:sz="4" w:space="0"/>
              <w:left w:val="single" w:color="auto" w:sz="4" w:space="0"/>
              <w:bottom w:val="single" w:color="auto" w:sz="4" w:space="0"/>
              <w:right w:val="single" w:color="auto" w:sz="4" w:space="0"/>
            </w:tcBorders>
            <w:vAlign w:val="center"/>
          </w:tcPr>
          <w:p w14:paraId="4BD25DE5">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年小计（元，不含税）</w:t>
            </w:r>
          </w:p>
        </w:tc>
        <w:tc>
          <w:tcPr>
            <w:tcW w:w="469" w:type="pct"/>
            <w:tcBorders>
              <w:top w:val="single" w:color="auto" w:sz="4" w:space="0"/>
              <w:left w:val="single" w:color="auto" w:sz="4" w:space="0"/>
              <w:bottom w:val="single" w:color="auto" w:sz="4" w:space="0"/>
              <w:right w:val="single" w:color="auto" w:sz="4" w:space="0"/>
            </w:tcBorders>
            <w:vAlign w:val="center"/>
          </w:tcPr>
          <w:p w14:paraId="24775411">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备注</w:t>
            </w:r>
          </w:p>
        </w:tc>
      </w:tr>
      <w:tr w14:paraId="35392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335" w:type="pct"/>
            <w:tcBorders>
              <w:top w:val="single" w:color="auto" w:sz="4" w:space="0"/>
              <w:left w:val="single" w:color="auto" w:sz="4" w:space="0"/>
              <w:bottom w:val="single" w:color="auto" w:sz="4" w:space="0"/>
              <w:right w:val="single" w:color="auto" w:sz="4" w:space="0"/>
            </w:tcBorders>
            <w:vAlign w:val="center"/>
          </w:tcPr>
          <w:p w14:paraId="11B81ED2">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101" w:type="dxa"/>
            <w:tcBorders>
              <w:top w:val="single" w:color="auto" w:sz="4" w:space="0"/>
              <w:left w:val="single" w:color="auto" w:sz="4" w:space="0"/>
              <w:bottom w:val="single" w:color="auto" w:sz="4" w:space="0"/>
              <w:right w:val="single" w:color="auto" w:sz="4" w:space="0"/>
            </w:tcBorders>
            <w:vAlign w:val="center"/>
          </w:tcPr>
          <w:p w14:paraId="1531372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厨师</w:t>
            </w:r>
          </w:p>
        </w:tc>
        <w:tc>
          <w:tcPr>
            <w:tcW w:w="1516" w:type="dxa"/>
            <w:tcBorders>
              <w:top w:val="single" w:color="auto" w:sz="4" w:space="0"/>
              <w:left w:val="single" w:color="auto" w:sz="4" w:space="0"/>
              <w:bottom w:val="single" w:color="auto" w:sz="4" w:space="0"/>
              <w:right w:val="single" w:color="auto" w:sz="4" w:space="0"/>
            </w:tcBorders>
            <w:vAlign w:val="center"/>
          </w:tcPr>
          <w:p w14:paraId="335B13C8">
            <w:pPr>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873" w:type="pct"/>
            <w:tcBorders>
              <w:top w:val="single" w:color="auto" w:sz="4" w:space="0"/>
              <w:left w:val="single" w:color="auto" w:sz="4" w:space="0"/>
              <w:bottom w:val="single" w:color="auto" w:sz="4" w:space="0"/>
              <w:right w:val="single" w:color="auto" w:sz="4" w:space="0"/>
            </w:tcBorders>
            <w:vAlign w:val="center"/>
          </w:tcPr>
          <w:p w14:paraId="0F85291D">
            <w:pPr>
              <w:spacing w:line="400" w:lineRule="exact"/>
              <w:jc w:val="center"/>
              <w:outlineLvl w:val="9"/>
              <w:rPr>
                <w:rFonts w:hint="eastAsia" w:ascii="宋体" w:hAnsi="宋体" w:eastAsia="宋体" w:cs="宋体"/>
                <w:color w:val="auto"/>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vAlign w:val="center"/>
          </w:tcPr>
          <w:p w14:paraId="6050D501">
            <w:pPr>
              <w:spacing w:line="400" w:lineRule="exact"/>
              <w:jc w:val="center"/>
              <w:outlineLvl w:val="9"/>
              <w:rPr>
                <w:rFonts w:hint="eastAsia" w:ascii="宋体" w:hAnsi="宋体" w:eastAsia="宋体" w:cs="宋体"/>
                <w:color w:val="auto"/>
                <w:kern w:val="0"/>
                <w:szCs w:val="21"/>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15A6B513">
            <w:pPr>
              <w:spacing w:line="400" w:lineRule="exact"/>
              <w:jc w:val="center"/>
              <w:outlineLvl w:val="9"/>
              <w:rPr>
                <w:rFonts w:hint="eastAsia" w:ascii="宋体" w:hAnsi="宋体" w:eastAsia="宋体" w:cs="宋体"/>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4637CEE0">
            <w:pPr>
              <w:spacing w:line="400" w:lineRule="exact"/>
              <w:jc w:val="center"/>
              <w:outlineLvl w:val="9"/>
              <w:rPr>
                <w:rFonts w:hint="eastAsia" w:ascii="宋体" w:hAnsi="宋体" w:eastAsia="宋体" w:cs="宋体"/>
                <w:color w:val="auto"/>
                <w:kern w:val="0"/>
                <w:szCs w:val="21"/>
                <w:highlight w:val="none"/>
              </w:rPr>
            </w:pPr>
          </w:p>
        </w:tc>
      </w:tr>
      <w:tr w14:paraId="7C3BE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335" w:type="pct"/>
            <w:tcBorders>
              <w:top w:val="single" w:color="auto" w:sz="4" w:space="0"/>
              <w:left w:val="single" w:color="auto" w:sz="4" w:space="0"/>
              <w:bottom w:val="single" w:color="auto" w:sz="4" w:space="0"/>
              <w:right w:val="single" w:color="auto" w:sz="4" w:space="0"/>
            </w:tcBorders>
            <w:vAlign w:val="center"/>
          </w:tcPr>
          <w:p w14:paraId="6624E4CF">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101" w:type="dxa"/>
            <w:tcBorders>
              <w:top w:val="single" w:color="auto" w:sz="4" w:space="0"/>
              <w:left w:val="single" w:color="auto" w:sz="4" w:space="0"/>
              <w:bottom w:val="single" w:color="auto" w:sz="4" w:space="0"/>
              <w:right w:val="single" w:color="auto" w:sz="4" w:space="0"/>
            </w:tcBorders>
            <w:vAlign w:val="center"/>
          </w:tcPr>
          <w:p w14:paraId="54B721E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厨工</w:t>
            </w:r>
          </w:p>
        </w:tc>
        <w:tc>
          <w:tcPr>
            <w:tcW w:w="1516" w:type="dxa"/>
            <w:tcBorders>
              <w:top w:val="single" w:color="auto" w:sz="4" w:space="0"/>
              <w:left w:val="single" w:color="auto" w:sz="4" w:space="0"/>
              <w:bottom w:val="single" w:color="auto" w:sz="4" w:space="0"/>
              <w:right w:val="single" w:color="auto" w:sz="4" w:space="0"/>
            </w:tcBorders>
            <w:vAlign w:val="center"/>
          </w:tcPr>
          <w:p w14:paraId="4F8B77D0">
            <w:pPr>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17</w:t>
            </w:r>
          </w:p>
        </w:tc>
        <w:tc>
          <w:tcPr>
            <w:tcW w:w="873" w:type="pct"/>
            <w:tcBorders>
              <w:top w:val="single" w:color="auto" w:sz="4" w:space="0"/>
              <w:left w:val="single" w:color="auto" w:sz="4" w:space="0"/>
              <w:bottom w:val="single" w:color="auto" w:sz="4" w:space="0"/>
              <w:right w:val="single" w:color="auto" w:sz="4" w:space="0"/>
            </w:tcBorders>
            <w:vAlign w:val="center"/>
          </w:tcPr>
          <w:p w14:paraId="72E8FE8A">
            <w:pPr>
              <w:spacing w:line="400" w:lineRule="exact"/>
              <w:jc w:val="center"/>
              <w:outlineLvl w:val="9"/>
              <w:rPr>
                <w:rFonts w:hint="eastAsia" w:ascii="宋体" w:hAnsi="宋体" w:eastAsia="宋体" w:cs="宋体"/>
                <w:color w:val="auto"/>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vAlign w:val="center"/>
          </w:tcPr>
          <w:p w14:paraId="14D1FF41">
            <w:pPr>
              <w:spacing w:line="400" w:lineRule="exact"/>
              <w:jc w:val="center"/>
              <w:outlineLvl w:val="9"/>
              <w:rPr>
                <w:rFonts w:hint="eastAsia" w:ascii="宋体" w:hAnsi="宋体" w:eastAsia="宋体" w:cs="宋体"/>
                <w:color w:val="auto"/>
                <w:kern w:val="0"/>
                <w:szCs w:val="21"/>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4F84C817">
            <w:pPr>
              <w:spacing w:line="400" w:lineRule="exact"/>
              <w:jc w:val="center"/>
              <w:outlineLvl w:val="9"/>
              <w:rPr>
                <w:rFonts w:hint="eastAsia" w:ascii="宋体" w:hAnsi="宋体" w:eastAsia="宋体" w:cs="宋体"/>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3FD0D0C4">
            <w:pPr>
              <w:spacing w:line="400" w:lineRule="exact"/>
              <w:jc w:val="center"/>
              <w:outlineLvl w:val="9"/>
              <w:rPr>
                <w:rFonts w:hint="eastAsia" w:ascii="宋体" w:hAnsi="宋体" w:eastAsia="宋体" w:cs="宋体"/>
                <w:color w:val="auto"/>
                <w:kern w:val="0"/>
                <w:szCs w:val="21"/>
                <w:highlight w:val="none"/>
              </w:rPr>
            </w:pPr>
          </w:p>
        </w:tc>
      </w:tr>
      <w:tr w14:paraId="0D0E9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 w:type="pct"/>
            <w:tcBorders>
              <w:top w:val="single" w:color="auto" w:sz="4" w:space="0"/>
              <w:left w:val="single" w:color="auto" w:sz="4" w:space="0"/>
              <w:bottom w:val="single" w:color="auto" w:sz="4" w:space="0"/>
              <w:right w:val="single" w:color="auto" w:sz="4" w:space="0"/>
            </w:tcBorders>
            <w:vAlign w:val="center"/>
          </w:tcPr>
          <w:p w14:paraId="1B4A5C23">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101" w:type="dxa"/>
            <w:tcBorders>
              <w:top w:val="single" w:color="auto" w:sz="4" w:space="0"/>
              <w:left w:val="single" w:color="auto" w:sz="4" w:space="0"/>
              <w:bottom w:val="single" w:color="auto" w:sz="4" w:space="0"/>
              <w:right w:val="single" w:color="auto" w:sz="4" w:space="0"/>
            </w:tcBorders>
            <w:vAlign w:val="center"/>
          </w:tcPr>
          <w:p w14:paraId="151628A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bCs/>
                <w:color w:val="auto"/>
                <w:szCs w:val="21"/>
                <w:highlight w:val="none"/>
              </w:rPr>
              <w:t>清洁工</w:t>
            </w:r>
          </w:p>
        </w:tc>
        <w:tc>
          <w:tcPr>
            <w:tcW w:w="1516" w:type="dxa"/>
            <w:tcBorders>
              <w:top w:val="single" w:color="auto" w:sz="4" w:space="0"/>
              <w:left w:val="single" w:color="auto" w:sz="4" w:space="0"/>
              <w:bottom w:val="single" w:color="auto" w:sz="4" w:space="0"/>
              <w:right w:val="single" w:color="auto" w:sz="4" w:space="0"/>
            </w:tcBorders>
            <w:vAlign w:val="center"/>
          </w:tcPr>
          <w:p w14:paraId="000A3AF0">
            <w:pPr>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22</w:t>
            </w:r>
          </w:p>
        </w:tc>
        <w:tc>
          <w:tcPr>
            <w:tcW w:w="873" w:type="pct"/>
            <w:tcBorders>
              <w:top w:val="single" w:color="auto" w:sz="4" w:space="0"/>
              <w:left w:val="single" w:color="auto" w:sz="4" w:space="0"/>
              <w:bottom w:val="single" w:color="auto" w:sz="4" w:space="0"/>
              <w:right w:val="single" w:color="auto" w:sz="4" w:space="0"/>
            </w:tcBorders>
            <w:vAlign w:val="center"/>
          </w:tcPr>
          <w:p w14:paraId="044ADC32">
            <w:pPr>
              <w:spacing w:line="400" w:lineRule="exact"/>
              <w:jc w:val="center"/>
              <w:outlineLvl w:val="9"/>
              <w:rPr>
                <w:rFonts w:hint="eastAsia" w:ascii="宋体" w:hAnsi="宋体" w:eastAsia="宋体" w:cs="宋体"/>
                <w:color w:val="auto"/>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vAlign w:val="center"/>
          </w:tcPr>
          <w:p w14:paraId="3995E2BD">
            <w:pPr>
              <w:spacing w:line="400" w:lineRule="exact"/>
              <w:jc w:val="center"/>
              <w:outlineLvl w:val="9"/>
              <w:rPr>
                <w:rFonts w:hint="eastAsia" w:ascii="宋体" w:hAnsi="宋体" w:eastAsia="宋体" w:cs="宋体"/>
                <w:color w:val="auto"/>
                <w:kern w:val="0"/>
                <w:szCs w:val="21"/>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04C5DF63">
            <w:pPr>
              <w:spacing w:line="400" w:lineRule="exact"/>
              <w:jc w:val="center"/>
              <w:outlineLvl w:val="9"/>
              <w:rPr>
                <w:rFonts w:hint="eastAsia" w:ascii="宋体" w:hAnsi="宋体" w:eastAsia="宋体" w:cs="宋体"/>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5B5ED9DA">
            <w:pPr>
              <w:spacing w:line="400" w:lineRule="exact"/>
              <w:jc w:val="center"/>
              <w:outlineLvl w:val="9"/>
              <w:rPr>
                <w:rFonts w:hint="eastAsia" w:ascii="宋体" w:hAnsi="宋体" w:eastAsia="宋体" w:cs="宋体"/>
                <w:color w:val="auto"/>
                <w:kern w:val="0"/>
                <w:szCs w:val="21"/>
                <w:highlight w:val="none"/>
              </w:rPr>
            </w:pPr>
          </w:p>
        </w:tc>
      </w:tr>
      <w:tr w14:paraId="691EA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335" w:type="pct"/>
            <w:tcBorders>
              <w:top w:val="single" w:color="auto" w:sz="4" w:space="0"/>
              <w:left w:val="single" w:color="auto" w:sz="4" w:space="0"/>
              <w:bottom w:val="single" w:color="auto" w:sz="4" w:space="0"/>
              <w:right w:val="single" w:color="auto" w:sz="4" w:space="0"/>
            </w:tcBorders>
            <w:vAlign w:val="center"/>
          </w:tcPr>
          <w:p w14:paraId="615DF7E8">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101" w:type="dxa"/>
            <w:tcBorders>
              <w:top w:val="single" w:color="auto" w:sz="4" w:space="0"/>
              <w:left w:val="single" w:color="auto" w:sz="4" w:space="0"/>
              <w:bottom w:val="single" w:color="auto" w:sz="4" w:space="0"/>
              <w:right w:val="single" w:color="auto" w:sz="4" w:space="0"/>
            </w:tcBorders>
            <w:vAlign w:val="center"/>
          </w:tcPr>
          <w:p w14:paraId="22CCE969">
            <w:pPr>
              <w:autoSpaceDE w:val="0"/>
              <w:autoSpaceDN w:val="0"/>
              <w:adjustRightInd w:val="0"/>
              <w:spacing w:line="360" w:lineRule="auto"/>
              <w:jc w:val="center"/>
              <w:outlineLvl w:val="9"/>
              <w:rPr>
                <w:rFonts w:hint="eastAsia" w:ascii="宋体" w:hAnsi="宋体" w:eastAsia="宋体" w:cs="宋体"/>
                <w:color w:val="auto"/>
                <w:szCs w:val="21"/>
                <w:highlight w:val="none"/>
                <w:lang w:eastAsia="zh-CN"/>
              </w:rPr>
            </w:pPr>
            <w:r>
              <w:rPr>
                <w:rFonts w:hint="eastAsia" w:ascii="宋体" w:hAnsi="宋体" w:eastAsia="宋体" w:cs="宋体"/>
                <w:bCs/>
                <w:color w:val="auto"/>
                <w:szCs w:val="21"/>
                <w:highlight w:val="none"/>
              </w:rPr>
              <w:t>服务员</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兼前台</w:t>
            </w:r>
            <w:r>
              <w:rPr>
                <w:rFonts w:hint="eastAsia" w:ascii="宋体" w:hAnsi="宋体" w:eastAsia="宋体" w:cs="宋体"/>
                <w:bCs/>
                <w:color w:val="auto"/>
                <w:szCs w:val="21"/>
                <w:highlight w:val="none"/>
                <w:lang w:eastAsia="zh-CN"/>
              </w:rPr>
              <w:t>）</w:t>
            </w:r>
          </w:p>
        </w:tc>
        <w:tc>
          <w:tcPr>
            <w:tcW w:w="1516" w:type="dxa"/>
            <w:tcBorders>
              <w:top w:val="single" w:color="auto" w:sz="4" w:space="0"/>
              <w:left w:val="single" w:color="auto" w:sz="4" w:space="0"/>
              <w:bottom w:val="single" w:color="auto" w:sz="4" w:space="0"/>
              <w:right w:val="single" w:color="auto" w:sz="4" w:space="0"/>
            </w:tcBorders>
            <w:vAlign w:val="center"/>
          </w:tcPr>
          <w:p w14:paraId="61D92830">
            <w:pPr>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873" w:type="pct"/>
            <w:tcBorders>
              <w:top w:val="single" w:color="auto" w:sz="4" w:space="0"/>
              <w:left w:val="single" w:color="auto" w:sz="4" w:space="0"/>
              <w:bottom w:val="single" w:color="auto" w:sz="4" w:space="0"/>
              <w:right w:val="single" w:color="auto" w:sz="4" w:space="0"/>
            </w:tcBorders>
            <w:vAlign w:val="center"/>
          </w:tcPr>
          <w:p w14:paraId="3B345356">
            <w:pPr>
              <w:spacing w:line="400" w:lineRule="exact"/>
              <w:jc w:val="center"/>
              <w:outlineLvl w:val="9"/>
              <w:rPr>
                <w:rFonts w:hint="eastAsia" w:ascii="宋体" w:hAnsi="宋体" w:eastAsia="宋体" w:cs="宋体"/>
                <w:color w:val="auto"/>
                <w:kern w:val="0"/>
                <w:szCs w:val="21"/>
                <w:highlight w:val="none"/>
              </w:rPr>
            </w:pPr>
          </w:p>
        </w:tc>
        <w:tc>
          <w:tcPr>
            <w:tcW w:w="1049" w:type="pct"/>
            <w:tcBorders>
              <w:top w:val="single" w:color="auto" w:sz="4" w:space="0"/>
              <w:left w:val="single" w:color="auto" w:sz="4" w:space="0"/>
              <w:bottom w:val="single" w:color="auto" w:sz="4" w:space="0"/>
              <w:right w:val="single" w:color="auto" w:sz="4" w:space="0"/>
            </w:tcBorders>
            <w:vAlign w:val="center"/>
          </w:tcPr>
          <w:p w14:paraId="6FFB309B">
            <w:pPr>
              <w:spacing w:line="400" w:lineRule="exact"/>
              <w:jc w:val="center"/>
              <w:outlineLvl w:val="9"/>
              <w:rPr>
                <w:rFonts w:hint="eastAsia" w:ascii="宋体" w:hAnsi="宋体" w:eastAsia="宋体" w:cs="宋体"/>
                <w:color w:val="auto"/>
                <w:kern w:val="0"/>
                <w:szCs w:val="21"/>
                <w:highlight w:val="none"/>
              </w:rPr>
            </w:pPr>
          </w:p>
        </w:tc>
        <w:tc>
          <w:tcPr>
            <w:tcW w:w="1009" w:type="pct"/>
            <w:tcBorders>
              <w:top w:val="single" w:color="auto" w:sz="4" w:space="0"/>
              <w:left w:val="single" w:color="auto" w:sz="4" w:space="0"/>
              <w:bottom w:val="single" w:color="auto" w:sz="4" w:space="0"/>
              <w:right w:val="single" w:color="auto" w:sz="4" w:space="0"/>
            </w:tcBorders>
            <w:vAlign w:val="center"/>
          </w:tcPr>
          <w:p w14:paraId="512E8AC6">
            <w:pPr>
              <w:spacing w:line="400" w:lineRule="exact"/>
              <w:jc w:val="center"/>
              <w:outlineLvl w:val="9"/>
              <w:rPr>
                <w:rFonts w:hint="eastAsia" w:ascii="宋体" w:hAnsi="宋体" w:eastAsia="宋体" w:cs="宋体"/>
                <w:color w:val="auto"/>
                <w:kern w:val="0"/>
                <w:szCs w:val="21"/>
                <w:highlight w:val="none"/>
              </w:rPr>
            </w:pPr>
          </w:p>
        </w:tc>
        <w:tc>
          <w:tcPr>
            <w:tcW w:w="469" w:type="pct"/>
            <w:tcBorders>
              <w:top w:val="single" w:color="auto" w:sz="4" w:space="0"/>
              <w:left w:val="single" w:color="auto" w:sz="4" w:space="0"/>
              <w:bottom w:val="single" w:color="auto" w:sz="4" w:space="0"/>
              <w:right w:val="single" w:color="auto" w:sz="4" w:space="0"/>
            </w:tcBorders>
            <w:vAlign w:val="center"/>
          </w:tcPr>
          <w:p w14:paraId="19000C6F">
            <w:pPr>
              <w:spacing w:line="400" w:lineRule="exact"/>
              <w:jc w:val="center"/>
              <w:outlineLvl w:val="9"/>
              <w:rPr>
                <w:rFonts w:hint="eastAsia" w:ascii="宋体" w:hAnsi="宋体" w:eastAsia="宋体" w:cs="宋体"/>
                <w:color w:val="auto"/>
                <w:kern w:val="0"/>
                <w:szCs w:val="21"/>
                <w:highlight w:val="none"/>
              </w:rPr>
            </w:pPr>
          </w:p>
        </w:tc>
      </w:tr>
      <w:tr w14:paraId="5C8462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3520" w:type="pct"/>
            <w:gridSpan w:val="5"/>
            <w:tcBorders>
              <w:top w:val="single" w:color="auto" w:sz="4" w:space="0"/>
              <w:left w:val="single" w:color="auto" w:sz="4" w:space="0"/>
              <w:bottom w:val="single" w:color="auto" w:sz="4" w:space="0"/>
              <w:right w:val="single" w:color="auto" w:sz="4" w:space="0"/>
            </w:tcBorders>
            <w:vAlign w:val="center"/>
          </w:tcPr>
          <w:p w14:paraId="68343693">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b/>
                <w:color w:val="auto"/>
                <w:kern w:val="0"/>
                <w:szCs w:val="21"/>
                <w:highlight w:val="none"/>
              </w:rPr>
              <w:t>合计（不含税，元）</w:t>
            </w:r>
          </w:p>
        </w:tc>
        <w:tc>
          <w:tcPr>
            <w:tcW w:w="1479" w:type="pct"/>
            <w:gridSpan w:val="2"/>
            <w:tcBorders>
              <w:top w:val="single" w:color="auto" w:sz="4" w:space="0"/>
              <w:left w:val="single" w:color="auto" w:sz="4" w:space="0"/>
              <w:bottom w:val="single" w:color="auto" w:sz="4" w:space="0"/>
              <w:right w:val="single" w:color="auto" w:sz="4" w:space="0"/>
            </w:tcBorders>
            <w:vAlign w:val="center"/>
          </w:tcPr>
          <w:p w14:paraId="476F3070">
            <w:pPr>
              <w:spacing w:line="400" w:lineRule="exact"/>
              <w:outlineLvl w:val="9"/>
              <w:rPr>
                <w:rFonts w:hint="eastAsia" w:ascii="宋体" w:hAnsi="宋体" w:eastAsia="宋体" w:cs="宋体"/>
                <w:color w:val="auto"/>
                <w:kern w:val="0"/>
                <w:szCs w:val="21"/>
                <w:highlight w:val="none"/>
              </w:rPr>
            </w:pPr>
          </w:p>
        </w:tc>
      </w:tr>
    </w:tbl>
    <w:p w14:paraId="43EAF205">
      <w:pPr>
        <w:autoSpaceDE w:val="0"/>
        <w:autoSpaceDN w:val="0"/>
        <w:adjustRightInd w:val="0"/>
        <w:spacing w:line="360" w:lineRule="auto"/>
        <w:jc w:val="left"/>
        <w:outlineLvl w:val="9"/>
        <w:rPr>
          <w:rFonts w:hint="eastAsia" w:ascii="宋体" w:hAnsi="宋体" w:eastAsia="宋体" w:cs="宋体"/>
          <w:b/>
          <w:color w:val="auto"/>
          <w:kern w:val="0"/>
          <w:szCs w:val="21"/>
          <w:highlight w:val="none"/>
        </w:rPr>
      </w:pPr>
    </w:p>
    <w:p w14:paraId="73E67D3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p w14:paraId="055B64D5">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（1）此表为投标报价表的分项报价表，投标人应根据项目招标范围内分项实际内容的数量填写和扩展本报价表。</w:t>
      </w:r>
    </w:p>
    <w:p w14:paraId="0FCE0F94">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投标人应列明按《用户需求书》所要求的该项目招标范围内全部服务的价格明细。投标人未填单价或合价或漏量或漏项的项目，在实施后，招标人将不予以支付，并视为该费用已包括在其他有价款的单价或合价内。</w:t>
      </w:r>
    </w:p>
    <w:p w14:paraId="1FAE732B">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r>
        <w:rPr>
          <w:rFonts w:hint="eastAsia" w:ascii="宋体" w:hAnsi="宋体" w:eastAsia="宋体" w:cs="宋体"/>
          <w:b/>
          <w:bCs/>
          <w:color w:val="auto"/>
          <w:kern w:val="0"/>
          <w:szCs w:val="21"/>
          <w:highlight w:val="none"/>
        </w:rPr>
        <w:t>本表的综合单价报价（不含增值税），投标人只需根据本招标文件第六篇的分项报价表填报唯一的综合单价。综合单价报价为不含税价，即为《中华人民共和国增值税暂行条例》（国务院令第691号修订版）规定的销售额。</w:t>
      </w:r>
      <w:r>
        <w:rPr>
          <w:rFonts w:hint="eastAsia" w:ascii="宋体" w:hAnsi="宋体" w:eastAsia="宋体" w:cs="宋体"/>
          <w:color w:val="auto"/>
          <w:kern w:val="0"/>
          <w:szCs w:val="21"/>
          <w:highlight w:val="none"/>
        </w:rPr>
        <w:t>本招标文件所称的不含税价和综合单价是指不含本采购项目供应商的销项税额，包含了投标人完成合同义务（含供应商代缴代扣、分包及委外服务、施工、采购货物等所产生的价税）的其他全部费用。本采购项目的销项税额由招标人承担，不计入报价。</w:t>
      </w:r>
    </w:p>
    <w:p w14:paraId="73AFA68E">
      <w:pPr>
        <w:autoSpaceDE w:val="0"/>
        <w:autoSpaceDN w:val="0"/>
        <w:adjustRightInd w:val="0"/>
        <w:spacing w:line="360" w:lineRule="auto"/>
        <w:ind w:left="464" w:leftChars="18" w:hanging="426" w:hangingChars="202"/>
        <w:jc w:val="left"/>
        <w:outlineLvl w:val="9"/>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4）本表的综合单价应包括完成本合同服务所需的全部费用，包括但不限于人工费（工资及福利、社保、膳食、意外伤害保险、加班费、住宿补贴等）、办公费、交通费、管理费用、保险、利润、本项目所发生的供应商销项税额以外的税费、</w:t>
      </w:r>
      <w:r>
        <w:rPr>
          <w:rFonts w:hint="eastAsia" w:ascii="宋体" w:hAnsi="宋体" w:eastAsia="宋体" w:cs="宋体"/>
          <w:b/>
          <w:bCs/>
          <w:color w:val="auto"/>
          <w:kern w:val="0"/>
          <w:szCs w:val="21"/>
          <w:highlight w:val="none"/>
          <w:lang w:val="en-US" w:eastAsia="zh-CN"/>
        </w:rPr>
        <w:t>其</w:t>
      </w:r>
      <w:r>
        <w:rPr>
          <w:rFonts w:hint="eastAsia" w:ascii="宋体" w:hAnsi="宋体" w:eastAsia="宋体" w:cs="宋体"/>
          <w:b/>
          <w:bCs/>
          <w:color w:val="auto"/>
          <w:kern w:val="0"/>
          <w:szCs w:val="21"/>
          <w:highlight w:val="none"/>
        </w:rPr>
        <w:t>他完成本合同下服务相关的直接及间接费用（如劳务服务人员的招聘成本、培训成本、现场管理相关成本、项目其他运营管理活动涉及的成本、项目管理团队人工分摊到本项目的部分成本、中标人场地租金和水电费等日常运营分摊到本项目的部分成本、中标人服务于本项目的其他职能部门管理费用分摊到本项目的部分成本等）。</w:t>
      </w:r>
    </w:p>
    <w:p w14:paraId="0D8465D9">
      <w:pPr>
        <w:autoSpaceDE w:val="0"/>
        <w:autoSpaceDN w:val="0"/>
        <w:adjustRightInd w:val="0"/>
        <w:spacing w:line="360" w:lineRule="auto"/>
        <w:ind w:left="464" w:leftChars="18" w:hanging="426" w:hangingChars="202"/>
        <w:jc w:val="left"/>
        <w:outlineLvl w:val="9"/>
        <w:rPr>
          <w:rFonts w:hint="eastAsia" w:ascii="宋体" w:hAnsi="宋体" w:eastAsia="宋体" w:cs="宋体"/>
          <w:color w:val="auto"/>
          <w:kern w:val="0"/>
          <w:szCs w:val="21"/>
          <w:highlight w:val="none"/>
          <w:lang w:eastAsia="zh-CN"/>
        </w:rPr>
      </w:pPr>
      <w:r>
        <w:rPr>
          <w:rFonts w:hint="eastAsia" w:ascii="宋体" w:hAnsi="宋体" w:eastAsia="宋体" w:cs="宋体"/>
          <w:b/>
          <w:bCs/>
          <w:color w:val="auto"/>
          <w:kern w:val="0"/>
          <w:szCs w:val="21"/>
          <w:highlight w:val="none"/>
        </w:rPr>
        <w:t>（5）</w:t>
      </w:r>
      <w:r>
        <w:rPr>
          <w:rFonts w:hint="eastAsia" w:ascii="宋体" w:hAnsi="宋体" w:eastAsia="宋体" w:cs="宋体"/>
          <w:b/>
          <w:bCs/>
          <w:color w:val="auto"/>
          <w:kern w:val="0"/>
          <w:szCs w:val="21"/>
          <w:highlight w:val="none"/>
          <w:u w:val="none"/>
        </w:rPr>
        <w:t>各岗位类型人员每人每月的投标综合单价超过综合单价采购限价的，</w:t>
      </w:r>
      <w:r>
        <w:rPr>
          <w:rFonts w:hint="eastAsia" w:ascii="宋体" w:hAnsi="宋体" w:eastAsia="宋体" w:cs="宋体"/>
          <w:b/>
          <w:bCs/>
          <w:color w:val="auto"/>
          <w:szCs w:val="21"/>
          <w:highlight w:val="none"/>
          <w:u w:val="none"/>
          <w:lang w:val="zh-CN"/>
        </w:rPr>
        <w:t>该投标人的投标文件将被视为无效投标。</w:t>
      </w:r>
    </w:p>
    <w:p w14:paraId="335A39F8">
      <w:pPr>
        <w:autoSpaceDE w:val="0"/>
        <w:autoSpaceDN w:val="0"/>
        <w:adjustRightInd w:val="0"/>
        <w:spacing w:line="360" w:lineRule="auto"/>
        <w:ind w:left="462" w:leftChars="18" w:hanging="424" w:hangingChars="202"/>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6</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报价保留小数点后两位。</w:t>
      </w:r>
    </w:p>
    <w:p w14:paraId="6EF27266">
      <w:pPr>
        <w:autoSpaceDE w:val="0"/>
        <w:autoSpaceDN w:val="0"/>
        <w:adjustRightInd w:val="0"/>
        <w:spacing w:line="360" w:lineRule="auto"/>
        <w:ind w:firstLine="315" w:firstLineChars="150"/>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投标人：（加盖投标人法人公章）</w:t>
      </w:r>
    </w:p>
    <w:p w14:paraId="1B4CE66F">
      <w:pPr>
        <w:autoSpaceDE w:val="0"/>
        <w:autoSpaceDN w:val="0"/>
        <w:adjustRightInd w:val="0"/>
        <w:spacing w:line="360" w:lineRule="auto"/>
        <w:ind w:right="275" w:rightChars="131"/>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3D20D0A8">
      <w:pPr>
        <w:autoSpaceDE w:val="0"/>
        <w:autoSpaceDN w:val="0"/>
        <w:adjustRightInd w:val="0"/>
        <w:spacing w:line="360" w:lineRule="auto"/>
        <w:ind w:firstLine="5668" w:firstLineChars="2362"/>
        <w:outlineLvl w:val="9"/>
        <w:rPr>
          <w:rFonts w:hint="eastAsia" w:ascii="宋体" w:hAnsi="宋体" w:eastAsia="宋体" w:cs="宋体"/>
          <w:color w:val="auto"/>
          <w:sz w:val="24"/>
          <w:szCs w:val="24"/>
          <w:highlight w:val="none"/>
          <w:lang w:val="zh-CN"/>
        </w:rPr>
      </w:pPr>
    </w:p>
    <w:p w14:paraId="307272B7">
      <w:pPr>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r>
        <w:rPr>
          <w:rFonts w:hint="eastAsia" w:ascii="宋体" w:hAnsi="宋体" w:eastAsia="宋体" w:cs="宋体"/>
          <w:b/>
          <w:bCs/>
          <w:color w:val="auto"/>
          <w:sz w:val="30"/>
          <w:szCs w:val="30"/>
          <w:highlight w:val="none"/>
          <w:lang w:val="zh-CN"/>
        </w:rPr>
        <w:br w:type="page"/>
      </w:r>
      <w:bookmarkStart w:id="475" w:name="_Toc6190"/>
      <w:bookmarkStart w:id="476" w:name="_Toc94107209"/>
      <w:bookmarkStart w:id="477" w:name="_Toc104991875"/>
      <w:bookmarkStart w:id="478" w:name="_Toc26516"/>
      <w:bookmarkStart w:id="479" w:name="_Toc102860074"/>
      <w:bookmarkStart w:id="480" w:name="_Toc102860418"/>
      <w:bookmarkStart w:id="481" w:name="_Toc1977725"/>
      <w:bookmarkStart w:id="482" w:name="_Toc140596928"/>
      <w:bookmarkStart w:id="483" w:name="_Toc142508369"/>
      <w:bookmarkStart w:id="484" w:name="_Toc23083"/>
      <w:bookmarkStart w:id="485" w:name="_Toc20759_WPSOffice_Level2"/>
      <w:bookmarkStart w:id="486" w:name="_Toc533708124"/>
      <w:bookmarkStart w:id="487" w:name="_Toc486167712"/>
      <w:r>
        <w:rPr>
          <w:rFonts w:hint="eastAsia" w:ascii="宋体" w:hAnsi="宋体" w:eastAsia="宋体" w:cs="宋体"/>
          <w:b/>
          <w:bCs/>
          <w:color w:val="auto"/>
          <w:sz w:val="30"/>
          <w:szCs w:val="30"/>
          <w:highlight w:val="none"/>
          <w:lang w:val="en-US" w:eastAsia="zh-CN"/>
        </w:rPr>
        <w:t>五</w:t>
      </w:r>
      <w:r>
        <w:rPr>
          <w:rFonts w:hint="eastAsia" w:ascii="宋体" w:hAnsi="宋体" w:eastAsia="宋体" w:cs="宋体"/>
          <w:b/>
          <w:color w:val="auto"/>
          <w:kern w:val="0"/>
          <w:sz w:val="32"/>
          <w:szCs w:val="32"/>
          <w:highlight w:val="none"/>
        </w:rPr>
        <w:t>、投标人资格证明文件</w:t>
      </w:r>
      <w:bookmarkEnd w:id="475"/>
      <w:bookmarkEnd w:id="476"/>
      <w:bookmarkEnd w:id="477"/>
      <w:bookmarkEnd w:id="478"/>
      <w:bookmarkEnd w:id="479"/>
      <w:bookmarkEnd w:id="480"/>
      <w:bookmarkEnd w:id="481"/>
      <w:bookmarkEnd w:id="482"/>
      <w:bookmarkEnd w:id="483"/>
      <w:bookmarkEnd w:id="484"/>
    </w:p>
    <w:p w14:paraId="74774B7E">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488" w:name="_Toc25267"/>
      <w:bookmarkStart w:id="489" w:name="_Toc140596929"/>
      <w:bookmarkStart w:id="490" w:name="_Toc142508370"/>
      <w:bookmarkStart w:id="491" w:name="_Toc104991876"/>
      <w:bookmarkStart w:id="492" w:name="_Toc29874"/>
      <w:bookmarkStart w:id="493" w:name="_Toc94107210"/>
      <w:bookmarkStart w:id="494" w:name="_Toc17358"/>
      <w:bookmarkStart w:id="495" w:name="_Toc102860419"/>
      <w:bookmarkStart w:id="496" w:name="_Toc102860075"/>
      <w:bookmarkStart w:id="497" w:name="_Toc1977726"/>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.1 多证合一营业执照（或事业单位法人证书）复印件</w:t>
      </w:r>
      <w:bookmarkEnd w:id="488"/>
      <w:bookmarkEnd w:id="489"/>
      <w:bookmarkEnd w:id="490"/>
      <w:bookmarkEnd w:id="491"/>
      <w:bookmarkEnd w:id="492"/>
      <w:bookmarkEnd w:id="493"/>
      <w:bookmarkEnd w:id="494"/>
      <w:bookmarkEnd w:id="495"/>
      <w:bookmarkEnd w:id="496"/>
    </w:p>
    <w:p w14:paraId="23CD331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DEC17E0">
      <w:pPr>
        <w:tabs>
          <w:tab w:val="left" w:pos="567"/>
        </w:tabs>
        <w:autoSpaceDE w:val="0"/>
        <w:autoSpaceDN w:val="0"/>
        <w:adjustRightInd w:val="0"/>
        <w:spacing w:line="360" w:lineRule="auto"/>
        <w:ind w:firstLine="316" w:firstLineChars="150"/>
        <w:jc w:val="left"/>
        <w:outlineLvl w:val="9"/>
        <w:rPr>
          <w:rFonts w:hint="eastAsia" w:ascii="宋体" w:hAnsi="宋体" w:eastAsia="宋体" w:cs="宋体"/>
          <w:b/>
          <w:color w:val="auto"/>
          <w:kern w:val="0"/>
          <w:szCs w:val="21"/>
          <w:highlight w:val="none"/>
        </w:rPr>
        <w:sectPr>
          <w:pgSz w:w="12240" w:h="15840"/>
          <w:pgMar w:top="1191" w:right="1043" w:bottom="1191" w:left="1043" w:header="720" w:footer="720" w:gutter="0"/>
          <w:cols w:space="720" w:num="1"/>
          <w:titlePg/>
          <w:docGrid w:linePitch="326" w:charSpace="0"/>
        </w:sectPr>
      </w:pPr>
    </w:p>
    <w:p w14:paraId="47DE5D5C">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498" w:name="_Toc7756"/>
      <w:bookmarkStart w:id="499" w:name="_Toc27861"/>
      <w:bookmarkStart w:id="500" w:name="_Toc25013"/>
      <w:bookmarkStart w:id="501" w:name="_Toc104991877"/>
      <w:bookmarkStart w:id="502" w:name="_Toc102860420"/>
      <w:bookmarkStart w:id="503" w:name="_Toc140596930"/>
      <w:bookmarkStart w:id="504" w:name="_Toc142508371"/>
      <w:bookmarkStart w:id="505" w:name="_Toc102860076"/>
      <w:bookmarkStart w:id="506" w:name="_Toc94107211"/>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.2 开户许可证（基本存款账户）复印件，如投标人企业银行账户开户所在地区已取消企业银行账户许可，投标人应提供基本存款账户开户名称、开户银行、账号、编号等信息及相关备案证明（如有）或其他能证明其为基本存款账户的资料复印件</w:t>
      </w:r>
      <w:bookmarkEnd w:id="498"/>
      <w:bookmarkEnd w:id="499"/>
      <w:bookmarkEnd w:id="500"/>
      <w:bookmarkEnd w:id="501"/>
      <w:bookmarkEnd w:id="502"/>
      <w:bookmarkEnd w:id="503"/>
      <w:bookmarkEnd w:id="504"/>
      <w:bookmarkEnd w:id="505"/>
      <w:bookmarkEnd w:id="506"/>
    </w:p>
    <w:p w14:paraId="016B012A">
      <w:pPr>
        <w:tabs>
          <w:tab w:val="left" w:pos="567"/>
        </w:tabs>
        <w:autoSpaceDE w:val="0"/>
        <w:autoSpaceDN w:val="0"/>
        <w:adjustRightInd w:val="0"/>
        <w:spacing w:line="360" w:lineRule="auto"/>
        <w:jc w:val="left"/>
        <w:outlineLvl w:val="2"/>
        <w:rPr>
          <w:rFonts w:hint="eastAsia" w:ascii="宋体" w:hAnsi="宋体" w:eastAsia="宋体" w:cs="宋体"/>
          <w:b/>
          <w:color w:val="auto"/>
          <w:kern w:val="0"/>
          <w:szCs w:val="21"/>
          <w:highlight w:val="none"/>
        </w:rPr>
      </w:pPr>
      <w:r>
        <w:rPr>
          <w:rFonts w:hint="eastAsia" w:ascii="宋体" w:hAnsi="宋体" w:eastAsia="宋体" w:cs="宋体"/>
          <w:b/>
          <w:color w:val="auto"/>
          <w:kern w:val="0"/>
          <w:sz w:val="30"/>
          <w:szCs w:val="30"/>
          <w:highlight w:val="none"/>
        </w:rPr>
        <w:br w:type="page"/>
      </w:r>
      <w:bookmarkStart w:id="507" w:name="_Toc102860077"/>
      <w:bookmarkStart w:id="508" w:name="_Toc7441"/>
      <w:bookmarkStart w:id="509" w:name="_Toc94107212"/>
      <w:bookmarkStart w:id="510" w:name="_Toc140596931"/>
      <w:bookmarkStart w:id="511" w:name="_Toc9132"/>
      <w:bookmarkStart w:id="512" w:name="_Toc102860421"/>
      <w:bookmarkStart w:id="513" w:name="_Toc142508372"/>
      <w:bookmarkStart w:id="514" w:name="_Toc104991878"/>
      <w:bookmarkStart w:id="515" w:name="_Toc17499"/>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.3 法定代表人身份证明书原件、法定代表人授权书原件格式（法定代表人投标时只需提供法定代表人身份证明书，委托他人为投标代表或签署投标文件时需同时提供法定代表人授权书）</w:t>
      </w:r>
      <w:bookmarkEnd w:id="507"/>
      <w:bookmarkEnd w:id="508"/>
      <w:bookmarkEnd w:id="509"/>
      <w:bookmarkEnd w:id="510"/>
      <w:bookmarkEnd w:id="511"/>
      <w:bookmarkEnd w:id="512"/>
      <w:bookmarkEnd w:id="513"/>
      <w:bookmarkEnd w:id="514"/>
      <w:bookmarkEnd w:id="515"/>
    </w:p>
    <w:p w14:paraId="792B62A5">
      <w:pPr>
        <w:spacing w:before="120" w:after="120" w:line="360" w:lineRule="auto"/>
        <w:ind w:firstLine="426" w:firstLineChars="202"/>
        <w:outlineLvl w:val="9"/>
        <w:rPr>
          <w:rFonts w:hint="eastAsia" w:ascii="宋体" w:hAnsi="宋体" w:eastAsia="宋体" w:cs="宋体"/>
          <w:b/>
          <w:color w:val="auto"/>
          <w:szCs w:val="24"/>
          <w:highlight w:val="none"/>
        </w:rPr>
      </w:pPr>
      <w:r>
        <w:rPr>
          <w:rFonts w:hint="eastAsia" w:ascii="宋体" w:hAnsi="宋体" w:eastAsia="宋体" w:cs="宋体"/>
          <w:b/>
          <w:color w:val="auto"/>
          <w:szCs w:val="24"/>
          <w:highlight w:val="none"/>
        </w:rPr>
        <w:t>（1）法定代表人身份证明书格式</w:t>
      </w:r>
      <w:bookmarkEnd w:id="485"/>
      <w:bookmarkEnd w:id="486"/>
      <w:bookmarkEnd w:id="487"/>
      <w:bookmarkEnd w:id="497"/>
    </w:p>
    <w:p w14:paraId="597123FD">
      <w:pPr>
        <w:spacing w:before="120" w:after="120" w:line="360" w:lineRule="auto"/>
        <w:ind w:firstLine="608" w:firstLineChars="202"/>
        <w:jc w:val="center"/>
        <w:outlineLvl w:val="9"/>
        <w:rPr>
          <w:rFonts w:hint="eastAsia" w:ascii="宋体" w:hAnsi="宋体" w:eastAsia="宋体" w:cs="宋体"/>
          <w:b/>
          <w:color w:val="auto"/>
          <w:sz w:val="30"/>
          <w:szCs w:val="30"/>
          <w:highlight w:val="none"/>
        </w:rPr>
      </w:pPr>
    </w:p>
    <w:p w14:paraId="6E6396E1">
      <w:pPr>
        <w:spacing w:before="120" w:after="120" w:line="360" w:lineRule="auto"/>
        <w:ind w:firstLine="608" w:firstLineChars="202"/>
        <w:jc w:val="center"/>
        <w:outlineLvl w:val="9"/>
        <w:rPr>
          <w:rFonts w:hint="eastAsia" w:ascii="宋体" w:hAnsi="宋体" w:eastAsia="宋体" w:cs="宋体"/>
          <w:b/>
          <w:bCs/>
          <w:color w:val="auto"/>
          <w:sz w:val="30"/>
          <w:szCs w:val="30"/>
          <w:highlight w:val="none"/>
        </w:rPr>
      </w:pPr>
      <w:bookmarkStart w:id="516" w:name="_Toc11033_WPSOffice_Level3"/>
      <w:r>
        <w:rPr>
          <w:rFonts w:hint="eastAsia" w:ascii="宋体" w:hAnsi="宋体" w:eastAsia="宋体" w:cs="宋体"/>
          <w:b/>
          <w:color w:val="auto"/>
          <w:sz w:val="30"/>
          <w:szCs w:val="30"/>
          <w:highlight w:val="none"/>
        </w:rPr>
        <w:t>法定代</w:t>
      </w:r>
      <w:bookmarkStart w:id="517" w:name="_Toc45995270"/>
      <w:bookmarkStart w:id="518" w:name="_Toc36971359"/>
      <w:r>
        <w:rPr>
          <w:rFonts w:hint="eastAsia" w:ascii="宋体" w:hAnsi="宋体" w:eastAsia="宋体" w:cs="宋体"/>
          <w:b/>
          <w:color w:val="auto"/>
          <w:sz w:val="30"/>
          <w:szCs w:val="30"/>
          <w:highlight w:val="none"/>
        </w:rPr>
        <w:t>表人身份证明书</w:t>
      </w:r>
      <w:bookmarkEnd w:id="516"/>
    </w:p>
    <w:bookmarkEnd w:id="517"/>
    <w:bookmarkEnd w:id="518"/>
    <w:p w14:paraId="5C3819BD">
      <w:pPr>
        <w:spacing w:before="120" w:after="120" w:line="360" w:lineRule="auto"/>
        <w:ind w:firstLine="420" w:firstLineChars="20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先生／女士：现任我单位</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职务，为法定代表人，特此证明。</w:t>
      </w:r>
    </w:p>
    <w:p w14:paraId="07D8585E">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有效日期：</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签发日期：</w:t>
      </w:r>
      <w:r>
        <w:rPr>
          <w:rFonts w:hint="eastAsia" w:ascii="宋体" w:hAnsi="宋体" w:eastAsia="宋体" w:cs="宋体"/>
          <w:color w:val="auto"/>
          <w:szCs w:val="24"/>
          <w:highlight w:val="none"/>
          <w:u w:val="single"/>
        </w:rPr>
        <w:t xml:space="preserve">           </w:t>
      </w:r>
    </w:p>
    <w:p w14:paraId="10F0D794">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附：代表人性别：</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 年龄：</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身份证号码：</w:t>
      </w:r>
      <w:r>
        <w:rPr>
          <w:rFonts w:hint="eastAsia" w:ascii="宋体" w:hAnsi="宋体" w:eastAsia="宋体" w:cs="宋体"/>
          <w:color w:val="auto"/>
          <w:szCs w:val="24"/>
          <w:highlight w:val="none"/>
          <w:u w:val="single"/>
        </w:rPr>
        <w:t xml:space="preserve">            </w:t>
      </w:r>
    </w:p>
    <w:p w14:paraId="0D3E8477">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营业执照号码：</w:t>
      </w:r>
      <w:r>
        <w:rPr>
          <w:rFonts w:hint="eastAsia" w:ascii="宋体" w:hAnsi="宋体" w:eastAsia="宋体" w:cs="宋体"/>
          <w:color w:val="auto"/>
          <w:szCs w:val="24"/>
          <w:highlight w:val="none"/>
          <w:u w:val="single"/>
        </w:rPr>
        <w:t xml:space="preserve">           </w:t>
      </w:r>
      <w:r>
        <w:rPr>
          <w:rFonts w:hint="eastAsia" w:ascii="宋体" w:hAnsi="宋体" w:eastAsia="宋体" w:cs="宋体"/>
          <w:color w:val="auto"/>
          <w:szCs w:val="24"/>
          <w:highlight w:val="none"/>
        </w:rPr>
        <w:t xml:space="preserve">经济性质： </w:t>
      </w:r>
    </w:p>
    <w:p w14:paraId="3EF73722">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主营（产）：</w:t>
      </w:r>
    </w:p>
    <w:p w14:paraId="2C9A8DC9">
      <w:pPr>
        <w:spacing w:before="120" w:after="120" w:line="360" w:lineRule="auto"/>
        <w:ind w:firstLine="424" w:firstLineChars="202"/>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rPr>
        <w:t>兼营（产）：</w:t>
      </w:r>
    </w:p>
    <w:p w14:paraId="34A16903">
      <w:pPr>
        <w:spacing w:before="120" w:after="120"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附 法定代表人身份证复印件 </w:t>
      </w:r>
    </w:p>
    <w:p w14:paraId="257E7654">
      <w:pPr>
        <w:spacing w:before="120" w:after="120" w:line="360" w:lineRule="auto"/>
        <w:ind w:left="340" w:leftChars="162" w:firstLine="474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投标人：（加盖投标人法人公章）</w:t>
      </w:r>
    </w:p>
    <w:p w14:paraId="0D28B81D">
      <w:pPr>
        <w:autoSpaceDE w:val="0"/>
        <w:autoSpaceDN w:val="0"/>
        <w:adjustRightInd w:val="0"/>
        <w:spacing w:line="360" w:lineRule="auto"/>
        <w:ind w:right="1010" w:rightChars="481" w:firstLine="6090" w:firstLineChars="29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日期：   年   月   日</w:t>
      </w:r>
    </w:p>
    <w:p w14:paraId="1FF48FF9">
      <w:pPr>
        <w:autoSpaceDE w:val="0"/>
        <w:autoSpaceDN w:val="0"/>
        <w:adjustRightInd w:val="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1312"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50222E4B"/>
                          <w:p w14:paraId="34F4BE87"/>
                          <w:p w14:paraId="6A110CAB"/>
                          <w:p w14:paraId="54BA8289"/>
                          <w:p w14:paraId="76C190C6">
                            <w:pPr>
                              <w:jc w:val="center"/>
                              <w:rPr>
                                <w:szCs w:val="21"/>
                              </w:rPr>
                            </w:pPr>
                            <w:r>
                              <w:rPr>
                                <w:rFonts w:hint="eastAsia"/>
                                <w:szCs w:val="21"/>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61312;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Fj1YWXYAAAACAEAAA8AAAAAAAAAAQAgAAAAIgAA&#10;AGRycy9kb3ducmV2LnhtbFBLAQIUABQAAAAIAIdO4kD5BGLAQQIAAIgEAAAOAAAAAAAAAAEAIAAA&#10;ACcBAABkcnMvZTJvRG9jLnhtbFBLBQYAAAAABgAGAFkBAADaBQAAAAA=&#10;">
                <v:fill on="t" focussize="0,0"/>
                <v:stroke color="#000000" miterlimit="8" joinstyle="miter"/>
                <v:imagedata o:title=""/>
                <o:lock v:ext="edit" aspectratio="f"/>
                <v:textbox>
                  <w:txbxContent>
                    <w:p w14:paraId="50222E4B"/>
                    <w:p w14:paraId="34F4BE87"/>
                    <w:p w14:paraId="6A110CAB"/>
                    <w:p w14:paraId="54BA8289"/>
                    <w:p w14:paraId="76C190C6">
                      <w:pPr>
                        <w:jc w:val="center"/>
                        <w:rPr>
                          <w:szCs w:val="21"/>
                        </w:rPr>
                      </w:pPr>
                      <w:r>
                        <w:rPr>
                          <w:rFonts w:hint="eastAsia"/>
                          <w:szCs w:val="21"/>
                        </w:rPr>
                        <w:t>法定代表人身份证正面</w:t>
                      </w: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60288" behindDoc="0" locked="0" layoutInCell="1" allowOverlap="1">
                <wp:simplePos x="0" y="0"/>
                <wp:positionH relativeFrom="column">
                  <wp:posOffset>3128645</wp:posOffset>
                </wp:positionH>
                <wp:positionV relativeFrom="paragraph">
                  <wp:posOffset>109220</wp:posOffset>
                </wp:positionV>
                <wp:extent cx="2790825" cy="1962150"/>
                <wp:effectExtent l="9525" t="6985" r="9525" b="12065"/>
                <wp:wrapNone/>
                <wp:docPr id="6" name="文本框 6"/>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34ADA4F7"/>
                          <w:p w14:paraId="59ED74C5"/>
                          <w:p w14:paraId="52CD0BE0"/>
                          <w:p w14:paraId="5B7D8409"/>
                          <w:p w14:paraId="2A1CBD0D">
                            <w:pPr>
                              <w:jc w:val="center"/>
                              <w:rPr>
                                <w:szCs w:val="21"/>
                              </w:rPr>
                            </w:pPr>
                            <w:r>
                              <w:rPr>
                                <w:rFonts w:hint="eastAsia"/>
                                <w:szCs w:val="21"/>
                              </w:rPr>
                              <w:t>法定代表人身份证反面</w:t>
                            </w:r>
                          </w:p>
                          <w:p w14:paraId="1B0CA4B5">
                            <w:pPr>
                              <w:jc w:val="center"/>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6.35pt;margin-top:8.6pt;height:154.5pt;width:219.75pt;z-index:251660288;mso-width-relative:page;mso-height-relative:page;" fillcolor="#FFFFFF" filled="t" stroked="t" coordsize="21600,21600" o:gfxdata="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UEWTR2QAAAAoBAAAPAAAAAAAAAAEAIAAAACIA&#10;AABkcnMvZG93bnJldi54bWxQSwECFAAUAAAACACHTuJADlLddUECAACIBAAADgAAAAAAAAABACAA&#10;AAAoAQAAZHJzL2Uyb0RvYy54bWxQSwUGAAAAAAYABgBZAQAA2wUAAAAA&#10;">
                <v:fill on="t" focussize="0,0"/>
                <v:stroke color="#000000" miterlimit="8" joinstyle="miter"/>
                <v:imagedata o:title=""/>
                <o:lock v:ext="edit" aspectratio="f"/>
                <v:textbox>
                  <w:txbxContent>
                    <w:p w14:paraId="34ADA4F7"/>
                    <w:p w14:paraId="59ED74C5"/>
                    <w:p w14:paraId="52CD0BE0"/>
                    <w:p w14:paraId="5B7D8409"/>
                    <w:p w14:paraId="2A1CBD0D">
                      <w:pPr>
                        <w:jc w:val="center"/>
                        <w:rPr>
                          <w:szCs w:val="21"/>
                        </w:rPr>
                      </w:pPr>
                      <w:r>
                        <w:rPr>
                          <w:rFonts w:hint="eastAsia"/>
                          <w:szCs w:val="21"/>
                        </w:rPr>
                        <w:t>法定代表人身份证反面</w:t>
                      </w:r>
                    </w:p>
                    <w:p w14:paraId="1B0CA4B5">
                      <w:pPr>
                        <w:jc w:val="center"/>
                        <w:rPr>
                          <w:szCs w:val="21"/>
                        </w:rPr>
                      </w:pPr>
                    </w:p>
                  </w:txbxContent>
                </v:textbox>
              </v:shape>
            </w:pict>
          </mc:Fallback>
        </mc:AlternateContent>
      </w:r>
      <w:r>
        <w:rPr>
          <w:rFonts w:hint="eastAsia" w:ascii="宋体" w:hAnsi="宋体" w:eastAsia="宋体" w:cs="宋体"/>
          <w:color w:val="auto"/>
          <w:kern w:val="0"/>
          <w:sz w:val="24"/>
          <w:szCs w:val="24"/>
          <w:highlight w:val="none"/>
        </w:rPr>
        <mc:AlternateContent>
          <mc:Choice Requires="wps">
            <w:drawing>
              <wp:anchor distT="0" distB="0" distL="114300" distR="114300" simplePos="0" relativeHeight="251659264" behindDoc="0" locked="0" layoutInCell="1" allowOverlap="1">
                <wp:simplePos x="0" y="0"/>
                <wp:positionH relativeFrom="column">
                  <wp:posOffset>61595</wp:posOffset>
                </wp:positionH>
                <wp:positionV relativeFrom="paragraph">
                  <wp:posOffset>109220</wp:posOffset>
                </wp:positionV>
                <wp:extent cx="2790825" cy="1962150"/>
                <wp:effectExtent l="9525" t="6985" r="9525" b="12065"/>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2790825" cy="1962150"/>
                        </a:xfrm>
                        <a:prstGeom prst="rect">
                          <a:avLst/>
                        </a:prstGeom>
                        <a:solidFill>
                          <a:srgbClr val="FFFFFF"/>
                        </a:solidFill>
                        <a:ln w="9525">
                          <a:solidFill>
                            <a:srgbClr val="000000"/>
                          </a:solidFill>
                          <a:miter lim="800000"/>
                        </a:ln>
                      </wps:spPr>
                      <wps:txbx>
                        <w:txbxContent>
                          <w:p w14:paraId="796005EC"/>
                          <w:p w14:paraId="06FF538B"/>
                          <w:p w14:paraId="4F7D41B7"/>
                          <w:p w14:paraId="47B363F3"/>
                          <w:p w14:paraId="178BAB7C">
                            <w:pPr>
                              <w:jc w:val="center"/>
                            </w:pPr>
                            <w:r>
                              <w:rPr>
                                <w:rFonts w:hint="eastAsia"/>
                              </w:rPr>
                              <w:t>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4.85pt;margin-top:8.6pt;height:154.5pt;width:219.75pt;z-index:251659264;mso-width-relative:page;mso-height-relative:page;" fillcolor="#FFFFFF" filled="t" stroked="t" coordsize="21600,21600" o:gfxdata="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WPVhZdgAAAAIAQAADwAAAAAAAAABACAAAAAiAAAA&#10;ZHJzL2Rvd25yZXYueG1sUEsBAhQAFAAAAAgAh07iQFavbXBAAgAAiAQAAA4AAAAAAAAAAQAgAAAA&#10;JwEAAGRycy9lMm9Eb2MueG1sUEsFBgAAAAAGAAYAWQEAANkFAAAAAA==&#10;">
                <v:fill on="t" focussize="0,0"/>
                <v:stroke color="#000000" miterlimit="8" joinstyle="miter"/>
                <v:imagedata o:title=""/>
                <o:lock v:ext="edit" aspectratio="f"/>
                <v:textbox>
                  <w:txbxContent>
                    <w:p w14:paraId="796005EC"/>
                    <w:p w14:paraId="06FF538B"/>
                    <w:p w14:paraId="4F7D41B7"/>
                    <w:p w14:paraId="47B363F3"/>
                    <w:p w14:paraId="178BAB7C">
                      <w:pPr>
                        <w:jc w:val="center"/>
                      </w:pPr>
                      <w:r>
                        <w:rPr>
                          <w:rFonts w:hint="eastAsia"/>
                        </w:rPr>
                        <w:t>身份证正面</w:t>
                      </w:r>
                    </w:p>
                  </w:txbxContent>
                </v:textbox>
              </v:shape>
            </w:pict>
          </mc:Fallback>
        </mc:AlternateContent>
      </w:r>
    </w:p>
    <w:p w14:paraId="107A3480">
      <w:pPr>
        <w:autoSpaceDE w:val="0"/>
        <w:autoSpaceDN w:val="0"/>
        <w:adjustRightInd w:val="0"/>
        <w:jc w:val="left"/>
        <w:outlineLvl w:val="9"/>
        <w:rPr>
          <w:rFonts w:hint="eastAsia" w:ascii="宋体" w:hAnsi="宋体" w:eastAsia="宋体" w:cs="宋体"/>
          <w:color w:val="auto"/>
          <w:kern w:val="0"/>
          <w:sz w:val="24"/>
          <w:szCs w:val="24"/>
          <w:highlight w:val="none"/>
        </w:rPr>
      </w:pPr>
    </w:p>
    <w:p w14:paraId="76F96899">
      <w:pPr>
        <w:autoSpaceDE w:val="0"/>
        <w:autoSpaceDN w:val="0"/>
        <w:adjustRightInd w:val="0"/>
        <w:jc w:val="left"/>
        <w:outlineLvl w:val="9"/>
        <w:rPr>
          <w:rFonts w:hint="eastAsia" w:ascii="宋体" w:hAnsi="宋体" w:eastAsia="宋体" w:cs="宋体"/>
          <w:color w:val="auto"/>
          <w:kern w:val="0"/>
          <w:sz w:val="24"/>
          <w:szCs w:val="24"/>
          <w:highlight w:val="none"/>
        </w:rPr>
      </w:pPr>
    </w:p>
    <w:p w14:paraId="27331FAD">
      <w:pPr>
        <w:autoSpaceDE w:val="0"/>
        <w:autoSpaceDN w:val="0"/>
        <w:adjustRightInd w:val="0"/>
        <w:jc w:val="left"/>
        <w:outlineLvl w:val="9"/>
        <w:rPr>
          <w:rFonts w:hint="eastAsia" w:ascii="宋体" w:hAnsi="宋体" w:eastAsia="宋体" w:cs="宋体"/>
          <w:color w:val="auto"/>
          <w:kern w:val="0"/>
          <w:sz w:val="24"/>
          <w:szCs w:val="24"/>
          <w:highlight w:val="none"/>
        </w:rPr>
      </w:pPr>
    </w:p>
    <w:p w14:paraId="3F97D607">
      <w:pPr>
        <w:autoSpaceDE w:val="0"/>
        <w:autoSpaceDN w:val="0"/>
        <w:adjustRightInd w:val="0"/>
        <w:jc w:val="left"/>
        <w:outlineLvl w:val="9"/>
        <w:rPr>
          <w:rFonts w:hint="eastAsia" w:ascii="宋体" w:hAnsi="宋体" w:eastAsia="宋体" w:cs="宋体"/>
          <w:color w:val="auto"/>
          <w:kern w:val="0"/>
          <w:sz w:val="24"/>
          <w:szCs w:val="24"/>
          <w:highlight w:val="none"/>
        </w:rPr>
      </w:pPr>
    </w:p>
    <w:p w14:paraId="21D6E721">
      <w:pPr>
        <w:autoSpaceDE w:val="0"/>
        <w:autoSpaceDN w:val="0"/>
        <w:adjustRightInd w:val="0"/>
        <w:jc w:val="left"/>
        <w:outlineLvl w:val="9"/>
        <w:rPr>
          <w:rFonts w:hint="eastAsia" w:ascii="宋体" w:hAnsi="宋体" w:eastAsia="宋体" w:cs="宋体"/>
          <w:color w:val="auto"/>
          <w:kern w:val="0"/>
          <w:sz w:val="24"/>
          <w:szCs w:val="24"/>
          <w:highlight w:val="none"/>
        </w:rPr>
      </w:pPr>
    </w:p>
    <w:p w14:paraId="1EFC4292">
      <w:pPr>
        <w:autoSpaceDE w:val="0"/>
        <w:autoSpaceDN w:val="0"/>
        <w:adjustRightInd w:val="0"/>
        <w:jc w:val="left"/>
        <w:outlineLvl w:val="9"/>
        <w:rPr>
          <w:rFonts w:hint="eastAsia" w:ascii="宋体" w:hAnsi="宋体" w:eastAsia="宋体" w:cs="宋体"/>
          <w:color w:val="auto"/>
          <w:kern w:val="0"/>
          <w:sz w:val="24"/>
          <w:szCs w:val="24"/>
          <w:highlight w:val="none"/>
        </w:rPr>
      </w:pPr>
    </w:p>
    <w:p w14:paraId="570BD71F">
      <w:pPr>
        <w:autoSpaceDE w:val="0"/>
        <w:autoSpaceDN w:val="0"/>
        <w:adjustRightInd w:val="0"/>
        <w:jc w:val="left"/>
        <w:outlineLvl w:val="9"/>
        <w:rPr>
          <w:rFonts w:hint="eastAsia" w:ascii="宋体" w:hAnsi="宋体" w:eastAsia="宋体" w:cs="宋体"/>
          <w:color w:val="auto"/>
          <w:kern w:val="0"/>
          <w:sz w:val="24"/>
          <w:szCs w:val="24"/>
          <w:highlight w:val="none"/>
        </w:rPr>
      </w:pPr>
    </w:p>
    <w:p w14:paraId="69C4EBEB">
      <w:pPr>
        <w:autoSpaceDE w:val="0"/>
        <w:autoSpaceDN w:val="0"/>
        <w:adjustRightInd w:val="0"/>
        <w:jc w:val="left"/>
        <w:outlineLvl w:val="9"/>
        <w:rPr>
          <w:rFonts w:hint="eastAsia" w:ascii="宋体" w:hAnsi="宋体" w:eastAsia="宋体" w:cs="宋体"/>
          <w:color w:val="auto"/>
          <w:kern w:val="0"/>
          <w:sz w:val="24"/>
          <w:szCs w:val="24"/>
          <w:highlight w:val="none"/>
        </w:rPr>
      </w:pPr>
    </w:p>
    <w:p w14:paraId="119A017C">
      <w:pPr>
        <w:autoSpaceDE w:val="0"/>
        <w:autoSpaceDN w:val="0"/>
        <w:adjustRightInd w:val="0"/>
        <w:jc w:val="left"/>
        <w:outlineLvl w:val="9"/>
        <w:rPr>
          <w:rFonts w:hint="eastAsia" w:ascii="宋体" w:hAnsi="宋体" w:eastAsia="宋体" w:cs="宋体"/>
          <w:color w:val="auto"/>
          <w:kern w:val="0"/>
          <w:sz w:val="24"/>
          <w:szCs w:val="24"/>
          <w:highlight w:val="none"/>
        </w:rPr>
      </w:pPr>
    </w:p>
    <w:p w14:paraId="613E04EF">
      <w:pPr>
        <w:autoSpaceDE w:val="0"/>
        <w:autoSpaceDN w:val="0"/>
        <w:adjustRightInd w:val="0"/>
        <w:jc w:val="left"/>
        <w:outlineLvl w:val="9"/>
        <w:rPr>
          <w:rFonts w:hint="eastAsia" w:ascii="宋体" w:hAnsi="宋体" w:eastAsia="宋体" w:cs="宋体"/>
          <w:b/>
          <w:color w:val="auto"/>
          <w:kern w:val="0"/>
          <w:szCs w:val="21"/>
          <w:highlight w:val="none"/>
        </w:rPr>
      </w:pPr>
    </w:p>
    <w:p w14:paraId="3F227F59">
      <w:pPr>
        <w:autoSpaceDE w:val="0"/>
        <w:autoSpaceDN w:val="0"/>
        <w:adjustRightInd w:val="0"/>
        <w:jc w:val="left"/>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注：法定代表人身份证须在有效期限内。</w:t>
      </w:r>
    </w:p>
    <w:p w14:paraId="423C31D4">
      <w:pPr>
        <w:autoSpaceDE w:val="0"/>
        <w:autoSpaceDN w:val="0"/>
        <w:adjustRightInd w:val="0"/>
        <w:jc w:val="left"/>
        <w:outlineLvl w:val="9"/>
        <w:rPr>
          <w:rFonts w:hint="eastAsia" w:ascii="宋体" w:hAnsi="宋体" w:eastAsia="宋体" w:cs="宋体"/>
          <w:color w:val="auto"/>
          <w:kern w:val="0"/>
          <w:szCs w:val="21"/>
          <w:highlight w:val="none"/>
        </w:rPr>
      </w:pPr>
    </w:p>
    <w:p w14:paraId="759884BD">
      <w:pPr>
        <w:spacing w:before="120" w:after="120" w:line="360" w:lineRule="auto"/>
        <w:ind w:firstLine="424" w:firstLineChars="202"/>
        <w:outlineLvl w:val="9"/>
        <w:rPr>
          <w:rFonts w:hint="eastAsia" w:ascii="宋体" w:hAnsi="宋体" w:eastAsia="宋体" w:cs="宋体"/>
          <w:b/>
          <w:color w:val="auto"/>
          <w:kern w:val="0"/>
          <w:szCs w:val="21"/>
          <w:highlight w:val="none"/>
        </w:rPr>
      </w:pPr>
      <w:r>
        <w:rPr>
          <w:rFonts w:hint="eastAsia" w:ascii="宋体" w:hAnsi="宋体" w:eastAsia="宋体" w:cs="宋体"/>
          <w:color w:val="auto"/>
          <w:szCs w:val="24"/>
          <w:highlight w:val="none"/>
          <w:lang w:val="zh-CN"/>
        </w:rPr>
        <w:br w:type="page"/>
      </w:r>
      <w:bookmarkEnd w:id="429"/>
      <w:bookmarkEnd w:id="430"/>
      <w:bookmarkEnd w:id="431"/>
      <w:bookmarkStart w:id="519" w:name="_Toc486167713"/>
      <w:bookmarkStart w:id="520" w:name="_Toc1977727"/>
      <w:bookmarkStart w:id="521" w:name="_Toc6240_WPSOffice_Level2"/>
      <w:bookmarkStart w:id="522" w:name="_Toc533708125"/>
      <w:r>
        <w:rPr>
          <w:rFonts w:hint="eastAsia" w:ascii="宋体" w:hAnsi="宋体" w:eastAsia="宋体" w:cs="宋体"/>
          <w:b/>
          <w:color w:val="auto"/>
          <w:szCs w:val="24"/>
          <w:highlight w:val="none"/>
        </w:rPr>
        <w:t>（2）法定代表人授权书格式</w:t>
      </w:r>
      <w:bookmarkEnd w:id="519"/>
      <w:bookmarkEnd w:id="520"/>
      <w:bookmarkEnd w:id="521"/>
      <w:bookmarkEnd w:id="522"/>
    </w:p>
    <w:p w14:paraId="444F96DF">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p>
    <w:p w14:paraId="1BF9394A">
      <w:pPr>
        <w:autoSpaceDE w:val="0"/>
        <w:autoSpaceDN w:val="0"/>
        <w:adjustRightInd w:val="0"/>
        <w:spacing w:line="360" w:lineRule="auto"/>
        <w:jc w:val="center"/>
        <w:outlineLvl w:val="9"/>
        <w:rPr>
          <w:rFonts w:hint="eastAsia" w:ascii="宋体" w:hAnsi="宋体" w:eastAsia="宋体" w:cs="宋体"/>
          <w:b/>
          <w:bCs/>
          <w:color w:val="auto"/>
          <w:sz w:val="30"/>
          <w:szCs w:val="30"/>
          <w:highlight w:val="none"/>
          <w:lang w:val="zh-CN"/>
        </w:rPr>
      </w:pPr>
      <w:bookmarkStart w:id="523" w:name="_Toc29146_WPSOffice_Level3"/>
      <w:r>
        <w:rPr>
          <w:rFonts w:hint="eastAsia" w:ascii="宋体" w:hAnsi="宋体" w:eastAsia="宋体" w:cs="宋体"/>
          <w:b/>
          <w:bCs/>
          <w:color w:val="auto"/>
          <w:sz w:val="30"/>
          <w:szCs w:val="30"/>
          <w:highlight w:val="none"/>
          <w:lang w:val="zh-CN"/>
        </w:rPr>
        <w:t>法定代表人授权书</w:t>
      </w:r>
      <w:bookmarkEnd w:id="523"/>
    </w:p>
    <w:p w14:paraId="786E4C34">
      <w:pPr>
        <w:autoSpaceDE w:val="0"/>
        <w:autoSpaceDN w:val="0"/>
        <w:adjustRightInd w:val="0"/>
        <w:spacing w:line="360" w:lineRule="auto"/>
        <w:jc w:val="center"/>
        <w:outlineLvl w:val="9"/>
        <w:rPr>
          <w:rFonts w:hint="eastAsia" w:ascii="宋体" w:hAnsi="宋体" w:eastAsia="宋体" w:cs="宋体"/>
          <w:color w:val="auto"/>
          <w:szCs w:val="28"/>
          <w:highlight w:val="none"/>
          <w:lang w:val="zh-CN"/>
        </w:rPr>
      </w:pPr>
    </w:p>
    <w:p w14:paraId="5DA130EA">
      <w:pPr>
        <w:spacing w:before="120" w:after="120"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致：</w:t>
      </w:r>
      <w:r>
        <w:rPr>
          <w:rFonts w:hint="eastAsia" w:ascii="宋体" w:hAnsi="宋体" w:eastAsia="宋体" w:cs="宋体"/>
          <w:color w:val="auto"/>
          <w:kern w:val="0"/>
          <w:szCs w:val="21"/>
          <w:highlight w:val="none"/>
          <w:u w:val="single"/>
        </w:rPr>
        <w:t>东莞市水务集团管网有限公司</w:t>
      </w:r>
    </w:p>
    <w:p w14:paraId="36FA5997">
      <w:pPr>
        <w:spacing w:before="120" w:after="120" w:line="360" w:lineRule="auto"/>
        <w:ind w:firstLine="630" w:firstLineChars="3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本授权书声明：注册于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（投标人地址）的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（投标人名称）在下面签字或盖私章的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（法定代表人姓名、职务、身份证号码）代表本公司授权在下面签字或盖私章的</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（被授权人的姓名、职务、身份证号码）为本公司的合法代表人，签署</w:t>
      </w:r>
      <w:r>
        <w:rPr>
          <w:rFonts w:hint="eastAsia" w:ascii="宋体" w:hAnsi="宋体" w:eastAsia="宋体" w:cs="宋体"/>
          <w:color w:val="auto"/>
          <w:kern w:val="0"/>
          <w:szCs w:val="21"/>
          <w:highlight w:val="none"/>
          <w:u w:val="single"/>
        </w:rPr>
        <w:t>东莞市水务集团管网有限公司202</w:t>
      </w:r>
      <w:r>
        <w:rPr>
          <w:rFonts w:hint="eastAsia" w:ascii="宋体" w:hAnsi="宋体" w:eastAsia="宋体" w:cs="宋体"/>
          <w:color w:val="auto"/>
          <w:kern w:val="0"/>
          <w:szCs w:val="21"/>
          <w:highlight w:val="none"/>
          <w:u w:val="single"/>
          <w:lang w:val="en-US" w:eastAsia="zh-CN"/>
        </w:rPr>
        <w:t>5</w:t>
      </w:r>
      <w:r>
        <w:rPr>
          <w:rFonts w:hint="eastAsia" w:ascii="宋体" w:hAnsi="宋体" w:eastAsia="宋体" w:cs="宋体"/>
          <w:color w:val="auto"/>
          <w:kern w:val="0"/>
          <w:szCs w:val="21"/>
          <w:highlight w:val="none"/>
          <w:u w:val="single"/>
        </w:rPr>
        <w:t>年餐厨及清洁服务采购项目</w:t>
      </w:r>
      <w:r>
        <w:rPr>
          <w:rFonts w:hint="eastAsia" w:ascii="宋体" w:hAnsi="宋体" w:eastAsia="宋体" w:cs="宋体"/>
          <w:color w:val="auto"/>
          <w:szCs w:val="21"/>
          <w:highlight w:val="none"/>
          <w:lang w:val="zh-CN"/>
        </w:rPr>
        <w:t>（招标编号：</w:t>
      </w:r>
      <w:r>
        <w:rPr>
          <w:rFonts w:hint="eastAsia" w:ascii="宋体" w:hAnsi="宋体" w:eastAsia="宋体" w:cs="宋体"/>
          <w:b w:val="0"/>
          <w:bCs/>
          <w:color w:val="auto"/>
          <w:kern w:val="0"/>
          <w:szCs w:val="21"/>
          <w:highlight w:val="none"/>
        </w:rPr>
        <w:t>YDZB25DGQY0006</w:t>
      </w:r>
      <w:r>
        <w:rPr>
          <w:rFonts w:hint="eastAsia" w:ascii="宋体" w:hAnsi="宋体" w:eastAsia="宋体" w:cs="宋体"/>
          <w:color w:val="auto"/>
          <w:szCs w:val="21"/>
          <w:highlight w:val="none"/>
          <w:lang w:val="zh-CN"/>
        </w:rPr>
        <w:t>）的投标文件，</w:t>
      </w:r>
      <w:r>
        <w:rPr>
          <w:rFonts w:hint="eastAsia" w:ascii="宋体" w:hAnsi="宋体" w:eastAsia="宋体" w:cs="宋体"/>
          <w:color w:val="auto"/>
          <w:szCs w:val="21"/>
          <w:highlight w:val="none"/>
        </w:rPr>
        <w:t>代表我公司</w:t>
      </w:r>
      <w:r>
        <w:rPr>
          <w:rFonts w:hint="eastAsia" w:ascii="宋体" w:hAnsi="宋体" w:eastAsia="宋体" w:cs="宋体"/>
          <w:color w:val="auto"/>
          <w:szCs w:val="24"/>
          <w:highlight w:val="none"/>
          <w:lang w:val="zh-CN"/>
        </w:rPr>
        <w:t>递交投标文件、参与开标会、代表我公司应评标委员会的要求对投标文件进行澄清、进行合同谈判和签署合同，以我公司的名义处理一切与之有关的事宜，</w:t>
      </w:r>
      <w:r>
        <w:rPr>
          <w:rFonts w:hint="eastAsia" w:ascii="宋体" w:hAnsi="宋体" w:eastAsia="宋体" w:cs="宋体"/>
          <w:color w:val="auto"/>
          <w:szCs w:val="21"/>
          <w:highlight w:val="none"/>
        </w:rPr>
        <w:t>我承认代理人全权代表我所签署的本项目投标文件的内容及</w:t>
      </w:r>
      <w:r>
        <w:rPr>
          <w:rFonts w:hint="eastAsia" w:ascii="宋体" w:hAnsi="宋体" w:eastAsia="宋体" w:cs="宋体"/>
          <w:color w:val="auto"/>
          <w:szCs w:val="24"/>
          <w:highlight w:val="none"/>
          <w:lang w:val="zh-CN"/>
        </w:rPr>
        <w:t>所进行的上述活动。</w:t>
      </w:r>
    </w:p>
    <w:p w14:paraId="7E5B0D9E">
      <w:pPr>
        <w:spacing w:before="120" w:after="120"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4"/>
          <w:highlight w:val="none"/>
          <w:lang w:val="zh-CN"/>
        </w:rPr>
        <w:t>本授权书于</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日签字生效，有效期至投标文件失效期止，</w:t>
      </w:r>
      <w:r>
        <w:rPr>
          <w:rFonts w:hint="eastAsia" w:ascii="宋体" w:hAnsi="宋体" w:eastAsia="宋体" w:cs="宋体"/>
          <w:color w:val="auto"/>
          <w:szCs w:val="21"/>
          <w:highlight w:val="none"/>
        </w:rPr>
        <w:t>代理人无转委托权，</w:t>
      </w:r>
      <w:r>
        <w:rPr>
          <w:rFonts w:hint="eastAsia" w:ascii="宋体" w:hAnsi="宋体" w:eastAsia="宋体" w:cs="宋体"/>
          <w:color w:val="auto"/>
          <w:szCs w:val="24"/>
          <w:highlight w:val="none"/>
          <w:lang w:val="zh-CN"/>
        </w:rPr>
        <w:t>特此声明。</w:t>
      </w:r>
    </w:p>
    <w:p w14:paraId="3D9A6900">
      <w:pPr>
        <w:spacing w:before="120" w:after="120" w:line="360" w:lineRule="auto"/>
        <w:ind w:left="348" w:leftChars="136" w:hanging="62"/>
        <w:outlineLvl w:val="9"/>
        <w:rPr>
          <w:rFonts w:hint="eastAsia" w:ascii="宋体" w:hAnsi="宋体" w:eastAsia="宋体" w:cs="宋体"/>
          <w:color w:val="auto"/>
          <w:szCs w:val="24"/>
          <w:highlight w:val="none"/>
        </w:rPr>
      </w:pPr>
    </w:p>
    <w:p w14:paraId="41F81E58">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  标  人：（加盖投标人法人公章）</w:t>
      </w:r>
    </w:p>
    <w:p w14:paraId="6AC9C28F">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投标人地址：</w:t>
      </w:r>
    </w:p>
    <w:p w14:paraId="6E3163EF">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法定代表人（签名或盖私章）：</w:t>
      </w:r>
    </w:p>
    <w:p w14:paraId="75240082">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51C7CA2">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被授权人（签名或盖私章）：</w:t>
      </w:r>
    </w:p>
    <w:p w14:paraId="6D82F033">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职　　　务：</w:t>
      </w:r>
    </w:p>
    <w:p w14:paraId="4BE3878A">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被授权人联系手机：</w:t>
      </w:r>
    </w:p>
    <w:p w14:paraId="74744959">
      <w:pPr>
        <w:spacing w:before="120" w:after="120" w:line="360" w:lineRule="auto"/>
        <w:ind w:left="4200" w:leftChars="2000" w:firstLine="425"/>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电 子 邮 箱：</w:t>
      </w:r>
    </w:p>
    <w:p w14:paraId="5F044863">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br w:type="page"/>
      </w:r>
      <w:r>
        <w:rPr>
          <w:rFonts w:hint="eastAsia" w:ascii="宋体" w:hAnsi="宋体" w:eastAsia="宋体" w:cs="宋体"/>
          <w:color w:val="auto"/>
          <w:szCs w:val="24"/>
          <w:highlight w:val="none"/>
        </w:rPr>
        <w:t>附 法定代表人、被授权人身份证复印件</w:t>
      </w:r>
    </w:p>
    <w:p w14:paraId="28035FD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4384" behindDoc="0" locked="0" layoutInCell="1" allowOverlap="1">
                <wp:simplePos x="0" y="0"/>
                <wp:positionH relativeFrom="column">
                  <wp:posOffset>3366770</wp:posOffset>
                </wp:positionH>
                <wp:positionV relativeFrom="paragraph">
                  <wp:posOffset>69850</wp:posOffset>
                </wp:positionV>
                <wp:extent cx="2790825" cy="1762125"/>
                <wp:effectExtent l="9525" t="9525" r="9525" b="9525"/>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60F356A6"/>
                          <w:p w14:paraId="53E217A4"/>
                          <w:p w14:paraId="45B5A822"/>
                          <w:p w14:paraId="0D85D4EE"/>
                          <w:p w14:paraId="1F66371B">
                            <w:pPr>
                              <w:jc w:val="center"/>
                              <w:rPr>
                                <w:rFonts w:hAnsi="宋体"/>
                              </w:rPr>
                            </w:pPr>
                            <w:r>
                              <w:rPr>
                                <w:rFonts w:hint="eastAsia" w:hAnsi="宋体"/>
                              </w:rPr>
                              <w:t>法定代表人身份证反面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5.5pt;height:138.75pt;width:219.75pt;z-index:251664384;mso-width-relative:page;mso-height-relative:page;" fillcolor="#FFFFFF" filled="t" stroked="t" coordsize="21600,21600" o:gfxdata="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aEQPedkAAAAKAQAADwAAAAAAAAABACAAAAAiAAAA&#10;ZHJzL2Rvd25yZXYueG1sUEsBAhQAFAAAAAgAh07iQA997Fg/AgAAiAQAAA4AAAAAAAAAAQAgAAAA&#10;KAEAAGRycy9lMm9Eb2MueG1sUEsFBgAAAAAGAAYAWQEAANkFAAAAAA==&#10;">
                <v:fill on="t" focussize="0,0"/>
                <v:stroke color="#000000" miterlimit="8" joinstyle="miter"/>
                <v:imagedata o:title=""/>
                <o:lock v:ext="edit" aspectratio="f"/>
                <v:textbox>
                  <w:txbxContent>
                    <w:p w14:paraId="60F356A6"/>
                    <w:p w14:paraId="53E217A4"/>
                    <w:p w14:paraId="45B5A822"/>
                    <w:p w14:paraId="0D85D4EE"/>
                    <w:p w14:paraId="1F66371B">
                      <w:pPr>
                        <w:jc w:val="center"/>
                        <w:rPr>
                          <w:rFonts w:hAnsi="宋体"/>
                        </w:rPr>
                      </w:pPr>
                      <w:r>
                        <w:rPr>
                          <w:rFonts w:hint="eastAsia" w:hAnsi="宋体"/>
                        </w:rPr>
                        <w:t>法定代表人身份证反面</w:t>
                      </w:r>
                    </w:p>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2336" behindDoc="0" locked="0" layoutInCell="1" allowOverlap="1">
                <wp:simplePos x="0" y="0"/>
                <wp:positionH relativeFrom="column">
                  <wp:posOffset>309245</wp:posOffset>
                </wp:positionH>
                <wp:positionV relativeFrom="paragraph">
                  <wp:posOffset>69850</wp:posOffset>
                </wp:positionV>
                <wp:extent cx="2790825" cy="1762125"/>
                <wp:effectExtent l="9525" t="9525" r="9525" b="9525"/>
                <wp:wrapNone/>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90825" cy="1762125"/>
                        </a:xfrm>
                        <a:prstGeom prst="rect">
                          <a:avLst/>
                        </a:prstGeom>
                        <a:solidFill>
                          <a:srgbClr val="FFFFFF"/>
                        </a:solidFill>
                        <a:ln w="9525">
                          <a:solidFill>
                            <a:srgbClr val="000000"/>
                          </a:solidFill>
                          <a:miter lim="800000"/>
                        </a:ln>
                      </wps:spPr>
                      <wps:txbx>
                        <w:txbxContent>
                          <w:p w14:paraId="58AEE6F7"/>
                          <w:p w14:paraId="10582872"/>
                          <w:p w14:paraId="665F408E"/>
                          <w:p w14:paraId="01A45DA1"/>
                          <w:p w14:paraId="3405EB38">
                            <w:pPr>
                              <w:jc w:val="center"/>
                              <w:rPr>
                                <w:rFonts w:hAnsi="宋体"/>
                              </w:rPr>
                            </w:pPr>
                            <w:r>
                              <w:rPr>
                                <w:rFonts w:hint="eastAsia" w:hAnsi="宋体"/>
                              </w:rPr>
                              <w:t>法定代表人身份证正面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5.5pt;height:138.75pt;width:219.75pt;z-index:251662336;mso-width-relative:page;mso-height-relative:page;" fillcolor="#FFFFFF" filled="t" stroked="t" coordsize="21600,21600" o:gfxdata="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Ciu+XY2AAAAAkBAAAPAAAAAAAAAAEAIAAAACIAAABk&#10;cnMvZG93bnJldi54bWxQSwECFAAUAAAACACHTuJASNEy5j8CAACIBAAADgAAAAAAAAABACAAAAAn&#10;AQAAZHJzL2Uyb0RvYy54bWxQSwUGAAAAAAYABgBZAQAA2AUAAAAA&#10;">
                <v:fill on="t" focussize="0,0"/>
                <v:stroke color="#000000" miterlimit="8" joinstyle="miter"/>
                <v:imagedata o:title=""/>
                <o:lock v:ext="edit" aspectratio="f"/>
                <v:textbox>
                  <w:txbxContent>
                    <w:p w14:paraId="58AEE6F7"/>
                    <w:p w14:paraId="10582872"/>
                    <w:p w14:paraId="665F408E"/>
                    <w:p w14:paraId="01A45DA1"/>
                    <w:p w14:paraId="3405EB38">
                      <w:pPr>
                        <w:jc w:val="center"/>
                        <w:rPr>
                          <w:rFonts w:hAnsi="宋体"/>
                        </w:rPr>
                      </w:pPr>
                      <w:r>
                        <w:rPr>
                          <w:rFonts w:hint="eastAsia" w:hAnsi="宋体"/>
                        </w:rPr>
                        <w:t>法定代表人身份证正面</w:t>
                      </w:r>
                    </w:p>
                  </w:txbxContent>
                </v:textbox>
              </v:shape>
            </w:pict>
          </mc:Fallback>
        </mc:AlternateContent>
      </w:r>
    </w:p>
    <w:p w14:paraId="556987E1">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FF9C3D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6E3F49C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59B21A6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5FA463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49B57E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16CD4D7C">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47335AC4">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78D63EE">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mc:AlternateContent>
          <mc:Choice Requires="wps">
            <w:drawing>
              <wp:anchor distT="0" distB="0" distL="114300" distR="114300" simplePos="0" relativeHeight="251665408" behindDoc="0" locked="0" layoutInCell="1" allowOverlap="1">
                <wp:simplePos x="0" y="0"/>
                <wp:positionH relativeFrom="column">
                  <wp:posOffset>3366770</wp:posOffset>
                </wp:positionH>
                <wp:positionV relativeFrom="paragraph">
                  <wp:posOffset>102235</wp:posOffset>
                </wp:positionV>
                <wp:extent cx="2743200" cy="1771650"/>
                <wp:effectExtent l="9525" t="13970" r="9525" b="5080"/>
                <wp:wrapNone/>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275C6464"/>
                          <w:p w14:paraId="3D8C3D73">
                            <w:pPr>
                              <w:jc w:val="center"/>
                              <w:rPr>
                                <w:rFonts w:hAnsi="宋体"/>
                                <w:color w:val="FF0000"/>
                              </w:rPr>
                            </w:pPr>
                          </w:p>
                          <w:p w14:paraId="735949B1">
                            <w:pPr>
                              <w:jc w:val="center"/>
                              <w:rPr>
                                <w:rFonts w:hAnsi="宋体"/>
                                <w:color w:val="FF0000"/>
                              </w:rPr>
                            </w:pPr>
                          </w:p>
                          <w:p w14:paraId="0D6A9B3C">
                            <w:pPr>
                              <w:jc w:val="center"/>
                              <w:rPr>
                                <w:rFonts w:hAnsi="宋体"/>
                                <w:color w:val="FF0000"/>
                              </w:rPr>
                            </w:pPr>
                          </w:p>
                          <w:p w14:paraId="195AB8EB">
                            <w:pPr>
                              <w:jc w:val="center"/>
                            </w:pPr>
                            <w:r>
                              <w:rPr>
                                <w:rFonts w:hint="eastAsia" w:hAnsi="宋体"/>
                              </w:rPr>
                              <w:t>被授权人身份证反面</w:t>
                            </w:r>
                          </w:p>
                          <w:p w14:paraId="70470601"/>
                          <w:p w14:paraId="779C397B"/>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65.1pt;margin-top:8.05pt;height:139.5pt;width:216pt;z-index:251665408;mso-width-relative:page;mso-height-relative:page;" fillcolor="#FFFFFF" filled="t" stroked="t" coordsize="21600,21600" o:gfxdata="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LYHyI9kAAAAKAQAADwAAAAAAAAABACAAAAAi&#10;AAAAZHJzL2Rvd25yZXYueG1sUEsBAhQAFAAAAAgAh07iQDsUtmVCAgAAiAQAAA4AAAAAAAAAAQAg&#10;AAAAKAEAAGRycy9lMm9Eb2MueG1sUEsFBgAAAAAGAAYAWQEAANwFAAAAAA==&#10;">
                <v:fill on="t" focussize="0,0"/>
                <v:stroke color="#000000" miterlimit="8" joinstyle="miter"/>
                <v:imagedata o:title=""/>
                <o:lock v:ext="edit" aspectratio="f"/>
                <v:textbox>
                  <w:txbxContent>
                    <w:p w14:paraId="275C6464"/>
                    <w:p w14:paraId="3D8C3D73">
                      <w:pPr>
                        <w:jc w:val="center"/>
                        <w:rPr>
                          <w:rFonts w:hAnsi="宋体"/>
                          <w:color w:val="FF0000"/>
                        </w:rPr>
                      </w:pPr>
                    </w:p>
                    <w:p w14:paraId="735949B1">
                      <w:pPr>
                        <w:jc w:val="center"/>
                        <w:rPr>
                          <w:rFonts w:hAnsi="宋体"/>
                          <w:color w:val="FF0000"/>
                        </w:rPr>
                      </w:pPr>
                    </w:p>
                    <w:p w14:paraId="0D6A9B3C">
                      <w:pPr>
                        <w:jc w:val="center"/>
                        <w:rPr>
                          <w:rFonts w:hAnsi="宋体"/>
                          <w:color w:val="FF0000"/>
                        </w:rPr>
                      </w:pPr>
                    </w:p>
                    <w:p w14:paraId="195AB8EB">
                      <w:pPr>
                        <w:jc w:val="center"/>
                      </w:pPr>
                      <w:r>
                        <w:rPr>
                          <w:rFonts w:hint="eastAsia" w:hAnsi="宋体"/>
                        </w:rPr>
                        <w:t>被授权人身份证反面</w:t>
                      </w:r>
                    </w:p>
                    <w:p w14:paraId="70470601"/>
                    <w:p w14:paraId="779C397B"/>
                  </w:txbxContent>
                </v:textbox>
              </v:shape>
            </w:pict>
          </mc:Fallback>
        </mc:AlternateContent>
      </w:r>
      <w:r>
        <w:rPr>
          <w:rFonts w:hint="eastAsia" w:ascii="宋体" w:hAnsi="宋体" w:eastAsia="宋体" w:cs="宋体"/>
          <w:color w:val="auto"/>
          <w:szCs w:val="21"/>
          <w:highlight w:val="none"/>
        </w:rPr>
        <mc:AlternateContent>
          <mc:Choice Requires="wps">
            <w:drawing>
              <wp:anchor distT="0" distB="0" distL="114300" distR="114300" simplePos="0" relativeHeight="251663360" behindDoc="0" locked="0" layoutInCell="1" allowOverlap="1">
                <wp:simplePos x="0" y="0"/>
                <wp:positionH relativeFrom="column">
                  <wp:posOffset>309245</wp:posOffset>
                </wp:positionH>
                <wp:positionV relativeFrom="paragraph">
                  <wp:posOffset>102235</wp:posOffset>
                </wp:positionV>
                <wp:extent cx="2743200" cy="1771650"/>
                <wp:effectExtent l="9525" t="13970" r="9525" b="508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43200" cy="1771650"/>
                        </a:xfrm>
                        <a:prstGeom prst="rect">
                          <a:avLst/>
                        </a:prstGeom>
                        <a:solidFill>
                          <a:srgbClr val="FFFFFF"/>
                        </a:solidFill>
                        <a:ln w="9525">
                          <a:solidFill>
                            <a:srgbClr val="000000"/>
                          </a:solidFill>
                          <a:miter lim="800000"/>
                        </a:ln>
                      </wps:spPr>
                      <wps:txbx>
                        <w:txbxContent>
                          <w:p w14:paraId="3E9CBF42"/>
                          <w:p w14:paraId="25362862">
                            <w:pPr>
                              <w:jc w:val="center"/>
                              <w:rPr>
                                <w:rFonts w:hAnsi="宋体"/>
                                <w:color w:val="FF0000"/>
                              </w:rPr>
                            </w:pPr>
                          </w:p>
                          <w:p w14:paraId="7CCEAA05">
                            <w:pPr>
                              <w:jc w:val="center"/>
                              <w:rPr>
                                <w:rFonts w:hAnsi="宋体"/>
                                <w:color w:val="FF0000"/>
                              </w:rPr>
                            </w:pPr>
                          </w:p>
                          <w:p w14:paraId="2B97BE16">
                            <w:pPr>
                              <w:jc w:val="center"/>
                              <w:rPr>
                                <w:rFonts w:hAnsi="宋体"/>
                                <w:color w:val="FF0000"/>
                              </w:rPr>
                            </w:pPr>
                          </w:p>
                          <w:p w14:paraId="5424B576">
                            <w:pPr>
                              <w:jc w:val="center"/>
                            </w:pPr>
                            <w:r>
                              <w:rPr>
                                <w:rFonts w:hint="eastAsia" w:hAnsi="宋体"/>
                              </w:rPr>
                              <w:t>被授权人身份证正面</w:t>
                            </w:r>
                          </w:p>
                          <w:p w14:paraId="6280A25E"/>
                          <w:p w14:paraId="25F98AD0"/>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4.35pt;margin-top:8.05pt;height:139.5pt;width:216pt;z-index:251663360;mso-width-relative:page;mso-height-relative:page;" fillcolor="#FFFFFF" filled="t" stroked="t" coordsize="21600,21600" o:gfxdata="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CLFRAn2AAAAAkBAAAPAAAAAAAAAAEAIAAA&#10;ACIAAABkcnMvZG93bnJldi54bWxQSwECFAAUAAAACACHTuJAY+kGYEUCAACIBAAADgAAAAAAAAAB&#10;ACAAAAAnAQAAZHJzL2Uyb0RvYy54bWxQSwUGAAAAAAYABgBZAQAA3gUAAAAA&#10;">
                <v:fill on="t" focussize="0,0"/>
                <v:stroke color="#000000" miterlimit="8" joinstyle="miter"/>
                <v:imagedata o:title=""/>
                <o:lock v:ext="edit" aspectratio="f"/>
                <v:textbox>
                  <w:txbxContent>
                    <w:p w14:paraId="3E9CBF42"/>
                    <w:p w14:paraId="25362862">
                      <w:pPr>
                        <w:jc w:val="center"/>
                        <w:rPr>
                          <w:rFonts w:hAnsi="宋体"/>
                          <w:color w:val="FF0000"/>
                        </w:rPr>
                      </w:pPr>
                    </w:p>
                    <w:p w14:paraId="7CCEAA05">
                      <w:pPr>
                        <w:jc w:val="center"/>
                        <w:rPr>
                          <w:rFonts w:hAnsi="宋体"/>
                          <w:color w:val="FF0000"/>
                        </w:rPr>
                      </w:pPr>
                    </w:p>
                    <w:p w14:paraId="2B97BE16">
                      <w:pPr>
                        <w:jc w:val="center"/>
                        <w:rPr>
                          <w:rFonts w:hAnsi="宋体"/>
                          <w:color w:val="FF0000"/>
                        </w:rPr>
                      </w:pPr>
                    </w:p>
                    <w:p w14:paraId="5424B576">
                      <w:pPr>
                        <w:jc w:val="center"/>
                      </w:pPr>
                      <w:r>
                        <w:rPr>
                          <w:rFonts w:hint="eastAsia" w:hAnsi="宋体"/>
                        </w:rPr>
                        <w:t>被授权人身份证正面</w:t>
                      </w:r>
                    </w:p>
                    <w:p w14:paraId="6280A25E"/>
                    <w:p w14:paraId="25F98AD0"/>
                  </w:txbxContent>
                </v:textbox>
              </v:shape>
            </w:pict>
          </mc:Fallback>
        </mc:AlternateContent>
      </w:r>
    </w:p>
    <w:p w14:paraId="707F3665">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6857D87">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0263C72B">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7DA75406">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3957620D">
      <w:pPr>
        <w:widowControl/>
        <w:autoSpaceDE w:val="0"/>
        <w:autoSpaceDN w:val="0"/>
        <w:spacing w:before="120" w:after="120" w:line="360" w:lineRule="auto"/>
        <w:ind w:right="781" w:rightChars="372" w:firstLine="420" w:firstLineChars="200"/>
        <w:textAlignment w:val="bottom"/>
        <w:outlineLvl w:val="9"/>
        <w:rPr>
          <w:rFonts w:hint="eastAsia" w:ascii="宋体" w:hAnsi="宋体" w:eastAsia="宋体" w:cs="宋体"/>
          <w:color w:val="auto"/>
          <w:szCs w:val="24"/>
          <w:highlight w:val="none"/>
        </w:rPr>
      </w:pPr>
    </w:p>
    <w:p w14:paraId="24C039E9">
      <w:pPr>
        <w:widowControl/>
        <w:autoSpaceDE w:val="0"/>
        <w:autoSpaceDN w:val="0"/>
        <w:spacing w:before="120" w:after="120" w:line="360" w:lineRule="auto"/>
        <w:ind w:right="781" w:rightChars="372" w:firstLine="422" w:firstLineChars="200"/>
        <w:textAlignment w:val="bottom"/>
        <w:outlineLvl w:val="9"/>
        <w:rPr>
          <w:rFonts w:hint="eastAsia" w:ascii="宋体" w:hAnsi="宋体" w:eastAsia="宋体" w:cs="宋体"/>
          <w:b/>
          <w:color w:val="auto"/>
          <w:szCs w:val="24"/>
          <w:highlight w:val="none"/>
        </w:rPr>
        <w:sectPr>
          <w:footerReference r:id="rId10" w:type="first"/>
          <w:footerReference r:id="rId9" w:type="default"/>
          <w:pgSz w:w="12240" w:h="15840"/>
          <w:pgMar w:top="1191" w:right="1043" w:bottom="1191" w:left="1043" w:header="720" w:footer="720" w:gutter="0"/>
          <w:cols w:space="720" w:num="1"/>
          <w:titlePg/>
          <w:docGrid w:linePitch="326" w:charSpace="0"/>
        </w:sectPr>
      </w:pPr>
      <w:r>
        <w:rPr>
          <w:rFonts w:hint="eastAsia" w:ascii="宋体" w:hAnsi="宋体" w:eastAsia="宋体" w:cs="宋体"/>
          <w:b/>
          <w:color w:val="auto"/>
          <w:szCs w:val="24"/>
          <w:highlight w:val="none"/>
        </w:rPr>
        <w:t>注：上述所附身份证应在有效期限内。</w:t>
      </w:r>
    </w:p>
    <w:p w14:paraId="73E1E4B8">
      <w:pPr>
        <w:pageBreakBefore/>
        <w:spacing w:line="360" w:lineRule="auto"/>
        <w:outlineLvl w:val="2"/>
        <w:rPr>
          <w:rFonts w:hint="eastAsia" w:ascii="宋体" w:hAnsi="宋体" w:eastAsia="宋体" w:cs="宋体"/>
          <w:b/>
          <w:color w:val="auto"/>
          <w:sz w:val="30"/>
          <w:szCs w:val="30"/>
          <w:highlight w:val="none"/>
          <w:lang w:val="zh-CN"/>
        </w:rPr>
      </w:pPr>
      <w:bookmarkStart w:id="524" w:name="_Toc15716"/>
      <w:bookmarkStart w:id="525" w:name="_Toc12400"/>
      <w:bookmarkStart w:id="526" w:name="_Toc32328"/>
      <w:bookmarkStart w:id="527" w:name="_Toc1977730"/>
      <w:bookmarkStart w:id="528" w:name="_Toc94107214"/>
      <w:bookmarkStart w:id="529" w:name="_Toc104991880"/>
      <w:bookmarkStart w:id="530" w:name="_Toc142508373"/>
      <w:bookmarkStart w:id="531" w:name="_Toc140596933"/>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.4 </w:t>
      </w:r>
      <w:r>
        <w:rPr>
          <w:rFonts w:hint="eastAsia" w:ascii="宋体" w:hAnsi="宋体" w:eastAsia="宋体" w:cs="宋体"/>
          <w:b/>
          <w:bCs/>
          <w:color w:val="auto"/>
          <w:kern w:val="2"/>
          <w:sz w:val="32"/>
          <w:szCs w:val="32"/>
          <w:highlight w:val="none"/>
        </w:rPr>
        <w:t>资格业绩</w:t>
      </w:r>
      <w:r>
        <w:rPr>
          <w:rFonts w:hint="eastAsia" w:ascii="宋体" w:hAnsi="宋体" w:eastAsia="宋体" w:cs="宋体"/>
          <w:b/>
          <w:bCs/>
          <w:color w:val="auto"/>
          <w:sz w:val="32"/>
          <w:szCs w:val="32"/>
          <w:highlight w:val="none"/>
        </w:rPr>
        <w:t>【</w:t>
      </w:r>
      <w:bookmarkEnd w:id="524"/>
      <w:bookmarkEnd w:id="525"/>
      <w:bookmarkEnd w:id="526"/>
      <w:r>
        <w:rPr>
          <w:rFonts w:hint="eastAsia" w:ascii="宋体" w:hAnsi="宋体" w:eastAsia="宋体" w:cs="宋体"/>
          <w:b/>
          <w:bCs/>
          <w:color w:val="auto"/>
          <w:sz w:val="32"/>
          <w:szCs w:val="32"/>
          <w:highlight w:val="none"/>
        </w:rPr>
        <w:t>投标人提供一份2022年1月1日以来劳务外包服务项目业绩（合同签订日期为2022年1月1日或以后）】</w:t>
      </w:r>
    </w:p>
    <w:p w14:paraId="65D3520D">
      <w:pPr>
        <w:spacing w:line="360" w:lineRule="auto"/>
        <w:outlineLvl w:val="9"/>
        <w:rPr>
          <w:rFonts w:hint="eastAsia" w:ascii="宋体" w:hAnsi="宋体" w:eastAsia="宋体" w:cs="宋体"/>
          <w:b/>
          <w:color w:val="auto"/>
          <w:szCs w:val="21"/>
          <w:highlight w:val="none"/>
          <w:lang w:val="zh-CN"/>
        </w:rPr>
      </w:pP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38"/>
        <w:gridCol w:w="923"/>
        <w:gridCol w:w="923"/>
        <w:gridCol w:w="925"/>
        <w:gridCol w:w="925"/>
        <w:gridCol w:w="925"/>
        <w:gridCol w:w="1077"/>
        <w:gridCol w:w="925"/>
        <w:gridCol w:w="925"/>
        <w:gridCol w:w="925"/>
        <w:gridCol w:w="762"/>
      </w:tblGrid>
      <w:tr w14:paraId="64F2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1FEC5AD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73BB46A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1398E75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14:paraId="5E51AC0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14:paraId="6B4584A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40A4C8D4">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14:paraId="523FB4E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14:paraId="66A441E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22D22BFA">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7582787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5DA29753">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73F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7D79E674">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467" w:type="pct"/>
            <w:noWrap w:val="0"/>
            <w:vAlign w:val="center"/>
          </w:tcPr>
          <w:p w14:paraId="7EB2D610">
            <w:pPr>
              <w:jc w:val="center"/>
              <w:outlineLvl w:val="9"/>
              <w:rPr>
                <w:rFonts w:hint="eastAsia" w:ascii="宋体" w:hAnsi="宋体" w:eastAsia="宋体" w:cs="宋体"/>
                <w:color w:val="auto"/>
                <w:sz w:val="21"/>
                <w:szCs w:val="21"/>
                <w:highlight w:val="none"/>
              </w:rPr>
            </w:pPr>
          </w:p>
        </w:tc>
        <w:tc>
          <w:tcPr>
            <w:tcW w:w="467" w:type="pct"/>
            <w:noWrap w:val="0"/>
            <w:vAlign w:val="center"/>
          </w:tcPr>
          <w:p w14:paraId="7AA8D10F">
            <w:pPr>
              <w:jc w:val="center"/>
              <w:outlineLvl w:val="9"/>
              <w:rPr>
                <w:rFonts w:hint="eastAsia" w:ascii="宋体" w:hAnsi="宋体" w:eastAsia="宋体" w:cs="宋体"/>
                <w:color w:val="auto"/>
                <w:sz w:val="21"/>
                <w:szCs w:val="21"/>
                <w:highlight w:val="none"/>
              </w:rPr>
            </w:pPr>
          </w:p>
        </w:tc>
        <w:tc>
          <w:tcPr>
            <w:tcW w:w="468" w:type="pct"/>
            <w:noWrap w:val="0"/>
            <w:vAlign w:val="center"/>
          </w:tcPr>
          <w:p w14:paraId="37BFFB2E">
            <w:pPr>
              <w:jc w:val="center"/>
              <w:outlineLvl w:val="9"/>
              <w:rPr>
                <w:rFonts w:hint="eastAsia" w:ascii="宋体" w:hAnsi="宋体" w:eastAsia="宋体" w:cs="宋体"/>
                <w:color w:val="auto"/>
                <w:sz w:val="21"/>
                <w:szCs w:val="21"/>
                <w:highlight w:val="none"/>
              </w:rPr>
            </w:pPr>
          </w:p>
        </w:tc>
        <w:tc>
          <w:tcPr>
            <w:tcW w:w="468" w:type="pct"/>
            <w:noWrap w:val="0"/>
            <w:vAlign w:val="center"/>
          </w:tcPr>
          <w:p w14:paraId="6DB34C64">
            <w:pPr>
              <w:jc w:val="center"/>
              <w:outlineLvl w:val="9"/>
              <w:rPr>
                <w:rFonts w:hint="eastAsia" w:ascii="宋体" w:hAnsi="宋体" w:eastAsia="宋体" w:cs="宋体"/>
                <w:color w:val="auto"/>
                <w:sz w:val="21"/>
                <w:szCs w:val="21"/>
                <w:highlight w:val="none"/>
              </w:rPr>
            </w:pPr>
          </w:p>
        </w:tc>
        <w:tc>
          <w:tcPr>
            <w:tcW w:w="468" w:type="pct"/>
            <w:noWrap w:val="0"/>
            <w:vAlign w:val="center"/>
          </w:tcPr>
          <w:p w14:paraId="6402B8BC">
            <w:pPr>
              <w:jc w:val="center"/>
              <w:outlineLvl w:val="9"/>
              <w:rPr>
                <w:rFonts w:hint="eastAsia" w:ascii="宋体" w:hAnsi="宋体" w:eastAsia="宋体" w:cs="宋体"/>
                <w:color w:val="auto"/>
                <w:sz w:val="21"/>
                <w:szCs w:val="21"/>
                <w:highlight w:val="none"/>
              </w:rPr>
            </w:pPr>
          </w:p>
        </w:tc>
        <w:tc>
          <w:tcPr>
            <w:tcW w:w="545" w:type="pct"/>
            <w:noWrap w:val="0"/>
            <w:vAlign w:val="center"/>
          </w:tcPr>
          <w:p w14:paraId="498ECF6E">
            <w:pPr>
              <w:jc w:val="center"/>
              <w:outlineLvl w:val="9"/>
              <w:rPr>
                <w:rFonts w:hint="eastAsia" w:ascii="宋体" w:hAnsi="宋体" w:eastAsia="宋体" w:cs="宋体"/>
                <w:color w:val="auto"/>
                <w:sz w:val="21"/>
                <w:szCs w:val="21"/>
                <w:highlight w:val="none"/>
              </w:rPr>
            </w:pPr>
          </w:p>
        </w:tc>
        <w:tc>
          <w:tcPr>
            <w:tcW w:w="468" w:type="pct"/>
            <w:noWrap w:val="0"/>
            <w:vAlign w:val="top"/>
          </w:tcPr>
          <w:p w14:paraId="5472DFCF">
            <w:pPr>
              <w:jc w:val="center"/>
              <w:outlineLvl w:val="9"/>
              <w:rPr>
                <w:rFonts w:hint="eastAsia" w:ascii="宋体" w:hAnsi="宋体" w:eastAsia="宋体" w:cs="宋体"/>
                <w:color w:val="auto"/>
                <w:sz w:val="21"/>
                <w:szCs w:val="21"/>
                <w:highlight w:val="none"/>
              </w:rPr>
            </w:pPr>
          </w:p>
        </w:tc>
        <w:tc>
          <w:tcPr>
            <w:tcW w:w="468" w:type="pct"/>
            <w:noWrap w:val="0"/>
            <w:vAlign w:val="center"/>
          </w:tcPr>
          <w:p w14:paraId="02EE5A8B">
            <w:pPr>
              <w:jc w:val="center"/>
              <w:outlineLvl w:val="9"/>
              <w:rPr>
                <w:rFonts w:hint="eastAsia" w:ascii="宋体" w:hAnsi="宋体" w:eastAsia="宋体" w:cs="宋体"/>
                <w:color w:val="auto"/>
                <w:sz w:val="21"/>
                <w:szCs w:val="21"/>
                <w:highlight w:val="none"/>
              </w:rPr>
            </w:pPr>
          </w:p>
        </w:tc>
        <w:tc>
          <w:tcPr>
            <w:tcW w:w="468" w:type="pct"/>
            <w:noWrap w:val="0"/>
            <w:vAlign w:val="center"/>
          </w:tcPr>
          <w:p w14:paraId="25ACC07A">
            <w:pPr>
              <w:jc w:val="center"/>
              <w:outlineLvl w:val="9"/>
              <w:rPr>
                <w:rFonts w:hint="eastAsia" w:ascii="宋体" w:hAnsi="宋体" w:eastAsia="宋体" w:cs="宋体"/>
                <w:color w:val="auto"/>
                <w:sz w:val="21"/>
                <w:szCs w:val="21"/>
                <w:highlight w:val="none"/>
              </w:rPr>
            </w:pPr>
          </w:p>
        </w:tc>
        <w:tc>
          <w:tcPr>
            <w:tcW w:w="385" w:type="pct"/>
            <w:noWrap w:val="0"/>
            <w:vAlign w:val="center"/>
          </w:tcPr>
          <w:p w14:paraId="3CB5CD71">
            <w:pPr>
              <w:jc w:val="center"/>
              <w:outlineLvl w:val="9"/>
              <w:rPr>
                <w:rFonts w:hint="eastAsia" w:ascii="宋体" w:hAnsi="宋体" w:eastAsia="宋体" w:cs="宋体"/>
                <w:color w:val="auto"/>
                <w:sz w:val="21"/>
                <w:szCs w:val="21"/>
                <w:highlight w:val="none"/>
              </w:rPr>
            </w:pPr>
          </w:p>
        </w:tc>
      </w:tr>
      <w:tr w14:paraId="67AC54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0F7797C9">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467" w:type="pct"/>
            <w:noWrap w:val="0"/>
            <w:vAlign w:val="center"/>
          </w:tcPr>
          <w:p w14:paraId="0D1CFD13">
            <w:pPr>
              <w:jc w:val="center"/>
              <w:outlineLvl w:val="9"/>
              <w:rPr>
                <w:rFonts w:hint="eastAsia" w:ascii="宋体" w:hAnsi="宋体" w:eastAsia="宋体" w:cs="宋体"/>
                <w:color w:val="auto"/>
                <w:sz w:val="21"/>
                <w:szCs w:val="21"/>
                <w:highlight w:val="none"/>
              </w:rPr>
            </w:pPr>
          </w:p>
        </w:tc>
        <w:tc>
          <w:tcPr>
            <w:tcW w:w="467" w:type="pct"/>
            <w:noWrap w:val="0"/>
            <w:vAlign w:val="center"/>
          </w:tcPr>
          <w:p w14:paraId="6083B5EB">
            <w:pPr>
              <w:jc w:val="center"/>
              <w:outlineLvl w:val="9"/>
              <w:rPr>
                <w:rFonts w:hint="eastAsia" w:ascii="宋体" w:hAnsi="宋体" w:eastAsia="宋体" w:cs="宋体"/>
                <w:color w:val="auto"/>
                <w:sz w:val="21"/>
                <w:szCs w:val="21"/>
                <w:highlight w:val="none"/>
              </w:rPr>
            </w:pPr>
          </w:p>
        </w:tc>
        <w:tc>
          <w:tcPr>
            <w:tcW w:w="468" w:type="pct"/>
            <w:noWrap w:val="0"/>
            <w:vAlign w:val="center"/>
          </w:tcPr>
          <w:p w14:paraId="7E7B1588">
            <w:pPr>
              <w:jc w:val="center"/>
              <w:outlineLvl w:val="9"/>
              <w:rPr>
                <w:rFonts w:hint="eastAsia" w:ascii="宋体" w:hAnsi="宋体" w:eastAsia="宋体" w:cs="宋体"/>
                <w:color w:val="auto"/>
                <w:sz w:val="21"/>
                <w:szCs w:val="21"/>
                <w:highlight w:val="none"/>
              </w:rPr>
            </w:pPr>
          </w:p>
        </w:tc>
        <w:tc>
          <w:tcPr>
            <w:tcW w:w="468" w:type="pct"/>
            <w:noWrap w:val="0"/>
            <w:vAlign w:val="center"/>
          </w:tcPr>
          <w:p w14:paraId="5AE24E73">
            <w:pPr>
              <w:jc w:val="center"/>
              <w:outlineLvl w:val="9"/>
              <w:rPr>
                <w:rFonts w:hint="eastAsia" w:ascii="宋体" w:hAnsi="宋体" w:eastAsia="宋体" w:cs="宋体"/>
                <w:color w:val="auto"/>
                <w:sz w:val="21"/>
                <w:szCs w:val="21"/>
                <w:highlight w:val="none"/>
              </w:rPr>
            </w:pPr>
          </w:p>
        </w:tc>
        <w:tc>
          <w:tcPr>
            <w:tcW w:w="468" w:type="pct"/>
            <w:noWrap w:val="0"/>
            <w:vAlign w:val="center"/>
          </w:tcPr>
          <w:p w14:paraId="2A3D5CD9">
            <w:pPr>
              <w:jc w:val="center"/>
              <w:outlineLvl w:val="9"/>
              <w:rPr>
                <w:rFonts w:hint="eastAsia" w:ascii="宋体" w:hAnsi="宋体" w:eastAsia="宋体" w:cs="宋体"/>
                <w:color w:val="auto"/>
                <w:sz w:val="21"/>
                <w:szCs w:val="21"/>
                <w:highlight w:val="none"/>
              </w:rPr>
            </w:pPr>
          </w:p>
        </w:tc>
        <w:tc>
          <w:tcPr>
            <w:tcW w:w="545" w:type="pct"/>
            <w:noWrap w:val="0"/>
            <w:vAlign w:val="center"/>
          </w:tcPr>
          <w:p w14:paraId="699579DA">
            <w:pPr>
              <w:jc w:val="center"/>
              <w:outlineLvl w:val="9"/>
              <w:rPr>
                <w:rFonts w:hint="eastAsia" w:ascii="宋体" w:hAnsi="宋体" w:eastAsia="宋体" w:cs="宋体"/>
                <w:color w:val="auto"/>
                <w:sz w:val="21"/>
                <w:szCs w:val="21"/>
                <w:highlight w:val="none"/>
              </w:rPr>
            </w:pPr>
          </w:p>
        </w:tc>
        <w:tc>
          <w:tcPr>
            <w:tcW w:w="468" w:type="pct"/>
            <w:noWrap w:val="0"/>
            <w:vAlign w:val="top"/>
          </w:tcPr>
          <w:p w14:paraId="4B5E982C">
            <w:pPr>
              <w:jc w:val="center"/>
              <w:outlineLvl w:val="9"/>
              <w:rPr>
                <w:rFonts w:hint="eastAsia" w:ascii="宋体" w:hAnsi="宋体" w:eastAsia="宋体" w:cs="宋体"/>
                <w:color w:val="auto"/>
                <w:sz w:val="21"/>
                <w:szCs w:val="21"/>
                <w:highlight w:val="none"/>
              </w:rPr>
            </w:pPr>
          </w:p>
        </w:tc>
        <w:tc>
          <w:tcPr>
            <w:tcW w:w="468" w:type="pct"/>
            <w:noWrap w:val="0"/>
            <w:vAlign w:val="center"/>
          </w:tcPr>
          <w:p w14:paraId="65D534FF">
            <w:pPr>
              <w:jc w:val="center"/>
              <w:outlineLvl w:val="9"/>
              <w:rPr>
                <w:rFonts w:hint="eastAsia" w:ascii="宋体" w:hAnsi="宋体" w:eastAsia="宋体" w:cs="宋体"/>
                <w:color w:val="auto"/>
                <w:sz w:val="21"/>
                <w:szCs w:val="21"/>
                <w:highlight w:val="none"/>
              </w:rPr>
            </w:pPr>
          </w:p>
        </w:tc>
        <w:tc>
          <w:tcPr>
            <w:tcW w:w="468" w:type="pct"/>
            <w:noWrap w:val="0"/>
            <w:vAlign w:val="center"/>
          </w:tcPr>
          <w:p w14:paraId="3E7B0019">
            <w:pPr>
              <w:jc w:val="center"/>
              <w:outlineLvl w:val="9"/>
              <w:rPr>
                <w:rFonts w:hint="eastAsia" w:ascii="宋体" w:hAnsi="宋体" w:eastAsia="宋体" w:cs="宋体"/>
                <w:color w:val="auto"/>
                <w:sz w:val="21"/>
                <w:szCs w:val="21"/>
                <w:highlight w:val="none"/>
              </w:rPr>
            </w:pPr>
          </w:p>
        </w:tc>
        <w:tc>
          <w:tcPr>
            <w:tcW w:w="385" w:type="pct"/>
            <w:noWrap w:val="0"/>
            <w:vAlign w:val="center"/>
          </w:tcPr>
          <w:p w14:paraId="30ACF2F1">
            <w:pPr>
              <w:jc w:val="center"/>
              <w:outlineLvl w:val="9"/>
              <w:rPr>
                <w:rFonts w:hint="eastAsia" w:ascii="宋体" w:hAnsi="宋体" w:eastAsia="宋体" w:cs="宋体"/>
                <w:color w:val="auto"/>
                <w:sz w:val="21"/>
                <w:szCs w:val="21"/>
                <w:highlight w:val="none"/>
              </w:rPr>
            </w:pPr>
          </w:p>
        </w:tc>
      </w:tr>
      <w:tr w14:paraId="377BFE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34D65F1B">
            <w:pPr>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467" w:type="pct"/>
            <w:noWrap w:val="0"/>
            <w:vAlign w:val="center"/>
          </w:tcPr>
          <w:p w14:paraId="48310C07">
            <w:pPr>
              <w:jc w:val="center"/>
              <w:outlineLvl w:val="9"/>
              <w:rPr>
                <w:rFonts w:hint="eastAsia" w:ascii="宋体" w:hAnsi="宋体" w:eastAsia="宋体" w:cs="宋体"/>
                <w:color w:val="auto"/>
                <w:sz w:val="21"/>
                <w:szCs w:val="21"/>
                <w:highlight w:val="none"/>
              </w:rPr>
            </w:pPr>
          </w:p>
        </w:tc>
        <w:tc>
          <w:tcPr>
            <w:tcW w:w="467" w:type="pct"/>
            <w:noWrap w:val="0"/>
            <w:vAlign w:val="center"/>
          </w:tcPr>
          <w:p w14:paraId="2468A131">
            <w:pPr>
              <w:jc w:val="center"/>
              <w:outlineLvl w:val="9"/>
              <w:rPr>
                <w:rFonts w:hint="eastAsia" w:ascii="宋体" w:hAnsi="宋体" w:eastAsia="宋体" w:cs="宋体"/>
                <w:color w:val="auto"/>
                <w:sz w:val="21"/>
                <w:szCs w:val="21"/>
                <w:highlight w:val="none"/>
              </w:rPr>
            </w:pPr>
          </w:p>
        </w:tc>
        <w:tc>
          <w:tcPr>
            <w:tcW w:w="468" w:type="pct"/>
            <w:noWrap w:val="0"/>
            <w:vAlign w:val="center"/>
          </w:tcPr>
          <w:p w14:paraId="6F5301E5">
            <w:pPr>
              <w:jc w:val="center"/>
              <w:outlineLvl w:val="9"/>
              <w:rPr>
                <w:rFonts w:hint="eastAsia" w:ascii="宋体" w:hAnsi="宋体" w:eastAsia="宋体" w:cs="宋体"/>
                <w:color w:val="auto"/>
                <w:sz w:val="21"/>
                <w:szCs w:val="21"/>
                <w:highlight w:val="none"/>
              </w:rPr>
            </w:pPr>
          </w:p>
        </w:tc>
        <w:tc>
          <w:tcPr>
            <w:tcW w:w="468" w:type="pct"/>
            <w:noWrap w:val="0"/>
            <w:vAlign w:val="center"/>
          </w:tcPr>
          <w:p w14:paraId="11E115A1">
            <w:pPr>
              <w:jc w:val="center"/>
              <w:outlineLvl w:val="9"/>
              <w:rPr>
                <w:rFonts w:hint="eastAsia" w:ascii="宋体" w:hAnsi="宋体" w:eastAsia="宋体" w:cs="宋体"/>
                <w:color w:val="auto"/>
                <w:sz w:val="21"/>
                <w:szCs w:val="21"/>
                <w:highlight w:val="none"/>
              </w:rPr>
            </w:pPr>
          </w:p>
        </w:tc>
        <w:tc>
          <w:tcPr>
            <w:tcW w:w="468" w:type="pct"/>
            <w:noWrap w:val="0"/>
            <w:vAlign w:val="center"/>
          </w:tcPr>
          <w:p w14:paraId="7E1F8FE6">
            <w:pPr>
              <w:jc w:val="center"/>
              <w:outlineLvl w:val="9"/>
              <w:rPr>
                <w:rFonts w:hint="eastAsia" w:ascii="宋体" w:hAnsi="宋体" w:eastAsia="宋体" w:cs="宋体"/>
                <w:color w:val="auto"/>
                <w:sz w:val="21"/>
                <w:szCs w:val="21"/>
                <w:highlight w:val="none"/>
              </w:rPr>
            </w:pPr>
          </w:p>
        </w:tc>
        <w:tc>
          <w:tcPr>
            <w:tcW w:w="545" w:type="pct"/>
            <w:noWrap w:val="0"/>
            <w:vAlign w:val="center"/>
          </w:tcPr>
          <w:p w14:paraId="77E4B3B2">
            <w:pPr>
              <w:jc w:val="center"/>
              <w:outlineLvl w:val="9"/>
              <w:rPr>
                <w:rFonts w:hint="eastAsia" w:ascii="宋体" w:hAnsi="宋体" w:eastAsia="宋体" w:cs="宋体"/>
                <w:color w:val="auto"/>
                <w:sz w:val="21"/>
                <w:szCs w:val="21"/>
                <w:highlight w:val="none"/>
              </w:rPr>
            </w:pPr>
          </w:p>
        </w:tc>
        <w:tc>
          <w:tcPr>
            <w:tcW w:w="468" w:type="pct"/>
            <w:noWrap w:val="0"/>
            <w:vAlign w:val="top"/>
          </w:tcPr>
          <w:p w14:paraId="2ACFD22B">
            <w:pPr>
              <w:jc w:val="center"/>
              <w:outlineLvl w:val="9"/>
              <w:rPr>
                <w:rFonts w:hint="eastAsia" w:ascii="宋体" w:hAnsi="宋体" w:eastAsia="宋体" w:cs="宋体"/>
                <w:color w:val="auto"/>
                <w:sz w:val="21"/>
                <w:szCs w:val="21"/>
                <w:highlight w:val="none"/>
              </w:rPr>
            </w:pPr>
          </w:p>
        </w:tc>
        <w:tc>
          <w:tcPr>
            <w:tcW w:w="468" w:type="pct"/>
            <w:noWrap w:val="0"/>
            <w:vAlign w:val="center"/>
          </w:tcPr>
          <w:p w14:paraId="7A852064">
            <w:pPr>
              <w:jc w:val="center"/>
              <w:outlineLvl w:val="9"/>
              <w:rPr>
                <w:rFonts w:hint="eastAsia" w:ascii="宋体" w:hAnsi="宋体" w:eastAsia="宋体" w:cs="宋体"/>
                <w:color w:val="auto"/>
                <w:sz w:val="21"/>
                <w:szCs w:val="21"/>
                <w:highlight w:val="none"/>
              </w:rPr>
            </w:pPr>
          </w:p>
        </w:tc>
        <w:tc>
          <w:tcPr>
            <w:tcW w:w="468" w:type="pct"/>
            <w:noWrap w:val="0"/>
            <w:vAlign w:val="center"/>
          </w:tcPr>
          <w:p w14:paraId="59481854">
            <w:pPr>
              <w:jc w:val="center"/>
              <w:outlineLvl w:val="9"/>
              <w:rPr>
                <w:rFonts w:hint="eastAsia" w:ascii="宋体" w:hAnsi="宋体" w:eastAsia="宋体" w:cs="宋体"/>
                <w:color w:val="auto"/>
                <w:sz w:val="21"/>
                <w:szCs w:val="21"/>
                <w:highlight w:val="none"/>
              </w:rPr>
            </w:pPr>
          </w:p>
        </w:tc>
        <w:tc>
          <w:tcPr>
            <w:tcW w:w="385" w:type="pct"/>
            <w:noWrap w:val="0"/>
            <w:vAlign w:val="center"/>
          </w:tcPr>
          <w:p w14:paraId="7ED0BB50">
            <w:pPr>
              <w:jc w:val="center"/>
              <w:outlineLvl w:val="9"/>
              <w:rPr>
                <w:rFonts w:hint="eastAsia" w:ascii="宋体" w:hAnsi="宋体" w:eastAsia="宋体" w:cs="宋体"/>
                <w:color w:val="auto"/>
                <w:sz w:val="21"/>
                <w:szCs w:val="21"/>
                <w:highlight w:val="none"/>
              </w:rPr>
            </w:pPr>
          </w:p>
        </w:tc>
      </w:tr>
      <w:tr w14:paraId="3C5C55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48FF85DE">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w:t>
            </w:r>
          </w:p>
        </w:tc>
        <w:tc>
          <w:tcPr>
            <w:tcW w:w="467" w:type="pct"/>
            <w:noWrap w:val="0"/>
            <w:vAlign w:val="center"/>
          </w:tcPr>
          <w:p w14:paraId="3FAAE972">
            <w:pPr>
              <w:jc w:val="center"/>
              <w:outlineLvl w:val="9"/>
              <w:rPr>
                <w:rFonts w:hint="eastAsia" w:ascii="宋体" w:hAnsi="宋体" w:eastAsia="宋体" w:cs="宋体"/>
                <w:color w:val="auto"/>
                <w:sz w:val="21"/>
                <w:szCs w:val="21"/>
                <w:highlight w:val="none"/>
              </w:rPr>
            </w:pPr>
          </w:p>
        </w:tc>
        <w:tc>
          <w:tcPr>
            <w:tcW w:w="467" w:type="pct"/>
            <w:noWrap w:val="0"/>
            <w:vAlign w:val="center"/>
          </w:tcPr>
          <w:p w14:paraId="45683773">
            <w:pPr>
              <w:jc w:val="center"/>
              <w:outlineLvl w:val="9"/>
              <w:rPr>
                <w:rFonts w:hint="eastAsia" w:ascii="宋体" w:hAnsi="宋体" w:eastAsia="宋体" w:cs="宋体"/>
                <w:color w:val="auto"/>
                <w:sz w:val="21"/>
                <w:szCs w:val="21"/>
                <w:highlight w:val="none"/>
              </w:rPr>
            </w:pPr>
          </w:p>
        </w:tc>
        <w:tc>
          <w:tcPr>
            <w:tcW w:w="468" w:type="pct"/>
            <w:noWrap w:val="0"/>
            <w:vAlign w:val="center"/>
          </w:tcPr>
          <w:p w14:paraId="566B1FD3">
            <w:pPr>
              <w:jc w:val="center"/>
              <w:outlineLvl w:val="9"/>
              <w:rPr>
                <w:rFonts w:hint="eastAsia" w:ascii="宋体" w:hAnsi="宋体" w:eastAsia="宋体" w:cs="宋体"/>
                <w:color w:val="auto"/>
                <w:sz w:val="21"/>
                <w:szCs w:val="21"/>
                <w:highlight w:val="none"/>
              </w:rPr>
            </w:pPr>
          </w:p>
        </w:tc>
        <w:tc>
          <w:tcPr>
            <w:tcW w:w="468" w:type="pct"/>
            <w:noWrap w:val="0"/>
            <w:vAlign w:val="center"/>
          </w:tcPr>
          <w:p w14:paraId="7CFAF676">
            <w:pPr>
              <w:jc w:val="center"/>
              <w:outlineLvl w:val="9"/>
              <w:rPr>
                <w:rFonts w:hint="eastAsia" w:ascii="宋体" w:hAnsi="宋体" w:eastAsia="宋体" w:cs="宋体"/>
                <w:color w:val="auto"/>
                <w:sz w:val="21"/>
                <w:szCs w:val="21"/>
                <w:highlight w:val="none"/>
              </w:rPr>
            </w:pPr>
          </w:p>
        </w:tc>
        <w:tc>
          <w:tcPr>
            <w:tcW w:w="468" w:type="pct"/>
            <w:noWrap w:val="0"/>
            <w:vAlign w:val="center"/>
          </w:tcPr>
          <w:p w14:paraId="2D9C4AA9">
            <w:pPr>
              <w:jc w:val="center"/>
              <w:outlineLvl w:val="9"/>
              <w:rPr>
                <w:rFonts w:hint="eastAsia" w:ascii="宋体" w:hAnsi="宋体" w:eastAsia="宋体" w:cs="宋体"/>
                <w:color w:val="auto"/>
                <w:sz w:val="21"/>
                <w:szCs w:val="21"/>
                <w:highlight w:val="none"/>
              </w:rPr>
            </w:pPr>
          </w:p>
        </w:tc>
        <w:tc>
          <w:tcPr>
            <w:tcW w:w="545" w:type="pct"/>
            <w:noWrap w:val="0"/>
            <w:vAlign w:val="center"/>
          </w:tcPr>
          <w:p w14:paraId="3E94A7D5">
            <w:pPr>
              <w:jc w:val="center"/>
              <w:outlineLvl w:val="9"/>
              <w:rPr>
                <w:rFonts w:hint="eastAsia" w:ascii="宋体" w:hAnsi="宋体" w:eastAsia="宋体" w:cs="宋体"/>
                <w:color w:val="auto"/>
                <w:sz w:val="21"/>
                <w:szCs w:val="21"/>
                <w:highlight w:val="none"/>
              </w:rPr>
            </w:pPr>
          </w:p>
        </w:tc>
        <w:tc>
          <w:tcPr>
            <w:tcW w:w="468" w:type="pct"/>
            <w:noWrap w:val="0"/>
            <w:vAlign w:val="top"/>
          </w:tcPr>
          <w:p w14:paraId="65BEA784">
            <w:pPr>
              <w:jc w:val="center"/>
              <w:outlineLvl w:val="9"/>
              <w:rPr>
                <w:rFonts w:hint="eastAsia" w:ascii="宋体" w:hAnsi="宋体" w:eastAsia="宋体" w:cs="宋体"/>
                <w:color w:val="auto"/>
                <w:sz w:val="21"/>
                <w:szCs w:val="21"/>
                <w:highlight w:val="none"/>
              </w:rPr>
            </w:pPr>
          </w:p>
        </w:tc>
        <w:tc>
          <w:tcPr>
            <w:tcW w:w="468" w:type="pct"/>
            <w:noWrap w:val="0"/>
            <w:vAlign w:val="center"/>
          </w:tcPr>
          <w:p w14:paraId="1B3FE457">
            <w:pPr>
              <w:jc w:val="center"/>
              <w:outlineLvl w:val="9"/>
              <w:rPr>
                <w:rFonts w:hint="eastAsia" w:ascii="宋体" w:hAnsi="宋体" w:eastAsia="宋体" w:cs="宋体"/>
                <w:color w:val="auto"/>
                <w:sz w:val="21"/>
                <w:szCs w:val="21"/>
                <w:highlight w:val="none"/>
              </w:rPr>
            </w:pPr>
          </w:p>
        </w:tc>
        <w:tc>
          <w:tcPr>
            <w:tcW w:w="468" w:type="pct"/>
            <w:noWrap w:val="0"/>
            <w:vAlign w:val="center"/>
          </w:tcPr>
          <w:p w14:paraId="711DF6C5">
            <w:pPr>
              <w:jc w:val="center"/>
              <w:outlineLvl w:val="9"/>
              <w:rPr>
                <w:rFonts w:hint="eastAsia" w:ascii="宋体" w:hAnsi="宋体" w:eastAsia="宋体" w:cs="宋体"/>
                <w:color w:val="auto"/>
                <w:sz w:val="21"/>
                <w:szCs w:val="21"/>
                <w:highlight w:val="none"/>
              </w:rPr>
            </w:pPr>
          </w:p>
        </w:tc>
        <w:tc>
          <w:tcPr>
            <w:tcW w:w="385" w:type="pct"/>
            <w:noWrap w:val="0"/>
            <w:vAlign w:val="center"/>
          </w:tcPr>
          <w:p w14:paraId="197B7950">
            <w:pPr>
              <w:jc w:val="center"/>
              <w:outlineLvl w:val="9"/>
              <w:rPr>
                <w:rFonts w:hint="eastAsia" w:ascii="宋体" w:hAnsi="宋体" w:eastAsia="宋体" w:cs="宋体"/>
                <w:color w:val="auto"/>
                <w:sz w:val="21"/>
                <w:szCs w:val="21"/>
                <w:highlight w:val="none"/>
              </w:rPr>
            </w:pPr>
          </w:p>
        </w:tc>
      </w:tr>
    </w:tbl>
    <w:p w14:paraId="7CD850AA">
      <w:pPr>
        <w:spacing w:line="360" w:lineRule="auto"/>
        <w:ind w:left="424" w:hanging="424" w:hangingChars="201"/>
        <w:outlineLvl w:val="9"/>
        <w:rPr>
          <w:rFonts w:hint="eastAsia" w:ascii="宋体" w:hAnsi="宋体" w:eastAsia="宋体" w:cs="宋体"/>
          <w:b/>
          <w:color w:val="auto"/>
          <w:szCs w:val="21"/>
          <w:highlight w:val="none"/>
          <w:lang w:val="zh-CN"/>
        </w:rPr>
      </w:pPr>
    </w:p>
    <w:p w14:paraId="6A1A9D78">
      <w:pPr>
        <w:spacing w:line="360" w:lineRule="auto"/>
        <w:ind w:left="424" w:hanging="424" w:hangingChars="201"/>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资格业绩证明材料提交要求：</w:t>
      </w:r>
    </w:p>
    <w:p w14:paraId="62A9490D">
      <w:pPr>
        <w:spacing w:line="360" w:lineRule="auto"/>
        <w:ind w:left="422" w:hanging="424" w:hangingChars="201"/>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lang w:val="zh-CN"/>
        </w:rPr>
        <w:t>）作为投标人资格条件证明的业绩放置在此处；</w:t>
      </w:r>
    </w:p>
    <w:p w14:paraId="5B5F1624">
      <w:pPr>
        <w:spacing w:line="360" w:lineRule="auto"/>
        <w:ind w:left="422" w:hanging="424" w:hangingChars="201"/>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）业绩须附合同复印件加盖投标人公章；</w:t>
      </w:r>
    </w:p>
    <w:p w14:paraId="4F3E05D7">
      <w:pPr>
        <w:spacing w:line="360" w:lineRule="auto"/>
        <w:ind w:left="422" w:hanging="424" w:hangingChars="201"/>
        <w:outlineLvl w:val="9"/>
        <w:rPr>
          <w:rFonts w:hint="eastAsia" w:ascii="宋体" w:hAnsi="宋体" w:eastAsia="宋体" w:cs="宋体"/>
          <w:color w:val="auto"/>
          <w:szCs w:val="21"/>
          <w:highlight w:val="none"/>
          <w:lang w:val="zh-CN"/>
        </w:rPr>
      </w:pPr>
      <w:r>
        <w:rPr>
          <w:rFonts w:hint="eastAsia" w:ascii="宋体" w:hAnsi="宋体" w:eastAsia="宋体" w:cs="宋体"/>
          <w:b/>
          <w:bCs/>
          <w:color w:val="auto"/>
          <w:szCs w:val="21"/>
          <w:highlight w:val="none"/>
          <w:lang w:val="zh-CN"/>
        </w:rPr>
        <w:t>（</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lang w:val="zh-CN"/>
        </w:rPr>
        <w:t>）合同必须能反映资格要求条件（合同签订日期为202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lang w:val="zh-CN"/>
        </w:rPr>
        <w:t>年1月1日或以后，合同内容须包含厨师劳务服务，劳务派遣项目业绩不予认定），否则，需同时提供合同买方出具的书面补充说明文件复印件作为辅助证明（需加盖合同买方公章，即复印件能显示合同买方公章）；</w:t>
      </w:r>
    </w:p>
    <w:p w14:paraId="5798F764">
      <w:pPr>
        <w:tabs>
          <w:tab w:val="left" w:pos="567"/>
        </w:tabs>
        <w:autoSpaceDE w:val="0"/>
        <w:autoSpaceDN w:val="0"/>
        <w:adjustRightInd w:val="0"/>
        <w:spacing w:line="360" w:lineRule="auto"/>
        <w:ind w:left="422" w:hanging="422" w:hangingChars="200"/>
        <w:jc w:val="left"/>
        <w:outlineLvl w:val="9"/>
        <w:rPr>
          <w:rFonts w:hint="eastAsia" w:ascii="宋体" w:hAnsi="宋体" w:eastAsia="宋体" w:cs="宋体"/>
          <w:b/>
          <w:color w:val="auto"/>
          <w:kern w:val="0"/>
          <w:sz w:val="30"/>
          <w:szCs w:val="30"/>
          <w:highlight w:val="none"/>
        </w:rPr>
      </w:pPr>
      <w:bookmarkStart w:id="532" w:name="_Toc12931"/>
      <w:bookmarkStart w:id="533" w:name="_Toc20010"/>
      <w:bookmarkStart w:id="534" w:name="_Toc24862"/>
      <w:r>
        <w:rPr>
          <w:rFonts w:hint="eastAsia" w:ascii="宋体" w:hAnsi="宋体" w:eastAsia="宋体" w:cs="宋体"/>
          <w:b/>
          <w:color w:val="auto"/>
          <w:szCs w:val="21"/>
          <w:highlight w:val="none"/>
          <w:lang w:val="zh-CN"/>
        </w:rPr>
        <w:t>（</w:t>
      </w:r>
      <w:r>
        <w:rPr>
          <w:rFonts w:hint="eastAsia" w:ascii="宋体" w:hAnsi="宋体" w:eastAsia="宋体" w:cs="宋体"/>
          <w:b/>
          <w:color w:val="auto"/>
          <w:szCs w:val="21"/>
          <w:highlight w:val="none"/>
          <w:lang w:val="en-US" w:eastAsia="zh-CN"/>
        </w:rPr>
        <w:t>4</w:t>
      </w:r>
      <w:r>
        <w:rPr>
          <w:rFonts w:hint="eastAsia" w:ascii="宋体" w:hAnsi="宋体" w:eastAsia="宋体" w:cs="宋体"/>
          <w:b/>
          <w:color w:val="auto"/>
          <w:szCs w:val="21"/>
          <w:highlight w:val="none"/>
          <w:lang w:val="zh-CN"/>
        </w:rPr>
        <w:t>）</w:t>
      </w:r>
      <w:bookmarkEnd w:id="532"/>
      <w:bookmarkEnd w:id="533"/>
      <w:bookmarkEnd w:id="534"/>
      <w:r>
        <w:rPr>
          <w:rFonts w:hint="eastAsia" w:ascii="宋体" w:hAnsi="宋体" w:eastAsia="宋体" w:cs="宋体"/>
          <w:b/>
          <w:color w:val="auto"/>
          <w:szCs w:val="21"/>
          <w:highlight w:val="none"/>
          <w:lang w:val="zh-CN"/>
        </w:rPr>
        <w:t>未按上述要求在此格式下提供证明材料的业绩，或在此格式下所附材料无法证明符合资格要求的业绩，按无效投标文件处理。</w:t>
      </w:r>
    </w:p>
    <w:p w14:paraId="2CB3E243">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2F47AAD">
      <w:pPr>
        <w:tabs>
          <w:tab w:val="left" w:pos="567"/>
        </w:tabs>
        <w:autoSpaceDE w:val="0"/>
        <w:autoSpaceDN w:val="0"/>
        <w:adjustRightInd w:val="0"/>
        <w:spacing w:line="360" w:lineRule="auto"/>
        <w:jc w:val="left"/>
        <w:outlineLvl w:val="2"/>
        <w:rPr>
          <w:rFonts w:hint="eastAsia" w:ascii="宋体" w:hAnsi="宋体" w:eastAsia="宋体" w:cs="宋体"/>
          <w:b/>
          <w:bCs/>
          <w:color w:val="auto"/>
          <w:sz w:val="32"/>
          <w:szCs w:val="32"/>
          <w:highlight w:val="none"/>
          <w:lang w:val="zh-CN"/>
        </w:rPr>
      </w:pPr>
      <w:bookmarkStart w:id="535" w:name="_Toc8121"/>
      <w:bookmarkStart w:id="536" w:name="_Toc21843"/>
      <w:bookmarkStart w:id="537" w:name="_Toc7508"/>
      <w:r>
        <w:rPr>
          <w:rFonts w:hint="eastAsia" w:ascii="宋体" w:hAnsi="宋体" w:eastAsia="宋体" w:cs="宋体"/>
          <w:b/>
          <w:color w:val="auto"/>
          <w:kern w:val="0"/>
          <w:sz w:val="30"/>
          <w:szCs w:val="30"/>
          <w:highlight w:val="none"/>
          <w:lang w:val="en-US" w:eastAsia="zh-CN"/>
        </w:rPr>
        <w:t xml:space="preserve">5.5 </w:t>
      </w:r>
      <w:r>
        <w:rPr>
          <w:rFonts w:hint="eastAsia" w:ascii="宋体" w:hAnsi="宋体" w:eastAsia="宋体" w:cs="宋体"/>
          <w:b/>
          <w:color w:val="auto"/>
          <w:kern w:val="0"/>
          <w:sz w:val="30"/>
          <w:szCs w:val="30"/>
          <w:highlight w:val="none"/>
        </w:rPr>
        <w:t>最近3年投标人牵涉的其他（失信和违法）处罚说明格式</w:t>
      </w:r>
      <w:bookmarkEnd w:id="527"/>
      <w:bookmarkEnd w:id="528"/>
      <w:bookmarkEnd w:id="529"/>
      <w:bookmarkEnd w:id="530"/>
      <w:bookmarkEnd w:id="531"/>
      <w:bookmarkEnd w:id="535"/>
      <w:bookmarkEnd w:id="536"/>
      <w:bookmarkEnd w:id="537"/>
    </w:p>
    <w:p w14:paraId="5CDD53A4">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r>
        <w:rPr>
          <w:rFonts w:hint="eastAsia" w:ascii="宋体" w:hAnsi="宋体" w:eastAsia="宋体" w:cs="宋体"/>
          <w:b/>
          <w:color w:val="auto"/>
          <w:kern w:val="0"/>
          <w:sz w:val="30"/>
          <w:szCs w:val="30"/>
          <w:highlight w:val="none"/>
        </w:rPr>
        <w:t>最近3年投标人牵涉的其他（失信和违法）</w:t>
      </w:r>
      <w:r>
        <w:rPr>
          <w:rFonts w:hint="eastAsia" w:ascii="宋体" w:hAnsi="宋体" w:eastAsia="宋体" w:cs="宋体"/>
          <w:b/>
          <w:bCs/>
          <w:color w:val="auto"/>
          <w:sz w:val="32"/>
          <w:szCs w:val="32"/>
          <w:highlight w:val="none"/>
          <w:lang w:val="zh-CN"/>
        </w:rPr>
        <w:t>处罚说明</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3"/>
        <w:gridCol w:w="1417"/>
        <w:gridCol w:w="2268"/>
        <w:gridCol w:w="1276"/>
      </w:tblGrid>
      <w:tr w14:paraId="66681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4253" w:type="dxa"/>
            <w:vAlign w:val="center"/>
          </w:tcPr>
          <w:p w14:paraId="6098760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事项名称</w:t>
            </w:r>
          </w:p>
        </w:tc>
        <w:tc>
          <w:tcPr>
            <w:tcW w:w="1417" w:type="dxa"/>
            <w:vAlign w:val="center"/>
          </w:tcPr>
          <w:p w14:paraId="58CA894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认定时间</w:t>
            </w:r>
          </w:p>
        </w:tc>
        <w:tc>
          <w:tcPr>
            <w:tcW w:w="2268" w:type="dxa"/>
          </w:tcPr>
          <w:p w14:paraId="7E33B0C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处罚期届满异常名录信息失效时间</w:t>
            </w:r>
          </w:p>
        </w:tc>
        <w:tc>
          <w:tcPr>
            <w:tcW w:w="1276" w:type="dxa"/>
            <w:vAlign w:val="center"/>
          </w:tcPr>
          <w:p w14:paraId="39D8D20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w:t>
            </w:r>
          </w:p>
        </w:tc>
      </w:tr>
      <w:tr w14:paraId="559246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4253" w:type="dxa"/>
            <w:vAlign w:val="center"/>
          </w:tcPr>
          <w:p w14:paraId="142605EE">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是否被认定为失信被执行人</w:t>
            </w:r>
          </w:p>
        </w:tc>
        <w:tc>
          <w:tcPr>
            <w:tcW w:w="1417" w:type="dxa"/>
            <w:vAlign w:val="center"/>
          </w:tcPr>
          <w:p w14:paraId="2A2826D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687D493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27B40F1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0319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4253" w:type="dxa"/>
            <w:vAlign w:val="center"/>
          </w:tcPr>
          <w:p w14:paraId="63997A02">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是否被认定为重大税收违法失信主体</w:t>
            </w:r>
          </w:p>
        </w:tc>
        <w:tc>
          <w:tcPr>
            <w:tcW w:w="1417" w:type="dxa"/>
            <w:vAlign w:val="center"/>
          </w:tcPr>
          <w:p w14:paraId="6D4AEC3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11BBB4F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713F0ED2">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2E5A7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4253" w:type="dxa"/>
            <w:vAlign w:val="center"/>
          </w:tcPr>
          <w:p w14:paraId="46D2D2A8">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是否被认定为</w:t>
            </w:r>
            <w:r>
              <w:rPr>
                <w:rFonts w:hint="eastAsia" w:ascii="宋体" w:hAnsi="宋体" w:eastAsia="宋体" w:cs="宋体"/>
                <w:color w:val="auto"/>
                <w:kern w:val="0"/>
                <w:szCs w:val="21"/>
                <w:highlight w:val="none"/>
                <w:lang w:val="en-US" w:eastAsia="zh-CN"/>
              </w:rPr>
              <w:t>政府采购</w:t>
            </w:r>
            <w:r>
              <w:rPr>
                <w:rFonts w:hint="eastAsia" w:ascii="宋体" w:hAnsi="宋体" w:eastAsia="宋体" w:cs="宋体"/>
                <w:color w:val="auto"/>
                <w:kern w:val="0"/>
                <w:szCs w:val="21"/>
                <w:highlight w:val="none"/>
              </w:rPr>
              <w:t>严重违法失信行为记录名单</w:t>
            </w:r>
          </w:p>
        </w:tc>
        <w:tc>
          <w:tcPr>
            <w:tcW w:w="1417" w:type="dxa"/>
            <w:vAlign w:val="center"/>
          </w:tcPr>
          <w:p w14:paraId="74AD80B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268" w:type="dxa"/>
            <w:vAlign w:val="center"/>
          </w:tcPr>
          <w:p w14:paraId="4439F61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276" w:type="dxa"/>
            <w:vAlign w:val="center"/>
          </w:tcPr>
          <w:p w14:paraId="45D90D8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50D4FBAA">
      <w:pPr>
        <w:autoSpaceDE w:val="0"/>
        <w:autoSpaceDN w:val="0"/>
        <w:adjustRightInd w:val="0"/>
        <w:spacing w:line="360" w:lineRule="auto"/>
        <w:jc w:val="left"/>
        <w:outlineLvl w:val="9"/>
        <w:rPr>
          <w:rFonts w:hint="eastAsia" w:ascii="宋体" w:hAnsi="宋体" w:eastAsia="宋体" w:cs="宋体"/>
          <w:color w:val="auto"/>
          <w:kern w:val="0"/>
          <w:szCs w:val="21"/>
          <w:highlight w:val="none"/>
        </w:rPr>
      </w:pPr>
    </w:p>
    <w:p w14:paraId="4C617022">
      <w:pPr>
        <w:autoSpaceDE w:val="0"/>
        <w:autoSpaceDN w:val="0"/>
        <w:adjustRightInd w:val="0"/>
        <w:spacing w:line="360" w:lineRule="auto"/>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kern w:val="0"/>
          <w:szCs w:val="21"/>
          <w:highlight w:val="none"/>
        </w:rPr>
        <w:t>备注：根据投标人及其不具有独立法人资格的分支机构的实际情况自行编写，无相关事项的，在 “认定时间”列填“无”；若受到相关处罚的应附处罚相关材料复印件；若出现相关处罚的处罚期满,但处罚公示没有及时更新的情况,投标人须提供相关材料(复印件)佐证，需原件备查</w:t>
      </w:r>
      <w:r>
        <w:rPr>
          <w:rFonts w:hint="eastAsia" w:ascii="宋体" w:hAnsi="宋体" w:eastAsia="宋体" w:cs="宋体"/>
          <w:color w:val="auto"/>
          <w:szCs w:val="21"/>
          <w:highlight w:val="none"/>
          <w:lang w:val="zh-CN"/>
        </w:rPr>
        <w:t>。</w:t>
      </w:r>
    </w:p>
    <w:p w14:paraId="6CFD61FB">
      <w:pPr>
        <w:autoSpaceDE w:val="0"/>
        <w:autoSpaceDN w:val="0"/>
        <w:adjustRightInd w:val="0"/>
        <w:ind w:right="-23" w:rightChars="-11"/>
        <w:jc w:val="left"/>
        <w:outlineLvl w:val="9"/>
        <w:rPr>
          <w:rFonts w:hint="eastAsia" w:ascii="宋体" w:hAnsi="宋体" w:eastAsia="宋体" w:cs="宋体"/>
          <w:b/>
          <w:bCs/>
          <w:color w:val="auto"/>
          <w:kern w:val="0"/>
          <w:szCs w:val="21"/>
          <w:highlight w:val="none"/>
          <w:lang w:val="zh-CN"/>
        </w:rPr>
      </w:pPr>
    </w:p>
    <w:p w14:paraId="3FA1BD52">
      <w:pPr>
        <w:autoSpaceDE w:val="0"/>
        <w:autoSpaceDN w:val="0"/>
        <w:adjustRightInd w:val="0"/>
        <w:spacing w:line="360" w:lineRule="auto"/>
        <w:jc w:val="center"/>
        <w:outlineLvl w:val="9"/>
        <w:rPr>
          <w:rFonts w:hint="eastAsia" w:ascii="宋体" w:hAnsi="宋体" w:eastAsia="宋体" w:cs="宋体"/>
          <w:color w:val="auto"/>
          <w:kern w:val="0"/>
          <w:sz w:val="24"/>
          <w:szCs w:val="24"/>
          <w:highlight w:val="none"/>
        </w:rPr>
      </w:pPr>
    </w:p>
    <w:p w14:paraId="5D16F4CC">
      <w:pPr>
        <w:spacing w:line="360" w:lineRule="auto"/>
        <w:ind w:firstLine="494" w:firstLineChars="206"/>
        <w:outlineLvl w:val="9"/>
        <w:rPr>
          <w:rFonts w:hint="eastAsia" w:ascii="宋体" w:hAnsi="宋体" w:eastAsia="宋体" w:cs="宋体"/>
          <w:color w:val="auto"/>
          <w:kern w:val="0"/>
          <w:sz w:val="24"/>
          <w:szCs w:val="24"/>
          <w:highlight w:val="none"/>
        </w:rPr>
      </w:pPr>
    </w:p>
    <w:p w14:paraId="50F98C66">
      <w:pPr>
        <w:spacing w:line="360" w:lineRule="auto"/>
        <w:ind w:firstLine="494" w:firstLineChars="206"/>
        <w:outlineLvl w:val="9"/>
        <w:rPr>
          <w:rFonts w:hint="eastAsia" w:ascii="宋体" w:hAnsi="宋体" w:eastAsia="宋体" w:cs="宋体"/>
          <w:color w:val="auto"/>
          <w:kern w:val="0"/>
          <w:sz w:val="24"/>
          <w:szCs w:val="24"/>
          <w:highlight w:val="none"/>
        </w:rPr>
      </w:pPr>
    </w:p>
    <w:p w14:paraId="3BAFDAC2">
      <w:pPr>
        <w:spacing w:line="360" w:lineRule="auto"/>
        <w:ind w:firstLine="494" w:firstLineChars="206"/>
        <w:outlineLvl w:val="9"/>
        <w:rPr>
          <w:rFonts w:hint="eastAsia" w:ascii="宋体" w:hAnsi="宋体" w:eastAsia="宋体" w:cs="宋体"/>
          <w:color w:val="auto"/>
          <w:kern w:val="0"/>
          <w:sz w:val="24"/>
          <w:szCs w:val="24"/>
          <w:highlight w:val="none"/>
        </w:rPr>
      </w:pPr>
    </w:p>
    <w:p w14:paraId="2BC9198B">
      <w:pPr>
        <w:spacing w:line="360" w:lineRule="auto"/>
        <w:ind w:right="368" w:rightChars="175" w:firstLine="5460" w:firstLineChars="2600"/>
        <w:jc w:val="left"/>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71CA7D53">
      <w:pPr>
        <w:autoSpaceDE w:val="0"/>
        <w:autoSpaceDN w:val="0"/>
        <w:adjustRightInd w:val="0"/>
        <w:spacing w:line="360" w:lineRule="auto"/>
        <w:ind w:right="781" w:rightChars="372" w:firstLine="2811" w:firstLineChars="1339"/>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日  期：   年  月  日</w:t>
      </w:r>
    </w:p>
    <w:p w14:paraId="399373B9">
      <w:pPr>
        <w:outlineLvl w:val="9"/>
        <w:rPr>
          <w:rFonts w:hint="eastAsia" w:ascii="宋体" w:hAnsi="宋体" w:eastAsia="宋体" w:cs="宋体"/>
          <w:color w:val="auto"/>
          <w:szCs w:val="24"/>
          <w:highlight w:val="none"/>
          <w:lang w:val="zh-CN"/>
        </w:rPr>
      </w:pPr>
      <w:bookmarkStart w:id="538" w:name="_Toc486167714"/>
      <w:bookmarkStart w:id="539" w:name="_Toc30939"/>
      <w:bookmarkStart w:id="540" w:name="_Toc533708126"/>
      <w:bookmarkStart w:id="541" w:name="_Toc102860423"/>
      <w:bookmarkStart w:id="542" w:name="_Toc104991881"/>
      <w:bookmarkStart w:id="543" w:name="_Toc2031_WPSOffice_Level2"/>
      <w:bookmarkStart w:id="544" w:name="_Toc142508374"/>
      <w:bookmarkStart w:id="545" w:name="_Toc1977731"/>
      <w:bookmarkStart w:id="546" w:name="_Toc140596934"/>
      <w:bookmarkStart w:id="547" w:name="_Toc6412"/>
      <w:bookmarkStart w:id="548" w:name="_Toc94107215"/>
      <w:bookmarkStart w:id="549" w:name="_Toc102860079"/>
      <w:r>
        <w:rPr>
          <w:rFonts w:hint="eastAsia" w:ascii="宋体" w:hAnsi="宋体" w:eastAsia="宋体" w:cs="宋体"/>
          <w:color w:val="auto"/>
          <w:szCs w:val="24"/>
          <w:highlight w:val="none"/>
          <w:lang w:val="zh-CN"/>
        </w:rPr>
        <w:br w:type="page"/>
      </w:r>
    </w:p>
    <w:p w14:paraId="777C7DAC">
      <w:pPr>
        <w:tabs>
          <w:tab w:val="left" w:pos="567"/>
        </w:tabs>
        <w:autoSpaceDE w:val="0"/>
        <w:autoSpaceDN w:val="0"/>
        <w:adjustRightInd w:val="0"/>
        <w:spacing w:line="360" w:lineRule="auto"/>
        <w:jc w:val="left"/>
        <w:outlineLvl w:val="1"/>
        <w:rPr>
          <w:rFonts w:hint="eastAsia" w:ascii="宋体" w:hAnsi="宋体" w:eastAsia="宋体" w:cs="宋体"/>
          <w:color w:val="auto"/>
          <w:kern w:val="0"/>
          <w:szCs w:val="21"/>
          <w:highlight w:val="none"/>
          <w:u w:val="single"/>
        </w:rPr>
      </w:pPr>
      <w:bookmarkStart w:id="550" w:name="_Toc17508"/>
      <w:r>
        <w:rPr>
          <w:rFonts w:hint="eastAsia" w:ascii="宋体" w:hAnsi="宋体" w:eastAsia="宋体" w:cs="宋体"/>
          <w:b/>
          <w:color w:val="auto"/>
          <w:sz w:val="32"/>
          <w:szCs w:val="32"/>
          <w:highlight w:val="none"/>
          <w:lang w:val="en-US" w:eastAsia="zh-CN"/>
        </w:rPr>
        <w:t>六</w:t>
      </w:r>
      <w:r>
        <w:rPr>
          <w:rFonts w:hint="eastAsia" w:ascii="宋体" w:hAnsi="宋体" w:eastAsia="宋体" w:cs="宋体"/>
          <w:b/>
          <w:color w:val="auto"/>
          <w:kern w:val="0"/>
          <w:sz w:val="32"/>
          <w:szCs w:val="32"/>
          <w:highlight w:val="none"/>
        </w:rPr>
        <w:t>、投标人基本情况一览表</w:t>
      </w:r>
      <w:bookmarkEnd w:id="538"/>
      <w:bookmarkEnd w:id="539"/>
      <w:bookmarkEnd w:id="540"/>
      <w:bookmarkEnd w:id="541"/>
      <w:bookmarkEnd w:id="542"/>
      <w:bookmarkEnd w:id="543"/>
      <w:bookmarkEnd w:id="544"/>
      <w:bookmarkEnd w:id="545"/>
      <w:bookmarkEnd w:id="546"/>
      <w:bookmarkEnd w:id="547"/>
      <w:bookmarkEnd w:id="548"/>
      <w:bookmarkEnd w:id="549"/>
      <w:bookmarkEnd w:id="550"/>
    </w:p>
    <w:p w14:paraId="64CDB7FB">
      <w:pPr>
        <w:autoSpaceDE w:val="0"/>
        <w:autoSpaceDN w:val="0"/>
        <w:adjustRightInd w:val="0"/>
        <w:spacing w:line="360" w:lineRule="auto"/>
        <w:jc w:val="center"/>
        <w:outlineLvl w:val="9"/>
        <w:rPr>
          <w:rFonts w:hint="eastAsia" w:ascii="宋体" w:hAnsi="宋体" w:eastAsia="宋体" w:cs="宋体"/>
          <w:b/>
          <w:bCs/>
          <w:color w:val="auto"/>
          <w:sz w:val="30"/>
          <w:szCs w:val="30"/>
          <w:highlight w:val="none"/>
        </w:rPr>
      </w:pPr>
      <w:bookmarkStart w:id="551" w:name="_Toc2773_WPSOffice_Level3"/>
      <w:r>
        <w:rPr>
          <w:rFonts w:hint="eastAsia" w:ascii="宋体" w:hAnsi="宋体" w:eastAsia="宋体" w:cs="宋体"/>
          <w:b/>
          <w:bCs/>
          <w:color w:val="auto"/>
          <w:sz w:val="30"/>
          <w:szCs w:val="30"/>
          <w:highlight w:val="none"/>
          <w:lang w:val="zh-CN"/>
        </w:rPr>
        <w:t>投标人基本情况一览表</w:t>
      </w:r>
      <w:bookmarkEnd w:id="551"/>
    </w:p>
    <w:p w14:paraId="43B971C9">
      <w:pPr>
        <w:autoSpaceDE w:val="0"/>
        <w:autoSpaceDN w:val="0"/>
        <w:adjustRightInd w:val="0"/>
        <w:spacing w:line="360" w:lineRule="auto"/>
        <w:ind w:firstLine="42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1．名称及概况：</w:t>
      </w:r>
    </w:p>
    <w:p w14:paraId="7896F34D">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（1）投标人名称：________________________________________</w:t>
      </w:r>
    </w:p>
    <w:p w14:paraId="69A3C2EF">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（2）总部地址：__________________________________________</w:t>
      </w:r>
    </w:p>
    <w:p w14:paraId="39353F55">
      <w:pPr>
        <w:autoSpaceDE w:val="0"/>
        <w:autoSpaceDN w:val="0"/>
        <w:adjustRightInd w:val="0"/>
        <w:spacing w:line="360" w:lineRule="auto"/>
        <w:ind w:firstLine="66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邮政编码：__________________________________________</w:t>
      </w:r>
    </w:p>
    <w:p w14:paraId="65E3EA68">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电话号码：__________________________________________ </w:t>
      </w:r>
    </w:p>
    <w:p w14:paraId="52153970">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 xml:space="preserve">     传真号码：__________________________________________ </w:t>
      </w:r>
    </w:p>
    <w:p w14:paraId="13F264C5">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（3）成立和／或注册日期：________________________________</w:t>
      </w:r>
    </w:p>
    <w:p w14:paraId="4293FEF0">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（4）法人代表：_____________________________________ ____</w:t>
      </w:r>
    </w:p>
    <w:p w14:paraId="4A343B75">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（5）开户银行：__________________________________________</w:t>
      </w:r>
    </w:p>
    <w:p w14:paraId="254ED793">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（6）开户账号：__________________________________________</w:t>
      </w:r>
    </w:p>
    <w:p w14:paraId="42E57DE2">
      <w:pPr>
        <w:autoSpaceDE w:val="0"/>
        <w:autoSpaceDN w:val="0"/>
        <w:adjustRightInd w:val="0"/>
        <w:spacing w:line="360" w:lineRule="auto"/>
        <w:ind w:firstLine="42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（7）注册资金：__________________________________________</w:t>
      </w:r>
    </w:p>
    <w:p w14:paraId="1D3548E3">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（8）主要负责人姓名：____________________________________</w:t>
      </w:r>
    </w:p>
    <w:p w14:paraId="17840FEC">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（9）项目主要联系人（姓名、职务、通讯）：_________________   </w:t>
      </w:r>
    </w:p>
    <w:p w14:paraId="2843F718">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（10）在中国的代表的姓名和地址（如有）：__________________</w:t>
      </w:r>
    </w:p>
    <w:p w14:paraId="54E60F70">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2．供征询之银行的名称和地址：____________________________</w:t>
      </w:r>
    </w:p>
    <w:p w14:paraId="591E665A">
      <w:pPr>
        <w:autoSpaceDE w:val="0"/>
        <w:autoSpaceDN w:val="0"/>
        <w:adjustRightInd w:val="0"/>
        <w:spacing w:line="360" w:lineRule="auto"/>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 xml:space="preserve">    3．公司所隶属之国际集团名称（如果是）____________________</w:t>
      </w:r>
    </w:p>
    <w:p w14:paraId="36411FBA">
      <w:pPr>
        <w:autoSpaceDE w:val="0"/>
        <w:autoSpaceDN w:val="0"/>
        <w:adjustRightInd w:val="0"/>
        <w:spacing w:line="360" w:lineRule="auto"/>
        <w:ind w:firstLine="420"/>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4. 提交资料（包括但不限于组织架构、公司简介等）：</w:t>
      </w:r>
    </w:p>
    <w:p w14:paraId="620B23AD">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（1）公司简介；</w:t>
      </w:r>
    </w:p>
    <w:p w14:paraId="1893B8C1">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__________________________________________________</w:t>
      </w:r>
    </w:p>
    <w:p w14:paraId="764E2071">
      <w:pPr>
        <w:autoSpaceDE w:val="0"/>
        <w:autoSpaceDN w:val="0"/>
        <w:adjustRightInd w:val="0"/>
        <w:spacing w:line="360" w:lineRule="auto"/>
        <w:ind w:firstLine="630" w:firstLineChars="3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（2）公司组织架构；</w:t>
      </w:r>
    </w:p>
    <w:p w14:paraId="1B2C669D">
      <w:pPr>
        <w:autoSpaceDE w:val="0"/>
        <w:autoSpaceDN w:val="0"/>
        <w:adjustRightInd w:val="0"/>
        <w:spacing w:line="360" w:lineRule="auto"/>
        <w:ind w:firstLine="1155" w:firstLineChars="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_______________________________________________</w:t>
      </w:r>
      <w:r>
        <w:rPr>
          <w:rFonts w:hint="eastAsia" w:ascii="宋体" w:hAnsi="宋体" w:eastAsia="宋体" w:cs="宋体"/>
          <w:color w:val="auto"/>
          <w:szCs w:val="24"/>
          <w:highlight w:val="none"/>
          <w:u w:val="single"/>
          <w:lang w:val="zh-CN"/>
        </w:rPr>
        <w:t xml:space="preserve">__ </w:t>
      </w:r>
    </w:p>
    <w:p w14:paraId="5FBC2E97">
      <w:pPr>
        <w:autoSpaceDE w:val="0"/>
        <w:autoSpaceDN w:val="0"/>
        <w:adjustRightInd w:val="0"/>
        <w:spacing w:line="360" w:lineRule="auto"/>
        <w:ind w:left="836" w:leftChars="137" w:hanging="548" w:hangingChars="261"/>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（3）东莞市内设有分支机构情况介绍[应提供该分支机构的多证合一营业执照复印件等证明材料]（若无前述分支机构的无需介绍）。</w:t>
      </w:r>
    </w:p>
    <w:p w14:paraId="0614FD50">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兹证明上述说明是真实、正确的，并提供了全部能提供的资料和数据，我们同意遵照贵方要求出示有关证明文件。</w:t>
      </w:r>
    </w:p>
    <w:p w14:paraId="7EBA3650">
      <w:pPr>
        <w:autoSpaceDE w:val="0"/>
        <w:autoSpaceDN w:val="0"/>
        <w:adjustRightInd w:val="0"/>
        <w:spacing w:line="360" w:lineRule="auto"/>
        <w:ind w:firstLine="420" w:firstLineChars="200"/>
        <w:outlineLvl w:val="9"/>
        <w:rPr>
          <w:rFonts w:hint="eastAsia" w:ascii="宋体" w:hAnsi="宋体" w:eastAsia="宋体" w:cs="宋体"/>
          <w:color w:val="auto"/>
          <w:szCs w:val="24"/>
          <w:highlight w:val="none"/>
        </w:rPr>
      </w:pPr>
    </w:p>
    <w:p w14:paraId="39CEE69F">
      <w:pPr>
        <w:autoSpaceDE w:val="0"/>
        <w:autoSpaceDN w:val="0"/>
        <w:adjustRightInd w:val="0"/>
        <w:spacing w:line="360" w:lineRule="auto"/>
        <w:ind w:right="368" w:rightChars="175"/>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lang w:val="zh-CN"/>
        </w:rPr>
        <w:t>投标人</w:t>
      </w:r>
      <w:r>
        <w:rPr>
          <w:rFonts w:hint="eastAsia" w:ascii="宋体" w:hAnsi="宋体" w:eastAsia="宋体" w:cs="宋体"/>
          <w:color w:val="auto"/>
          <w:szCs w:val="21"/>
          <w:highlight w:val="none"/>
          <w:lang w:val="zh-CN"/>
        </w:rPr>
        <w:t>：</w:t>
      </w:r>
      <w:r>
        <w:rPr>
          <w:rFonts w:hint="eastAsia" w:ascii="宋体" w:hAnsi="宋体" w:eastAsia="宋体" w:cs="宋体"/>
          <w:color w:val="auto"/>
          <w:kern w:val="0"/>
          <w:szCs w:val="21"/>
          <w:highlight w:val="none"/>
          <w:lang w:val="zh-CN"/>
        </w:rPr>
        <w:t>（加盖投标人法人公章）</w:t>
      </w:r>
    </w:p>
    <w:p w14:paraId="54497712">
      <w:pPr>
        <w:autoSpaceDE w:val="0"/>
        <w:autoSpaceDN w:val="0"/>
        <w:adjustRightInd w:val="0"/>
        <w:spacing w:line="360" w:lineRule="auto"/>
        <w:ind w:right="368" w:rightChars="175" w:firstLine="6237"/>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413F9341">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r>
        <w:rPr>
          <w:rFonts w:hint="eastAsia" w:ascii="宋体" w:hAnsi="宋体" w:eastAsia="宋体" w:cs="宋体"/>
          <w:color w:val="auto"/>
          <w:szCs w:val="24"/>
          <w:highlight w:val="none"/>
          <w:lang w:val="zh-CN"/>
        </w:rPr>
        <w:br w:type="page"/>
      </w:r>
      <w:bookmarkStart w:id="552" w:name="_Toc102860424"/>
      <w:bookmarkStart w:id="553" w:name="_Toc104991882"/>
      <w:bookmarkStart w:id="554" w:name="_Toc94107216"/>
      <w:bookmarkStart w:id="555" w:name="_Toc10443"/>
      <w:bookmarkStart w:id="556" w:name="_Toc142508375"/>
      <w:bookmarkStart w:id="557" w:name="_Toc102860080"/>
      <w:bookmarkStart w:id="558" w:name="_Toc29014"/>
      <w:bookmarkStart w:id="559" w:name="_Toc140596935"/>
      <w:bookmarkStart w:id="560" w:name="_Toc4023"/>
      <w:bookmarkStart w:id="561" w:name="_Toc1977733"/>
      <w:bookmarkStart w:id="562" w:name="_Toc486167715"/>
      <w:bookmarkStart w:id="563" w:name="_Toc533708128"/>
      <w:bookmarkStart w:id="564" w:name="_Toc9051_WPSOffice_Level2"/>
      <w:r>
        <w:rPr>
          <w:rFonts w:hint="eastAsia" w:ascii="宋体" w:hAnsi="宋体" w:eastAsia="宋体" w:cs="宋体"/>
          <w:b/>
          <w:color w:val="auto"/>
          <w:sz w:val="32"/>
          <w:szCs w:val="32"/>
          <w:highlight w:val="none"/>
          <w:lang w:val="en-US" w:eastAsia="zh-CN"/>
        </w:rPr>
        <w:t>七</w:t>
      </w:r>
      <w:r>
        <w:rPr>
          <w:rFonts w:hint="eastAsia" w:ascii="宋体" w:hAnsi="宋体" w:eastAsia="宋体" w:cs="宋体"/>
          <w:b/>
          <w:color w:val="auto"/>
          <w:sz w:val="32"/>
          <w:szCs w:val="32"/>
          <w:highlight w:val="none"/>
          <w:lang w:val="zh-CN"/>
        </w:rPr>
        <w:t>、投标人财务状况表格式</w:t>
      </w:r>
      <w:bookmarkEnd w:id="552"/>
      <w:bookmarkEnd w:id="553"/>
      <w:bookmarkEnd w:id="554"/>
      <w:bookmarkEnd w:id="555"/>
      <w:bookmarkEnd w:id="556"/>
      <w:bookmarkEnd w:id="557"/>
      <w:bookmarkEnd w:id="558"/>
      <w:bookmarkEnd w:id="559"/>
      <w:bookmarkEnd w:id="560"/>
    </w:p>
    <w:p w14:paraId="38DAEDDD">
      <w:pPr>
        <w:autoSpaceDE w:val="0"/>
        <w:autoSpaceDN w:val="0"/>
        <w:adjustRightInd w:val="0"/>
        <w:spacing w:line="360" w:lineRule="auto"/>
        <w:jc w:val="cente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t xml:space="preserve">投标人财务状况表 </w:t>
      </w:r>
    </w:p>
    <w:p w14:paraId="3BF90D9C">
      <w:pPr>
        <w:autoSpaceDE w:val="0"/>
        <w:autoSpaceDN w:val="0"/>
        <w:adjustRightInd w:val="0"/>
        <w:spacing w:line="360" w:lineRule="auto"/>
        <w:jc w:val="righ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[价格单位：（人民币）元]</w:t>
      </w:r>
    </w:p>
    <w:tbl>
      <w:tblPr>
        <w:tblStyle w:val="3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66"/>
        <w:gridCol w:w="1944"/>
        <w:gridCol w:w="1946"/>
        <w:gridCol w:w="2713"/>
        <w:gridCol w:w="2060"/>
      </w:tblGrid>
      <w:tr w14:paraId="4F7BE4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4320AFB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  度</w:t>
            </w:r>
          </w:p>
        </w:tc>
        <w:tc>
          <w:tcPr>
            <w:tcW w:w="1944" w:type="dxa"/>
            <w:vAlign w:val="center"/>
          </w:tcPr>
          <w:p w14:paraId="5C7A8808">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总资产（元）</w:t>
            </w:r>
          </w:p>
        </w:tc>
        <w:tc>
          <w:tcPr>
            <w:tcW w:w="1946" w:type="dxa"/>
            <w:vAlign w:val="center"/>
          </w:tcPr>
          <w:p w14:paraId="4E701E3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净资产（元）</w:t>
            </w:r>
          </w:p>
        </w:tc>
        <w:tc>
          <w:tcPr>
            <w:tcW w:w="2713" w:type="dxa"/>
            <w:vAlign w:val="center"/>
          </w:tcPr>
          <w:p w14:paraId="1252D8F9">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年营业额（元）</w:t>
            </w:r>
          </w:p>
        </w:tc>
        <w:tc>
          <w:tcPr>
            <w:tcW w:w="2060" w:type="dxa"/>
            <w:vAlign w:val="center"/>
          </w:tcPr>
          <w:p w14:paraId="7A91243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年净利润（元）</w:t>
            </w:r>
          </w:p>
        </w:tc>
      </w:tr>
      <w:tr w14:paraId="01E7BD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atLeast"/>
          <w:jc w:val="center"/>
        </w:trPr>
        <w:tc>
          <w:tcPr>
            <w:tcW w:w="1166" w:type="dxa"/>
            <w:vAlign w:val="center"/>
          </w:tcPr>
          <w:p w14:paraId="7201ED7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2021</w:t>
            </w:r>
          </w:p>
        </w:tc>
        <w:tc>
          <w:tcPr>
            <w:tcW w:w="1944" w:type="dxa"/>
            <w:vAlign w:val="center"/>
          </w:tcPr>
          <w:p w14:paraId="2346438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79B2F9E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vAlign w:val="center"/>
          </w:tcPr>
          <w:p w14:paraId="4527A8D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53E8847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3646806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68C385F5">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2022</w:t>
            </w:r>
          </w:p>
        </w:tc>
        <w:tc>
          <w:tcPr>
            <w:tcW w:w="1944" w:type="dxa"/>
            <w:vAlign w:val="center"/>
          </w:tcPr>
          <w:p w14:paraId="491FC77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7B085917">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20E13C0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29DFA9D1">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58A32B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166" w:type="dxa"/>
            <w:vAlign w:val="center"/>
          </w:tcPr>
          <w:p w14:paraId="7947B374">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2023</w:t>
            </w:r>
          </w:p>
        </w:tc>
        <w:tc>
          <w:tcPr>
            <w:tcW w:w="1944" w:type="dxa"/>
            <w:vAlign w:val="center"/>
          </w:tcPr>
          <w:p w14:paraId="74B082D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1946" w:type="dxa"/>
            <w:vAlign w:val="center"/>
          </w:tcPr>
          <w:p w14:paraId="62F619ED">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713" w:type="dxa"/>
          </w:tcPr>
          <w:p w14:paraId="6846356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68DC11FA">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r w14:paraId="1C5F5C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5056" w:type="dxa"/>
            <w:gridSpan w:val="3"/>
            <w:vAlign w:val="center"/>
          </w:tcPr>
          <w:p w14:paraId="49B71B4E">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总计</w:t>
            </w:r>
          </w:p>
        </w:tc>
        <w:tc>
          <w:tcPr>
            <w:tcW w:w="2713" w:type="dxa"/>
          </w:tcPr>
          <w:p w14:paraId="7A623EFC">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c>
          <w:tcPr>
            <w:tcW w:w="2060" w:type="dxa"/>
            <w:vAlign w:val="center"/>
          </w:tcPr>
          <w:p w14:paraId="01ACE0D3">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p>
        </w:tc>
      </w:tr>
    </w:tbl>
    <w:p w14:paraId="35D6A2E5">
      <w:pPr>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备注：需提供对应年度经独立会计师事务所审计的审计报告及投标人财务状况表；若投标人为新成立或未进行独立会计师事务所审计的，本表中对应年度的财务信息应填写“/”，投标人的投标文件不作无效投标处理，但存在因不符合评标办法中的评分标准而导致对应项不得分。</w:t>
      </w:r>
    </w:p>
    <w:p w14:paraId="581C3DEE">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30A6ABF6">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lang w:val="zh-CN"/>
        </w:rPr>
      </w:pPr>
    </w:p>
    <w:p w14:paraId="18E27EBC">
      <w:pPr>
        <w:autoSpaceDE w:val="0"/>
        <w:autoSpaceDN w:val="0"/>
        <w:adjustRightInd w:val="0"/>
        <w:spacing w:line="360" w:lineRule="auto"/>
        <w:ind w:firstLine="5409" w:firstLineChars="25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投标人：（加盖投标人</w:t>
      </w:r>
      <w:r>
        <w:rPr>
          <w:rFonts w:hint="eastAsia" w:ascii="宋体" w:hAnsi="宋体" w:eastAsia="宋体" w:cs="宋体"/>
          <w:color w:val="auto"/>
          <w:szCs w:val="24"/>
          <w:highlight w:val="none"/>
        </w:rPr>
        <w:t>法人</w:t>
      </w:r>
      <w:r>
        <w:rPr>
          <w:rFonts w:hint="eastAsia" w:ascii="宋体" w:hAnsi="宋体" w:eastAsia="宋体" w:cs="宋体"/>
          <w:color w:val="auto"/>
          <w:szCs w:val="24"/>
          <w:highlight w:val="none"/>
          <w:lang w:val="zh-CN"/>
        </w:rPr>
        <w:t>公章）</w:t>
      </w:r>
    </w:p>
    <w:p w14:paraId="10675820">
      <w:pPr>
        <w:autoSpaceDE w:val="0"/>
        <w:autoSpaceDN w:val="0"/>
        <w:adjustRightInd w:val="0"/>
        <w:spacing w:line="360" w:lineRule="auto"/>
        <w:ind w:firstLine="6249" w:firstLineChars="2976"/>
        <w:outlineLvl w:val="9"/>
        <w:rPr>
          <w:rFonts w:hint="eastAsia" w:ascii="宋体" w:hAnsi="宋体" w:eastAsia="宋体" w:cs="宋体"/>
          <w:color w:val="auto"/>
          <w:szCs w:val="24"/>
          <w:highlight w:val="none"/>
          <w:u w:val="single"/>
        </w:rPr>
      </w:pPr>
      <w:r>
        <w:rPr>
          <w:rFonts w:hint="eastAsia" w:ascii="宋体" w:hAnsi="宋体" w:eastAsia="宋体" w:cs="宋体"/>
          <w:color w:val="auto"/>
          <w:szCs w:val="24"/>
          <w:highlight w:val="none"/>
          <w:lang w:val="zh-CN"/>
        </w:rPr>
        <w:t>日期：</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年</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lang w:val="zh-CN"/>
        </w:rPr>
        <w:t>月</w:t>
      </w:r>
      <w:r>
        <w:rPr>
          <w:rFonts w:hint="eastAsia" w:ascii="宋体" w:hAnsi="宋体" w:eastAsia="宋体" w:cs="宋体"/>
          <w:color w:val="auto"/>
          <w:szCs w:val="24"/>
          <w:highlight w:val="none"/>
          <w:u w:val="single"/>
          <w:lang w:val="zh-CN"/>
        </w:rPr>
        <w:t xml:space="preserve">  </w:t>
      </w:r>
      <w:r>
        <w:rPr>
          <w:rFonts w:hint="eastAsia" w:ascii="宋体" w:hAnsi="宋体" w:eastAsia="宋体" w:cs="宋体"/>
          <w:color w:val="auto"/>
          <w:szCs w:val="24"/>
          <w:highlight w:val="none"/>
          <w:u w:val="single"/>
        </w:rPr>
        <w:t>日</w:t>
      </w:r>
    </w:p>
    <w:p w14:paraId="5B8DBEFA">
      <w:pPr>
        <w:pStyle w:val="2"/>
        <w:rPr>
          <w:rFonts w:hint="eastAsia" w:ascii="宋体" w:hAnsi="宋体" w:eastAsia="宋体" w:cs="宋体"/>
          <w:color w:val="auto"/>
          <w:szCs w:val="24"/>
          <w:highlight w:val="none"/>
          <w:u w:val="single"/>
        </w:rPr>
      </w:pPr>
    </w:p>
    <w:p w14:paraId="469DF2B1">
      <w:pPr>
        <w:pStyle w:val="2"/>
        <w:rPr>
          <w:rFonts w:hint="eastAsia" w:ascii="宋体" w:hAnsi="宋体" w:eastAsia="宋体" w:cs="宋体"/>
          <w:color w:val="auto"/>
          <w:szCs w:val="24"/>
          <w:highlight w:val="none"/>
          <w:u w:val="single"/>
        </w:rPr>
        <w:sectPr>
          <w:footerReference r:id="rId11" w:type="default"/>
          <w:pgSz w:w="11907" w:h="16840"/>
          <w:pgMar w:top="1191" w:right="1043" w:bottom="1191" w:left="1043" w:header="720" w:footer="720" w:gutter="0"/>
          <w:cols w:space="720" w:num="1"/>
          <w:titlePg/>
          <w:docGrid w:linePitch="326" w:charSpace="0"/>
        </w:sectPr>
      </w:pPr>
    </w:p>
    <w:bookmarkEnd w:id="561"/>
    <w:bookmarkEnd w:id="562"/>
    <w:bookmarkEnd w:id="563"/>
    <w:bookmarkEnd w:id="564"/>
    <w:p w14:paraId="2480BBA1">
      <w:pPr>
        <w:tabs>
          <w:tab w:val="left" w:pos="567"/>
        </w:tabs>
        <w:autoSpaceDE w:val="0"/>
        <w:autoSpaceDN w:val="0"/>
        <w:adjustRightInd w:val="0"/>
        <w:spacing w:line="360" w:lineRule="auto"/>
        <w:ind w:left="0" w:leftChars="0" w:firstLine="0"/>
        <w:jc w:val="left"/>
        <w:outlineLvl w:val="2"/>
        <w:rPr>
          <w:rFonts w:hint="eastAsia" w:ascii="宋体" w:hAnsi="宋体" w:eastAsia="宋体" w:cs="宋体"/>
          <w:b/>
          <w:color w:val="auto"/>
          <w:kern w:val="0"/>
          <w:sz w:val="32"/>
          <w:szCs w:val="32"/>
          <w:highlight w:val="none"/>
        </w:rPr>
      </w:pPr>
      <w:bookmarkStart w:id="565" w:name="_Toc142508376"/>
      <w:bookmarkStart w:id="566" w:name="_Toc104991883"/>
      <w:bookmarkStart w:id="567" w:name="_Toc486167716"/>
      <w:bookmarkStart w:id="568" w:name="_Toc102860425"/>
      <w:bookmarkStart w:id="569" w:name="_Toc140596936"/>
      <w:bookmarkStart w:id="570" w:name="_Toc102860081"/>
      <w:bookmarkStart w:id="571" w:name="_Toc17995"/>
      <w:bookmarkStart w:id="572" w:name="_Toc333"/>
      <w:bookmarkStart w:id="573" w:name="_Toc739_WPSOffice_Level2"/>
      <w:bookmarkStart w:id="574" w:name="_Toc1977736"/>
      <w:bookmarkStart w:id="575" w:name="_Toc94107217"/>
      <w:bookmarkStart w:id="576" w:name="_Toc26821"/>
      <w:bookmarkStart w:id="577" w:name="_Toc533708130"/>
      <w:r>
        <w:rPr>
          <w:rFonts w:hint="eastAsia" w:ascii="宋体" w:hAnsi="宋体" w:eastAsia="宋体" w:cs="宋体"/>
          <w:b/>
          <w:color w:val="auto"/>
          <w:kern w:val="0"/>
          <w:sz w:val="32"/>
          <w:szCs w:val="32"/>
          <w:highlight w:val="none"/>
          <w:lang w:val="en-US" w:eastAsia="zh-CN"/>
        </w:rPr>
        <w:t>八</w:t>
      </w:r>
      <w:r>
        <w:rPr>
          <w:rFonts w:hint="eastAsia" w:ascii="宋体" w:hAnsi="宋体" w:eastAsia="宋体" w:cs="宋体"/>
          <w:b/>
          <w:color w:val="auto"/>
          <w:kern w:val="0"/>
          <w:sz w:val="32"/>
          <w:szCs w:val="32"/>
          <w:highlight w:val="none"/>
        </w:rPr>
        <w:t>、</w:t>
      </w:r>
      <w:r>
        <w:rPr>
          <w:rFonts w:hint="eastAsia" w:ascii="宋体" w:hAnsi="宋体" w:eastAsia="宋体" w:cs="宋体"/>
          <w:b/>
          <w:color w:val="auto"/>
          <w:kern w:val="0"/>
          <w:sz w:val="32"/>
          <w:szCs w:val="32"/>
          <w:highlight w:val="none"/>
          <w:lang w:val="zh-CN"/>
        </w:rPr>
        <w:t>标准化</w:t>
      </w:r>
      <w:r>
        <w:rPr>
          <w:rFonts w:hint="eastAsia" w:ascii="宋体" w:hAnsi="宋体" w:eastAsia="宋体" w:cs="宋体"/>
          <w:b/>
          <w:color w:val="auto"/>
          <w:kern w:val="0"/>
          <w:sz w:val="32"/>
          <w:szCs w:val="32"/>
          <w:highlight w:val="none"/>
        </w:rPr>
        <w:t>体系认证</w:t>
      </w:r>
    </w:p>
    <w:p w14:paraId="7B07EC18">
      <w:pPr>
        <w:tabs>
          <w:tab w:val="left" w:pos="567"/>
        </w:tabs>
        <w:wordWrap w:val="0"/>
        <w:autoSpaceDE/>
        <w:autoSpaceDN/>
        <w:adjustRightInd w:val="0"/>
        <w:spacing w:line="360" w:lineRule="auto"/>
        <w:ind w:firstLine="420" w:firstLineChars="200"/>
        <w:jc w:val="left"/>
        <w:outlineLvl w:val="2"/>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bidi="ar"/>
        </w:rPr>
        <w:t>备注：投标人应提供上述证书复印件及能显示证书有效状态的全国认证认可信息公共服务平台（http://cx.cnca.cn/)查询结果凭证【凭证界面需显示有“全国认证认可信息公共服务平台”或“认证证书（需显示网址cx.cnca.cn）”】。</w:t>
      </w:r>
    </w:p>
    <w:p w14:paraId="78A631E1">
      <w:pPr>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lang w:val="en-US" w:eastAsia="zh-CN"/>
        </w:rPr>
      </w:pPr>
    </w:p>
    <w:p w14:paraId="39392269">
      <w:pPr>
        <w:pageBreakBefore/>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lang w:val="zh-CN"/>
        </w:rPr>
      </w:pPr>
      <w:r>
        <w:rPr>
          <w:rFonts w:hint="eastAsia" w:ascii="宋体" w:hAnsi="宋体" w:eastAsia="宋体" w:cs="宋体"/>
          <w:b/>
          <w:color w:val="auto"/>
          <w:kern w:val="0"/>
          <w:sz w:val="32"/>
          <w:szCs w:val="32"/>
          <w:highlight w:val="none"/>
          <w:lang w:val="en-US" w:eastAsia="zh-CN"/>
        </w:rPr>
        <w:t>九</w:t>
      </w:r>
      <w:r>
        <w:rPr>
          <w:rFonts w:hint="eastAsia" w:ascii="宋体" w:hAnsi="宋体" w:eastAsia="宋体" w:cs="宋体"/>
          <w:b/>
          <w:color w:val="auto"/>
          <w:kern w:val="0"/>
          <w:sz w:val="32"/>
          <w:szCs w:val="32"/>
          <w:highlight w:val="none"/>
          <w:lang w:val="zh-CN"/>
        </w:rPr>
        <w:t>、合同条款偏离表格式</w:t>
      </w:r>
      <w:bookmarkEnd w:id="565"/>
      <w:bookmarkEnd w:id="566"/>
      <w:bookmarkEnd w:id="567"/>
      <w:bookmarkEnd w:id="568"/>
      <w:bookmarkEnd w:id="569"/>
      <w:bookmarkEnd w:id="570"/>
      <w:bookmarkEnd w:id="571"/>
      <w:bookmarkEnd w:id="572"/>
      <w:bookmarkEnd w:id="573"/>
      <w:bookmarkEnd w:id="574"/>
      <w:bookmarkEnd w:id="575"/>
      <w:bookmarkEnd w:id="576"/>
      <w:bookmarkEnd w:id="577"/>
    </w:p>
    <w:p w14:paraId="569B6620">
      <w:pPr>
        <w:autoSpaceDE w:val="0"/>
        <w:autoSpaceDN w:val="0"/>
        <w:adjustRightInd w:val="0"/>
        <w:spacing w:line="360" w:lineRule="auto"/>
        <w:jc w:val="center"/>
        <w:outlineLvl w:val="9"/>
        <w:rPr>
          <w:rFonts w:hint="eastAsia" w:ascii="宋体" w:hAnsi="宋体" w:eastAsia="宋体" w:cs="宋体"/>
          <w:b/>
          <w:bCs/>
          <w:color w:val="auto"/>
          <w:kern w:val="0"/>
          <w:sz w:val="28"/>
          <w:szCs w:val="30"/>
          <w:highlight w:val="none"/>
          <w:lang w:val="zh-CN"/>
        </w:rPr>
      </w:pPr>
      <w:bookmarkStart w:id="578" w:name="_Toc26412_WPSOffice_Level3"/>
      <w:r>
        <w:rPr>
          <w:rFonts w:hint="eastAsia" w:ascii="宋体" w:hAnsi="宋体" w:eastAsia="宋体" w:cs="宋体"/>
          <w:b/>
          <w:bCs/>
          <w:color w:val="auto"/>
          <w:kern w:val="0"/>
          <w:sz w:val="28"/>
          <w:szCs w:val="30"/>
          <w:highlight w:val="none"/>
          <w:lang w:val="zh-CN"/>
        </w:rPr>
        <w:t>东莞市水务集团管网有限公司2025年餐厨及清洁服务采购项目合同条款偏离表</w:t>
      </w:r>
      <w:bookmarkEnd w:id="578"/>
    </w:p>
    <w:tbl>
      <w:tblPr>
        <w:tblStyle w:val="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0"/>
        <w:gridCol w:w="1425"/>
        <w:gridCol w:w="3055"/>
        <w:gridCol w:w="1346"/>
        <w:gridCol w:w="3524"/>
      </w:tblGrid>
      <w:tr w14:paraId="6E8B7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1020" w:type="dxa"/>
            <w:vMerge w:val="restart"/>
            <w:vAlign w:val="center"/>
          </w:tcPr>
          <w:p w14:paraId="27D61D4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序号</w:t>
            </w:r>
          </w:p>
        </w:tc>
        <w:tc>
          <w:tcPr>
            <w:tcW w:w="4480" w:type="dxa"/>
            <w:gridSpan w:val="2"/>
            <w:vAlign w:val="center"/>
          </w:tcPr>
          <w:p w14:paraId="2D25627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招标文件要求</w:t>
            </w:r>
          </w:p>
        </w:tc>
        <w:tc>
          <w:tcPr>
            <w:tcW w:w="4870" w:type="dxa"/>
            <w:gridSpan w:val="2"/>
            <w:vAlign w:val="center"/>
          </w:tcPr>
          <w:p w14:paraId="552DFD4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投标文件内容</w:t>
            </w:r>
          </w:p>
        </w:tc>
      </w:tr>
      <w:tr w14:paraId="47AE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4" w:hRule="atLeast"/>
        </w:trPr>
        <w:tc>
          <w:tcPr>
            <w:tcW w:w="1020" w:type="dxa"/>
            <w:vMerge w:val="continue"/>
            <w:vAlign w:val="center"/>
          </w:tcPr>
          <w:p w14:paraId="33DAF3F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1425" w:type="dxa"/>
            <w:vAlign w:val="center"/>
          </w:tcPr>
          <w:p w14:paraId="3B5C6DC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条款号</w:t>
            </w:r>
          </w:p>
        </w:tc>
        <w:tc>
          <w:tcPr>
            <w:tcW w:w="3055" w:type="dxa"/>
            <w:vAlign w:val="center"/>
          </w:tcPr>
          <w:p w14:paraId="0F2C25C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简要内容</w:t>
            </w:r>
          </w:p>
        </w:tc>
        <w:tc>
          <w:tcPr>
            <w:tcW w:w="1346" w:type="dxa"/>
            <w:vAlign w:val="center"/>
          </w:tcPr>
          <w:p w14:paraId="256FF6B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偏离情况</w:t>
            </w:r>
          </w:p>
        </w:tc>
        <w:tc>
          <w:tcPr>
            <w:tcW w:w="3524" w:type="dxa"/>
            <w:vAlign w:val="center"/>
          </w:tcPr>
          <w:p w14:paraId="7B6613B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具体偏离内容</w:t>
            </w:r>
          </w:p>
        </w:tc>
      </w:tr>
      <w:tr w14:paraId="727537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5CC550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w:t>
            </w:r>
          </w:p>
        </w:tc>
        <w:tc>
          <w:tcPr>
            <w:tcW w:w="1425" w:type="dxa"/>
            <w:vAlign w:val="center"/>
          </w:tcPr>
          <w:p w14:paraId="547A0F5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一</w:t>
            </w:r>
          </w:p>
        </w:tc>
        <w:tc>
          <w:tcPr>
            <w:tcW w:w="3055" w:type="dxa"/>
            <w:vAlign w:val="center"/>
          </w:tcPr>
          <w:p w14:paraId="2D95868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合同项目</w:t>
            </w:r>
          </w:p>
        </w:tc>
        <w:tc>
          <w:tcPr>
            <w:tcW w:w="1346" w:type="dxa"/>
            <w:vAlign w:val="center"/>
          </w:tcPr>
          <w:p w14:paraId="1B0F985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6B15C65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33988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3A9199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2</w:t>
            </w:r>
          </w:p>
        </w:tc>
        <w:tc>
          <w:tcPr>
            <w:tcW w:w="1425" w:type="dxa"/>
            <w:vAlign w:val="center"/>
          </w:tcPr>
          <w:p w14:paraId="4F2F19F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二</w:t>
            </w:r>
          </w:p>
        </w:tc>
        <w:tc>
          <w:tcPr>
            <w:tcW w:w="3055" w:type="dxa"/>
            <w:vAlign w:val="center"/>
          </w:tcPr>
          <w:p w14:paraId="6E42BF0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项目概况</w:t>
            </w:r>
          </w:p>
        </w:tc>
        <w:tc>
          <w:tcPr>
            <w:tcW w:w="1346" w:type="dxa"/>
            <w:vAlign w:val="center"/>
          </w:tcPr>
          <w:p w14:paraId="357101D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29A5B3A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3BEB5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EA9867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3</w:t>
            </w:r>
          </w:p>
        </w:tc>
        <w:tc>
          <w:tcPr>
            <w:tcW w:w="1425" w:type="dxa"/>
            <w:vAlign w:val="center"/>
          </w:tcPr>
          <w:p w14:paraId="55147D3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三</w:t>
            </w:r>
          </w:p>
        </w:tc>
        <w:tc>
          <w:tcPr>
            <w:tcW w:w="3055" w:type="dxa"/>
            <w:vAlign w:val="center"/>
          </w:tcPr>
          <w:p w14:paraId="30ADF13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人员及费用要求</w:t>
            </w:r>
          </w:p>
        </w:tc>
        <w:tc>
          <w:tcPr>
            <w:tcW w:w="1346" w:type="dxa"/>
            <w:vAlign w:val="center"/>
          </w:tcPr>
          <w:p w14:paraId="02C6523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3D201A7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5794CA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AD3756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4</w:t>
            </w:r>
          </w:p>
        </w:tc>
        <w:tc>
          <w:tcPr>
            <w:tcW w:w="1425" w:type="dxa"/>
            <w:vAlign w:val="center"/>
          </w:tcPr>
          <w:p w14:paraId="3DC8480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四</w:t>
            </w:r>
          </w:p>
        </w:tc>
        <w:tc>
          <w:tcPr>
            <w:tcW w:w="3055" w:type="dxa"/>
            <w:vAlign w:val="center"/>
          </w:tcPr>
          <w:p w14:paraId="1B55F91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履约担保</w:t>
            </w:r>
          </w:p>
        </w:tc>
        <w:tc>
          <w:tcPr>
            <w:tcW w:w="1346" w:type="dxa"/>
            <w:vAlign w:val="center"/>
          </w:tcPr>
          <w:p w14:paraId="31484FB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7F039BA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7FCC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9ABD8F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5</w:t>
            </w:r>
          </w:p>
        </w:tc>
        <w:tc>
          <w:tcPr>
            <w:tcW w:w="1425" w:type="dxa"/>
            <w:vAlign w:val="center"/>
          </w:tcPr>
          <w:p w14:paraId="6A4998C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五</w:t>
            </w:r>
          </w:p>
        </w:tc>
        <w:tc>
          <w:tcPr>
            <w:tcW w:w="3055" w:type="dxa"/>
            <w:vAlign w:val="center"/>
          </w:tcPr>
          <w:p w14:paraId="5CF6D8A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 w:val="0"/>
                <w:bCs/>
                <w:color w:val="auto"/>
                <w:kern w:val="0"/>
                <w:szCs w:val="21"/>
                <w:highlight w:val="none"/>
              </w:rPr>
              <w:t>乙方劳务服务人员要求</w:t>
            </w:r>
          </w:p>
        </w:tc>
        <w:tc>
          <w:tcPr>
            <w:tcW w:w="1346" w:type="dxa"/>
            <w:vAlign w:val="center"/>
          </w:tcPr>
          <w:p w14:paraId="625588C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3395FE9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4C40F1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0E8894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6</w:t>
            </w:r>
          </w:p>
        </w:tc>
        <w:tc>
          <w:tcPr>
            <w:tcW w:w="1425" w:type="dxa"/>
            <w:vAlign w:val="center"/>
          </w:tcPr>
          <w:p w14:paraId="233CEB9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六</w:t>
            </w:r>
          </w:p>
        </w:tc>
        <w:tc>
          <w:tcPr>
            <w:tcW w:w="3055" w:type="dxa"/>
            <w:vAlign w:val="center"/>
          </w:tcPr>
          <w:p w14:paraId="255A0F8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 w:val="0"/>
                <w:bCs/>
                <w:color w:val="auto"/>
                <w:kern w:val="0"/>
                <w:szCs w:val="21"/>
                <w:highlight w:val="none"/>
              </w:rPr>
              <w:t>服务要求</w:t>
            </w:r>
          </w:p>
        </w:tc>
        <w:tc>
          <w:tcPr>
            <w:tcW w:w="1346" w:type="dxa"/>
            <w:vAlign w:val="center"/>
          </w:tcPr>
          <w:p w14:paraId="0EA88EC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4CEB0A7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14B19D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F420C5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7</w:t>
            </w:r>
          </w:p>
        </w:tc>
        <w:tc>
          <w:tcPr>
            <w:tcW w:w="1425" w:type="dxa"/>
            <w:vAlign w:val="center"/>
          </w:tcPr>
          <w:p w14:paraId="2A9105F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七</w:t>
            </w:r>
          </w:p>
        </w:tc>
        <w:tc>
          <w:tcPr>
            <w:tcW w:w="3055" w:type="dxa"/>
            <w:vAlign w:val="center"/>
          </w:tcPr>
          <w:p w14:paraId="760FD22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其他要求</w:t>
            </w:r>
          </w:p>
        </w:tc>
        <w:tc>
          <w:tcPr>
            <w:tcW w:w="1346" w:type="dxa"/>
            <w:vAlign w:val="center"/>
          </w:tcPr>
          <w:p w14:paraId="1C1BE5D0">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5F442F4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3A4B3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28B91FE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8</w:t>
            </w:r>
          </w:p>
        </w:tc>
        <w:tc>
          <w:tcPr>
            <w:tcW w:w="1425" w:type="dxa"/>
            <w:vAlign w:val="center"/>
          </w:tcPr>
          <w:p w14:paraId="6328ED8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八</w:t>
            </w:r>
          </w:p>
        </w:tc>
        <w:tc>
          <w:tcPr>
            <w:tcW w:w="3055" w:type="dxa"/>
            <w:vAlign w:val="center"/>
          </w:tcPr>
          <w:p w14:paraId="4B4E378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 w:val="0"/>
                <w:bCs/>
                <w:color w:val="auto"/>
                <w:kern w:val="0"/>
                <w:szCs w:val="21"/>
                <w:highlight w:val="none"/>
              </w:rPr>
              <w:t>结算及支付条款</w:t>
            </w:r>
          </w:p>
        </w:tc>
        <w:tc>
          <w:tcPr>
            <w:tcW w:w="1346" w:type="dxa"/>
            <w:vAlign w:val="center"/>
          </w:tcPr>
          <w:p w14:paraId="52A3AAA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3F52DC7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5D277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44DC2FA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w:t>
            </w:r>
          </w:p>
        </w:tc>
        <w:tc>
          <w:tcPr>
            <w:tcW w:w="1425" w:type="dxa"/>
            <w:vAlign w:val="center"/>
          </w:tcPr>
          <w:p w14:paraId="70EED62A">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九</w:t>
            </w:r>
          </w:p>
        </w:tc>
        <w:tc>
          <w:tcPr>
            <w:tcW w:w="3055" w:type="dxa"/>
            <w:vAlign w:val="center"/>
          </w:tcPr>
          <w:p w14:paraId="46C3671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考核要求</w:t>
            </w:r>
          </w:p>
        </w:tc>
        <w:tc>
          <w:tcPr>
            <w:tcW w:w="1346" w:type="dxa"/>
            <w:vAlign w:val="center"/>
          </w:tcPr>
          <w:p w14:paraId="6A910C6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2DF16CA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0E1A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30CC785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10</w:t>
            </w:r>
          </w:p>
        </w:tc>
        <w:tc>
          <w:tcPr>
            <w:tcW w:w="1425" w:type="dxa"/>
            <w:vAlign w:val="center"/>
          </w:tcPr>
          <w:p w14:paraId="7BA2DD8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w:t>
            </w:r>
          </w:p>
        </w:tc>
        <w:tc>
          <w:tcPr>
            <w:tcW w:w="3055" w:type="dxa"/>
            <w:vAlign w:val="center"/>
          </w:tcPr>
          <w:p w14:paraId="2C4FC97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其他说明</w:t>
            </w:r>
          </w:p>
        </w:tc>
        <w:tc>
          <w:tcPr>
            <w:tcW w:w="1346" w:type="dxa"/>
            <w:vAlign w:val="center"/>
          </w:tcPr>
          <w:p w14:paraId="1470B57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528A410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6344F7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57AD5F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11</w:t>
            </w:r>
          </w:p>
        </w:tc>
        <w:tc>
          <w:tcPr>
            <w:tcW w:w="1425" w:type="dxa"/>
            <w:vAlign w:val="center"/>
          </w:tcPr>
          <w:p w14:paraId="53A1762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十一</w:t>
            </w:r>
          </w:p>
        </w:tc>
        <w:tc>
          <w:tcPr>
            <w:tcW w:w="3055" w:type="dxa"/>
            <w:vAlign w:val="center"/>
          </w:tcPr>
          <w:p w14:paraId="291B101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甲方权利与义务</w:t>
            </w:r>
          </w:p>
        </w:tc>
        <w:tc>
          <w:tcPr>
            <w:tcW w:w="1346" w:type="dxa"/>
            <w:vAlign w:val="center"/>
          </w:tcPr>
          <w:p w14:paraId="1205C82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056E77D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52B0E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D1889A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12</w:t>
            </w:r>
          </w:p>
        </w:tc>
        <w:tc>
          <w:tcPr>
            <w:tcW w:w="1425" w:type="dxa"/>
            <w:vAlign w:val="center"/>
          </w:tcPr>
          <w:p w14:paraId="2BAA9AF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十二</w:t>
            </w:r>
          </w:p>
        </w:tc>
        <w:tc>
          <w:tcPr>
            <w:tcW w:w="3055" w:type="dxa"/>
            <w:vAlign w:val="center"/>
          </w:tcPr>
          <w:p w14:paraId="44718DF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乙方的权利与义务</w:t>
            </w:r>
          </w:p>
        </w:tc>
        <w:tc>
          <w:tcPr>
            <w:tcW w:w="1346" w:type="dxa"/>
            <w:vAlign w:val="center"/>
          </w:tcPr>
          <w:p w14:paraId="7AA2547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5E4752C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0305FD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64A49B9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p>
        </w:tc>
        <w:tc>
          <w:tcPr>
            <w:tcW w:w="1425" w:type="dxa"/>
            <w:vAlign w:val="center"/>
          </w:tcPr>
          <w:p w14:paraId="161A854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十三</w:t>
            </w:r>
          </w:p>
        </w:tc>
        <w:tc>
          <w:tcPr>
            <w:tcW w:w="3055" w:type="dxa"/>
            <w:vAlign w:val="center"/>
          </w:tcPr>
          <w:p w14:paraId="00EBFA9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违约责任</w:t>
            </w:r>
          </w:p>
        </w:tc>
        <w:tc>
          <w:tcPr>
            <w:tcW w:w="1346" w:type="dxa"/>
            <w:vAlign w:val="center"/>
          </w:tcPr>
          <w:p w14:paraId="19FFA43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40F06C58">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245E54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50FA93B6">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14</w:t>
            </w:r>
          </w:p>
        </w:tc>
        <w:tc>
          <w:tcPr>
            <w:tcW w:w="1425" w:type="dxa"/>
            <w:vAlign w:val="center"/>
          </w:tcPr>
          <w:p w14:paraId="6E09270D">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十四</w:t>
            </w:r>
          </w:p>
        </w:tc>
        <w:tc>
          <w:tcPr>
            <w:tcW w:w="3055" w:type="dxa"/>
            <w:vAlign w:val="center"/>
          </w:tcPr>
          <w:p w14:paraId="0EA2DCA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合同的变更、解除、终止和其他</w:t>
            </w:r>
          </w:p>
        </w:tc>
        <w:tc>
          <w:tcPr>
            <w:tcW w:w="1346" w:type="dxa"/>
            <w:vAlign w:val="center"/>
          </w:tcPr>
          <w:p w14:paraId="456B09B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2092F6F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1FDEB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1538742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15</w:t>
            </w:r>
          </w:p>
        </w:tc>
        <w:tc>
          <w:tcPr>
            <w:tcW w:w="1425" w:type="dxa"/>
            <w:vAlign w:val="center"/>
          </w:tcPr>
          <w:p w14:paraId="21269703">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十五</w:t>
            </w:r>
          </w:p>
        </w:tc>
        <w:tc>
          <w:tcPr>
            <w:tcW w:w="3055" w:type="dxa"/>
            <w:vAlign w:val="center"/>
          </w:tcPr>
          <w:p w14:paraId="3AF1FC89">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争议解决</w:t>
            </w:r>
          </w:p>
        </w:tc>
        <w:tc>
          <w:tcPr>
            <w:tcW w:w="1346" w:type="dxa"/>
            <w:vAlign w:val="center"/>
          </w:tcPr>
          <w:p w14:paraId="34A16BC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118CB7C5">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73189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74" w:hRule="atLeast"/>
        </w:trPr>
        <w:tc>
          <w:tcPr>
            <w:tcW w:w="1020" w:type="dxa"/>
            <w:vAlign w:val="center"/>
          </w:tcPr>
          <w:p w14:paraId="07C2BE9C">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16</w:t>
            </w:r>
          </w:p>
        </w:tc>
        <w:tc>
          <w:tcPr>
            <w:tcW w:w="1425" w:type="dxa"/>
            <w:vAlign w:val="center"/>
          </w:tcPr>
          <w:p w14:paraId="738EE3E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十六</w:t>
            </w:r>
          </w:p>
        </w:tc>
        <w:tc>
          <w:tcPr>
            <w:tcW w:w="3055" w:type="dxa"/>
            <w:vAlign w:val="center"/>
          </w:tcPr>
          <w:p w14:paraId="42E57F2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送达</w:t>
            </w:r>
          </w:p>
        </w:tc>
        <w:tc>
          <w:tcPr>
            <w:tcW w:w="1346" w:type="dxa"/>
            <w:vAlign w:val="center"/>
          </w:tcPr>
          <w:p w14:paraId="4DC32D6F">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2565A5B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1FF96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02AB9C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17</w:t>
            </w:r>
          </w:p>
        </w:tc>
        <w:tc>
          <w:tcPr>
            <w:tcW w:w="1425" w:type="dxa"/>
            <w:vAlign w:val="center"/>
          </w:tcPr>
          <w:p w14:paraId="47A6A961">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十七</w:t>
            </w:r>
          </w:p>
        </w:tc>
        <w:tc>
          <w:tcPr>
            <w:tcW w:w="3055" w:type="dxa"/>
            <w:vAlign w:val="center"/>
          </w:tcPr>
          <w:p w14:paraId="283E07E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1"/>
                <w:highlight w:val="none"/>
              </w:rPr>
              <w:t>其他</w:t>
            </w:r>
          </w:p>
        </w:tc>
        <w:tc>
          <w:tcPr>
            <w:tcW w:w="1346" w:type="dxa"/>
            <w:vAlign w:val="center"/>
          </w:tcPr>
          <w:p w14:paraId="5374E55E">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15BFC2CB">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r w14:paraId="43920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trPr>
        <w:tc>
          <w:tcPr>
            <w:tcW w:w="1020" w:type="dxa"/>
            <w:vAlign w:val="center"/>
          </w:tcPr>
          <w:p w14:paraId="784C3C5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18</w:t>
            </w:r>
          </w:p>
        </w:tc>
        <w:tc>
          <w:tcPr>
            <w:tcW w:w="1425" w:type="dxa"/>
            <w:vAlign w:val="center"/>
          </w:tcPr>
          <w:p w14:paraId="47CF5837">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lang w:val="en-US" w:eastAsia="zh-CN"/>
              </w:rPr>
              <w:t>附件</w:t>
            </w:r>
          </w:p>
        </w:tc>
        <w:tc>
          <w:tcPr>
            <w:tcW w:w="3055" w:type="dxa"/>
            <w:vAlign w:val="center"/>
          </w:tcPr>
          <w:p w14:paraId="1983A1BE">
            <w:pPr>
              <w:keepNext w:val="0"/>
              <w:keepLines w:val="0"/>
              <w:pageBreakBefore w:val="0"/>
              <w:widowControl w:val="0"/>
              <w:kinsoku/>
              <w:wordWrap/>
              <w:overflowPunct/>
              <w:topLinePunct w:val="0"/>
              <w:autoSpaceDE w:val="0"/>
              <w:autoSpaceDN w:val="0"/>
              <w:bidi w:val="0"/>
              <w:adjustRightInd w:val="0"/>
              <w:snapToGrid/>
              <w:spacing w:line="400" w:lineRule="exact"/>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一、廉洁协议书；</w:t>
            </w:r>
          </w:p>
          <w:p w14:paraId="306AFFF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二、安全生产责任书；</w:t>
            </w:r>
          </w:p>
          <w:p w14:paraId="3DF92CF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三、餐厨服务人员评分表；</w:t>
            </w:r>
          </w:p>
          <w:p w14:paraId="3C422D9F">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四、清洁服务人员评分表；</w:t>
            </w:r>
          </w:p>
          <w:p w14:paraId="158956DA">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五、服务员（兼前台）人员评分表；</w:t>
            </w:r>
          </w:p>
          <w:p w14:paraId="695026DB">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六、投标报价表；</w:t>
            </w:r>
          </w:p>
          <w:p w14:paraId="430BDFB1">
            <w:pPr>
              <w:keepNext w:val="0"/>
              <w:keepLines w:val="0"/>
              <w:pageBreakBefore w:val="0"/>
              <w:widowControl w:val="0"/>
              <w:kinsoku/>
              <w:wordWrap/>
              <w:overflowPunct/>
              <w:topLinePunct w:val="0"/>
              <w:autoSpaceDE w:val="0"/>
              <w:autoSpaceDN w:val="0"/>
              <w:bidi w:val="0"/>
              <w:adjustRightInd w:val="0"/>
              <w:snapToGrid/>
              <w:spacing w:line="400" w:lineRule="exact"/>
              <w:ind w:firstLine="0" w:firstLineChars="0"/>
              <w:jc w:val="left"/>
              <w:textAlignment w:val="auto"/>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七、中标通知书；</w:t>
            </w:r>
          </w:p>
          <w:p w14:paraId="0A42F6CE">
            <w:pPr>
              <w:autoSpaceDE w:val="0"/>
              <w:autoSpaceDN w:val="0"/>
              <w:adjustRightInd w:val="0"/>
              <w:spacing w:line="400" w:lineRule="exact"/>
              <w:jc w:val="left"/>
              <w:outlineLvl w:val="9"/>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八、承诺书；</w:t>
            </w:r>
          </w:p>
          <w:p w14:paraId="1AF3540C">
            <w:pPr>
              <w:pStyle w:val="2"/>
              <w:spacing w:line="400" w:lineRule="exact"/>
              <w:rPr>
                <w:rFonts w:hint="eastAsia" w:ascii="宋体" w:hAnsi="宋体" w:eastAsia="宋体" w:cs="宋体"/>
                <w:color w:val="auto"/>
                <w:highlight w:val="none"/>
                <w:lang w:val="en-US" w:eastAsia="zh-CN"/>
              </w:rPr>
            </w:pPr>
            <w:r>
              <w:rPr>
                <w:rFonts w:hint="eastAsia" w:ascii="宋体" w:hAnsi="宋体" w:eastAsia="宋体" w:cs="宋体"/>
                <w:color w:val="auto"/>
                <w:kern w:val="0"/>
                <w:szCs w:val="21"/>
                <w:highlight w:val="none"/>
                <w:lang w:val="en-US" w:eastAsia="zh-CN"/>
              </w:rPr>
              <w:t>九、用户需求书；</w:t>
            </w:r>
          </w:p>
        </w:tc>
        <w:tc>
          <w:tcPr>
            <w:tcW w:w="1346" w:type="dxa"/>
            <w:vAlign w:val="center"/>
          </w:tcPr>
          <w:p w14:paraId="57EF5AB4">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c>
          <w:tcPr>
            <w:tcW w:w="3524" w:type="dxa"/>
            <w:vAlign w:val="center"/>
          </w:tcPr>
          <w:p w14:paraId="5E61C562">
            <w:pPr>
              <w:keepNext w:val="0"/>
              <w:keepLines w:val="0"/>
              <w:pageBreakBefore w:val="0"/>
              <w:widowControl w:val="0"/>
              <w:kinsoku/>
              <w:wordWrap/>
              <w:overflowPunct/>
              <w:topLinePunct w:val="0"/>
              <w:autoSpaceDE w:val="0"/>
              <w:autoSpaceDN w:val="0"/>
              <w:bidi w:val="0"/>
              <w:adjustRightInd w:val="0"/>
              <w:snapToGrid/>
              <w:spacing w:line="400" w:lineRule="exact"/>
              <w:jc w:val="center"/>
              <w:textAlignment w:val="auto"/>
              <w:outlineLvl w:val="9"/>
              <w:rPr>
                <w:rFonts w:hint="eastAsia" w:ascii="宋体" w:hAnsi="宋体" w:eastAsia="宋体" w:cs="宋体"/>
                <w:color w:val="auto"/>
                <w:kern w:val="0"/>
                <w:szCs w:val="21"/>
                <w:highlight w:val="none"/>
              </w:rPr>
            </w:pPr>
          </w:p>
        </w:tc>
      </w:tr>
    </w:tbl>
    <w:p w14:paraId="720458BF">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286FA532">
      <w:pPr>
        <w:autoSpaceDE w:val="0"/>
        <w:autoSpaceDN w:val="0"/>
        <w:adjustRightInd w:val="0"/>
        <w:snapToGrid w:val="0"/>
        <w:spacing w:line="360" w:lineRule="auto"/>
        <w:ind w:left="166" w:leftChars="-101" w:hanging="378" w:hangingChars="18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6C00E332">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b/>
          <w:color w:val="auto"/>
          <w:kern w:val="0"/>
          <w:szCs w:val="21"/>
          <w:highlight w:val="none"/>
          <w:u w:val="single"/>
        </w:rPr>
        <w:t>投标人应对照招标文件合同格式内合同条款及附件，逐条、如实地填写“偏离情况”项。“偏离情况”项为正偏离（或负偏离）的，必须在“具体偏离内容”项内详细说明与招标文件的偏离内容，“偏离情况”项为无偏离的，在“具体偏离内容”项内填“无”。若发现虚假填写本表，或对合同及其附件响应有负偏离的，按无效投标文件处理。若发现此表未逐条填写视为完全满足招标文件要求</w:t>
      </w:r>
      <w:r>
        <w:rPr>
          <w:rFonts w:hint="eastAsia" w:ascii="宋体" w:hAnsi="宋体" w:eastAsia="宋体" w:cs="宋体"/>
          <w:b/>
          <w:color w:val="auto"/>
          <w:kern w:val="0"/>
          <w:szCs w:val="21"/>
          <w:highlight w:val="none"/>
        </w:rPr>
        <w:t>。</w:t>
      </w:r>
    </w:p>
    <w:p w14:paraId="55CDA800">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（2）偏离情况（投标文件对招标文件合同条款的响应程度）分为：正偏离、负偏离、无偏离。正偏离是指投标人提供的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商务条件优于招标文件的要求；负偏离是指投标人提供的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商务条件不满足或不完全满足招标文件的要求；无偏离是指投标人提供的</w:t>
      </w:r>
      <w:r>
        <w:rPr>
          <w:rFonts w:hint="eastAsia" w:ascii="宋体" w:hAnsi="宋体" w:eastAsia="宋体" w:cs="宋体"/>
          <w:color w:val="auto"/>
          <w:szCs w:val="21"/>
          <w:highlight w:val="none"/>
          <w:lang w:val="en-US" w:eastAsia="zh-CN"/>
        </w:rPr>
        <w:t>相关服务</w:t>
      </w:r>
      <w:r>
        <w:rPr>
          <w:rFonts w:hint="eastAsia" w:ascii="宋体" w:hAnsi="宋体" w:eastAsia="宋体" w:cs="宋体"/>
          <w:color w:val="auto"/>
          <w:szCs w:val="21"/>
          <w:highlight w:val="none"/>
        </w:rPr>
        <w:t>商务条件完全满足招标文件的要求。</w:t>
      </w:r>
    </w:p>
    <w:p w14:paraId="4AA0FF57">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（3）招标文件“第五篇 相关保函格式”作为重要的商务条款，投标人的响应情况列入本合同条款偏离表。</w:t>
      </w:r>
    </w:p>
    <w:p w14:paraId="168A85AB">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（4）如投标人差异内容较多可另附页说明，并在本偏离表“具体偏离内容”项注明其在投标文件中的具体页码。</w:t>
      </w:r>
    </w:p>
    <w:p w14:paraId="438C9254">
      <w:pPr>
        <w:spacing w:line="360" w:lineRule="auto"/>
        <w:ind w:left="357" w:leftChars="-100" w:hanging="567" w:hangingChars="270"/>
        <w:outlineLvl w:val="9"/>
        <w:rPr>
          <w:rFonts w:hint="eastAsia" w:ascii="宋体" w:hAnsi="宋体" w:eastAsia="宋体" w:cs="宋体"/>
          <w:color w:val="auto"/>
          <w:szCs w:val="21"/>
          <w:highlight w:val="none"/>
        </w:rPr>
      </w:pPr>
    </w:p>
    <w:p w14:paraId="0A18BD70">
      <w:pPr>
        <w:spacing w:line="360" w:lineRule="auto"/>
        <w:ind w:left="357" w:leftChars="-100" w:hanging="567" w:hangingChars="270"/>
        <w:outlineLvl w:val="9"/>
        <w:rPr>
          <w:rFonts w:hint="eastAsia" w:ascii="宋体" w:hAnsi="宋体" w:eastAsia="宋体" w:cs="宋体"/>
          <w:color w:val="auto"/>
          <w:szCs w:val="21"/>
          <w:highlight w:val="none"/>
        </w:rPr>
      </w:pPr>
    </w:p>
    <w:p w14:paraId="0CD0250E">
      <w:pPr>
        <w:spacing w:line="360" w:lineRule="auto"/>
        <w:ind w:left="357" w:leftChars="-100" w:hanging="567" w:hangingChars="270"/>
        <w:outlineLvl w:val="9"/>
        <w:rPr>
          <w:rFonts w:hint="eastAsia" w:ascii="宋体" w:hAnsi="宋体" w:eastAsia="宋体" w:cs="宋体"/>
          <w:color w:val="auto"/>
          <w:szCs w:val="21"/>
          <w:highlight w:val="none"/>
        </w:rPr>
      </w:pPr>
    </w:p>
    <w:p w14:paraId="63DF8225">
      <w:pPr>
        <w:spacing w:line="360" w:lineRule="auto"/>
        <w:ind w:right="368" w:rightChars="175" w:firstLine="5355" w:firstLineChars="255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投标人：</w:t>
      </w:r>
      <w:r>
        <w:rPr>
          <w:rFonts w:hint="eastAsia" w:ascii="宋体" w:hAnsi="宋体" w:eastAsia="宋体" w:cs="宋体"/>
          <w:color w:val="auto"/>
          <w:kern w:val="0"/>
          <w:szCs w:val="21"/>
          <w:highlight w:val="none"/>
          <w:lang w:val="zh-CN"/>
        </w:rPr>
        <w:t>（加盖投标人法人公章）</w:t>
      </w:r>
    </w:p>
    <w:p w14:paraId="204F9788">
      <w:pPr>
        <w:autoSpaceDE w:val="0"/>
        <w:autoSpaceDN w:val="0"/>
        <w:adjustRightInd w:val="0"/>
        <w:spacing w:line="360" w:lineRule="auto"/>
        <w:ind w:firstLine="5355" w:firstLineChars="255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    期：  年  月  日</w:t>
      </w:r>
    </w:p>
    <w:p w14:paraId="38F848E8">
      <w:pPr>
        <w:tabs>
          <w:tab w:val="left" w:pos="567"/>
        </w:tabs>
        <w:autoSpaceDE w:val="0"/>
        <w:autoSpaceDN w:val="0"/>
        <w:adjustRightInd w:val="0"/>
        <w:spacing w:line="360" w:lineRule="auto"/>
        <w:jc w:val="left"/>
        <w:outlineLvl w:val="1"/>
        <w:rPr>
          <w:rFonts w:hint="eastAsia" w:ascii="宋体" w:hAnsi="宋体" w:eastAsia="宋体" w:cs="宋体"/>
          <w:b/>
          <w:bCs/>
          <w:color w:val="auto"/>
          <w:kern w:val="0"/>
          <w:sz w:val="30"/>
          <w:szCs w:val="30"/>
          <w:highlight w:val="none"/>
          <w:lang w:val="zh-CN"/>
        </w:rPr>
      </w:pPr>
      <w:r>
        <w:rPr>
          <w:rFonts w:hint="eastAsia" w:ascii="宋体" w:hAnsi="宋体" w:eastAsia="宋体" w:cs="宋体"/>
          <w:b/>
          <w:bCs/>
          <w:color w:val="auto"/>
          <w:kern w:val="0"/>
          <w:sz w:val="30"/>
          <w:szCs w:val="30"/>
          <w:highlight w:val="none"/>
          <w:lang w:val="zh-CN"/>
        </w:rPr>
        <w:br w:type="page"/>
      </w:r>
      <w:bookmarkStart w:id="579" w:name="_Toc29505"/>
      <w:bookmarkStart w:id="580" w:name="_Toc104991884"/>
      <w:bookmarkStart w:id="581" w:name="_Toc94107218"/>
      <w:bookmarkStart w:id="582" w:name="_Toc5473"/>
      <w:bookmarkStart w:id="583" w:name="_Toc102860426"/>
      <w:bookmarkStart w:id="584" w:name="_Toc140596937"/>
      <w:bookmarkStart w:id="585" w:name="_Toc102860082"/>
      <w:bookmarkStart w:id="586" w:name="_Toc13179"/>
      <w:bookmarkStart w:id="587" w:name="_Toc142508377"/>
      <w:bookmarkStart w:id="588" w:name="_Toc27980_WPSOffice_Level2"/>
      <w:bookmarkStart w:id="589" w:name="_Toc486167717"/>
    </w:p>
    <w:p w14:paraId="0018848F">
      <w:pPr>
        <w:pageBreakBefore/>
        <w:tabs>
          <w:tab w:val="left" w:pos="567"/>
        </w:tabs>
        <w:autoSpaceDE w:val="0"/>
        <w:autoSpaceDN w:val="0"/>
        <w:adjustRightInd w:val="0"/>
        <w:spacing w:line="360" w:lineRule="auto"/>
        <w:jc w:val="left"/>
        <w:outlineLvl w:val="1"/>
        <w:rPr>
          <w:rFonts w:hint="eastAsia" w:ascii="宋体" w:hAnsi="宋体" w:eastAsia="宋体" w:cs="宋体"/>
          <w:b/>
          <w:color w:val="auto"/>
          <w:kern w:val="0"/>
          <w:sz w:val="32"/>
          <w:szCs w:val="32"/>
          <w:highlight w:val="none"/>
        </w:rPr>
      </w:pPr>
      <w:r>
        <w:rPr>
          <w:rFonts w:hint="eastAsia" w:ascii="宋体" w:hAnsi="宋体" w:eastAsia="宋体" w:cs="宋体"/>
          <w:b/>
          <w:color w:val="auto"/>
          <w:kern w:val="0"/>
          <w:sz w:val="32"/>
          <w:szCs w:val="32"/>
          <w:highlight w:val="none"/>
          <w:lang w:val="en-US" w:eastAsia="zh-CN"/>
        </w:rPr>
        <w:t>十</w:t>
      </w:r>
      <w:r>
        <w:rPr>
          <w:rFonts w:hint="eastAsia" w:ascii="宋体" w:hAnsi="宋体" w:eastAsia="宋体" w:cs="宋体"/>
          <w:b/>
          <w:color w:val="auto"/>
          <w:kern w:val="0"/>
          <w:sz w:val="32"/>
          <w:szCs w:val="32"/>
          <w:highlight w:val="none"/>
        </w:rPr>
        <w:t>、业绩表格式</w:t>
      </w:r>
      <w:bookmarkEnd w:id="579"/>
      <w:bookmarkEnd w:id="580"/>
      <w:bookmarkEnd w:id="581"/>
      <w:bookmarkEnd w:id="582"/>
      <w:bookmarkEnd w:id="583"/>
      <w:bookmarkEnd w:id="584"/>
      <w:bookmarkEnd w:id="585"/>
      <w:bookmarkEnd w:id="586"/>
      <w:bookmarkEnd w:id="587"/>
    </w:p>
    <w:p w14:paraId="249C151B">
      <w:pPr>
        <w:autoSpaceDE w:val="0"/>
        <w:autoSpaceDN w:val="0"/>
        <w:adjustRightInd w:val="0"/>
        <w:spacing w:line="360" w:lineRule="auto"/>
        <w:ind w:firstLine="602"/>
        <w:jc w:val="center"/>
        <w:outlineLvl w:val="9"/>
        <w:rPr>
          <w:rFonts w:hint="eastAsia" w:ascii="宋体" w:hAnsi="宋体" w:eastAsia="宋体" w:cs="宋体"/>
          <w:b/>
          <w:bCs/>
          <w:color w:val="auto"/>
          <w:sz w:val="30"/>
          <w:szCs w:val="30"/>
          <w:highlight w:val="none"/>
          <w:lang w:val="zh-CN"/>
        </w:rPr>
      </w:pPr>
      <w:r>
        <w:rPr>
          <w:rFonts w:hint="eastAsia" w:ascii="宋体" w:hAnsi="宋体" w:eastAsia="宋体" w:cs="宋体"/>
          <w:b/>
          <w:bCs/>
          <w:color w:val="auto"/>
          <w:sz w:val="30"/>
          <w:szCs w:val="30"/>
          <w:highlight w:val="none"/>
          <w:lang w:val="zh-CN"/>
        </w:rPr>
        <w:t>投标人</w:t>
      </w:r>
      <w:r>
        <w:rPr>
          <w:rFonts w:hint="eastAsia" w:ascii="宋体" w:hAnsi="宋体" w:eastAsia="宋体" w:cs="宋体"/>
          <w:b/>
          <w:bCs/>
          <w:color w:val="auto"/>
          <w:sz w:val="30"/>
          <w:szCs w:val="30"/>
          <w:highlight w:val="none"/>
        </w:rPr>
        <w:t>202</w:t>
      </w:r>
      <w:r>
        <w:rPr>
          <w:rFonts w:hint="eastAsia" w:ascii="宋体" w:hAnsi="宋体" w:eastAsia="宋体" w:cs="宋体"/>
          <w:b/>
          <w:bCs/>
          <w:color w:val="auto"/>
          <w:sz w:val="30"/>
          <w:szCs w:val="30"/>
          <w:highlight w:val="none"/>
          <w:lang w:val="en-US" w:eastAsia="zh-CN"/>
        </w:rPr>
        <w:t>2</w:t>
      </w:r>
      <w:r>
        <w:rPr>
          <w:rFonts w:hint="eastAsia" w:ascii="宋体" w:hAnsi="宋体" w:eastAsia="宋体" w:cs="宋体"/>
          <w:b/>
          <w:bCs/>
          <w:color w:val="auto"/>
          <w:sz w:val="30"/>
          <w:szCs w:val="30"/>
          <w:highlight w:val="none"/>
          <w:lang w:val="zh-CN"/>
        </w:rPr>
        <w:t>年</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月</w:t>
      </w:r>
      <w:r>
        <w:rPr>
          <w:rFonts w:hint="eastAsia" w:ascii="宋体" w:hAnsi="宋体" w:eastAsia="宋体" w:cs="宋体"/>
          <w:b/>
          <w:bCs/>
          <w:color w:val="auto"/>
          <w:sz w:val="30"/>
          <w:szCs w:val="30"/>
          <w:highlight w:val="none"/>
        </w:rPr>
        <w:t>1</w:t>
      </w:r>
      <w:r>
        <w:rPr>
          <w:rFonts w:hint="eastAsia" w:ascii="宋体" w:hAnsi="宋体" w:eastAsia="宋体" w:cs="宋体"/>
          <w:b/>
          <w:bCs/>
          <w:color w:val="auto"/>
          <w:sz w:val="30"/>
          <w:szCs w:val="30"/>
          <w:highlight w:val="none"/>
          <w:lang w:val="zh-CN"/>
        </w:rPr>
        <w:t>日（以合同签订时间为准）至今</w:t>
      </w:r>
      <w:r>
        <w:rPr>
          <w:rFonts w:hint="eastAsia" w:ascii="宋体" w:hAnsi="宋体" w:eastAsia="宋体" w:cs="宋体"/>
          <w:b/>
          <w:bCs/>
          <w:color w:val="auto"/>
          <w:sz w:val="30"/>
          <w:szCs w:val="30"/>
          <w:highlight w:val="none"/>
          <w:lang w:val="en-US" w:eastAsia="zh-CN"/>
        </w:rPr>
        <w:t>承接</w:t>
      </w:r>
      <w:r>
        <w:rPr>
          <w:rFonts w:hint="eastAsia" w:ascii="宋体" w:hAnsi="宋体" w:eastAsia="宋体" w:cs="宋体"/>
          <w:b/>
          <w:bCs/>
          <w:color w:val="auto"/>
          <w:sz w:val="30"/>
          <w:szCs w:val="30"/>
          <w:highlight w:val="none"/>
          <w:lang w:val="zh-CN"/>
        </w:rPr>
        <w:t>的劳务</w:t>
      </w:r>
      <w:r>
        <w:rPr>
          <w:rFonts w:hint="eastAsia" w:ascii="宋体" w:hAnsi="宋体" w:eastAsia="宋体" w:cs="宋体"/>
          <w:b/>
          <w:bCs/>
          <w:color w:val="auto"/>
          <w:sz w:val="30"/>
          <w:szCs w:val="30"/>
          <w:highlight w:val="none"/>
          <w:lang w:val="en-US" w:eastAsia="zh-CN"/>
        </w:rPr>
        <w:t>外包</w:t>
      </w:r>
      <w:r>
        <w:rPr>
          <w:rFonts w:hint="eastAsia" w:ascii="宋体" w:hAnsi="宋体" w:eastAsia="宋体" w:cs="宋体"/>
          <w:b/>
          <w:bCs/>
          <w:color w:val="auto"/>
          <w:sz w:val="30"/>
          <w:szCs w:val="30"/>
          <w:highlight w:val="none"/>
          <w:lang w:val="zh-CN"/>
        </w:rPr>
        <w:t>服务业绩表</w:t>
      </w:r>
    </w:p>
    <w:tbl>
      <w:tblPr>
        <w:tblStyle w:val="39"/>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30" w:type="dxa"/>
          <w:bottom w:w="0" w:type="dxa"/>
          <w:right w:w="30" w:type="dxa"/>
        </w:tblCellMar>
      </w:tblPr>
      <w:tblGrid>
        <w:gridCol w:w="660"/>
        <w:gridCol w:w="954"/>
        <w:gridCol w:w="954"/>
        <w:gridCol w:w="956"/>
        <w:gridCol w:w="956"/>
        <w:gridCol w:w="956"/>
        <w:gridCol w:w="1114"/>
        <w:gridCol w:w="956"/>
        <w:gridCol w:w="956"/>
        <w:gridCol w:w="956"/>
        <w:gridCol w:w="788"/>
      </w:tblGrid>
      <w:tr w14:paraId="3DE69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1627" w:hRule="exact"/>
          <w:jc w:val="center"/>
        </w:trPr>
        <w:tc>
          <w:tcPr>
            <w:tcW w:w="323" w:type="pct"/>
            <w:noWrap w:val="0"/>
            <w:vAlign w:val="center"/>
          </w:tcPr>
          <w:p w14:paraId="0CE81A4F">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467" w:type="pct"/>
            <w:noWrap w:val="0"/>
            <w:vAlign w:val="center"/>
          </w:tcPr>
          <w:p w14:paraId="0A268601">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p>
        </w:tc>
        <w:tc>
          <w:tcPr>
            <w:tcW w:w="467" w:type="pct"/>
            <w:noWrap w:val="0"/>
            <w:vAlign w:val="center"/>
          </w:tcPr>
          <w:p w14:paraId="062482D8">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项目规模</w:t>
            </w:r>
          </w:p>
        </w:tc>
        <w:tc>
          <w:tcPr>
            <w:tcW w:w="468" w:type="pct"/>
            <w:noWrap w:val="0"/>
            <w:vAlign w:val="center"/>
          </w:tcPr>
          <w:p w14:paraId="6B93FB8D">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合同金额（万元）</w:t>
            </w:r>
          </w:p>
        </w:tc>
        <w:tc>
          <w:tcPr>
            <w:tcW w:w="468" w:type="pct"/>
            <w:noWrap w:val="0"/>
            <w:vAlign w:val="center"/>
          </w:tcPr>
          <w:p w14:paraId="5A69E06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合同主要服务内容</w:t>
            </w:r>
          </w:p>
        </w:tc>
        <w:tc>
          <w:tcPr>
            <w:tcW w:w="468" w:type="pct"/>
            <w:noWrap w:val="0"/>
            <w:vAlign w:val="center"/>
          </w:tcPr>
          <w:p w14:paraId="7A7C77D6">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合同期限</w:t>
            </w:r>
          </w:p>
        </w:tc>
        <w:tc>
          <w:tcPr>
            <w:tcW w:w="545" w:type="pct"/>
            <w:noWrap w:val="0"/>
            <w:vAlign w:val="center"/>
          </w:tcPr>
          <w:p w14:paraId="795B7462">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签约日期</w:t>
            </w:r>
          </w:p>
        </w:tc>
        <w:tc>
          <w:tcPr>
            <w:tcW w:w="468" w:type="pct"/>
            <w:noWrap w:val="0"/>
            <w:vAlign w:val="center"/>
          </w:tcPr>
          <w:p w14:paraId="37B1EC79">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服务完成情况</w:t>
            </w:r>
          </w:p>
        </w:tc>
        <w:tc>
          <w:tcPr>
            <w:tcW w:w="468" w:type="pct"/>
            <w:noWrap w:val="0"/>
            <w:vAlign w:val="center"/>
          </w:tcPr>
          <w:p w14:paraId="30D4E6D7">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服务质量情况</w:t>
            </w:r>
          </w:p>
        </w:tc>
        <w:tc>
          <w:tcPr>
            <w:tcW w:w="468" w:type="pct"/>
            <w:noWrap w:val="0"/>
            <w:vAlign w:val="center"/>
          </w:tcPr>
          <w:p w14:paraId="36BEF125">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业主联系人及电话</w:t>
            </w:r>
          </w:p>
        </w:tc>
        <w:tc>
          <w:tcPr>
            <w:tcW w:w="385" w:type="pct"/>
            <w:noWrap w:val="0"/>
            <w:vAlign w:val="center"/>
          </w:tcPr>
          <w:p w14:paraId="6D981ACC">
            <w:pPr>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3E917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B53BED3">
            <w:pPr>
              <w:jc w:val="center"/>
              <w:outlineLvl w:val="9"/>
              <w:rPr>
                <w:rFonts w:hint="eastAsia" w:ascii="宋体" w:hAnsi="宋体" w:eastAsia="宋体" w:cs="宋体"/>
                <w:color w:val="auto"/>
                <w:sz w:val="21"/>
                <w:szCs w:val="21"/>
                <w:highlight w:val="none"/>
              </w:rPr>
            </w:pPr>
          </w:p>
        </w:tc>
        <w:tc>
          <w:tcPr>
            <w:tcW w:w="467" w:type="pct"/>
            <w:noWrap w:val="0"/>
            <w:vAlign w:val="center"/>
          </w:tcPr>
          <w:p w14:paraId="6CBACC38">
            <w:pPr>
              <w:jc w:val="center"/>
              <w:outlineLvl w:val="9"/>
              <w:rPr>
                <w:rFonts w:hint="eastAsia" w:ascii="宋体" w:hAnsi="宋体" w:eastAsia="宋体" w:cs="宋体"/>
                <w:color w:val="auto"/>
                <w:sz w:val="21"/>
                <w:szCs w:val="21"/>
                <w:highlight w:val="none"/>
              </w:rPr>
            </w:pPr>
          </w:p>
        </w:tc>
        <w:tc>
          <w:tcPr>
            <w:tcW w:w="467" w:type="pct"/>
            <w:noWrap w:val="0"/>
            <w:vAlign w:val="center"/>
          </w:tcPr>
          <w:p w14:paraId="0B6ECAE7">
            <w:pPr>
              <w:jc w:val="center"/>
              <w:outlineLvl w:val="9"/>
              <w:rPr>
                <w:rFonts w:hint="eastAsia" w:ascii="宋体" w:hAnsi="宋体" w:eastAsia="宋体" w:cs="宋体"/>
                <w:color w:val="auto"/>
                <w:sz w:val="21"/>
                <w:szCs w:val="21"/>
                <w:highlight w:val="none"/>
              </w:rPr>
            </w:pPr>
          </w:p>
        </w:tc>
        <w:tc>
          <w:tcPr>
            <w:tcW w:w="468" w:type="pct"/>
            <w:noWrap w:val="0"/>
            <w:vAlign w:val="center"/>
          </w:tcPr>
          <w:p w14:paraId="431BFF6C">
            <w:pPr>
              <w:jc w:val="center"/>
              <w:outlineLvl w:val="9"/>
              <w:rPr>
                <w:rFonts w:hint="eastAsia" w:ascii="宋体" w:hAnsi="宋体" w:eastAsia="宋体" w:cs="宋体"/>
                <w:color w:val="auto"/>
                <w:sz w:val="21"/>
                <w:szCs w:val="21"/>
                <w:highlight w:val="none"/>
              </w:rPr>
            </w:pPr>
          </w:p>
        </w:tc>
        <w:tc>
          <w:tcPr>
            <w:tcW w:w="468" w:type="pct"/>
            <w:noWrap w:val="0"/>
            <w:vAlign w:val="center"/>
          </w:tcPr>
          <w:p w14:paraId="78B6AF67">
            <w:pPr>
              <w:jc w:val="center"/>
              <w:outlineLvl w:val="9"/>
              <w:rPr>
                <w:rFonts w:hint="eastAsia" w:ascii="宋体" w:hAnsi="宋体" w:eastAsia="宋体" w:cs="宋体"/>
                <w:color w:val="auto"/>
                <w:sz w:val="21"/>
                <w:szCs w:val="21"/>
                <w:highlight w:val="none"/>
              </w:rPr>
            </w:pPr>
          </w:p>
        </w:tc>
        <w:tc>
          <w:tcPr>
            <w:tcW w:w="468" w:type="pct"/>
            <w:noWrap w:val="0"/>
            <w:vAlign w:val="center"/>
          </w:tcPr>
          <w:p w14:paraId="03AE60DE">
            <w:pPr>
              <w:jc w:val="center"/>
              <w:outlineLvl w:val="9"/>
              <w:rPr>
                <w:rFonts w:hint="eastAsia" w:ascii="宋体" w:hAnsi="宋体" w:eastAsia="宋体" w:cs="宋体"/>
                <w:color w:val="auto"/>
                <w:sz w:val="21"/>
                <w:szCs w:val="21"/>
                <w:highlight w:val="none"/>
              </w:rPr>
            </w:pPr>
          </w:p>
        </w:tc>
        <w:tc>
          <w:tcPr>
            <w:tcW w:w="545" w:type="pct"/>
            <w:noWrap w:val="0"/>
            <w:vAlign w:val="center"/>
          </w:tcPr>
          <w:p w14:paraId="26235ECB">
            <w:pPr>
              <w:jc w:val="center"/>
              <w:outlineLvl w:val="9"/>
              <w:rPr>
                <w:rFonts w:hint="eastAsia" w:ascii="宋体" w:hAnsi="宋体" w:eastAsia="宋体" w:cs="宋体"/>
                <w:color w:val="auto"/>
                <w:sz w:val="21"/>
                <w:szCs w:val="21"/>
                <w:highlight w:val="none"/>
              </w:rPr>
            </w:pPr>
          </w:p>
        </w:tc>
        <w:tc>
          <w:tcPr>
            <w:tcW w:w="468" w:type="pct"/>
            <w:noWrap w:val="0"/>
            <w:vAlign w:val="top"/>
          </w:tcPr>
          <w:p w14:paraId="0842628B">
            <w:pPr>
              <w:jc w:val="center"/>
              <w:outlineLvl w:val="9"/>
              <w:rPr>
                <w:rFonts w:hint="eastAsia" w:ascii="宋体" w:hAnsi="宋体" w:eastAsia="宋体" w:cs="宋体"/>
                <w:color w:val="auto"/>
                <w:sz w:val="21"/>
                <w:szCs w:val="21"/>
                <w:highlight w:val="none"/>
              </w:rPr>
            </w:pPr>
          </w:p>
        </w:tc>
        <w:tc>
          <w:tcPr>
            <w:tcW w:w="468" w:type="pct"/>
            <w:noWrap w:val="0"/>
            <w:vAlign w:val="center"/>
          </w:tcPr>
          <w:p w14:paraId="099B1D52">
            <w:pPr>
              <w:jc w:val="center"/>
              <w:outlineLvl w:val="9"/>
              <w:rPr>
                <w:rFonts w:hint="eastAsia" w:ascii="宋体" w:hAnsi="宋体" w:eastAsia="宋体" w:cs="宋体"/>
                <w:color w:val="auto"/>
                <w:sz w:val="21"/>
                <w:szCs w:val="21"/>
                <w:highlight w:val="none"/>
              </w:rPr>
            </w:pPr>
          </w:p>
        </w:tc>
        <w:tc>
          <w:tcPr>
            <w:tcW w:w="468" w:type="pct"/>
            <w:noWrap w:val="0"/>
            <w:vAlign w:val="center"/>
          </w:tcPr>
          <w:p w14:paraId="317CE0B3">
            <w:pPr>
              <w:jc w:val="center"/>
              <w:outlineLvl w:val="9"/>
              <w:rPr>
                <w:rFonts w:hint="eastAsia" w:ascii="宋体" w:hAnsi="宋体" w:eastAsia="宋体" w:cs="宋体"/>
                <w:color w:val="auto"/>
                <w:sz w:val="21"/>
                <w:szCs w:val="21"/>
                <w:highlight w:val="none"/>
              </w:rPr>
            </w:pPr>
          </w:p>
        </w:tc>
        <w:tc>
          <w:tcPr>
            <w:tcW w:w="385" w:type="pct"/>
            <w:noWrap w:val="0"/>
            <w:vAlign w:val="center"/>
          </w:tcPr>
          <w:p w14:paraId="31D61A39">
            <w:pPr>
              <w:jc w:val="center"/>
              <w:outlineLvl w:val="9"/>
              <w:rPr>
                <w:rFonts w:hint="eastAsia" w:ascii="宋体" w:hAnsi="宋体" w:eastAsia="宋体" w:cs="宋体"/>
                <w:color w:val="auto"/>
                <w:sz w:val="21"/>
                <w:szCs w:val="21"/>
                <w:highlight w:val="none"/>
              </w:rPr>
            </w:pPr>
          </w:p>
        </w:tc>
      </w:tr>
      <w:tr w14:paraId="290AFD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45AF69D5">
            <w:pPr>
              <w:jc w:val="center"/>
              <w:outlineLvl w:val="9"/>
              <w:rPr>
                <w:rFonts w:hint="eastAsia" w:ascii="宋体" w:hAnsi="宋体" w:eastAsia="宋体" w:cs="宋体"/>
                <w:color w:val="auto"/>
                <w:sz w:val="21"/>
                <w:szCs w:val="21"/>
                <w:highlight w:val="none"/>
              </w:rPr>
            </w:pPr>
          </w:p>
        </w:tc>
        <w:tc>
          <w:tcPr>
            <w:tcW w:w="467" w:type="pct"/>
            <w:noWrap w:val="0"/>
            <w:vAlign w:val="center"/>
          </w:tcPr>
          <w:p w14:paraId="5639A27D">
            <w:pPr>
              <w:jc w:val="center"/>
              <w:outlineLvl w:val="9"/>
              <w:rPr>
                <w:rFonts w:hint="eastAsia" w:ascii="宋体" w:hAnsi="宋体" w:eastAsia="宋体" w:cs="宋体"/>
                <w:color w:val="auto"/>
                <w:sz w:val="21"/>
                <w:szCs w:val="21"/>
                <w:highlight w:val="none"/>
              </w:rPr>
            </w:pPr>
          </w:p>
        </w:tc>
        <w:tc>
          <w:tcPr>
            <w:tcW w:w="467" w:type="pct"/>
            <w:noWrap w:val="0"/>
            <w:vAlign w:val="center"/>
          </w:tcPr>
          <w:p w14:paraId="31FBF6EC">
            <w:pPr>
              <w:jc w:val="center"/>
              <w:outlineLvl w:val="9"/>
              <w:rPr>
                <w:rFonts w:hint="eastAsia" w:ascii="宋体" w:hAnsi="宋体" w:eastAsia="宋体" w:cs="宋体"/>
                <w:color w:val="auto"/>
                <w:sz w:val="21"/>
                <w:szCs w:val="21"/>
                <w:highlight w:val="none"/>
              </w:rPr>
            </w:pPr>
          </w:p>
        </w:tc>
        <w:tc>
          <w:tcPr>
            <w:tcW w:w="468" w:type="pct"/>
            <w:noWrap w:val="0"/>
            <w:vAlign w:val="center"/>
          </w:tcPr>
          <w:p w14:paraId="3826FEC2">
            <w:pPr>
              <w:jc w:val="center"/>
              <w:outlineLvl w:val="9"/>
              <w:rPr>
                <w:rFonts w:hint="eastAsia" w:ascii="宋体" w:hAnsi="宋体" w:eastAsia="宋体" w:cs="宋体"/>
                <w:color w:val="auto"/>
                <w:sz w:val="21"/>
                <w:szCs w:val="21"/>
                <w:highlight w:val="none"/>
              </w:rPr>
            </w:pPr>
          </w:p>
        </w:tc>
        <w:tc>
          <w:tcPr>
            <w:tcW w:w="468" w:type="pct"/>
            <w:noWrap w:val="0"/>
            <w:vAlign w:val="center"/>
          </w:tcPr>
          <w:p w14:paraId="70686E34">
            <w:pPr>
              <w:jc w:val="center"/>
              <w:outlineLvl w:val="9"/>
              <w:rPr>
                <w:rFonts w:hint="eastAsia" w:ascii="宋体" w:hAnsi="宋体" w:eastAsia="宋体" w:cs="宋体"/>
                <w:color w:val="auto"/>
                <w:sz w:val="21"/>
                <w:szCs w:val="21"/>
                <w:highlight w:val="none"/>
              </w:rPr>
            </w:pPr>
          </w:p>
        </w:tc>
        <w:tc>
          <w:tcPr>
            <w:tcW w:w="468" w:type="pct"/>
            <w:noWrap w:val="0"/>
            <w:vAlign w:val="center"/>
          </w:tcPr>
          <w:p w14:paraId="399273CA">
            <w:pPr>
              <w:jc w:val="center"/>
              <w:outlineLvl w:val="9"/>
              <w:rPr>
                <w:rFonts w:hint="eastAsia" w:ascii="宋体" w:hAnsi="宋体" w:eastAsia="宋体" w:cs="宋体"/>
                <w:color w:val="auto"/>
                <w:sz w:val="21"/>
                <w:szCs w:val="21"/>
                <w:highlight w:val="none"/>
              </w:rPr>
            </w:pPr>
          </w:p>
        </w:tc>
        <w:tc>
          <w:tcPr>
            <w:tcW w:w="545" w:type="pct"/>
            <w:noWrap w:val="0"/>
            <w:vAlign w:val="center"/>
          </w:tcPr>
          <w:p w14:paraId="53BA6C06">
            <w:pPr>
              <w:jc w:val="center"/>
              <w:outlineLvl w:val="9"/>
              <w:rPr>
                <w:rFonts w:hint="eastAsia" w:ascii="宋体" w:hAnsi="宋体" w:eastAsia="宋体" w:cs="宋体"/>
                <w:color w:val="auto"/>
                <w:sz w:val="21"/>
                <w:szCs w:val="21"/>
                <w:highlight w:val="none"/>
              </w:rPr>
            </w:pPr>
          </w:p>
        </w:tc>
        <w:tc>
          <w:tcPr>
            <w:tcW w:w="468" w:type="pct"/>
            <w:noWrap w:val="0"/>
            <w:vAlign w:val="top"/>
          </w:tcPr>
          <w:p w14:paraId="137EB483">
            <w:pPr>
              <w:jc w:val="center"/>
              <w:outlineLvl w:val="9"/>
              <w:rPr>
                <w:rFonts w:hint="eastAsia" w:ascii="宋体" w:hAnsi="宋体" w:eastAsia="宋体" w:cs="宋体"/>
                <w:color w:val="auto"/>
                <w:sz w:val="21"/>
                <w:szCs w:val="21"/>
                <w:highlight w:val="none"/>
              </w:rPr>
            </w:pPr>
          </w:p>
        </w:tc>
        <w:tc>
          <w:tcPr>
            <w:tcW w:w="468" w:type="pct"/>
            <w:noWrap w:val="0"/>
            <w:vAlign w:val="center"/>
          </w:tcPr>
          <w:p w14:paraId="40856556">
            <w:pPr>
              <w:jc w:val="center"/>
              <w:outlineLvl w:val="9"/>
              <w:rPr>
                <w:rFonts w:hint="eastAsia" w:ascii="宋体" w:hAnsi="宋体" w:eastAsia="宋体" w:cs="宋体"/>
                <w:color w:val="auto"/>
                <w:sz w:val="21"/>
                <w:szCs w:val="21"/>
                <w:highlight w:val="none"/>
              </w:rPr>
            </w:pPr>
          </w:p>
        </w:tc>
        <w:tc>
          <w:tcPr>
            <w:tcW w:w="468" w:type="pct"/>
            <w:noWrap w:val="0"/>
            <w:vAlign w:val="center"/>
          </w:tcPr>
          <w:p w14:paraId="364E3D67">
            <w:pPr>
              <w:jc w:val="center"/>
              <w:outlineLvl w:val="9"/>
              <w:rPr>
                <w:rFonts w:hint="eastAsia" w:ascii="宋体" w:hAnsi="宋体" w:eastAsia="宋体" w:cs="宋体"/>
                <w:color w:val="auto"/>
                <w:sz w:val="21"/>
                <w:szCs w:val="21"/>
                <w:highlight w:val="none"/>
              </w:rPr>
            </w:pPr>
          </w:p>
        </w:tc>
        <w:tc>
          <w:tcPr>
            <w:tcW w:w="385" w:type="pct"/>
            <w:noWrap w:val="0"/>
            <w:vAlign w:val="center"/>
          </w:tcPr>
          <w:p w14:paraId="4A9367CC">
            <w:pPr>
              <w:jc w:val="center"/>
              <w:outlineLvl w:val="9"/>
              <w:rPr>
                <w:rFonts w:hint="eastAsia" w:ascii="宋体" w:hAnsi="宋体" w:eastAsia="宋体" w:cs="宋体"/>
                <w:color w:val="auto"/>
                <w:sz w:val="21"/>
                <w:szCs w:val="21"/>
                <w:highlight w:val="none"/>
              </w:rPr>
            </w:pPr>
          </w:p>
        </w:tc>
      </w:tr>
      <w:tr w14:paraId="67974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56F27E19">
            <w:pPr>
              <w:jc w:val="center"/>
              <w:outlineLvl w:val="9"/>
              <w:rPr>
                <w:rFonts w:hint="eastAsia" w:ascii="宋体" w:hAnsi="宋体" w:eastAsia="宋体" w:cs="宋体"/>
                <w:color w:val="auto"/>
                <w:sz w:val="21"/>
                <w:szCs w:val="21"/>
                <w:highlight w:val="none"/>
              </w:rPr>
            </w:pPr>
          </w:p>
        </w:tc>
        <w:tc>
          <w:tcPr>
            <w:tcW w:w="467" w:type="pct"/>
            <w:noWrap w:val="0"/>
            <w:vAlign w:val="center"/>
          </w:tcPr>
          <w:p w14:paraId="7C32817F">
            <w:pPr>
              <w:jc w:val="center"/>
              <w:outlineLvl w:val="9"/>
              <w:rPr>
                <w:rFonts w:hint="eastAsia" w:ascii="宋体" w:hAnsi="宋体" w:eastAsia="宋体" w:cs="宋体"/>
                <w:color w:val="auto"/>
                <w:sz w:val="21"/>
                <w:szCs w:val="21"/>
                <w:highlight w:val="none"/>
              </w:rPr>
            </w:pPr>
          </w:p>
        </w:tc>
        <w:tc>
          <w:tcPr>
            <w:tcW w:w="467" w:type="pct"/>
            <w:noWrap w:val="0"/>
            <w:vAlign w:val="center"/>
          </w:tcPr>
          <w:p w14:paraId="72F8A77D">
            <w:pPr>
              <w:jc w:val="center"/>
              <w:outlineLvl w:val="9"/>
              <w:rPr>
                <w:rFonts w:hint="eastAsia" w:ascii="宋体" w:hAnsi="宋体" w:eastAsia="宋体" w:cs="宋体"/>
                <w:color w:val="auto"/>
                <w:sz w:val="21"/>
                <w:szCs w:val="21"/>
                <w:highlight w:val="none"/>
              </w:rPr>
            </w:pPr>
          </w:p>
        </w:tc>
        <w:tc>
          <w:tcPr>
            <w:tcW w:w="468" w:type="pct"/>
            <w:noWrap w:val="0"/>
            <w:vAlign w:val="center"/>
          </w:tcPr>
          <w:p w14:paraId="0A6E44C3">
            <w:pPr>
              <w:jc w:val="center"/>
              <w:outlineLvl w:val="9"/>
              <w:rPr>
                <w:rFonts w:hint="eastAsia" w:ascii="宋体" w:hAnsi="宋体" w:eastAsia="宋体" w:cs="宋体"/>
                <w:color w:val="auto"/>
                <w:sz w:val="21"/>
                <w:szCs w:val="21"/>
                <w:highlight w:val="none"/>
              </w:rPr>
            </w:pPr>
          </w:p>
        </w:tc>
        <w:tc>
          <w:tcPr>
            <w:tcW w:w="468" w:type="pct"/>
            <w:noWrap w:val="0"/>
            <w:vAlign w:val="center"/>
          </w:tcPr>
          <w:p w14:paraId="6B932B83">
            <w:pPr>
              <w:jc w:val="center"/>
              <w:outlineLvl w:val="9"/>
              <w:rPr>
                <w:rFonts w:hint="eastAsia" w:ascii="宋体" w:hAnsi="宋体" w:eastAsia="宋体" w:cs="宋体"/>
                <w:color w:val="auto"/>
                <w:sz w:val="21"/>
                <w:szCs w:val="21"/>
                <w:highlight w:val="none"/>
              </w:rPr>
            </w:pPr>
          </w:p>
        </w:tc>
        <w:tc>
          <w:tcPr>
            <w:tcW w:w="468" w:type="pct"/>
            <w:noWrap w:val="0"/>
            <w:vAlign w:val="center"/>
          </w:tcPr>
          <w:p w14:paraId="09ADDA1C">
            <w:pPr>
              <w:jc w:val="center"/>
              <w:outlineLvl w:val="9"/>
              <w:rPr>
                <w:rFonts w:hint="eastAsia" w:ascii="宋体" w:hAnsi="宋体" w:eastAsia="宋体" w:cs="宋体"/>
                <w:color w:val="auto"/>
                <w:sz w:val="21"/>
                <w:szCs w:val="21"/>
                <w:highlight w:val="none"/>
              </w:rPr>
            </w:pPr>
          </w:p>
        </w:tc>
        <w:tc>
          <w:tcPr>
            <w:tcW w:w="545" w:type="pct"/>
            <w:noWrap w:val="0"/>
            <w:vAlign w:val="center"/>
          </w:tcPr>
          <w:p w14:paraId="2479EEDD">
            <w:pPr>
              <w:jc w:val="center"/>
              <w:outlineLvl w:val="9"/>
              <w:rPr>
                <w:rFonts w:hint="eastAsia" w:ascii="宋体" w:hAnsi="宋体" w:eastAsia="宋体" w:cs="宋体"/>
                <w:color w:val="auto"/>
                <w:sz w:val="21"/>
                <w:szCs w:val="21"/>
                <w:highlight w:val="none"/>
              </w:rPr>
            </w:pPr>
          </w:p>
        </w:tc>
        <w:tc>
          <w:tcPr>
            <w:tcW w:w="468" w:type="pct"/>
            <w:noWrap w:val="0"/>
            <w:vAlign w:val="top"/>
          </w:tcPr>
          <w:p w14:paraId="49455F5C">
            <w:pPr>
              <w:jc w:val="center"/>
              <w:outlineLvl w:val="9"/>
              <w:rPr>
                <w:rFonts w:hint="eastAsia" w:ascii="宋体" w:hAnsi="宋体" w:eastAsia="宋体" w:cs="宋体"/>
                <w:color w:val="auto"/>
                <w:sz w:val="21"/>
                <w:szCs w:val="21"/>
                <w:highlight w:val="none"/>
              </w:rPr>
            </w:pPr>
          </w:p>
        </w:tc>
        <w:tc>
          <w:tcPr>
            <w:tcW w:w="468" w:type="pct"/>
            <w:noWrap w:val="0"/>
            <w:vAlign w:val="center"/>
          </w:tcPr>
          <w:p w14:paraId="65A699ED">
            <w:pPr>
              <w:jc w:val="center"/>
              <w:outlineLvl w:val="9"/>
              <w:rPr>
                <w:rFonts w:hint="eastAsia" w:ascii="宋体" w:hAnsi="宋体" w:eastAsia="宋体" w:cs="宋体"/>
                <w:color w:val="auto"/>
                <w:sz w:val="21"/>
                <w:szCs w:val="21"/>
                <w:highlight w:val="none"/>
              </w:rPr>
            </w:pPr>
          </w:p>
        </w:tc>
        <w:tc>
          <w:tcPr>
            <w:tcW w:w="468" w:type="pct"/>
            <w:noWrap w:val="0"/>
            <w:vAlign w:val="center"/>
          </w:tcPr>
          <w:p w14:paraId="0B673D51">
            <w:pPr>
              <w:jc w:val="center"/>
              <w:outlineLvl w:val="9"/>
              <w:rPr>
                <w:rFonts w:hint="eastAsia" w:ascii="宋体" w:hAnsi="宋体" w:eastAsia="宋体" w:cs="宋体"/>
                <w:color w:val="auto"/>
                <w:sz w:val="21"/>
                <w:szCs w:val="21"/>
                <w:highlight w:val="none"/>
              </w:rPr>
            </w:pPr>
          </w:p>
        </w:tc>
        <w:tc>
          <w:tcPr>
            <w:tcW w:w="385" w:type="pct"/>
            <w:noWrap w:val="0"/>
            <w:vAlign w:val="center"/>
          </w:tcPr>
          <w:p w14:paraId="132FEA1C">
            <w:pPr>
              <w:jc w:val="center"/>
              <w:outlineLvl w:val="9"/>
              <w:rPr>
                <w:rFonts w:hint="eastAsia" w:ascii="宋体" w:hAnsi="宋体" w:eastAsia="宋体" w:cs="宋体"/>
                <w:color w:val="auto"/>
                <w:sz w:val="21"/>
                <w:szCs w:val="21"/>
                <w:highlight w:val="none"/>
              </w:rPr>
            </w:pPr>
          </w:p>
        </w:tc>
      </w:tr>
      <w:tr w14:paraId="7060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30" w:type="dxa"/>
            <w:bottom w:w="0" w:type="dxa"/>
            <w:right w:w="30" w:type="dxa"/>
          </w:tblCellMar>
        </w:tblPrEx>
        <w:trPr>
          <w:cantSplit/>
          <w:trHeight w:val="760" w:hRule="exact"/>
          <w:jc w:val="center"/>
        </w:trPr>
        <w:tc>
          <w:tcPr>
            <w:tcW w:w="323" w:type="pct"/>
            <w:noWrap w:val="0"/>
            <w:vAlign w:val="center"/>
          </w:tcPr>
          <w:p w14:paraId="2F7D89E1">
            <w:pPr>
              <w:jc w:val="center"/>
              <w:outlineLvl w:val="9"/>
              <w:rPr>
                <w:rFonts w:hint="eastAsia" w:ascii="宋体" w:hAnsi="宋体" w:eastAsia="宋体" w:cs="宋体"/>
                <w:color w:val="auto"/>
                <w:sz w:val="21"/>
                <w:szCs w:val="21"/>
                <w:highlight w:val="none"/>
              </w:rPr>
            </w:pPr>
          </w:p>
        </w:tc>
        <w:tc>
          <w:tcPr>
            <w:tcW w:w="467" w:type="pct"/>
            <w:noWrap w:val="0"/>
            <w:vAlign w:val="center"/>
          </w:tcPr>
          <w:p w14:paraId="41645049">
            <w:pPr>
              <w:jc w:val="center"/>
              <w:outlineLvl w:val="9"/>
              <w:rPr>
                <w:rFonts w:hint="eastAsia" w:ascii="宋体" w:hAnsi="宋体" w:eastAsia="宋体" w:cs="宋体"/>
                <w:color w:val="auto"/>
                <w:sz w:val="21"/>
                <w:szCs w:val="21"/>
                <w:highlight w:val="none"/>
              </w:rPr>
            </w:pPr>
          </w:p>
        </w:tc>
        <w:tc>
          <w:tcPr>
            <w:tcW w:w="467" w:type="pct"/>
            <w:noWrap w:val="0"/>
            <w:vAlign w:val="center"/>
          </w:tcPr>
          <w:p w14:paraId="784413E8">
            <w:pPr>
              <w:jc w:val="center"/>
              <w:outlineLvl w:val="9"/>
              <w:rPr>
                <w:rFonts w:hint="eastAsia" w:ascii="宋体" w:hAnsi="宋体" w:eastAsia="宋体" w:cs="宋体"/>
                <w:color w:val="auto"/>
                <w:sz w:val="21"/>
                <w:szCs w:val="21"/>
                <w:highlight w:val="none"/>
              </w:rPr>
            </w:pPr>
          </w:p>
        </w:tc>
        <w:tc>
          <w:tcPr>
            <w:tcW w:w="468" w:type="pct"/>
            <w:noWrap w:val="0"/>
            <w:vAlign w:val="center"/>
          </w:tcPr>
          <w:p w14:paraId="391FE28D">
            <w:pPr>
              <w:jc w:val="center"/>
              <w:outlineLvl w:val="9"/>
              <w:rPr>
                <w:rFonts w:hint="eastAsia" w:ascii="宋体" w:hAnsi="宋体" w:eastAsia="宋体" w:cs="宋体"/>
                <w:color w:val="auto"/>
                <w:sz w:val="21"/>
                <w:szCs w:val="21"/>
                <w:highlight w:val="none"/>
              </w:rPr>
            </w:pPr>
          </w:p>
        </w:tc>
        <w:tc>
          <w:tcPr>
            <w:tcW w:w="468" w:type="pct"/>
            <w:noWrap w:val="0"/>
            <w:vAlign w:val="center"/>
          </w:tcPr>
          <w:p w14:paraId="55C7D055">
            <w:pPr>
              <w:jc w:val="center"/>
              <w:outlineLvl w:val="9"/>
              <w:rPr>
                <w:rFonts w:hint="eastAsia" w:ascii="宋体" w:hAnsi="宋体" w:eastAsia="宋体" w:cs="宋体"/>
                <w:color w:val="auto"/>
                <w:sz w:val="21"/>
                <w:szCs w:val="21"/>
                <w:highlight w:val="none"/>
              </w:rPr>
            </w:pPr>
          </w:p>
        </w:tc>
        <w:tc>
          <w:tcPr>
            <w:tcW w:w="468" w:type="pct"/>
            <w:noWrap w:val="0"/>
            <w:vAlign w:val="center"/>
          </w:tcPr>
          <w:p w14:paraId="7DD8A332">
            <w:pPr>
              <w:jc w:val="center"/>
              <w:outlineLvl w:val="9"/>
              <w:rPr>
                <w:rFonts w:hint="eastAsia" w:ascii="宋体" w:hAnsi="宋体" w:eastAsia="宋体" w:cs="宋体"/>
                <w:color w:val="auto"/>
                <w:sz w:val="21"/>
                <w:szCs w:val="21"/>
                <w:highlight w:val="none"/>
              </w:rPr>
            </w:pPr>
          </w:p>
        </w:tc>
        <w:tc>
          <w:tcPr>
            <w:tcW w:w="545" w:type="pct"/>
            <w:noWrap w:val="0"/>
            <w:vAlign w:val="center"/>
          </w:tcPr>
          <w:p w14:paraId="476D6D29">
            <w:pPr>
              <w:jc w:val="center"/>
              <w:outlineLvl w:val="9"/>
              <w:rPr>
                <w:rFonts w:hint="eastAsia" w:ascii="宋体" w:hAnsi="宋体" w:eastAsia="宋体" w:cs="宋体"/>
                <w:color w:val="auto"/>
                <w:sz w:val="21"/>
                <w:szCs w:val="21"/>
                <w:highlight w:val="none"/>
              </w:rPr>
            </w:pPr>
          </w:p>
        </w:tc>
        <w:tc>
          <w:tcPr>
            <w:tcW w:w="468" w:type="pct"/>
            <w:noWrap w:val="0"/>
            <w:vAlign w:val="top"/>
          </w:tcPr>
          <w:p w14:paraId="2DB79B53">
            <w:pPr>
              <w:jc w:val="center"/>
              <w:outlineLvl w:val="9"/>
              <w:rPr>
                <w:rFonts w:hint="eastAsia" w:ascii="宋体" w:hAnsi="宋体" w:eastAsia="宋体" w:cs="宋体"/>
                <w:color w:val="auto"/>
                <w:sz w:val="21"/>
                <w:szCs w:val="21"/>
                <w:highlight w:val="none"/>
              </w:rPr>
            </w:pPr>
          </w:p>
        </w:tc>
        <w:tc>
          <w:tcPr>
            <w:tcW w:w="468" w:type="pct"/>
            <w:noWrap w:val="0"/>
            <w:vAlign w:val="center"/>
          </w:tcPr>
          <w:p w14:paraId="425B8658">
            <w:pPr>
              <w:jc w:val="center"/>
              <w:outlineLvl w:val="9"/>
              <w:rPr>
                <w:rFonts w:hint="eastAsia" w:ascii="宋体" w:hAnsi="宋体" w:eastAsia="宋体" w:cs="宋体"/>
                <w:color w:val="auto"/>
                <w:sz w:val="21"/>
                <w:szCs w:val="21"/>
                <w:highlight w:val="none"/>
              </w:rPr>
            </w:pPr>
          </w:p>
        </w:tc>
        <w:tc>
          <w:tcPr>
            <w:tcW w:w="468" w:type="pct"/>
            <w:noWrap w:val="0"/>
            <w:vAlign w:val="center"/>
          </w:tcPr>
          <w:p w14:paraId="672C3B83">
            <w:pPr>
              <w:jc w:val="center"/>
              <w:outlineLvl w:val="9"/>
              <w:rPr>
                <w:rFonts w:hint="eastAsia" w:ascii="宋体" w:hAnsi="宋体" w:eastAsia="宋体" w:cs="宋体"/>
                <w:color w:val="auto"/>
                <w:sz w:val="21"/>
                <w:szCs w:val="21"/>
                <w:highlight w:val="none"/>
              </w:rPr>
            </w:pPr>
          </w:p>
        </w:tc>
        <w:tc>
          <w:tcPr>
            <w:tcW w:w="385" w:type="pct"/>
            <w:noWrap w:val="0"/>
            <w:vAlign w:val="center"/>
          </w:tcPr>
          <w:p w14:paraId="117ED7E3">
            <w:pPr>
              <w:jc w:val="center"/>
              <w:outlineLvl w:val="9"/>
              <w:rPr>
                <w:rFonts w:hint="eastAsia" w:ascii="宋体" w:hAnsi="宋体" w:eastAsia="宋体" w:cs="宋体"/>
                <w:color w:val="auto"/>
                <w:sz w:val="21"/>
                <w:szCs w:val="21"/>
                <w:highlight w:val="none"/>
              </w:rPr>
            </w:pPr>
          </w:p>
        </w:tc>
      </w:tr>
    </w:tbl>
    <w:p w14:paraId="780C5E5B">
      <w:pPr>
        <w:autoSpaceDE w:val="0"/>
        <w:autoSpaceDN w:val="0"/>
        <w:adjustRightInd w:val="0"/>
        <w:snapToGrid w:val="0"/>
        <w:spacing w:line="360" w:lineRule="auto"/>
        <w:ind w:left="186" w:leftChars="-158" w:hanging="518" w:hangingChars="247"/>
        <w:jc w:val="left"/>
        <w:outlineLvl w:val="9"/>
        <w:rPr>
          <w:rFonts w:hint="eastAsia" w:ascii="宋体" w:hAnsi="宋体" w:eastAsia="宋体" w:cs="宋体"/>
          <w:color w:val="auto"/>
          <w:szCs w:val="24"/>
          <w:highlight w:val="none"/>
          <w:lang w:val="zh-CN"/>
        </w:rPr>
      </w:pPr>
    </w:p>
    <w:p w14:paraId="3AB23E90">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0A28DC96">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（1）业绩按单项合同采购金额从高到低的方式排列；同一个单项合同的业绩可以同时在资格业绩和评分业绩重复放置。</w:t>
      </w:r>
    </w:p>
    <w:p w14:paraId="26F7BE99">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（2）业绩须为投标人202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年1月1日以来（签订合同的时间要求为202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年1月1日或以后）承接的劳务</w:t>
      </w:r>
      <w:r>
        <w:rPr>
          <w:rFonts w:hint="eastAsia" w:ascii="宋体" w:hAnsi="宋体" w:eastAsia="宋体" w:cs="宋体"/>
          <w:color w:val="auto"/>
          <w:szCs w:val="24"/>
          <w:highlight w:val="none"/>
        </w:rPr>
        <w:t>外包</w:t>
      </w:r>
      <w:r>
        <w:rPr>
          <w:rFonts w:hint="eastAsia" w:ascii="宋体" w:hAnsi="宋体" w:eastAsia="宋体" w:cs="宋体"/>
          <w:color w:val="auto"/>
          <w:szCs w:val="24"/>
          <w:highlight w:val="none"/>
          <w:lang w:val="zh-CN"/>
        </w:rPr>
        <w:t>服务项目业绩（合同内容须包含厨师劳务服务，</w:t>
      </w:r>
      <w:r>
        <w:rPr>
          <w:rFonts w:hint="eastAsia" w:ascii="宋体" w:hAnsi="宋体" w:eastAsia="宋体" w:cs="宋体"/>
          <w:color w:val="auto"/>
          <w:szCs w:val="24"/>
          <w:highlight w:val="none"/>
        </w:rPr>
        <w:t>劳务派遣项目业绩不予认定</w:t>
      </w:r>
      <w:r>
        <w:rPr>
          <w:rFonts w:hint="eastAsia" w:ascii="宋体" w:hAnsi="宋体" w:eastAsia="宋体" w:cs="宋体"/>
          <w:color w:val="auto"/>
          <w:szCs w:val="24"/>
          <w:highlight w:val="none"/>
          <w:lang w:val="zh-CN"/>
        </w:rPr>
        <w:t>），业绩须附合同复印件（合同服务提供方为投标人）。</w:t>
      </w:r>
    </w:p>
    <w:p w14:paraId="77DF0283">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（3）若合同及证明文件无法反映评分条件（签订合同的时间要求为202</w:t>
      </w:r>
      <w:r>
        <w:rPr>
          <w:rFonts w:hint="eastAsia" w:ascii="宋体" w:hAnsi="宋体" w:eastAsia="宋体" w:cs="宋体"/>
          <w:color w:val="auto"/>
          <w:szCs w:val="24"/>
          <w:highlight w:val="none"/>
          <w:lang w:val="en-US" w:eastAsia="zh-CN"/>
        </w:rPr>
        <w:t>2</w:t>
      </w:r>
      <w:r>
        <w:rPr>
          <w:rFonts w:hint="eastAsia" w:ascii="宋体" w:hAnsi="宋体" w:eastAsia="宋体" w:cs="宋体"/>
          <w:color w:val="auto"/>
          <w:szCs w:val="24"/>
          <w:highlight w:val="none"/>
          <w:lang w:val="zh-CN"/>
        </w:rPr>
        <w:t>年1月1日或以后、合同内容须包含厨师劳务服务、合同金额）的，还需提供服务购买方出具的书面补充说明文件复印件作为辅助证明（复印件能显示服务购买方公章），否则不得分。</w:t>
      </w:r>
    </w:p>
    <w:p w14:paraId="1EFBF36D">
      <w:pPr>
        <w:autoSpaceDE w:val="0"/>
        <w:autoSpaceDN w:val="0"/>
        <w:adjustRightInd w:val="0"/>
        <w:snapToGrid w:val="0"/>
        <w:spacing w:line="360" w:lineRule="auto"/>
        <w:ind w:left="481" w:leftChars="-41" w:hanging="567" w:hangingChars="27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（4）若业绩为框架式协议或资格入围无明确金额的合同，必须同时提供合同期限内已服务发票金额统计表和发票复印件。</w:t>
      </w:r>
    </w:p>
    <w:p w14:paraId="3FF5FBA9">
      <w:pPr>
        <w:autoSpaceDE w:val="0"/>
        <w:autoSpaceDN w:val="0"/>
        <w:adjustRightInd w:val="0"/>
        <w:snapToGrid w:val="0"/>
        <w:spacing w:line="360" w:lineRule="auto"/>
        <w:ind w:left="483" w:leftChars="-41" w:hanging="569" w:hangingChars="270"/>
        <w:jc w:val="left"/>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szCs w:val="24"/>
          <w:highlight w:val="none"/>
          <w:lang w:val="zh-CN"/>
        </w:rPr>
        <w:t>（</w:t>
      </w:r>
      <w:r>
        <w:rPr>
          <w:rFonts w:hint="eastAsia" w:ascii="宋体" w:hAnsi="宋体" w:eastAsia="宋体" w:cs="宋体"/>
          <w:b/>
          <w:bCs/>
          <w:color w:val="auto"/>
          <w:szCs w:val="24"/>
          <w:highlight w:val="none"/>
          <w:lang w:val="en-US" w:eastAsia="zh-CN"/>
        </w:rPr>
        <w:t>5</w:t>
      </w:r>
      <w:r>
        <w:rPr>
          <w:rFonts w:hint="eastAsia" w:ascii="宋体" w:hAnsi="宋体" w:eastAsia="宋体" w:cs="宋体"/>
          <w:b/>
          <w:bCs/>
          <w:color w:val="auto"/>
          <w:szCs w:val="24"/>
          <w:highlight w:val="none"/>
          <w:lang w:val="zh-CN"/>
        </w:rPr>
        <w:t>）未按上述要求在此格式下提供证明材料的业绩，或在此格式下所附材料无法证明填报项目符合本项评分要求的业绩，在评标时将不予考虑</w:t>
      </w:r>
      <w:r>
        <w:rPr>
          <w:rFonts w:hint="eastAsia" w:ascii="宋体" w:hAnsi="宋体" w:eastAsia="宋体" w:cs="宋体"/>
          <w:b/>
          <w:bCs/>
          <w:color w:val="auto"/>
          <w:kern w:val="0"/>
          <w:szCs w:val="21"/>
          <w:highlight w:val="none"/>
        </w:rPr>
        <w:t>。</w:t>
      </w:r>
    </w:p>
    <w:p w14:paraId="43F37E0B">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p>
    <w:p w14:paraId="5A1D652A">
      <w:pPr>
        <w:autoSpaceDE w:val="0"/>
        <w:autoSpaceDN w:val="0"/>
        <w:adjustRightInd w:val="0"/>
        <w:spacing w:line="360" w:lineRule="auto"/>
        <w:ind w:firstLine="5040" w:firstLineChars="24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投标人：（加盖投标人法人公章）</w:t>
      </w:r>
    </w:p>
    <w:p w14:paraId="4CB99D19">
      <w:pPr>
        <w:autoSpaceDE w:val="0"/>
        <w:autoSpaceDN w:val="0"/>
        <w:adjustRightInd w:val="0"/>
        <w:spacing w:line="360" w:lineRule="auto"/>
        <w:ind w:firstLine="5040" w:firstLineChars="240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日期：   年   月   日</w:t>
      </w:r>
    </w:p>
    <w:p w14:paraId="43D46891">
      <w:pPr>
        <w:autoSpaceDE/>
        <w:autoSpaceDN/>
        <w:adjustRightInd/>
        <w:spacing w:line="240" w:lineRule="auto"/>
        <w:ind w:firstLine="0" w:firstLineChars="0"/>
        <w:jc w:val="left"/>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br w:type="page"/>
      </w:r>
    </w:p>
    <w:p w14:paraId="5CC6ED81">
      <w:pPr>
        <w:tabs>
          <w:tab w:val="left" w:pos="567"/>
        </w:tabs>
        <w:autoSpaceDE w:val="0"/>
        <w:autoSpaceDN w:val="0"/>
        <w:adjustRightInd w:val="0"/>
        <w:spacing w:line="360" w:lineRule="auto"/>
        <w:ind w:left="657" w:hanging="867"/>
        <w:jc w:val="left"/>
        <w:outlineLvl w:val="9"/>
        <w:rPr>
          <w:rFonts w:hint="eastAsia" w:ascii="宋体" w:hAnsi="宋体" w:eastAsia="宋体" w:cs="宋体"/>
          <w:b/>
          <w:color w:val="auto"/>
          <w:kern w:val="0"/>
          <w:sz w:val="32"/>
          <w:szCs w:val="32"/>
          <w:highlight w:val="none"/>
          <w:lang w:val="zh-CN"/>
        </w:rPr>
      </w:pPr>
      <w:bookmarkStart w:id="590" w:name="_Toc10033"/>
      <w:r>
        <w:rPr>
          <w:rFonts w:hint="eastAsia" w:ascii="宋体" w:hAnsi="宋体" w:eastAsia="宋体" w:cs="宋体"/>
          <w:b/>
          <w:color w:val="auto"/>
          <w:kern w:val="0"/>
          <w:sz w:val="32"/>
          <w:szCs w:val="32"/>
          <w:highlight w:val="none"/>
          <w:lang w:val="zh-CN"/>
        </w:rPr>
        <w:t>附表：已服务发票金额统计表</w:t>
      </w:r>
      <w:bookmarkEnd w:id="590"/>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09"/>
        <w:gridCol w:w="1911"/>
        <w:gridCol w:w="2526"/>
        <w:gridCol w:w="1056"/>
        <w:gridCol w:w="1476"/>
        <w:gridCol w:w="636"/>
      </w:tblGrid>
      <w:tr w14:paraId="7DFB4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820" w:type="dxa"/>
            <w:gridSpan w:val="2"/>
            <w:vAlign w:val="center"/>
          </w:tcPr>
          <w:p w14:paraId="60C4AADA">
            <w:pPr>
              <w:pStyle w:val="20"/>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项目名称</w:t>
            </w:r>
          </w:p>
        </w:tc>
        <w:tc>
          <w:tcPr>
            <w:tcW w:w="0" w:type="auto"/>
            <w:gridSpan w:val="4"/>
            <w:vAlign w:val="center"/>
          </w:tcPr>
          <w:p w14:paraId="585EF460">
            <w:pPr>
              <w:pStyle w:val="20"/>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p>
        </w:tc>
      </w:tr>
      <w:tr w14:paraId="4AC1C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820" w:type="dxa"/>
            <w:gridSpan w:val="2"/>
            <w:vAlign w:val="center"/>
          </w:tcPr>
          <w:p w14:paraId="6F873CA4">
            <w:pPr>
              <w:pStyle w:val="20"/>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合同约定的服务期</w:t>
            </w:r>
          </w:p>
        </w:tc>
        <w:tc>
          <w:tcPr>
            <w:tcW w:w="0" w:type="auto"/>
            <w:gridSpan w:val="4"/>
            <w:vAlign w:val="center"/>
          </w:tcPr>
          <w:p w14:paraId="251DDDD0">
            <w:pPr>
              <w:pStyle w:val="20"/>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p>
        </w:tc>
      </w:tr>
      <w:tr w14:paraId="1AE26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3820" w:type="dxa"/>
            <w:gridSpan w:val="2"/>
            <w:vAlign w:val="center"/>
          </w:tcPr>
          <w:p w14:paraId="548C0B2F">
            <w:pPr>
              <w:pStyle w:val="20"/>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发票抬头（合同服务购买方）</w:t>
            </w:r>
          </w:p>
        </w:tc>
        <w:tc>
          <w:tcPr>
            <w:tcW w:w="0" w:type="auto"/>
            <w:gridSpan w:val="4"/>
            <w:vAlign w:val="center"/>
          </w:tcPr>
          <w:p w14:paraId="701B8043">
            <w:pPr>
              <w:pStyle w:val="20"/>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宋体" w:hAnsi="宋体" w:eastAsia="宋体" w:cs="宋体"/>
                <w:color w:val="auto"/>
                <w:highlight w:val="none"/>
              </w:rPr>
            </w:pPr>
          </w:p>
        </w:tc>
      </w:tr>
      <w:tr w14:paraId="366C5A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7028EE54">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序号</w:t>
            </w:r>
          </w:p>
        </w:tc>
        <w:tc>
          <w:tcPr>
            <w:tcW w:w="0" w:type="auto"/>
            <w:vAlign w:val="center"/>
          </w:tcPr>
          <w:p w14:paraId="724B0417">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发票名目</w:t>
            </w:r>
          </w:p>
        </w:tc>
        <w:tc>
          <w:tcPr>
            <w:tcW w:w="0" w:type="auto"/>
            <w:vAlign w:val="center"/>
          </w:tcPr>
          <w:p w14:paraId="41FEDEFF">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发票金额（单位：万元）</w:t>
            </w:r>
          </w:p>
        </w:tc>
        <w:tc>
          <w:tcPr>
            <w:tcW w:w="0" w:type="auto"/>
            <w:vAlign w:val="center"/>
          </w:tcPr>
          <w:p w14:paraId="14C8E2EC">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发票号码</w:t>
            </w:r>
          </w:p>
        </w:tc>
        <w:tc>
          <w:tcPr>
            <w:tcW w:w="0" w:type="auto"/>
            <w:vAlign w:val="center"/>
          </w:tcPr>
          <w:p w14:paraId="622CA20D">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发票所属时期</w:t>
            </w:r>
          </w:p>
        </w:tc>
        <w:tc>
          <w:tcPr>
            <w:tcW w:w="0" w:type="auto"/>
            <w:vAlign w:val="center"/>
          </w:tcPr>
          <w:p w14:paraId="53D57E26">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备注</w:t>
            </w:r>
          </w:p>
        </w:tc>
      </w:tr>
      <w:tr w14:paraId="293C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1272CA46">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1</w:t>
            </w:r>
          </w:p>
        </w:tc>
        <w:tc>
          <w:tcPr>
            <w:tcW w:w="0" w:type="auto"/>
            <w:vAlign w:val="center"/>
          </w:tcPr>
          <w:p w14:paraId="367DAF84">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1E0230FC">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626A1DA1">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04FD5914">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629DB56D">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4C1C8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0553C648">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2</w:t>
            </w:r>
          </w:p>
        </w:tc>
        <w:tc>
          <w:tcPr>
            <w:tcW w:w="0" w:type="auto"/>
            <w:vAlign w:val="center"/>
          </w:tcPr>
          <w:p w14:paraId="49A35465">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24AB8F4D">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4AB43D71">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79CBAC1D">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0401C817">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4BBE8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2B14E444">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3</w:t>
            </w:r>
          </w:p>
        </w:tc>
        <w:tc>
          <w:tcPr>
            <w:tcW w:w="0" w:type="auto"/>
            <w:vAlign w:val="center"/>
          </w:tcPr>
          <w:p w14:paraId="5326C4E2">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6CC91AB4">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3AB5C108">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5059CA92">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44F2159E">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35AE16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1909" w:type="dxa"/>
            <w:vAlign w:val="center"/>
          </w:tcPr>
          <w:p w14:paraId="5DC21172">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w:t>
            </w:r>
          </w:p>
        </w:tc>
        <w:tc>
          <w:tcPr>
            <w:tcW w:w="0" w:type="auto"/>
            <w:vAlign w:val="center"/>
          </w:tcPr>
          <w:p w14:paraId="0260D02A">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67F54F2E">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42BF87BF">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6ED58C1D">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761B398F">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r w14:paraId="7C27F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3820" w:type="dxa"/>
            <w:gridSpan w:val="2"/>
            <w:vAlign w:val="center"/>
          </w:tcPr>
          <w:p w14:paraId="28657C63">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r>
              <w:rPr>
                <w:rFonts w:hint="eastAsia" w:ascii="宋体" w:hAnsi="宋体" w:eastAsia="宋体" w:cs="宋体"/>
                <w:color w:val="auto"/>
                <w:highlight w:val="none"/>
              </w:rPr>
              <w:t>发票金额合计</w:t>
            </w:r>
          </w:p>
        </w:tc>
        <w:tc>
          <w:tcPr>
            <w:tcW w:w="0" w:type="auto"/>
            <w:vAlign w:val="center"/>
          </w:tcPr>
          <w:p w14:paraId="7F7D8FF8">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286AAABC">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2A74E604">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c>
          <w:tcPr>
            <w:tcW w:w="0" w:type="auto"/>
            <w:vAlign w:val="center"/>
          </w:tcPr>
          <w:p w14:paraId="77A0E794">
            <w:pPr>
              <w:pStyle w:val="20"/>
              <w:keepNext w:val="0"/>
              <w:keepLines w:val="0"/>
              <w:pageBreakBefore w:val="0"/>
              <w:widowControl w:val="0"/>
              <w:kinsoku/>
              <w:wordWrap/>
              <w:overflowPunct/>
              <w:topLinePunct w:val="0"/>
              <w:autoSpaceDE/>
              <w:autoSpaceDN/>
              <w:bidi w:val="0"/>
              <w:adjustRightInd/>
              <w:snapToGrid/>
              <w:spacing w:line="360" w:lineRule="auto"/>
              <w:ind w:left="0" w:leftChars="0"/>
              <w:jc w:val="center"/>
              <w:textAlignment w:val="auto"/>
              <w:outlineLvl w:val="9"/>
              <w:rPr>
                <w:rFonts w:hint="eastAsia" w:ascii="宋体" w:hAnsi="宋体" w:eastAsia="宋体" w:cs="宋体"/>
                <w:color w:val="auto"/>
                <w:highlight w:val="none"/>
              </w:rPr>
            </w:pPr>
          </w:p>
        </w:tc>
      </w:tr>
    </w:tbl>
    <w:p w14:paraId="17CD63D7">
      <w:pPr>
        <w:snapToGrid w:val="0"/>
        <w:spacing w:line="360" w:lineRule="auto"/>
        <w:ind w:left="491" w:leftChars="-57" w:hanging="611" w:hangingChars="291"/>
        <w:outlineLvl w:val="9"/>
        <w:rPr>
          <w:rFonts w:hint="eastAsia" w:ascii="宋体" w:hAnsi="宋体" w:eastAsia="宋体" w:cs="宋体"/>
          <w:color w:val="auto"/>
          <w:szCs w:val="21"/>
          <w:highlight w:val="none"/>
        </w:rPr>
      </w:pPr>
    </w:p>
    <w:p w14:paraId="7E99E228">
      <w:pPr>
        <w:snapToGrid w:val="0"/>
        <w:spacing w:line="360" w:lineRule="auto"/>
        <w:ind w:left="491" w:leftChars="-57" w:hanging="611" w:hangingChars="291"/>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5DCE8FF2">
      <w:pPr>
        <w:snapToGrid w:val="0"/>
        <w:spacing w:line="360" w:lineRule="auto"/>
        <w:ind w:left="396" w:leftChars="-58" w:hanging="518" w:hangingChars="24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（1）投标人提供框架式协议或资格入围无明确金额的合同时，须同时提供本统计表及服务发票复印件，本统计表及服务发票复印件应后附于合同复印件。</w:t>
      </w:r>
    </w:p>
    <w:p w14:paraId="1E81AB99">
      <w:pPr>
        <w:snapToGrid w:val="0"/>
        <w:spacing w:line="360" w:lineRule="auto"/>
        <w:ind w:left="396" w:leftChars="-58" w:hanging="518" w:hangingChars="24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（2）发票抬头应为合同服务购买方，销售方应为投标人，且发票名目、所属时期应与合同约定内容一致，否则不计分。</w:t>
      </w:r>
    </w:p>
    <w:p w14:paraId="43C31134">
      <w:pPr>
        <w:snapToGrid w:val="0"/>
        <w:spacing w:line="360" w:lineRule="auto"/>
        <w:ind w:left="396" w:leftChars="-58" w:hanging="518" w:hangingChars="247"/>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（3）发票合计金额视为投标人所提供该项服务业绩的服务金额，并按此金额进行评审。</w:t>
      </w:r>
    </w:p>
    <w:p w14:paraId="174F37AC">
      <w:pPr>
        <w:pStyle w:val="2"/>
        <w:outlineLvl w:val="9"/>
        <w:rPr>
          <w:rFonts w:hint="eastAsia" w:ascii="宋体" w:hAnsi="宋体" w:eastAsia="宋体" w:cs="宋体"/>
          <w:color w:val="auto"/>
          <w:highlight w:val="none"/>
          <w:lang w:val="zh-CN"/>
        </w:rPr>
      </w:pPr>
    </w:p>
    <w:bookmarkEnd w:id="588"/>
    <w:bookmarkEnd w:id="589"/>
    <w:p w14:paraId="76EE097A">
      <w:pPr>
        <w:pageBreakBefore/>
        <w:spacing w:before="120" w:after="120" w:line="360" w:lineRule="auto"/>
        <w:jc w:val="left"/>
        <w:outlineLvl w:val="1"/>
        <w:rPr>
          <w:rFonts w:hint="eastAsia" w:ascii="宋体" w:hAnsi="宋体" w:eastAsia="宋体" w:cs="宋体"/>
          <w:b/>
          <w:bCs/>
          <w:color w:val="auto"/>
          <w:kern w:val="0"/>
          <w:sz w:val="32"/>
          <w:szCs w:val="32"/>
          <w:highlight w:val="none"/>
          <w:lang w:val="zh-CN"/>
        </w:rPr>
      </w:pPr>
      <w:bookmarkStart w:id="591" w:name="_Toc142508378"/>
      <w:bookmarkStart w:id="592" w:name="_Toc533708132"/>
      <w:bookmarkStart w:id="593" w:name="_Toc140596938"/>
      <w:bookmarkStart w:id="594" w:name="_Toc1977737"/>
      <w:bookmarkStart w:id="595" w:name="_Toc102860427"/>
      <w:bookmarkStart w:id="596" w:name="_Toc102860083"/>
      <w:bookmarkStart w:id="597" w:name="_Toc18413"/>
      <w:bookmarkStart w:id="598" w:name="_Toc31965"/>
      <w:bookmarkStart w:id="599" w:name="_Toc94107220"/>
      <w:bookmarkStart w:id="600" w:name="_Toc19890"/>
      <w:bookmarkStart w:id="601" w:name="_Toc104991885"/>
      <w:bookmarkStart w:id="602" w:name="_Toc18175_WPSOffice_Level2"/>
      <w:bookmarkStart w:id="603" w:name="_Toc486167719"/>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一</w:t>
      </w:r>
      <w:r>
        <w:rPr>
          <w:rFonts w:hint="eastAsia" w:ascii="宋体" w:hAnsi="宋体" w:eastAsia="宋体" w:cs="宋体"/>
          <w:b/>
          <w:bCs/>
          <w:color w:val="auto"/>
          <w:kern w:val="0"/>
          <w:sz w:val="32"/>
          <w:szCs w:val="32"/>
          <w:highlight w:val="none"/>
          <w:lang w:val="zh-CN"/>
        </w:rPr>
        <w:t>、服务便利性响应时间承诺表</w:t>
      </w:r>
    </w:p>
    <w:p w14:paraId="54013F89">
      <w:pPr>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服务便利性响应时间承诺表</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5"/>
        <w:gridCol w:w="9133"/>
      </w:tblGrid>
      <w:tr w14:paraId="26F27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6" w:hRule="atLeast"/>
          <w:jc w:val="center"/>
        </w:trPr>
        <w:tc>
          <w:tcPr>
            <w:tcW w:w="1235" w:type="dxa"/>
            <w:vAlign w:val="center"/>
          </w:tcPr>
          <w:p w14:paraId="46FCE303">
            <w:pPr>
              <w:spacing w:line="360" w:lineRule="auto"/>
              <w:jc w:val="center"/>
              <w:outlineLvl w:val="9"/>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序号</w:t>
            </w:r>
          </w:p>
        </w:tc>
        <w:tc>
          <w:tcPr>
            <w:tcW w:w="9133" w:type="dxa"/>
            <w:vAlign w:val="center"/>
          </w:tcPr>
          <w:p w14:paraId="69E9C951">
            <w:pPr>
              <w:spacing w:line="360" w:lineRule="auto"/>
              <w:jc w:val="center"/>
              <w:outlineLvl w:val="9"/>
              <w:rPr>
                <w:rFonts w:hint="eastAsia" w:ascii="宋体" w:hAnsi="宋体" w:eastAsia="宋体" w:cs="宋体"/>
                <w:color w:val="auto"/>
                <w:szCs w:val="21"/>
                <w:highlight w:val="none"/>
                <w:shd w:val="clear" w:color="auto" w:fill="FFFFFF"/>
              </w:rPr>
            </w:pPr>
            <w:r>
              <w:rPr>
                <w:rFonts w:hint="eastAsia" w:ascii="宋体" w:hAnsi="宋体" w:eastAsia="宋体" w:cs="宋体"/>
                <w:color w:val="auto"/>
                <w:szCs w:val="21"/>
                <w:highlight w:val="none"/>
                <w:shd w:val="clear" w:color="auto" w:fill="FFFFFF"/>
              </w:rPr>
              <w:t>承诺事项</w:t>
            </w:r>
          </w:p>
        </w:tc>
      </w:tr>
      <w:tr w14:paraId="0712BC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235" w:type="dxa"/>
            <w:vAlign w:val="center"/>
          </w:tcPr>
          <w:p w14:paraId="40F91BE5">
            <w:pPr>
              <w:spacing w:line="360" w:lineRule="auto"/>
              <w:ind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p>
        </w:tc>
        <w:tc>
          <w:tcPr>
            <w:tcW w:w="9133" w:type="dxa"/>
            <w:vAlign w:val="center"/>
          </w:tcPr>
          <w:p w14:paraId="0C80F50C">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我方承诺本项目管理人员在接到招标人通知后</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小时（含）</w:t>
            </w:r>
            <w:r>
              <w:rPr>
                <w:rFonts w:hint="eastAsia" w:ascii="宋体" w:hAnsi="宋体" w:eastAsia="宋体" w:cs="宋体"/>
                <w:color w:val="auto"/>
                <w:szCs w:val="21"/>
                <w:highlight w:val="none"/>
              </w:rPr>
              <w:t>内响应，</w:t>
            </w:r>
            <w:r>
              <w:rPr>
                <w:rFonts w:hint="eastAsia" w:ascii="宋体" w:hAnsi="宋体" w:eastAsia="宋体" w:cs="宋体"/>
                <w:b/>
                <w:bCs/>
                <w:color w:val="auto"/>
                <w:szCs w:val="21"/>
                <w:highlight w:val="none"/>
                <w:u w:val="single"/>
              </w:rPr>
              <w:t xml:space="preserve">      </w:t>
            </w:r>
            <w:r>
              <w:rPr>
                <w:rFonts w:hint="eastAsia" w:ascii="宋体" w:hAnsi="宋体" w:eastAsia="宋体" w:cs="宋体"/>
                <w:b/>
                <w:bCs/>
                <w:color w:val="auto"/>
                <w:szCs w:val="21"/>
                <w:highlight w:val="none"/>
              </w:rPr>
              <w:t>小时（含）</w:t>
            </w:r>
            <w:r>
              <w:rPr>
                <w:rFonts w:hint="eastAsia" w:ascii="宋体" w:hAnsi="宋体" w:eastAsia="宋体" w:cs="宋体"/>
                <w:color w:val="auto"/>
                <w:szCs w:val="21"/>
                <w:highlight w:val="none"/>
              </w:rPr>
              <w:t>内到达招标人指定地点。</w:t>
            </w:r>
          </w:p>
        </w:tc>
      </w:tr>
    </w:tbl>
    <w:p w14:paraId="58396042">
      <w:pPr>
        <w:spacing w:line="360" w:lineRule="auto"/>
        <w:ind w:left="360" w:right="420" w:firstLine="3255" w:firstLineChars="1550"/>
        <w:outlineLvl w:val="9"/>
        <w:rPr>
          <w:rFonts w:hint="eastAsia" w:ascii="宋体" w:hAnsi="宋体" w:eastAsia="宋体" w:cs="宋体"/>
          <w:color w:val="auto"/>
          <w:szCs w:val="21"/>
          <w:highlight w:val="none"/>
        </w:rPr>
      </w:pPr>
    </w:p>
    <w:p w14:paraId="0F0499B7">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w:t>
      </w:r>
    </w:p>
    <w:p w14:paraId="58946B7B">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1.本表承诺事项若未填或漏填的，视为投标人不作响应，对应商务部分服务便利性评审内容不得分。</w:t>
      </w:r>
    </w:p>
    <w:p w14:paraId="2966911E">
      <w:pPr>
        <w:spacing w:line="360" w:lineRule="auto"/>
        <w:ind w:firstLine="422" w:firstLineChars="2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2.本表承诺事项若与投标文件其他地方表述不一致的，以本承诺表为准。</w:t>
      </w:r>
    </w:p>
    <w:p w14:paraId="35B6FDA3">
      <w:pPr>
        <w:spacing w:line="360" w:lineRule="auto"/>
        <w:ind w:firstLine="4200" w:firstLineChars="2000"/>
        <w:outlineLvl w:val="9"/>
        <w:rPr>
          <w:rFonts w:hint="eastAsia" w:ascii="宋体" w:hAnsi="宋体" w:eastAsia="宋体" w:cs="宋体"/>
          <w:color w:val="auto"/>
          <w:kern w:val="3"/>
          <w:szCs w:val="21"/>
          <w:highlight w:val="none"/>
        </w:rPr>
      </w:pPr>
    </w:p>
    <w:p w14:paraId="27693AC9">
      <w:pPr>
        <w:spacing w:line="360" w:lineRule="auto"/>
        <w:ind w:firstLine="4200" w:firstLineChars="2000"/>
        <w:outlineLvl w:val="9"/>
        <w:rPr>
          <w:rFonts w:hint="eastAsia" w:ascii="宋体" w:hAnsi="宋体" w:eastAsia="宋体" w:cs="宋体"/>
          <w:color w:val="auto"/>
          <w:kern w:val="3"/>
          <w:szCs w:val="21"/>
          <w:highlight w:val="none"/>
        </w:rPr>
      </w:pPr>
    </w:p>
    <w:p w14:paraId="3DC8A928">
      <w:pPr>
        <w:spacing w:line="360" w:lineRule="auto"/>
        <w:ind w:firstLine="4200" w:firstLineChars="2000"/>
        <w:outlineLvl w:val="9"/>
        <w:rPr>
          <w:rFonts w:hint="eastAsia" w:ascii="宋体" w:hAnsi="宋体" w:eastAsia="宋体" w:cs="宋体"/>
          <w:color w:val="auto"/>
          <w:szCs w:val="21"/>
          <w:highlight w:val="none"/>
        </w:rPr>
      </w:pPr>
      <w:r>
        <w:rPr>
          <w:rFonts w:hint="eastAsia" w:ascii="宋体" w:hAnsi="宋体" w:eastAsia="宋体" w:cs="宋体"/>
          <w:color w:val="auto"/>
          <w:kern w:val="3"/>
          <w:szCs w:val="21"/>
          <w:highlight w:val="none"/>
        </w:rPr>
        <w:t>投 标 人（加盖投标人法人公章）：</w:t>
      </w:r>
    </w:p>
    <w:p w14:paraId="4DFF6B04">
      <w:pPr>
        <w:spacing w:line="360" w:lineRule="auto"/>
        <w:ind w:firstLine="4200" w:firstLineChars="2000"/>
        <w:outlineLvl w:val="9"/>
        <w:rPr>
          <w:rFonts w:hint="eastAsia" w:ascii="宋体" w:hAnsi="宋体" w:eastAsia="宋体" w:cs="宋体"/>
          <w:color w:val="auto"/>
          <w:kern w:val="3"/>
          <w:szCs w:val="21"/>
          <w:highlight w:val="none"/>
        </w:rPr>
      </w:pPr>
      <w:r>
        <w:rPr>
          <w:rFonts w:hint="eastAsia" w:ascii="宋体" w:hAnsi="宋体" w:eastAsia="宋体" w:cs="宋体"/>
          <w:color w:val="auto"/>
          <w:szCs w:val="21"/>
          <w:highlight w:val="none"/>
        </w:rPr>
        <w:t>日  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741A0FDC">
      <w:pPr>
        <w:outlineLvl w:val="9"/>
        <w:rPr>
          <w:rFonts w:hint="eastAsia" w:ascii="宋体" w:hAnsi="宋体" w:eastAsia="宋体" w:cs="宋体"/>
          <w:color w:val="auto"/>
          <w:highlight w:val="none"/>
          <w:lang w:val="zh-CN"/>
        </w:rPr>
      </w:pPr>
    </w:p>
    <w:p w14:paraId="582FFA04">
      <w:pPr>
        <w:pStyle w:val="2"/>
        <w:outlineLvl w:val="9"/>
        <w:rPr>
          <w:rFonts w:hint="eastAsia" w:ascii="宋体" w:hAnsi="宋体" w:eastAsia="宋体" w:cs="宋体"/>
          <w:color w:val="auto"/>
          <w:highlight w:val="none"/>
          <w:lang w:val="zh-CN"/>
        </w:rPr>
      </w:pPr>
    </w:p>
    <w:p w14:paraId="75BEC089">
      <w:pPr>
        <w:pageBreakBefore/>
        <w:spacing w:before="120" w:after="120" w:line="360" w:lineRule="auto"/>
        <w:jc w:val="left"/>
        <w:outlineLvl w:val="1"/>
        <w:rPr>
          <w:rFonts w:hint="eastAsia" w:ascii="宋体" w:hAnsi="宋体" w:eastAsia="宋体" w:cs="宋体"/>
          <w:b/>
          <w:bCs/>
          <w:color w:val="auto"/>
          <w:kern w:val="0"/>
          <w:sz w:val="32"/>
          <w:szCs w:val="32"/>
          <w:highlight w:val="none"/>
          <w:lang w:val="zh-CN"/>
        </w:rPr>
      </w:pPr>
      <w:r>
        <w:rPr>
          <w:rFonts w:hint="eastAsia" w:ascii="宋体" w:hAnsi="宋体" w:eastAsia="宋体" w:cs="宋体"/>
          <w:b/>
          <w:bCs/>
          <w:color w:val="auto"/>
          <w:kern w:val="0"/>
          <w:sz w:val="32"/>
          <w:szCs w:val="32"/>
          <w:highlight w:val="none"/>
          <w:lang w:val="en-US" w:eastAsia="zh-CN"/>
        </w:rPr>
        <w:t>十二、</w:t>
      </w:r>
      <w:r>
        <w:rPr>
          <w:rFonts w:hint="eastAsia" w:ascii="宋体" w:hAnsi="宋体" w:eastAsia="宋体" w:cs="宋体"/>
          <w:b/>
          <w:bCs/>
          <w:color w:val="auto"/>
          <w:kern w:val="0"/>
          <w:sz w:val="32"/>
          <w:szCs w:val="32"/>
          <w:highlight w:val="none"/>
          <w:lang w:val="zh-CN"/>
        </w:rPr>
        <w:t>投标保证金汇入情况说明</w:t>
      </w:r>
      <w:bookmarkEnd w:id="591"/>
      <w:bookmarkEnd w:id="592"/>
      <w:bookmarkEnd w:id="593"/>
      <w:bookmarkEnd w:id="594"/>
      <w:bookmarkEnd w:id="595"/>
      <w:bookmarkEnd w:id="596"/>
      <w:bookmarkEnd w:id="597"/>
      <w:bookmarkEnd w:id="598"/>
      <w:bookmarkEnd w:id="599"/>
      <w:bookmarkEnd w:id="600"/>
      <w:bookmarkEnd w:id="601"/>
      <w:bookmarkEnd w:id="602"/>
      <w:bookmarkEnd w:id="603"/>
    </w:p>
    <w:p w14:paraId="28C4DCD6">
      <w:pPr>
        <w:autoSpaceDE w:val="0"/>
        <w:autoSpaceDN w:val="0"/>
        <w:adjustRightInd w:val="0"/>
        <w:spacing w:line="360" w:lineRule="auto"/>
        <w:jc w:val="left"/>
        <w:outlineLvl w:val="9"/>
        <w:rPr>
          <w:rFonts w:hint="eastAsia" w:ascii="宋体" w:hAnsi="宋体" w:eastAsia="宋体" w:cs="宋体"/>
          <w:color w:val="auto"/>
          <w:szCs w:val="24"/>
          <w:highlight w:val="none"/>
        </w:rPr>
      </w:pPr>
    </w:p>
    <w:p w14:paraId="35581716">
      <w:pPr>
        <w:autoSpaceDE w:val="0"/>
        <w:autoSpaceDN w:val="0"/>
        <w:adjustRightInd w:val="0"/>
        <w:spacing w:line="360" w:lineRule="auto"/>
        <w:jc w:val="center"/>
        <w:outlineLvl w:val="9"/>
        <w:rPr>
          <w:rFonts w:hint="eastAsia" w:ascii="宋体" w:hAnsi="宋体" w:eastAsia="宋体" w:cs="宋体"/>
          <w:b/>
          <w:bCs/>
          <w:color w:val="auto"/>
          <w:kern w:val="0"/>
          <w:sz w:val="24"/>
          <w:szCs w:val="24"/>
          <w:highlight w:val="none"/>
        </w:rPr>
      </w:pPr>
      <w:bookmarkStart w:id="604" w:name="_Toc31832_WPSOffice_Level3"/>
      <w:r>
        <w:rPr>
          <w:rFonts w:hint="eastAsia" w:ascii="宋体" w:hAnsi="宋体" w:eastAsia="宋体" w:cs="宋体"/>
          <w:b/>
          <w:bCs/>
          <w:color w:val="auto"/>
          <w:kern w:val="0"/>
          <w:sz w:val="24"/>
          <w:szCs w:val="24"/>
          <w:highlight w:val="none"/>
        </w:rPr>
        <w:t>投标保证金汇入情况说明</w:t>
      </w:r>
      <w:bookmarkEnd w:id="604"/>
    </w:p>
    <w:p w14:paraId="629E0907">
      <w:pPr>
        <w:autoSpaceDE w:val="0"/>
        <w:autoSpaceDN w:val="0"/>
        <w:adjustRightInd w:val="0"/>
        <w:spacing w:line="360" w:lineRule="auto"/>
        <w:jc w:val="center"/>
        <w:outlineLvl w:val="9"/>
        <w:rPr>
          <w:rFonts w:hint="eastAsia" w:ascii="宋体" w:hAnsi="宋体" w:eastAsia="宋体" w:cs="宋体"/>
          <w:b/>
          <w:bCs/>
          <w:color w:val="auto"/>
          <w:kern w:val="0"/>
          <w:szCs w:val="24"/>
          <w:highlight w:val="none"/>
        </w:rPr>
      </w:pPr>
    </w:p>
    <w:p w14:paraId="722F9D26">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东莞市水务集团管网有限公司：</w:t>
      </w:r>
    </w:p>
    <w:p w14:paraId="58DDF2B5">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本单位已按东莞市水务集团管网有限公司2025年餐厨及清洁服务采购项目（招标编号：YDZB25DGQY0006）的招标文件要求，于</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年</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月</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日前以</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付款形式）方式汇入指定账户（账户名称：</w:t>
      </w:r>
      <w:r>
        <w:rPr>
          <w:rFonts w:hint="eastAsia" w:ascii="宋体" w:hAnsi="宋体" w:eastAsia="宋体" w:cs="宋体"/>
          <w:b/>
          <w:color w:val="auto"/>
          <w:szCs w:val="21"/>
          <w:highlight w:val="none"/>
          <w:u w:val="single"/>
        </w:rPr>
        <w:t xml:space="preserve">                    </w:t>
      </w: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lang w:val="zh-CN"/>
        </w:rPr>
        <w:t xml:space="preserve">            </w:t>
      </w:r>
      <w:r>
        <w:rPr>
          <w:rFonts w:hint="eastAsia" w:ascii="宋体" w:hAnsi="宋体" w:eastAsia="宋体" w:cs="宋体"/>
          <w:color w:val="auto"/>
          <w:szCs w:val="21"/>
          <w:highlight w:val="none"/>
        </w:rPr>
        <w:t>）。</w:t>
      </w:r>
    </w:p>
    <w:p w14:paraId="473D31E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本单位投标保证金的汇款情况：（详见附件－投标保证金进</w:t>
      </w:r>
      <w:r>
        <w:rPr>
          <w:rFonts w:hint="eastAsia" w:ascii="宋体" w:hAnsi="宋体" w:eastAsia="宋体" w:cs="宋体"/>
          <w:color w:val="auto"/>
          <w:szCs w:val="21"/>
          <w:highlight w:val="none"/>
          <w:lang w:val="en-US" w:eastAsia="zh-CN"/>
        </w:rPr>
        <w:t>账</w:t>
      </w:r>
      <w:r>
        <w:rPr>
          <w:rFonts w:hint="eastAsia" w:ascii="宋体" w:hAnsi="宋体" w:eastAsia="宋体" w:cs="宋体"/>
          <w:color w:val="auto"/>
          <w:szCs w:val="21"/>
          <w:highlight w:val="none"/>
        </w:rPr>
        <w:t>单）</w:t>
      </w:r>
    </w:p>
    <w:p w14:paraId="00D41091">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汇出时间：</w:t>
      </w:r>
      <w:r>
        <w:rPr>
          <w:rFonts w:hint="eastAsia" w:ascii="宋体" w:hAnsi="宋体" w:eastAsia="宋体" w:cs="宋体"/>
          <w:color w:val="auto"/>
          <w:szCs w:val="21"/>
          <w:highlight w:val="none"/>
          <w:u w:val="single"/>
        </w:rPr>
        <w:t xml:space="preserve">    年   月    日</w:t>
      </w:r>
    </w:p>
    <w:p w14:paraId="65A70C1A">
      <w:pPr>
        <w:spacing w:line="360" w:lineRule="auto"/>
        <w:ind w:firstLine="424" w:firstLineChars="202"/>
        <w:outlineLvl w:val="9"/>
        <w:rPr>
          <w:rFonts w:hint="eastAsia" w:ascii="宋体" w:hAnsi="宋体" w:eastAsia="宋体" w:cs="宋体"/>
          <w:color w:val="auto"/>
          <w:szCs w:val="21"/>
          <w:highlight w:val="none"/>
          <w:u w:val="single"/>
          <w:lang w:eastAsia="zh-CN"/>
        </w:rPr>
      </w:pPr>
      <w:r>
        <w:rPr>
          <w:rFonts w:hint="eastAsia" w:ascii="宋体" w:hAnsi="宋体" w:eastAsia="宋体" w:cs="宋体"/>
          <w:color w:val="auto"/>
          <w:szCs w:val="21"/>
          <w:highlight w:val="none"/>
        </w:rPr>
        <w:t>汇款金额：</w:t>
      </w:r>
      <w:r>
        <w:rPr>
          <w:rFonts w:hint="eastAsia" w:ascii="宋体" w:hAnsi="宋体" w:eastAsia="宋体" w:cs="宋体"/>
          <w:color w:val="auto"/>
          <w:szCs w:val="21"/>
          <w:highlight w:val="none"/>
          <w:u w:val="single"/>
          <w:lang w:eastAsia="zh-CN"/>
        </w:rPr>
        <w:t>（大写）人民币      元（小写：¥      元）</w:t>
      </w:r>
    </w:p>
    <w:p w14:paraId="3FC9C740">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汇款账户名称：</w:t>
      </w:r>
      <w:r>
        <w:rPr>
          <w:rFonts w:hint="eastAsia" w:ascii="宋体" w:hAnsi="宋体" w:eastAsia="宋体" w:cs="宋体"/>
          <w:color w:val="auto"/>
          <w:szCs w:val="21"/>
          <w:highlight w:val="none"/>
          <w:u w:val="single"/>
        </w:rPr>
        <w:t>（必须是投标时使用的账户名）</w:t>
      </w:r>
    </w:p>
    <w:p w14:paraId="090B41D7">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账号：</w:t>
      </w:r>
      <w:r>
        <w:rPr>
          <w:rFonts w:hint="eastAsia" w:ascii="宋体" w:hAnsi="宋体" w:eastAsia="宋体" w:cs="宋体"/>
          <w:color w:val="auto"/>
          <w:szCs w:val="21"/>
          <w:highlight w:val="none"/>
          <w:u w:val="single"/>
        </w:rPr>
        <w:t>（必须是投标时使用的账号）</w:t>
      </w:r>
    </w:p>
    <w:p w14:paraId="2FA3F1A4">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开户银行：</w:t>
      </w:r>
      <w:r>
        <w:rPr>
          <w:rFonts w:hint="eastAsia" w:ascii="宋体" w:hAnsi="宋体" w:eastAsia="宋体" w:cs="宋体"/>
          <w:color w:val="auto"/>
          <w:szCs w:val="21"/>
          <w:highlight w:val="none"/>
          <w:u w:val="single"/>
        </w:rPr>
        <w:t xml:space="preserve">        省         市         </w:t>
      </w:r>
    </w:p>
    <w:p w14:paraId="097BEB9B">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本单位谨承诺上述资料是正确、真实的，如因上述证明与事实不符导致的一切损失，本单位保证承担赔偿等一切法律责任。</w:t>
      </w:r>
    </w:p>
    <w:p w14:paraId="4FA78E0C">
      <w:pPr>
        <w:spacing w:line="360" w:lineRule="auto"/>
        <w:ind w:firstLine="424" w:firstLineChars="202"/>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rPr>
        <w:t>保证金退回时，请按上述资料退回。</w:t>
      </w:r>
    </w:p>
    <w:p w14:paraId="00981AB2">
      <w:pPr>
        <w:spacing w:line="360" w:lineRule="auto"/>
        <w:ind w:right="844" w:rightChars="402" w:firstLine="424" w:firstLineChars="202"/>
        <w:jc w:val="righ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w:t>
      </w:r>
      <w:r>
        <w:rPr>
          <w:rFonts w:hint="eastAsia" w:ascii="宋体" w:hAnsi="宋体" w:eastAsia="宋体" w:cs="宋体"/>
          <w:bCs/>
          <w:color w:val="auto"/>
          <w:szCs w:val="24"/>
          <w:highlight w:val="none"/>
        </w:rPr>
        <w:t>投标人法人公章</w:t>
      </w:r>
      <w:r>
        <w:rPr>
          <w:rFonts w:hint="eastAsia" w:ascii="宋体" w:hAnsi="宋体" w:eastAsia="宋体" w:cs="宋体"/>
          <w:color w:val="auto"/>
          <w:szCs w:val="24"/>
          <w:highlight w:val="none"/>
        </w:rPr>
        <w:t>）</w:t>
      </w:r>
    </w:p>
    <w:p w14:paraId="535EA79B">
      <w:pPr>
        <w:spacing w:line="360" w:lineRule="auto"/>
        <w:ind w:right="628" w:rightChars="299" w:firstLine="7774" w:firstLineChars="3702"/>
        <w:jc w:val="left"/>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年   月   日</w:t>
      </w:r>
    </w:p>
    <w:p w14:paraId="55F0E37E">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单位名称：</w:t>
      </w:r>
    </w:p>
    <w:p w14:paraId="478C8F9C">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单位地址：</w:t>
      </w:r>
    </w:p>
    <w:p w14:paraId="3DB3F01C">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w:t>
      </w:r>
    </w:p>
    <w:p w14:paraId="4CA1B3D5">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 xml:space="preserve">单位电话：                    </w:t>
      </w:r>
    </w:p>
    <w:p w14:paraId="1CEE4387">
      <w:pPr>
        <w:spacing w:line="360" w:lineRule="auto"/>
        <w:ind w:firstLine="424" w:firstLineChars="202"/>
        <w:outlineLvl w:val="9"/>
        <w:rPr>
          <w:rFonts w:hint="eastAsia" w:ascii="宋体" w:hAnsi="宋体" w:eastAsia="宋体" w:cs="宋体"/>
          <w:color w:val="auto"/>
          <w:szCs w:val="24"/>
          <w:highlight w:val="none"/>
        </w:rPr>
      </w:pPr>
      <w:r>
        <w:rPr>
          <w:rFonts w:hint="eastAsia" w:ascii="宋体" w:hAnsi="宋体" w:eastAsia="宋体" w:cs="宋体"/>
          <w:color w:val="auto"/>
          <w:szCs w:val="24"/>
          <w:highlight w:val="none"/>
        </w:rPr>
        <w:t>联系人手机：</w:t>
      </w:r>
    </w:p>
    <w:p w14:paraId="76CCDAE5">
      <w:pPr>
        <w:spacing w:line="360" w:lineRule="auto"/>
        <w:ind w:left="340" w:leftChars="162" w:firstLine="425"/>
        <w:outlineLvl w:val="9"/>
        <w:rPr>
          <w:rFonts w:hint="eastAsia" w:ascii="宋体" w:hAnsi="宋体" w:eastAsia="宋体" w:cs="宋体"/>
          <w:b/>
          <w:bCs/>
          <w:color w:val="auto"/>
          <w:szCs w:val="21"/>
          <w:highlight w:val="none"/>
        </w:rPr>
      </w:pPr>
      <w:bookmarkStart w:id="605" w:name="_Toc26208_WPSOffice_Level3"/>
      <w:r>
        <w:rPr>
          <w:rFonts w:hint="eastAsia" w:ascii="宋体" w:hAnsi="宋体" w:eastAsia="宋体" w:cs="宋体"/>
          <w:b/>
          <w:bCs/>
          <w:color w:val="auto"/>
          <w:szCs w:val="21"/>
          <w:highlight w:val="none"/>
        </w:rPr>
        <w:t>附：1、我方投标保证金汇款凭证（复印件）</w:t>
      </w:r>
      <w:bookmarkEnd w:id="605"/>
    </w:p>
    <w:p w14:paraId="28A54E61">
      <w:pPr>
        <w:spacing w:line="360" w:lineRule="auto"/>
        <w:ind w:left="340" w:leftChars="162" w:firstLine="839" w:firstLineChars="398"/>
        <w:outlineLvl w:val="9"/>
        <w:rPr>
          <w:rFonts w:hint="eastAsia" w:ascii="宋体" w:hAnsi="宋体" w:eastAsia="宋体" w:cs="宋体"/>
          <w:b/>
          <w:bCs/>
          <w:color w:val="auto"/>
          <w:szCs w:val="21"/>
          <w:highlight w:val="none"/>
        </w:rPr>
      </w:pPr>
      <w:bookmarkStart w:id="606" w:name="_Toc12992_WPSOffice_Level3"/>
      <w:r>
        <w:rPr>
          <w:rFonts w:hint="eastAsia" w:ascii="宋体" w:hAnsi="宋体" w:eastAsia="宋体" w:cs="宋体"/>
          <w:b/>
          <w:bCs/>
          <w:color w:val="auto"/>
          <w:szCs w:val="21"/>
          <w:highlight w:val="none"/>
        </w:rPr>
        <w:t>2、我方基本账户开户许可证（复印件）</w:t>
      </w:r>
      <w:bookmarkEnd w:id="606"/>
    </w:p>
    <w:p w14:paraId="23883A64">
      <w:pPr>
        <w:spacing w:line="360" w:lineRule="auto"/>
        <w:ind w:left="340" w:leftChars="162" w:firstLine="736" w:firstLineChars="349"/>
        <w:outlineLvl w:val="9"/>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注：本情况说明手写无效。</w:t>
      </w:r>
    </w:p>
    <w:p w14:paraId="2ECE1DC7">
      <w:pPr>
        <w:autoSpaceDE w:val="0"/>
        <w:autoSpaceDN w:val="0"/>
        <w:adjustRightInd w:val="0"/>
        <w:spacing w:line="360" w:lineRule="auto"/>
        <w:ind w:firstLine="5145" w:firstLineChars="2450"/>
        <w:outlineLvl w:val="9"/>
        <w:rPr>
          <w:rFonts w:hint="eastAsia" w:ascii="宋体" w:hAnsi="宋体" w:eastAsia="宋体" w:cs="宋体"/>
          <w:color w:val="auto"/>
          <w:szCs w:val="24"/>
          <w:highlight w:val="none"/>
          <w:lang w:val="zh-CN"/>
        </w:rPr>
      </w:pPr>
    </w:p>
    <w:p w14:paraId="6E4DFFCB">
      <w:pPr>
        <w:spacing w:line="360" w:lineRule="auto"/>
        <w:outlineLvl w:val="9"/>
        <w:rPr>
          <w:rFonts w:hint="eastAsia" w:ascii="宋体" w:hAnsi="宋体" w:eastAsia="宋体" w:cs="宋体"/>
          <w:b/>
          <w:color w:val="auto"/>
          <w:kern w:val="0"/>
          <w:szCs w:val="21"/>
          <w:highlight w:val="none"/>
        </w:rPr>
      </w:pPr>
      <w:bookmarkStart w:id="607" w:name="_Toc533708134"/>
      <w:bookmarkStart w:id="608" w:name="_Toc486167721"/>
    </w:p>
    <w:p w14:paraId="649798D9">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bookmarkStart w:id="609" w:name="_Toc104991886"/>
      <w:bookmarkStart w:id="610" w:name="_Toc140596939"/>
      <w:bookmarkStart w:id="611" w:name="_Toc102860084"/>
      <w:bookmarkStart w:id="612" w:name="_Toc94107221"/>
      <w:bookmarkStart w:id="613" w:name="_Toc102860428"/>
      <w:bookmarkStart w:id="614" w:name="_Toc24616"/>
      <w:bookmarkStart w:id="615" w:name="_Toc142508379"/>
      <w:bookmarkStart w:id="616" w:name="_Toc1977738"/>
    </w:p>
    <w:p w14:paraId="4E156EA2">
      <w:pPr>
        <w:tabs>
          <w:tab w:val="left" w:pos="567"/>
        </w:tabs>
        <w:autoSpaceDE w:val="0"/>
        <w:autoSpaceDN w:val="0"/>
        <w:adjustRightInd w:val="0"/>
        <w:spacing w:line="360" w:lineRule="auto"/>
        <w:ind w:left="357" w:leftChars="-100" w:hanging="567"/>
        <w:jc w:val="left"/>
        <w:outlineLvl w:val="9"/>
        <w:rPr>
          <w:rFonts w:hint="eastAsia" w:ascii="宋体" w:hAnsi="宋体" w:eastAsia="宋体" w:cs="宋体"/>
          <w:b/>
          <w:bCs/>
          <w:color w:val="auto"/>
          <w:kern w:val="0"/>
          <w:sz w:val="32"/>
          <w:szCs w:val="32"/>
          <w:highlight w:val="none"/>
          <w:lang w:val="zh-CN"/>
        </w:rPr>
      </w:pPr>
    </w:p>
    <w:p w14:paraId="0E93B0CE">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sectPr>
          <w:pgSz w:w="12240" w:h="15840"/>
          <w:pgMar w:top="1191" w:right="1043" w:bottom="1191" w:left="1043" w:header="720" w:footer="720" w:gutter="0"/>
          <w:cols w:space="720" w:num="1"/>
          <w:titlePg/>
          <w:docGrid w:linePitch="326" w:charSpace="0"/>
        </w:sectPr>
      </w:pPr>
      <w:bookmarkStart w:id="617" w:name="_Toc29652"/>
      <w:bookmarkStart w:id="618" w:name="_Toc2007"/>
      <w:r>
        <w:rPr>
          <w:rFonts w:hint="eastAsia" w:ascii="宋体" w:hAnsi="宋体" w:eastAsia="宋体" w:cs="宋体"/>
          <w:b/>
          <w:bCs/>
          <w:color w:val="auto"/>
          <w:kern w:val="0"/>
          <w:sz w:val="32"/>
          <w:szCs w:val="32"/>
          <w:highlight w:val="none"/>
          <w:lang w:val="zh-CN"/>
        </w:rPr>
        <w:t>十</w:t>
      </w:r>
      <w:r>
        <w:rPr>
          <w:rFonts w:hint="eastAsia" w:ascii="宋体" w:hAnsi="宋体" w:eastAsia="宋体" w:cs="宋体"/>
          <w:b/>
          <w:bCs/>
          <w:color w:val="auto"/>
          <w:kern w:val="0"/>
          <w:sz w:val="32"/>
          <w:szCs w:val="32"/>
          <w:highlight w:val="none"/>
          <w:lang w:val="en-US" w:eastAsia="zh-CN"/>
        </w:rPr>
        <w:t>三</w:t>
      </w:r>
      <w:r>
        <w:rPr>
          <w:rFonts w:hint="eastAsia" w:ascii="宋体" w:hAnsi="宋体" w:eastAsia="宋体" w:cs="宋体"/>
          <w:b/>
          <w:bCs/>
          <w:color w:val="auto"/>
          <w:kern w:val="0"/>
          <w:sz w:val="32"/>
          <w:szCs w:val="32"/>
          <w:highlight w:val="none"/>
          <w:lang w:val="zh-CN"/>
        </w:rPr>
        <w:t>、投标人资格证明文件以外的其他资质证书、知识产权证书及获得的相关获奖、认证证书、社会评价资料证明文件复印件等投标人认为有需要证明其具备为本次招标项目提供服务能力的有关其它商务文件（不做强制要求）</w:t>
      </w:r>
      <w:bookmarkEnd w:id="609"/>
      <w:bookmarkEnd w:id="610"/>
      <w:bookmarkEnd w:id="611"/>
      <w:bookmarkEnd w:id="612"/>
      <w:bookmarkEnd w:id="613"/>
      <w:bookmarkEnd w:id="614"/>
      <w:bookmarkEnd w:id="615"/>
      <w:bookmarkEnd w:id="616"/>
      <w:bookmarkEnd w:id="617"/>
      <w:bookmarkEnd w:id="618"/>
    </w:p>
    <w:p w14:paraId="00CD2576">
      <w:pPr>
        <w:tabs>
          <w:tab w:val="left" w:pos="567"/>
        </w:tabs>
        <w:autoSpaceDE w:val="0"/>
        <w:autoSpaceDN w:val="0"/>
        <w:adjustRightInd w:val="0"/>
        <w:spacing w:line="360" w:lineRule="auto"/>
        <w:ind w:left="357" w:leftChars="-100" w:hanging="567"/>
        <w:jc w:val="left"/>
        <w:outlineLvl w:val="1"/>
        <w:rPr>
          <w:rFonts w:hint="eastAsia" w:ascii="宋体" w:hAnsi="宋体" w:eastAsia="宋体" w:cs="宋体"/>
          <w:b/>
          <w:color w:val="auto"/>
          <w:kern w:val="0"/>
          <w:sz w:val="32"/>
          <w:szCs w:val="32"/>
          <w:highlight w:val="none"/>
        </w:rPr>
      </w:pPr>
      <w:bookmarkStart w:id="619" w:name="_Toc140596940"/>
      <w:bookmarkStart w:id="620" w:name="_Toc104991887"/>
      <w:bookmarkStart w:id="621" w:name="_Toc102860429"/>
      <w:bookmarkStart w:id="622" w:name="_Toc1977739"/>
      <w:bookmarkStart w:id="623" w:name="_Toc142508380"/>
      <w:bookmarkStart w:id="624" w:name="_Toc18038"/>
      <w:bookmarkStart w:id="625" w:name="_Toc94107222"/>
      <w:bookmarkStart w:id="626" w:name="_Toc27482"/>
      <w:bookmarkStart w:id="627" w:name="_Toc31916"/>
      <w:bookmarkStart w:id="628" w:name="_Toc102860085"/>
      <w:r>
        <w:rPr>
          <w:rFonts w:hint="eastAsia" w:ascii="宋体" w:hAnsi="宋体" w:eastAsia="宋体" w:cs="宋体"/>
          <w:b/>
          <w:color w:val="auto"/>
          <w:kern w:val="0"/>
          <w:sz w:val="32"/>
          <w:szCs w:val="32"/>
          <w:highlight w:val="none"/>
        </w:rPr>
        <w:t>十</w:t>
      </w:r>
      <w:r>
        <w:rPr>
          <w:rFonts w:hint="eastAsia" w:ascii="宋体" w:hAnsi="宋体" w:eastAsia="宋体" w:cs="宋体"/>
          <w:b/>
          <w:color w:val="auto"/>
          <w:kern w:val="0"/>
          <w:sz w:val="32"/>
          <w:szCs w:val="32"/>
          <w:highlight w:val="none"/>
          <w:lang w:val="en-US" w:eastAsia="zh-CN"/>
        </w:rPr>
        <w:t>四</w:t>
      </w:r>
      <w:r>
        <w:rPr>
          <w:rFonts w:hint="eastAsia" w:ascii="宋体" w:hAnsi="宋体" w:eastAsia="宋体" w:cs="宋体"/>
          <w:b/>
          <w:color w:val="auto"/>
          <w:kern w:val="0"/>
          <w:sz w:val="32"/>
          <w:szCs w:val="32"/>
          <w:highlight w:val="none"/>
        </w:rPr>
        <w:t>、技术响应文件格式</w:t>
      </w:r>
      <w:bookmarkEnd w:id="607"/>
      <w:bookmarkEnd w:id="619"/>
      <w:bookmarkEnd w:id="620"/>
      <w:bookmarkEnd w:id="621"/>
      <w:bookmarkEnd w:id="622"/>
      <w:bookmarkEnd w:id="623"/>
      <w:bookmarkEnd w:id="624"/>
      <w:bookmarkEnd w:id="625"/>
      <w:bookmarkEnd w:id="626"/>
      <w:bookmarkEnd w:id="627"/>
      <w:bookmarkEnd w:id="628"/>
    </w:p>
    <w:p w14:paraId="087C89C8">
      <w:pPr>
        <w:tabs>
          <w:tab w:val="left" w:pos="8640"/>
        </w:tabs>
        <w:spacing w:line="360" w:lineRule="auto"/>
        <w:ind w:firstLine="420" w:firstLineChars="2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投标人应按照招标文件投标人须知关于投标文件组成部分的要求编制技术文件，主要包括但不限于以下内容：</w:t>
      </w:r>
    </w:p>
    <w:p w14:paraId="06F0680D">
      <w:pPr>
        <w:pStyle w:val="20"/>
        <w:spacing w:line="360" w:lineRule="auto"/>
        <w:ind w:left="462" w:leftChars="22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1、用户需求响应程度（即用户需求偏离表，格式见附件1</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.1）</w:t>
      </w:r>
    </w:p>
    <w:p w14:paraId="592E727C">
      <w:pPr>
        <w:pStyle w:val="20"/>
        <w:spacing w:line="360" w:lineRule="auto"/>
        <w:ind w:left="462" w:leftChars="22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2、总体服务方案（投标人自行编写）；</w:t>
      </w:r>
    </w:p>
    <w:p w14:paraId="05286400">
      <w:pPr>
        <w:pStyle w:val="20"/>
        <w:spacing w:line="360" w:lineRule="auto"/>
        <w:ind w:left="462" w:leftChars="22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rPr>
        <w:t>3、拟投入本项目管理人员情况（见格式1</w:t>
      </w: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.3）；</w:t>
      </w:r>
    </w:p>
    <w:p w14:paraId="1BE65A73">
      <w:pPr>
        <w:pStyle w:val="20"/>
        <w:spacing w:line="360" w:lineRule="auto"/>
        <w:ind w:left="462" w:leftChars="22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4</w:t>
      </w:r>
      <w:r>
        <w:rPr>
          <w:rFonts w:hint="eastAsia" w:ascii="宋体" w:hAnsi="宋体" w:eastAsia="宋体" w:cs="宋体"/>
          <w:bCs/>
          <w:color w:val="auto"/>
          <w:kern w:val="0"/>
          <w:szCs w:val="21"/>
          <w:highlight w:val="none"/>
        </w:rPr>
        <w:t>、</w:t>
      </w:r>
      <w:r>
        <w:rPr>
          <w:rFonts w:hint="eastAsia" w:ascii="宋体" w:hAnsi="宋体" w:eastAsia="宋体" w:cs="宋体"/>
          <w:color w:val="auto"/>
          <w:szCs w:val="21"/>
          <w:highlight w:val="none"/>
        </w:rPr>
        <w:t>应急预案和保障措施</w:t>
      </w:r>
      <w:r>
        <w:rPr>
          <w:rFonts w:hint="eastAsia" w:ascii="宋体" w:hAnsi="宋体" w:eastAsia="宋体" w:cs="宋体"/>
          <w:bCs/>
          <w:color w:val="auto"/>
          <w:kern w:val="0"/>
          <w:szCs w:val="21"/>
          <w:highlight w:val="none"/>
        </w:rPr>
        <w:t>（投标人自行编写）；</w:t>
      </w:r>
    </w:p>
    <w:p w14:paraId="5C4D0911">
      <w:pPr>
        <w:pStyle w:val="20"/>
        <w:spacing w:line="360" w:lineRule="auto"/>
        <w:ind w:left="462" w:leftChars="22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5、</w:t>
      </w:r>
      <w:r>
        <w:rPr>
          <w:rFonts w:hint="eastAsia" w:ascii="宋体" w:hAnsi="宋体" w:eastAsia="宋体" w:cs="宋体"/>
          <w:color w:val="auto"/>
          <w:kern w:val="0"/>
          <w:szCs w:val="21"/>
          <w:highlight w:val="none"/>
        </w:rPr>
        <w:t>购买食品安全责任险承诺书；</w:t>
      </w:r>
    </w:p>
    <w:p w14:paraId="485851F0">
      <w:pPr>
        <w:pStyle w:val="20"/>
        <w:spacing w:line="360" w:lineRule="auto"/>
        <w:ind w:left="462" w:leftChars="220"/>
        <w:jc w:val="left"/>
        <w:rPr>
          <w:rFonts w:hint="eastAsia" w:ascii="宋体" w:hAnsi="宋体" w:eastAsia="宋体" w:cs="宋体"/>
          <w:bCs/>
          <w:color w:val="auto"/>
          <w:kern w:val="0"/>
          <w:szCs w:val="21"/>
          <w:highlight w:val="none"/>
        </w:rPr>
      </w:pPr>
      <w:r>
        <w:rPr>
          <w:rFonts w:hint="eastAsia" w:ascii="宋体" w:hAnsi="宋体" w:eastAsia="宋体" w:cs="宋体"/>
          <w:bCs/>
          <w:color w:val="auto"/>
          <w:kern w:val="0"/>
          <w:szCs w:val="21"/>
          <w:highlight w:val="none"/>
          <w:lang w:val="en-US" w:eastAsia="zh-CN"/>
        </w:rPr>
        <w:t>6、</w:t>
      </w:r>
      <w:r>
        <w:rPr>
          <w:rFonts w:hint="eastAsia" w:ascii="宋体" w:hAnsi="宋体" w:eastAsia="宋体" w:cs="宋体"/>
          <w:bCs/>
          <w:color w:val="auto"/>
          <w:kern w:val="0"/>
          <w:szCs w:val="21"/>
          <w:highlight w:val="none"/>
          <w:lang w:val="zh-CN"/>
        </w:rPr>
        <w:t>投标人认为有必要提供的其它文件（不做强制要求）</w:t>
      </w:r>
      <w:r>
        <w:rPr>
          <w:rFonts w:hint="eastAsia" w:ascii="宋体" w:hAnsi="宋体" w:eastAsia="宋体" w:cs="宋体"/>
          <w:bCs/>
          <w:color w:val="auto"/>
          <w:kern w:val="0"/>
          <w:szCs w:val="21"/>
          <w:highlight w:val="none"/>
        </w:rPr>
        <w:t>。</w:t>
      </w:r>
    </w:p>
    <w:p w14:paraId="4E497FEA">
      <w:pPr>
        <w:pStyle w:val="20"/>
        <w:spacing w:line="360" w:lineRule="auto"/>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br w:type="page"/>
      </w:r>
      <w:bookmarkEnd w:id="608"/>
      <w:bookmarkStart w:id="629" w:name="_Toc102860430"/>
      <w:bookmarkStart w:id="630" w:name="_Toc1977740"/>
      <w:bookmarkStart w:id="631" w:name="_Toc533708135"/>
      <w:bookmarkStart w:id="632" w:name="_Toc102860086"/>
      <w:bookmarkStart w:id="633" w:name="_Toc94107223"/>
      <w:bookmarkStart w:id="634" w:name="_Toc140596941"/>
      <w:bookmarkStart w:id="635" w:name="_Toc142508381"/>
      <w:bookmarkStart w:id="636" w:name="_Toc104991888"/>
    </w:p>
    <w:p w14:paraId="04728F88">
      <w:pPr>
        <w:pStyle w:val="20"/>
        <w:spacing w:line="360" w:lineRule="auto"/>
        <w:jc w:val="center"/>
        <w:outlineLvl w:val="9"/>
        <w:rPr>
          <w:rFonts w:hint="eastAsia" w:ascii="宋体" w:hAnsi="宋体" w:eastAsia="宋体" w:cs="宋体"/>
          <w:b/>
          <w:color w:val="auto"/>
          <w:kern w:val="0"/>
          <w:szCs w:val="21"/>
          <w:highlight w:val="none"/>
        </w:rPr>
      </w:pPr>
    </w:p>
    <w:p w14:paraId="23308E66">
      <w:pPr>
        <w:pStyle w:val="20"/>
        <w:spacing w:line="360" w:lineRule="auto"/>
        <w:jc w:val="center"/>
        <w:outlineLvl w:val="9"/>
        <w:rPr>
          <w:rFonts w:hint="eastAsia" w:ascii="宋体" w:hAnsi="宋体" w:eastAsia="宋体" w:cs="宋体"/>
          <w:b/>
          <w:color w:val="auto"/>
          <w:kern w:val="0"/>
          <w:szCs w:val="21"/>
          <w:highlight w:val="none"/>
        </w:rPr>
      </w:pPr>
    </w:p>
    <w:p w14:paraId="1676AC3C">
      <w:pPr>
        <w:pStyle w:val="20"/>
        <w:spacing w:line="360" w:lineRule="auto"/>
        <w:jc w:val="center"/>
        <w:outlineLvl w:val="9"/>
        <w:rPr>
          <w:rFonts w:hint="eastAsia" w:ascii="宋体" w:hAnsi="宋体" w:eastAsia="宋体" w:cs="宋体"/>
          <w:b/>
          <w:color w:val="auto"/>
          <w:kern w:val="0"/>
          <w:szCs w:val="21"/>
          <w:highlight w:val="none"/>
        </w:rPr>
      </w:pPr>
    </w:p>
    <w:p w14:paraId="4B198C18">
      <w:pPr>
        <w:pStyle w:val="20"/>
        <w:spacing w:line="360" w:lineRule="auto"/>
        <w:jc w:val="center"/>
        <w:outlineLvl w:val="9"/>
        <w:rPr>
          <w:rFonts w:hint="eastAsia" w:ascii="宋体" w:hAnsi="宋体" w:eastAsia="宋体" w:cs="宋体"/>
          <w:b/>
          <w:color w:val="auto"/>
          <w:kern w:val="0"/>
          <w:szCs w:val="21"/>
          <w:highlight w:val="none"/>
        </w:rPr>
      </w:pPr>
    </w:p>
    <w:p w14:paraId="16FAA082">
      <w:pPr>
        <w:pStyle w:val="20"/>
        <w:spacing w:line="360" w:lineRule="auto"/>
        <w:jc w:val="center"/>
        <w:outlineLvl w:val="9"/>
        <w:rPr>
          <w:rFonts w:hint="eastAsia" w:ascii="宋体" w:hAnsi="宋体" w:eastAsia="宋体" w:cs="宋体"/>
          <w:b/>
          <w:color w:val="auto"/>
          <w:kern w:val="0"/>
          <w:szCs w:val="21"/>
          <w:highlight w:val="none"/>
        </w:rPr>
      </w:pPr>
    </w:p>
    <w:p w14:paraId="2294A645">
      <w:pPr>
        <w:pStyle w:val="20"/>
        <w:spacing w:line="360" w:lineRule="auto"/>
        <w:jc w:val="center"/>
        <w:outlineLvl w:val="9"/>
        <w:rPr>
          <w:rFonts w:hint="eastAsia" w:ascii="宋体" w:hAnsi="宋体" w:eastAsia="宋体" w:cs="宋体"/>
          <w:b/>
          <w:color w:val="auto"/>
          <w:kern w:val="0"/>
          <w:szCs w:val="21"/>
          <w:highlight w:val="none"/>
        </w:rPr>
      </w:pPr>
    </w:p>
    <w:p w14:paraId="6B17B053">
      <w:pPr>
        <w:pStyle w:val="20"/>
        <w:spacing w:line="360" w:lineRule="auto"/>
        <w:jc w:val="center"/>
        <w:outlineLvl w:val="9"/>
        <w:rPr>
          <w:rFonts w:hint="eastAsia" w:ascii="宋体" w:hAnsi="宋体" w:eastAsia="宋体" w:cs="宋体"/>
          <w:b/>
          <w:color w:val="auto"/>
          <w:kern w:val="0"/>
          <w:szCs w:val="21"/>
          <w:highlight w:val="none"/>
        </w:rPr>
      </w:pPr>
    </w:p>
    <w:p w14:paraId="3ABE09DA">
      <w:pPr>
        <w:pStyle w:val="20"/>
        <w:spacing w:line="360" w:lineRule="auto"/>
        <w:jc w:val="center"/>
        <w:outlineLvl w:val="9"/>
        <w:rPr>
          <w:rFonts w:hint="eastAsia" w:ascii="宋体" w:hAnsi="宋体" w:eastAsia="宋体" w:cs="宋体"/>
          <w:b/>
          <w:color w:val="auto"/>
          <w:kern w:val="0"/>
          <w:szCs w:val="21"/>
          <w:highlight w:val="none"/>
        </w:rPr>
      </w:pPr>
    </w:p>
    <w:p w14:paraId="440342B3">
      <w:pPr>
        <w:pStyle w:val="20"/>
        <w:spacing w:line="360" w:lineRule="auto"/>
        <w:jc w:val="center"/>
        <w:outlineLvl w:val="9"/>
        <w:rPr>
          <w:rFonts w:hint="eastAsia" w:ascii="宋体" w:hAnsi="宋体" w:eastAsia="宋体" w:cs="宋体"/>
          <w:color w:val="auto"/>
          <w:sz w:val="84"/>
          <w:highlight w:val="none"/>
        </w:rPr>
      </w:pPr>
      <w:r>
        <w:rPr>
          <w:rFonts w:hint="eastAsia" w:ascii="宋体" w:hAnsi="宋体" w:eastAsia="宋体" w:cs="宋体"/>
          <w:color w:val="auto"/>
          <w:sz w:val="84"/>
          <w:highlight w:val="none"/>
        </w:rPr>
        <w:t>投 标 文 件</w:t>
      </w:r>
    </w:p>
    <w:p w14:paraId="0DA61F2E">
      <w:pPr>
        <w:pStyle w:val="20"/>
        <w:spacing w:line="360" w:lineRule="auto"/>
        <w:outlineLvl w:val="9"/>
        <w:rPr>
          <w:rFonts w:hint="eastAsia" w:ascii="宋体" w:hAnsi="宋体" w:eastAsia="宋体" w:cs="宋体"/>
          <w:color w:val="auto"/>
          <w:highlight w:val="none"/>
        </w:rPr>
      </w:pPr>
    </w:p>
    <w:p w14:paraId="24C6B73A">
      <w:pPr>
        <w:pStyle w:val="20"/>
        <w:spacing w:line="360" w:lineRule="auto"/>
        <w:outlineLvl w:val="9"/>
        <w:rPr>
          <w:rFonts w:hint="eastAsia" w:ascii="宋体" w:hAnsi="宋体" w:eastAsia="宋体" w:cs="宋体"/>
          <w:color w:val="auto"/>
          <w:highlight w:val="none"/>
        </w:rPr>
      </w:pPr>
    </w:p>
    <w:p w14:paraId="090DB4B6">
      <w:pPr>
        <w:pStyle w:val="20"/>
        <w:spacing w:line="360" w:lineRule="auto"/>
        <w:outlineLvl w:val="9"/>
        <w:rPr>
          <w:rFonts w:hint="eastAsia" w:ascii="宋体" w:hAnsi="宋体" w:eastAsia="宋体" w:cs="宋体"/>
          <w:color w:val="auto"/>
          <w:highlight w:val="none"/>
        </w:rPr>
      </w:pPr>
    </w:p>
    <w:p w14:paraId="15ED408D">
      <w:pPr>
        <w:pStyle w:val="20"/>
        <w:spacing w:line="360" w:lineRule="auto"/>
        <w:outlineLvl w:val="9"/>
        <w:rPr>
          <w:rFonts w:hint="eastAsia" w:ascii="宋体" w:hAnsi="宋体" w:eastAsia="宋体" w:cs="宋体"/>
          <w:color w:val="auto"/>
          <w:highlight w:val="none"/>
        </w:rPr>
      </w:pPr>
    </w:p>
    <w:p w14:paraId="62C2CCD7">
      <w:pPr>
        <w:pStyle w:val="20"/>
        <w:spacing w:line="360" w:lineRule="auto"/>
        <w:outlineLvl w:val="9"/>
        <w:rPr>
          <w:rFonts w:hint="eastAsia" w:ascii="宋体" w:hAnsi="宋体" w:eastAsia="宋体" w:cs="宋体"/>
          <w:color w:val="auto"/>
          <w:highlight w:val="none"/>
        </w:rPr>
      </w:pPr>
    </w:p>
    <w:p w14:paraId="1ACBC35C">
      <w:pPr>
        <w:pStyle w:val="20"/>
        <w:spacing w:line="360" w:lineRule="auto"/>
        <w:outlineLvl w:val="9"/>
        <w:rPr>
          <w:rFonts w:hint="eastAsia" w:ascii="宋体" w:hAnsi="宋体" w:eastAsia="宋体" w:cs="宋体"/>
          <w:color w:val="auto"/>
          <w:highlight w:val="none"/>
        </w:rPr>
      </w:pPr>
    </w:p>
    <w:p w14:paraId="726A030E">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招标编号：</w:t>
      </w:r>
      <w:r>
        <w:rPr>
          <w:rFonts w:hint="eastAsia" w:ascii="宋体" w:hAnsi="宋体" w:eastAsia="宋体" w:cs="宋体"/>
          <w:color w:val="auto"/>
          <w:sz w:val="30"/>
          <w:highlight w:val="none"/>
          <w:u w:val="single"/>
        </w:rPr>
        <w:t xml:space="preserve">                      </w:t>
      </w:r>
    </w:p>
    <w:p w14:paraId="6A9AB1D9">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项目名称：</w:t>
      </w:r>
      <w:r>
        <w:rPr>
          <w:rFonts w:hint="eastAsia" w:ascii="宋体" w:hAnsi="宋体" w:eastAsia="宋体" w:cs="宋体"/>
          <w:color w:val="auto"/>
          <w:sz w:val="30"/>
          <w:highlight w:val="none"/>
          <w:u w:val="single"/>
        </w:rPr>
        <w:t xml:space="preserve">                      </w:t>
      </w:r>
    </w:p>
    <w:p w14:paraId="76C1392C">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投标文件内容：</w:t>
      </w:r>
      <w:r>
        <w:rPr>
          <w:rFonts w:hint="eastAsia" w:ascii="宋体" w:hAnsi="宋体" w:eastAsia="宋体" w:cs="宋体"/>
          <w:color w:val="auto"/>
          <w:sz w:val="30"/>
          <w:highlight w:val="none"/>
          <w:u w:val="single"/>
        </w:rPr>
        <w:t xml:space="preserve"> 投标文件</w:t>
      </w:r>
      <w:r>
        <w:rPr>
          <w:rFonts w:hint="eastAsia" w:ascii="宋体" w:hAnsi="宋体" w:eastAsia="宋体" w:cs="宋体"/>
          <w:color w:val="auto"/>
          <w:sz w:val="30"/>
          <w:highlight w:val="none"/>
          <w:u w:val="single"/>
          <w:lang w:val="en-US" w:eastAsia="zh-CN"/>
        </w:rPr>
        <w:t>技术</w:t>
      </w:r>
      <w:r>
        <w:rPr>
          <w:rFonts w:hint="eastAsia" w:ascii="宋体" w:hAnsi="宋体" w:eastAsia="宋体" w:cs="宋体"/>
          <w:color w:val="auto"/>
          <w:sz w:val="30"/>
          <w:highlight w:val="none"/>
          <w:u w:val="single"/>
        </w:rPr>
        <w:t xml:space="preserve">部分 </w:t>
      </w:r>
    </w:p>
    <w:p w14:paraId="6E1BE988">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招标人：</w:t>
      </w:r>
      <w:r>
        <w:rPr>
          <w:rFonts w:hint="eastAsia" w:ascii="宋体" w:hAnsi="宋体" w:eastAsia="宋体" w:cs="宋体"/>
          <w:color w:val="auto"/>
          <w:sz w:val="30"/>
          <w:highlight w:val="none"/>
          <w:u w:val="single"/>
        </w:rPr>
        <w:t xml:space="preserve">                        </w:t>
      </w:r>
    </w:p>
    <w:p w14:paraId="33DFD92F">
      <w:pPr>
        <w:pStyle w:val="20"/>
        <w:spacing w:line="360" w:lineRule="auto"/>
        <w:ind w:firstLine="1875" w:firstLineChars="625"/>
        <w:outlineLvl w:val="9"/>
        <w:rPr>
          <w:rFonts w:hint="eastAsia" w:ascii="宋体" w:hAnsi="宋体" w:eastAsia="宋体" w:cs="宋体"/>
          <w:color w:val="auto"/>
          <w:sz w:val="30"/>
          <w:highlight w:val="none"/>
          <w:u w:val="single"/>
        </w:rPr>
      </w:pPr>
      <w:r>
        <w:rPr>
          <w:rFonts w:hint="eastAsia" w:ascii="宋体" w:hAnsi="宋体" w:eastAsia="宋体" w:cs="宋体"/>
          <w:color w:val="auto"/>
          <w:sz w:val="30"/>
          <w:highlight w:val="none"/>
        </w:rPr>
        <w:t>投标人：</w:t>
      </w:r>
      <w:r>
        <w:rPr>
          <w:rFonts w:hint="eastAsia" w:ascii="宋体" w:hAnsi="宋体" w:eastAsia="宋体" w:cs="宋体"/>
          <w:color w:val="auto"/>
          <w:sz w:val="30"/>
          <w:highlight w:val="none"/>
          <w:u w:val="single"/>
        </w:rPr>
        <w:t xml:space="preserve">                        </w:t>
      </w:r>
    </w:p>
    <w:p w14:paraId="275769A0">
      <w:pPr>
        <w:pStyle w:val="20"/>
        <w:spacing w:line="360" w:lineRule="auto"/>
        <w:ind w:firstLine="1875" w:firstLineChars="625"/>
        <w:outlineLvl w:val="9"/>
        <w:rPr>
          <w:rFonts w:hint="eastAsia" w:ascii="宋体" w:hAnsi="宋体" w:eastAsia="宋体" w:cs="宋体"/>
          <w:color w:val="auto"/>
          <w:sz w:val="30"/>
          <w:highlight w:val="none"/>
        </w:rPr>
      </w:pPr>
      <w:r>
        <w:rPr>
          <w:rFonts w:hint="eastAsia" w:ascii="宋体" w:hAnsi="宋体" w:eastAsia="宋体" w:cs="宋体"/>
          <w:color w:val="auto"/>
          <w:sz w:val="30"/>
          <w:highlight w:val="none"/>
        </w:rPr>
        <w:t>日  期：</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年</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月</w:t>
      </w:r>
      <w:r>
        <w:rPr>
          <w:rFonts w:hint="eastAsia" w:ascii="宋体" w:hAnsi="宋体" w:eastAsia="宋体" w:cs="宋体"/>
          <w:color w:val="auto"/>
          <w:sz w:val="30"/>
          <w:highlight w:val="none"/>
          <w:u w:val="single"/>
        </w:rPr>
        <w:t xml:space="preserve">    </w:t>
      </w:r>
      <w:r>
        <w:rPr>
          <w:rFonts w:hint="eastAsia" w:ascii="宋体" w:hAnsi="宋体" w:eastAsia="宋体" w:cs="宋体"/>
          <w:color w:val="auto"/>
          <w:sz w:val="30"/>
          <w:highlight w:val="none"/>
        </w:rPr>
        <w:t>日</w:t>
      </w:r>
    </w:p>
    <w:p w14:paraId="4223C165">
      <w:pPr>
        <w:pStyle w:val="20"/>
        <w:spacing w:line="360" w:lineRule="auto"/>
        <w:outlineLvl w:val="9"/>
        <w:rPr>
          <w:rFonts w:hint="eastAsia" w:ascii="宋体" w:hAnsi="宋体" w:eastAsia="宋体" w:cs="宋体"/>
          <w:color w:val="auto"/>
          <w:highlight w:val="none"/>
        </w:rPr>
      </w:pPr>
    </w:p>
    <w:p w14:paraId="7388231B">
      <w:pPr>
        <w:pStyle w:val="20"/>
        <w:spacing w:line="360" w:lineRule="auto"/>
        <w:outlineLvl w:val="9"/>
        <w:rPr>
          <w:rFonts w:hint="eastAsia" w:ascii="宋体" w:hAnsi="宋体" w:eastAsia="宋体" w:cs="宋体"/>
          <w:color w:val="auto"/>
          <w:highlight w:val="none"/>
        </w:rPr>
      </w:pPr>
      <w:r>
        <w:rPr>
          <w:rFonts w:hint="eastAsia" w:ascii="宋体" w:hAnsi="宋体" w:eastAsia="宋体" w:cs="宋体"/>
          <w:color w:val="auto"/>
          <w:highlight w:val="none"/>
        </w:rPr>
        <w:br w:type="page"/>
      </w:r>
    </w:p>
    <w:p w14:paraId="0BEDB42C">
      <w:pPr>
        <w:pStyle w:val="20"/>
        <w:spacing w:line="360" w:lineRule="auto"/>
        <w:outlineLvl w:val="9"/>
        <w:rPr>
          <w:rFonts w:hint="eastAsia" w:ascii="宋体" w:hAnsi="宋体" w:eastAsia="宋体" w:cs="宋体"/>
          <w:color w:val="auto"/>
          <w:highlight w:val="none"/>
        </w:rPr>
      </w:pPr>
    </w:p>
    <w:p w14:paraId="7F154B7A">
      <w:pPr>
        <w:pBdr>
          <w:bottom w:val="single" w:color="auto" w:sz="6" w:space="0"/>
        </w:pBdr>
        <w:spacing w:line="480" w:lineRule="auto"/>
        <w:ind w:firstLine="472" w:firstLineChars="224"/>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投标文件</w:t>
      </w:r>
      <w:r>
        <w:rPr>
          <w:rFonts w:hint="eastAsia" w:ascii="宋体" w:hAnsi="宋体" w:eastAsia="宋体" w:cs="宋体"/>
          <w:b/>
          <w:bCs/>
          <w:color w:val="auto"/>
          <w:szCs w:val="21"/>
          <w:highlight w:val="none"/>
          <w:lang w:val="en-US" w:eastAsia="zh-CN"/>
        </w:rPr>
        <w:t>技术</w:t>
      </w:r>
      <w:r>
        <w:rPr>
          <w:rFonts w:hint="eastAsia" w:ascii="宋体" w:hAnsi="宋体" w:eastAsia="宋体" w:cs="宋体"/>
          <w:b/>
          <w:bCs/>
          <w:color w:val="auto"/>
          <w:szCs w:val="21"/>
          <w:highlight w:val="none"/>
        </w:rPr>
        <w:t>评审部分索引表</w:t>
      </w:r>
    </w:p>
    <w:tbl>
      <w:tblPr>
        <w:tblStyle w:val="39"/>
        <w:tblW w:w="4999" w:type="pct"/>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autofit"/>
        <w:tblCellMar>
          <w:top w:w="0" w:type="dxa"/>
          <w:left w:w="108" w:type="dxa"/>
          <w:bottom w:w="0" w:type="dxa"/>
          <w:right w:w="108" w:type="dxa"/>
        </w:tblCellMar>
      </w:tblPr>
      <w:tblGrid>
        <w:gridCol w:w="1379"/>
        <w:gridCol w:w="2773"/>
        <w:gridCol w:w="2171"/>
        <w:gridCol w:w="4045"/>
      </w:tblGrid>
      <w:tr w14:paraId="123B387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204" w:hRule="atLeast"/>
          <w:jc w:val="center"/>
        </w:trPr>
        <w:tc>
          <w:tcPr>
            <w:tcW w:w="665" w:type="pct"/>
            <w:vAlign w:val="center"/>
          </w:tcPr>
          <w:p w14:paraId="469404B0">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序号</w:t>
            </w:r>
          </w:p>
        </w:tc>
        <w:tc>
          <w:tcPr>
            <w:tcW w:w="1337" w:type="pct"/>
            <w:vAlign w:val="center"/>
          </w:tcPr>
          <w:p w14:paraId="738D03D6">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评标项目</w:t>
            </w:r>
          </w:p>
        </w:tc>
        <w:tc>
          <w:tcPr>
            <w:tcW w:w="1047" w:type="pct"/>
            <w:vAlign w:val="center"/>
          </w:tcPr>
          <w:p w14:paraId="229DC0F1">
            <w:pPr>
              <w:adjustRightInd w:val="0"/>
              <w:snapToGrid w:val="0"/>
              <w:spacing w:line="360" w:lineRule="auto"/>
              <w:jc w:val="center"/>
              <w:outlineLvl w:val="9"/>
              <w:rPr>
                <w:rFonts w:hint="eastAsia" w:ascii="宋体" w:hAnsi="宋体" w:eastAsia="宋体" w:cs="宋体"/>
                <w:bCs/>
                <w:color w:val="auto"/>
                <w:szCs w:val="21"/>
                <w:highlight w:val="none"/>
                <w:lang w:eastAsia="zh-CN"/>
              </w:rPr>
            </w:pPr>
            <w:r>
              <w:rPr>
                <w:rFonts w:hint="eastAsia" w:ascii="宋体" w:hAnsi="宋体" w:eastAsia="宋体" w:cs="宋体"/>
                <w:bCs/>
                <w:color w:val="auto"/>
                <w:szCs w:val="21"/>
                <w:highlight w:val="none"/>
                <w:lang w:eastAsia="zh-CN"/>
              </w:rPr>
              <w:t>招标文件上的满分值</w:t>
            </w:r>
          </w:p>
        </w:tc>
        <w:tc>
          <w:tcPr>
            <w:tcW w:w="1950" w:type="pct"/>
            <w:tcBorders>
              <w:left w:val="single" w:color="auto" w:sz="4" w:space="0"/>
            </w:tcBorders>
            <w:vAlign w:val="center"/>
          </w:tcPr>
          <w:p w14:paraId="1032EA0E">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页码索引</w:t>
            </w:r>
          </w:p>
        </w:tc>
      </w:tr>
      <w:tr w14:paraId="05FE8EE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541" w:hRule="atLeast"/>
          <w:jc w:val="center"/>
        </w:trPr>
        <w:tc>
          <w:tcPr>
            <w:tcW w:w="665" w:type="pct"/>
            <w:vAlign w:val="center"/>
          </w:tcPr>
          <w:p w14:paraId="2CD5E850">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3A0169D0">
            <w:pPr>
              <w:adjustRightInd w:val="0"/>
              <w:snapToGrid w:val="0"/>
              <w:spacing w:line="360" w:lineRule="auto"/>
              <w:jc w:val="center"/>
              <w:outlineLvl w:val="9"/>
              <w:rPr>
                <w:rFonts w:hint="eastAsia" w:ascii="宋体" w:hAnsi="宋体" w:eastAsia="宋体" w:cs="宋体"/>
                <w:bCs/>
                <w:color w:val="auto"/>
                <w:szCs w:val="21"/>
                <w:highlight w:val="none"/>
              </w:rPr>
            </w:pPr>
          </w:p>
        </w:tc>
        <w:tc>
          <w:tcPr>
            <w:tcW w:w="1047" w:type="pct"/>
            <w:vAlign w:val="center"/>
          </w:tcPr>
          <w:p w14:paraId="5E68ECF6">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44873B16">
            <w:pPr>
              <w:adjustRightInd w:val="0"/>
              <w:snapToGrid w:val="0"/>
              <w:spacing w:line="360" w:lineRule="auto"/>
              <w:outlineLvl w:val="9"/>
              <w:rPr>
                <w:rFonts w:hint="eastAsia" w:ascii="宋体" w:hAnsi="宋体" w:eastAsia="宋体" w:cs="宋体"/>
                <w:bCs/>
                <w:color w:val="auto"/>
                <w:szCs w:val="21"/>
                <w:highlight w:val="none"/>
              </w:rPr>
            </w:pPr>
          </w:p>
        </w:tc>
      </w:tr>
      <w:tr w14:paraId="36757D1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761" w:hRule="atLeast"/>
          <w:jc w:val="center"/>
        </w:trPr>
        <w:tc>
          <w:tcPr>
            <w:tcW w:w="665" w:type="pct"/>
            <w:vAlign w:val="center"/>
          </w:tcPr>
          <w:p w14:paraId="38E66AA8">
            <w:pPr>
              <w:outlineLvl w:val="9"/>
              <w:rPr>
                <w:rFonts w:hint="eastAsia" w:ascii="宋体" w:hAnsi="宋体" w:eastAsia="宋体" w:cs="宋体"/>
                <w:bCs/>
                <w:color w:val="auto"/>
                <w:szCs w:val="21"/>
                <w:highlight w:val="none"/>
              </w:rPr>
            </w:pPr>
          </w:p>
        </w:tc>
        <w:tc>
          <w:tcPr>
            <w:tcW w:w="1337" w:type="pct"/>
            <w:vAlign w:val="center"/>
          </w:tcPr>
          <w:p w14:paraId="6FD35EC1">
            <w:pPr>
              <w:outlineLvl w:val="9"/>
              <w:rPr>
                <w:rFonts w:hint="eastAsia" w:ascii="宋体" w:hAnsi="宋体" w:eastAsia="宋体" w:cs="宋体"/>
                <w:bCs/>
                <w:color w:val="auto"/>
                <w:szCs w:val="21"/>
                <w:highlight w:val="none"/>
              </w:rPr>
            </w:pPr>
          </w:p>
        </w:tc>
        <w:tc>
          <w:tcPr>
            <w:tcW w:w="1047" w:type="pct"/>
            <w:vAlign w:val="center"/>
          </w:tcPr>
          <w:p w14:paraId="68D984E5">
            <w:pP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0E2E1213">
            <w:pPr>
              <w:adjustRightInd w:val="0"/>
              <w:snapToGrid w:val="0"/>
              <w:spacing w:line="360" w:lineRule="auto"/>
              <w:ind w:firstLine="105" w:firstLineChars="50"/>
              <w:outlineLvl w:val="9"/>
              <w:rPr>
                <w:rFonts w:hint="eastAsia" w:ascii="宋体" w:hAnsi="宋体" w:eastAsia="宋体" w:cs="宋体"/>
                <w:bCs/>
                <w:color w:val="auto"/>
                <w:szCs w:val="21"/>
                <w:highlight w:val="none"/>
              </w:rPr>
            </w:pPr>
          </w:p>
        </w:tc>
      </w:tr>
      <w:tr w14:paraId="247A51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2029" w:hRule="atLeast"/>
          <w:jc w:val="center"/>
        </w:trPr>
        <w:tc>
          <w:tcPr>
            <w:tcW w:w="665" w:type="pct"/>
            <w:vAlign w:val="center"/>
          </w:tcPr>
          <w:p w14:paraId="448E00A1">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vAlign w:val="center"/>
          </w:tcPr>
          <w:p w14:paraId="52A36B51">
            <w:pPr>
              <w:adjustRightInd w:val="0"/>
              <w:snapToGrid w:val="0"/>
              <w:spacing w:line="360" w:lineRule="auto"/>
              <w:outlineLvl w:val="9"/>
              <w:rPr>
                <w:rFonts w:hint="eastAsia" w:ascii="宋体" w:hAnsi="宋体" w:eastAsia="宋体" w:cs="宋体"/>
                <w:bCs/>
                <w:color w:val="auto"/>
                <w:szCs w:val="21"/>
                <w:highlight w:val="none"/>
              </w:rPr>
            </w:pPr>
          </w:p>
        </w:tc>
        <w:tc>
          <w:tcPr>
            <w:tcW w:w="1047" w:type="pct"/>
            <w:vAlign w:val="center"/>
          </w:tcPr>
          <w:p w14:paraId="7681AD6F">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tcBorders>
            <w:vAlign w:val="center"/>
          </w:tcPr>
          <w:p w14:paraId="623F5F38">
            <w:pPr>
              <w:spacing w:line="360" w:lineRule="auto"/>
              <w:ind w:firstLine="8" w:firstLineChars="4"/>
              <w:outlineLvl w:val="9"/>
              <w:rPr>
                <w:rFonts w:hint="eastAsia" w:ascii="宋体" w:hAnsi="宋体" w:eastAsia="宋体" w:cs="宋体"/>
                <w:bCs/>
                <w:color w:val="auto"/>
                <w:szCs w:val="21"/>
                <w:highlight w:val="none"/>
              </w:rPr>
            </w:pPr>
          </w:p>
        </w:tc>
      </w:tr>
      <w:tr w14:paraId="5ACA0DB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1033" w:hRule="atLeast"/>
          <w:jc w:val="center"/>
        </w:trPr>
        <w:tc>
          <w:tcPr>
            <w:tcW w:w="665" w:type="pct"/>
            <w:tcBorders>
              <w:top w:val="single" w:color="auto" w:sz="6" w:space="0"/>
              <w:left w:val="single" w:color="auto" w:sz="4" w:space="0"/>
              <w:bottom w:val="outset" w:color="808080" w:sz="6" w:space="0"/>
              <w:right w:val="single" w:color="auto" w:sz="6" w:space="0"/>
            </w:tcBorders>
            <w:vAlign w:val="center"/>
          </w:tcPr>
          <w:p w14:paraId="4D2EF5E7">
            <w:pPr>
              <w:adjustRightInd w:val="0"/>
              <w:snapToGrid w:val="0"/>
              <w:spacing w:line="360" w:lineRule="auto"/>
              <w:jc w:val="center"/>
              <w:outlineLvl w:val="9"/>
              <w:rPr>
                <w:rFonts w:hint="eastAsia" w:ascii="宋体" w:hAnsi="宋体" w:eastAsia="宋体" w:cs="宋体"/>
                <w:bCs/>
                <w:color w:val="auto"/>
                <w:szCs w:val="21"/>
                <w:highlight w:val="none"/>
              </w:rPr>
            </w:pPr>
          </w:p>
        </w:tc>
        <w:tc>
          <w:tcPr>
            <w:tcW w:w="1337" w:type="pct"/>
            <w:tcBorders>
              <w:top w:val="single" w:color="auto" w:sz="6" w:space="0"/>
              <w:left w:val="single" w:color="auto" w:sz="6" w:space="0"/>
              <w:bottom w:val="outset" w:color="808080" w:sz="6" w:space="0"/>
              <w:right w:val="single" w:color="auto" w:sz="6" w:space="0"/>
            </w:tcBorders>
            <w:vAlign w:val="center"/>
          </w:tcPr>
          <w:p w14:paraId="76390A78">
            <w:pPr>
              <w:adjustRightInd w:val="0"/>
              <w:snapToGrid w:val="0"/>
              <w:spacing w:line="360" w:lineRule="auto"/>
              <w:outlineLvl w:val="9"/>
              <w:rPr>
                <w:rFonts w:hint="eastAsia" w:ascii="宋体" w:hAnsi="宋体" w:eastAsia="宋体" w:cs="宋体"/>
                <w:bCs/>
                <w:color w:val="auto"/>
                <w:szCs w:val="21"/>
                <w:highlight w:val="none"/>
              </w:rPr>
            </w:pPr>
          </w:p>
        </w:tc>
        <w:tc>
          <w:tcPr>
            <w:tcW w:w="1047" w:type="pct"/>
            <w:tcBorders>
              <w:top w:val="single" w:color="auto" w:sz="6" w:space="0"/>
              <w:left w:val="single" w:color="auto" w:sz="6" w:space="0"/>
              <w:bottom w:val="outset" w:color="808080" w:sz="6" w:space="0"/>
              <w:right w:val="single" w:color="auto" w:sz="6" w:space="0"/>
            </w:tcBorders>
            <w:vAlign w:val="center"/>
          </w:tcPr>
          <w:p w14:paraId="0BC55D97">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top w:val="single" w:color="auto" w:sz="6" w:space="0"/>
              <w:left w:val="single" w:color="auto" w:sz="4" w:space="0"/>
              <w:bottom w:val="outset" w:color="808080" w:sz="6" w:space="0"/>
              <w:right w:val="single" w:color="auto" w:sz="6" w:space="0"/>
            </w:tcBorders>
            <w:vAlign w:val="center"/>
          </w:tcPr>
          <w:p w14:paraId="17EF3115">
            <w:pPr>
              <w:adjustRightInd w:val="0"/>
              <w:snapToGrid w:val="0"/>
              <w:spacing w:line="360" w:lineRule="auto"/>
              <w:outlineLvl w:val="9"/>
              <w:rPr>
                <w:rFonts w:hint="eastAsia" w:ascii="宋体" w:hAnsi="宋体" w:eastAsia="宋体" w:cs="宋体"/>
                <w:bCs/>
                <w:color w:val="auto"/>
                <w:szCs w:val="21"/>
                <w:highlight w:val="none"/>
              </w:rPr>
            </w:pPr>
          </w:p>
        </w:tc>
      </w:tr>
      <w:tr w14:paraId="1810CD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108" w:type="dxa"/>
            <w:bottom w:w="0" w:type="dxa"/>
            <w:right w:w="108" w:type="dxa"/>
          </w:tblCellMar>
        </w:tblPrEx>
        <w:trPr>
          <w:cantSplit/>
          <w:trHeight w:val="966" w:hRule="atLeast"/>
          <w:jc w:val="center"/>
        </w:trPr>
        <w:tc>
          <w:tcPr>
            <w:tcW w:w="2002" w:type="pct"/>
            <w:gridSpan w:val="2"/>
            <w:tcBorders>
              <w:bottom w:val="single" w:color="auto" w:sz="4" w:space="0"/>
            </w:tcBorders>
            <w:vAlign w:val="center"/>
          </w:tcPr>
          <w:p w14:paraId="1BB73732">
            <w:pPr>
              <w:adjustRightInd w:val="0"/>
              <w:snapToGrid w:val="0"/>
              <w:spacing w:line="360" w:lineRule="auto"/>
              <w:jc w:val="center"/>
              <w:outlineLvl w:val="9"/>
              <w:rPr>
                <w:rFonts w:hint="eastAsia" w:ascii="宋体" w:hAnsi="宋体" w:eastAsia="宋体" w:cs="宋体"/>
                <w:bCs/>
                <w:color w:val="auto"/>
                <w:szCs w:val="21"/>
                <w:highlight w:val="none"/>
              </w:rPr>
            </w:pPr>
            <w:r>
              <w:rPr>
                <w:rFonts w:hint="eastAsia" w:ascii="宋体" w:hAnsi="宋体" w:eastAsia="宋体" w:cs="宋体"/>
                <w:bCs/>
                <w:color w:val="auto"/>
                <w:szCs w:val="21"/>
                <w:highlight w:val="none"/>
              </w:rPr>
              <w:t>合计</w:t>
            </w:r>
          </w:p>
        </w:tc>
        <w:tc>
          <w:tcPr>
            <w:tcW w:w="1047" w:type="pct"/>
            <w:tcBorders>
              <w:bottom w:val="single" w:color="auto" w:sz="4" w:space="0"/>
            </w:tcBorders>
            <w:vAlign w:val="center"/>
          </w:tcPr>
          <w:p w14:paraId="6B8B04F2">
            <w:pPr>
              <w:adjustRightInd w:val="0"/>
              <w:snapToGrid w:val="0"/>
              <w:spacing w:line="360" w:lineRule="auto"/>
              <w:jc w:val="center"/>
              <w:outlineLvl w:val="9"/>
              <w:rPr>
                <w:rFonts w:hint="eastAsia" w:ascii="宋体" w:hAnsi="宋体" w:eastAsia="宋体" w:cs="宋体"/>
                <w:bCs/>
                <w:color w:val="auto"/>
                <w:szCs w:val="21"/>
                <w:highlight w:val="none"/>
              </w:rPr>
            </w:pPr>
          </w:p>
        </w:tc>
        <w:tc>
          <w:tcPr>
            <w:tcW w:w="1950" w:type="pct"/>
            <w:tcBorders>
              <w:left w:val="single" w:color="auto" w:sz="4" w:space="0"/>
              <w:bottom w:val="single" w:color="auto" w:sz="4" w:space="0"/>
            </w:tcBorders>
            <w:vAlign w:val="center"/>
          </w:tcPr>
          <w:p w14:paraId="1CBCD855">
            <w:pPr>
              <w:spacing w:line="360" w:lineRule="auto"/>
              <w:jc w:val="center"/>
              <w:outlineLvl w:val="9"/>
              <w:rPr>
                <w:rFonts w:hint="eastAsia" w:ascii="宋体" w:hAnsi="宋体" w:eastAsia="宋体" w:cs="宋体"/>
                <w:bCs/>
                <w:color w:val="auto"/>
                <w:szCs w:val="21"/>
                <w:highlight w:val="none"/>
              </w:rPr>
            </w:pPr>
          </w:p>
        </w:tc>
      </w:tr>
    </w:tbl>
    <w:p w14:paraId="78E66A2C">
      <w:pPr>
        <w:outlineLvl w:val="9"/>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p>
    <w:p w14:paraId="3AC3C718">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37" w:name="_Toc27934"/>
      <w:bookmarkStart w:id="638" w:name="_Toc18999"/>
      <w:bookmarkStart w:id="639" w:name="_Toc30448"/>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.1 用户需求偏离表格式</w:t>
      </w:r>
      <w:bookmarkEnd w:id="629"/>
      <w:bookmarkEnd w:id="630"/>
      <w:bookmarkEnd w:id="631"/>
      <w:bookmarkEnd w:id="632"/>
      <w:bookmarkEnd w:id="633"/>
      <w:bookmarkEnd w:id="634"/>
      <w:bookmarkEnd w:id="635"/>
      <w:bookmarkEnd w:id="636"/>
      <w:bookmarkEnd w:id="637"/>
      <w:bookmarkEnd w:id="638"/>
      <w:bookmarkEnd w:id="639"/>
    </w:p>
    <w:p w14:paraId="32834626">
      <w:pPr>
        <w:spacing w:before="120" w:after="120" w:line="360" w:lineRule="auto"/>
        <w:jc w:val="center"/>
        <w:outlineLvl w:val="9"/>
        <w:rPr>
          <w:rFonts w:hint="eastAsia" w:ascii="宋体" w:hAnsi="宋体" w:eastAsia="宋体" w:cs="宋体"/>
          <w:color w:val="auto"/>
          <w:kern w:val="0"/>
          <w:szCs w:val="21"/>
          <w:highlight w:val="none"/>
        </w:rPr>
      </w:pPr>
      <w:bookmarkStart w:id="640" w:name="_Toc17449_WPSOffice_Level3"/>
      <w:r>
        <w:rPr>
          <w:rFonts w:hint="eastAsia" w:ascii="宋体" w:hAnsi="宋体" w:eastAsia="宋体" w:cs="宋体"/>
          <w:b/>
          <w:color w:val="auto"/>
          <w:kern w:val="0"/>
          <w:sz w:val="30"/>
          <w:szCs w:val="30"/>
          <w:highlight w:val="none"/>
          <w:lang w:val="zh-CN"/>
        </w:rPr>
        <w:t>用户需求偏离表</w:t>
      </w:r>
      <w:bookmarkEnd w:id="640"/>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7"/>
        <w:gridCol w:w="952"/>
        <w:gridCol w:w="6413"/>
        <w:gridCol w:w="722"/>
        <w:gridCol w:w="867"/>
        <w:gridCol w:w="819"/>
      </w:tblGrid>
      <w:tr w14:paraId="3768A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restart"/>
            <w:vAlign w:val="center"/>
          </w:tcPr>
          <w:p w14:paraId="7B401928">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3551" w:type="pct"/>
            <w:gridSpan w:val="2"/>
            <w:vAlign w:val="center"/>
          </w:tcPr>
          <w:p w14:paraId="2CFCB659">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招标文件要求</w:t>
            </w:r>
          </w:p>
        </w:tc>
        <w:tc>
          <w:tcPr>
            <w:tcW w:w="1160" w:type="pct"/>
            <w:gridSpan w:val="3"/>
            <w:vAlign w:val="center"/>
          </w:tcPr>
          <w:p w14:paraId="7AD093AE">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投标文件内容</w:t>
            </w:r>
          </w:p>
        </w:tc>
      </w:tr>
      <w:tr w14:paraId="4CF85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jc w:val="center"/>
        </w:trPr>
        <w:tc>
          <w:tcPr>
            <w:tcW w:w="288" w:type="pct"/>
            <w:vMerge w:val="continue"/>
            <w:vAlign w:val="center"/>
          </w:tcPr>
          <w:p w14:paraId="340B3AB5">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59" w:type="pct"/>
            <w:vAlign w:val="center"/>
          </w:tcPr>
          <w:p w14:paraId="0CBAE81F">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条款号</w:t>
            </w:r>
          </w:p>
        </w:tc>
        <w:tc>
          <w:tcPr>
            <w:tcW w:w="3092" w:type="pct"/>
            <w:vAlign w:val="center"/>
          </w:tcPr>
          <w:p w14:paraId="7E569606">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简要内容</w:t>
            </w:r>
          </w:p>
        </w:tc>
        <w:tc>
          <w:tcPr>
            <w:tcW w:w="348" w:type="pct"/>
            <w:vAlign w:val="center"/>
          </w:tcPr>
          <w:p w14:paraId="6417EFCF">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偏离情况</w:t>
            </w:r>
          </w:p>
        </w:tc>
        <w:tc>
          <w:tcPr>
            <w:tcW w:w="418" w:type="pct"/>
            <w:vAlign w:val="center"/>
          </w:tcPr>
          <w:p w14:paraId="7B61017B">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实质性响应的具体内容</w:t>
            </w:r>
          </w:p>
        </w:tc>
        <w:tc>
          <w:tcPr>
            <w:tcW w:w="393" w:type="pct"/>
            <w:vAlign w:val="center"/>
          </w:tcPr>
          <w:p w14:paraId="7CC16880">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对应证明材料页码</w:t>
            </w:r>
          </w:p>
        </w:tc>
      </w:tr>
      <w:tr w14:paraId="325F3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54B89416">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1</w:t>
            </w:r>
          </w:p>
        </w:tc>
        <w:tc>
          <w:tcPr>
            <w:tcW w:w="459" w:type="pct"/>
            <w:vAlign w:val="center"/>
          </w:tcPr>
          <w:p w14:paraId="044F933E">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rPr>
              <w:t>二</w:t>
            </w:r>
          </w:p>
        </w:tc>
        <w:tc>
          <w:tcPr>
            <w:tcW w:w="3092" w:type="pct"/>
            <w:vAlign w:val="center"/>
          </w:tcPr>
          <w:p w14:paraId="0F219A17">
            <w:pPr>
              <w:pageBreakBefore w:val="0"/>
              <w:widowControl w:val="0"/>
              <w:kinsoku/>
              <w:wordWrap/>
              <w:overflowPunct/>
              <w:topLinePunct w:val="0"/>
              <w:bidi w:val="0"/>
              <w:spacing w:line="4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采购服务要求</w:t>
            </w:r>
          </w:p>
        </w:tc>
        <w:tc>
          <w:tcPr>
            <w:tcW w:w="348" w:type="pct"/>
            <w:vAlign w:val="center"/>
          </w:tcPr>
          <w:p w14:paraId="2166F202">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7E7AB394">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2DC7681B">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153CEE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4B6EEF3E">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2</w:t>
            </w:r>
          </w:p>
        </w:tc>
        <w:tc>
          <w:tcPr>
            <w:tcW w:w="459" w:type="pct"/>
            <w:vAlign w:val="center"/>
          </w:tcPr>
          <w:p w14:paraId="1F7D23F4">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color w:val="auto"/>
                <w:kern w:val="0"/>
                <w:sz w:val="21"/>
                <w:szCs w:val="21"/>
                <w:highlight w:val="none"/>
              </w:rPr>
              <w:t>三</w:t>
            </w:r>
          </w:p>
        </w:tc>
        <w:tc>
          <w:tcPr>
            <w:tcW w:w="3092" w:type="pct"/>
            <w:vAlign w:val="center"/>
          </w:tcPr>
          <w:p w14:paraId="44DBFC07">
            <w:pPr>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中标人工作要求</w:t>
            </w:r>
          </w:p>
        </w:tc>
        <w:tc>
          <w:tcPr>
            <w:tcW w:w="348" w:type="pct"/>
            <w:vAlign w:val="center"/>
          </w:tcPr>
          <w:p w14:paraId="51F1B491">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2BF50BBA">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79CA2B72">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3FF09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666667CD">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3</w:t>
            </w:r>
          </w:p>
        </w:tc>
        <w:tc>
          <w:tcPr>
            <w:tcW w:w="459" w:type="pct"/>
            <w:vAlign w:val="center"/>
          </w:tcPr>
          <w:p w14:paraId="727269C9">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b/>
                <w:color w:val="auto"/>
                <w:sz w:val="21"/>
                <w:szCs w:val="21"/>
                <w:highlight w:val="none"/>
                <w:lang w:val="zh-CN"/>
              </w:rPr>
            </w:pPr>
            <w:r>
              <w:rPr>
                <w:rFonts w:hint="eastAsia" w:ascii="宋体" w:hAnsi="宋体" w:eastAsia="宋体" w:cs="宋体"/>
                <w:color w:val="auto"/>
                <w:kern w:val="0"/>
                <w:sz w:val="21"/>
                <w:szCs w:val="21"/>
                <w:highlight w:val="none"/>
              </w:rPr>
              <w:t>四</w:t>
            </w:r>
          </w:p>
        </w:tc>
        <w:tc>
          <w:tcPr>
            <w:tcW w:w="3092" w:type="pct"/>
            <w:vAlign w:val="center"/>
          </w:tcPr>
          <w:p w14:paraId="78D1E2AF">
            <w:pPr>
              <w:pageBreakBefore w:val="0"/>
              <w:widowControl w:val="0"/>
              <w:kinsoku/>
              <w:wordWrap/>
              <w:overflowPunct/>
              <w:topLinePunct w:val="0"/>
              <w:bidi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付款方式</w:t>
            </w:r>
          </w:p>
        </w:tc>
        <w:tc>
          <w:tcPr>
            <w:tcW w:w="348" w:type="pct"/>
            <w:vAlign w:val="center"/>
          </w:tcPr>
          <w:p w14:paraId="496DF979">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7F92B1BB">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0C30AEF9">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2CAD5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137054B3">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4</w:t>
            </w:r>
          </w:p>
        </w:tc>
        <w:tc>
          <w:tcPr>
            <w:tcW w:w="459" w:type="pct"/>
            <w:vAlign w:val="center"/>
          </w:tcPr>
          <w:p w14:paraId="5F810B37">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w:t>
            </w:r>
          </w:p>
        </w:tc>
        <w:tc>
          <w:tcPr>
            <w:tcW w:w="3092" w:type="pct"/>
            <w:vAlign w:val="center"/>
          </w:tcPr>
          <w:p w14:paraId="74C0D3AA">
            <w:pPr>
              <w:pageBreakBefore w:val="0"/>
              <w:widowControl w:val="0"/>
              <w:kinsoku/>
              <w:wordWrap/>
              <w:overflowPunct/>
              <w:topLinePunct w:val="0"/>
              <w:autoSpaceDE w:val="0"/>
              <w:autoSpaceDN w:val="0"/>
              <w:bidi w:val="0"/>
              <w:adjustRightInd w:val="0"/>
              <w:snapToGrid w:val="0"/>
              <w:spacing w:line="4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其他要求</w:t>
            </w:r>
          </w:p>
        </w:tc>
        <w:tc>
          <w:tcPr>
            <w:tcW w:w="348" w:type="pct"/>
            <w:vAlign w:val="center"/>
          </w:tcPr>
          <w:p w14:paraId="5D693251">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26CDCB10">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1EB64311">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08789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3FFDF64A">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5</w:t>
            </w:r>
          </w:p>
        </w:tc>
        <w:tc>
          <w:tcPr>
            <w:tcW w:w="459" w:type="pct"/>
            <w:vAlign w:val="center"/>
          </w:tcPr>
          <w:p w14:paraId="1E1CB239">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六</w:t>
            </w:r>
          </w:p>
        </w:tc>
        <w:tc>
          <w:tcPr>
            <w:tcW w:w="3092" w:type="pct"/>
            <w:vAlign w:val="center"/>
          </w:tcPr>
          <w:p w14:paraId="0BCE9991">
            <w:pPr>
              <w:pageBreakBefore w:val="0"/>
              <w:widowControl w:val="0"/>
              <w:kinsoku/>
              <w:wordWrap/>
              <w:overflowPunct/>
              <w:topLinePunct w:val="0"/>
              <w:autoSpaceDE w:val="0"/>
              <w:autoSpaceDN w:val="0"/>
              <w:bidi w:val="0"/>
              <w:adjustRightInd w:val="0"/>
              <w:spacing w:line="400" w:lineRule="exact"/>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考核要求</w:t>
            </w:r>
          </w:p>
        </w:tc>
        <w:tc>
          <w:tcPr>
            <w:tcW w:w="348" w:type="pct"/>
            <w:vAlign w:val="center"/>
          </w:tcPr>
          <w:p w14:paraId="38086C1E">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5AD4E9BC">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1ED9DF77">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2033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78BF75E9">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6</w:t>
            </w:r>
          </w:p>
        </w:tc>
        <w:tc>
          <w:tcPr>
            <w:tcW w:w="459" w:type="pct"/>
            <w:vAlign w:val="center"/>
          </w:tcPr>
          <w:p w14:paraId="5D72E337">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附件</w:t>
            </w:r>
          </w:p>
        </w:tc>
        <w:tc>
          <w:tcPr>
            <w:tcW w:w="3092" w:type="pct"/>
            <w:vAlign w:val="center"/>
          </w:tcPr>
          <w:p w14:paraId="40D4F006">
            <w:pPr>
              <w:pageBreakBefore w:val="0"/>
              <w:widowControl w:val="0"/>
              <w:kinsoku/>
              <w:wordWrap/>
              <w:overflowPunct/>
              <w:topLinePunct w:val="0"/>
              <w:bidi w:val="0"/>
              <w:spacing w:line="400" w:lineRule="exac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表四 餐厨服务人员评分表</w:t>
            </w:r>
          </w:p>
          <w:p w14:paraId="2F9BFA0E">
            <w:pPr>
              <w:pageBreakBefore w:val="0"/>
              <w:widowControl w:val="0"/>
              <w:kinsoku/>
              <w:wordWrap/>
              <w:overflowPunct/>
              <w:topLinePunct w:val="0"/>
              <w:bidi w:val="0"/>
              <w:spacing w:line="400" w:lineRule="exact"/>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表五 清洁服务人员评分表</w:t>
            </w:r>
          </w:p>
          <w:p w14:paraId="1E0473FE">
            <w:pPr>
              <w:pageBreakBefore w:val="0"/>
              <w:widowControl w:val="0"/>
              <w:kinsoku/>
              <w:wordWrap/>
              <w:overflowPunct/>
              <w:topLinePunct w:val="0"/>
              <w:bidi w:val="0"/>
              <w:spacing w:line="400" w:lineRule="exac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rPr>
              <w:t>表六 服务员（兼前台）人员评分表</w:t>
            </w:r>
          </w:p>
        </w:tc>
        <w:tc>
          <w:tcPr>
            <w:tcW w:w="348" w:type="pct"/>
            <w:vAlign w:val="center"/>
          </w:tcPr>
          <w:p w14:paraId="310CC911">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38788BA0">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4D9BB7CE">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41F42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000" w:type="pct"/>
            <w:gridSpan w:val="6"/>
            <w:vAlign w:val="center"/>
          </w:tcPr>
          <w:p w14:paraId="3B48BF94">
            <w:pPr>
              <w:keepNext/>
              <w:keepLines/>
              <w:pageBreakBefore w:val="0"/>
              <w:widowControl w:val="0"/>
              <w:kinsoku/>
              <w:wordWrap/>
              <w:overflowPunct/>
              <w:topLinePunct w:val="0"/>
              <w:bidi w:val="0"/>
              <w:spacing w:line="400" w:lineRule="exact"/>
              <w:jc w:val="left"/>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用户需求书“★”条款汇总：</w:t>
            </w:r>
          </w:p>
        </w:tc>
      </w:tr>
      <w:tr w14:paraId="3A41B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168D6917">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7</w:t>
            </w:r>
          </w:p>
        </w:tc>
        <w:tc>
          <w:tcPr>
            <w:tcW w:w="459" w:type="pct"/>
            <w:vAlign w:val="center"/>
          </w:tcPr>
          <w:p w14:paraId="0D904821">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二、（一）</w:t>
            </w:r>
          </w:p>
        </w:tc>
        <w:tc>
          <w:tcPr>
            <w:tcW w:w="3092" w:type="pct"/>
            <w:vAlign w:val="center"/>
          </w:tcPr>
          <w:p w14:paraId="3CD46589">
            <w:pPr>
              <w:pageBreakBefore w:val="0"/>
              <w:widowControl w:val="0"/>
              <w:kinsoku/>
              <w:wordWrap/>
              <w:overflowPunct/>
              <w:topLinePunct w:val="0"/>
              <w:bidi w:val="0"/>
              <w:spacing w:line="40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★5.中标人所派出的所有劳务服务人员须经招标人确认符合本次采购相关要求后才能正式工作。</w:t>
            </w:r>
          </w:p>
        </w:tc>
        <w:tc>
          <w:tcPr>
            <w:tcW w:w="348" w:type="pct"/>
            <w:vAlign w:val="center"/>
          </w:tcPr>
          <w:p w14:paraId="3FFAAAD6">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76F9B3F2">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5958A724">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6DC3F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7324DF24">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8</w:t>
            </w:r>
          </w:p>
        </w:tc>
        <w:tc>
          <w:tcPr>
            <w:tcW w:w="459" w:type="pct"/>
            <w:vAlign w:val="center"/>
          </w:tcPr>
          <w:p w14:paraId="68F6CE34">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二、（一）</w:t>
            </w:r>
          </w:p>
        </w:tc>
        <w:tc>
          <w:tcPr>
            <w:tcW w:w="3092" w:type="pct"/>
            <w:vAlign w:val="center"/>
          </w:tcPr>
          <w:p w14:paraId="6AC74AD2">
            <w:pPr>
              <w:pageBreakBefore w:val="0"/>
              <w:widowControl w:val="0"/>
              <w:kinsoku/>
              <w:wordWrap/>
              <w:overflowPunct/>
              <w:topLinePunct w:val="0"/>
              <w:bidi w:val="0"/>
              <w:spacing w:line="40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★6.服务期：一年。</w:t>
            </w:r>
          </w:p>
        </w:tc>
        <w:tc>
          <w:tcPr>
            <w:tcW w:w="348" w:type="pct"/>
            <w:vAlign w:val="center"/>
          </w:tcPr>
          <w:p w14:paraId="7A2697CA">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57150731">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648DE232">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780ED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44D5E9FD">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9</w:t>
            </w:r>
          </w:p>
        </w:tc>
        <w:tc>
          <w:tcPr>
            <w:tcW w:w="459" w:type="pct"/>
            <w:vAlign w:val="center"/>
          </w:tcPr>
          <w:p w14:paraId="2D193E0F">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二、（二）</w:t>
            </w:r>
          </w:p>
        </w:tc>
        <w:tc>
          <w:tcPr>
            <w:tcW w:w="3092" w:type="pct"/>
            <w:vAlign w:val="center"/>
          </w:tcPr>
          <w:p w14:paraId="0611D8D5">
            <w:pPr>
              <w:pageBreakBefore w:val="0"/>
              <w:widowControl w:val="0"/>
              <w:kinsoku/>
              <w:wordWrap/>
              <w:overflowPunct/>
              <w:topLinePunct w:val="0"/>
              <w:bidi w:val="0"/>
              <w:spacing w:line="400" w:lineRule="exact"/>
              <w:ind w:firstLine="0" w:firstLineChars="0"/>
              <w:jc w:val="left"/>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bCs/>
                <w:color w:val="auto"/>
                <w:kern w:val="0"/>
                <w:szCs w:val="21"/>
                <w:highlight w:val="none"/>
              </w:rPr>
              <w:t>★</w:t>
            </w:r>
            <w:r>
              <w:rPr>
                <w:rFonts w:hint="eastAsia" w:ascii="宋体" w:hAnsi="宋体" w:eastAsia="宋体" w:cs="宋体"/>
                <w:color w:val="auto"/>
                <w:sz w:val="21"/>
                <w:szCs w:val="21"/>
                <w:highlight w:val="none"/>
                <w:lang w:val="en-US" w:eastAsia="zh-CN"/>
              </w:rPr>
              <w:t>其他：①根据招标人需求，每周烹饪2至3次糖水、糕点、凉茶，供应时间：13:45-14:00；②协助做好围餐接待工作，供应时间：不定时。③因招标人业务开展需要，暴雨汛期如招标人有加餐需求的，中标人需配合招标人开餐要求，供应时间：不定时。</w:t>
            </w:r>
          </w:p>
        </w:tc>
        <w:tc>
          <w:tcPr>
            <w:tcW w:w="348" w:type="pct"/>
            <w:vAlign w:val="center"/>
          </w:tcPr>
          <w:p w14:paraId="146B83C1">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56529525">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264E0D2E">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6D87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44466BE8">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10</w:t>
            </w:r>
          </w:p>
        </w:tc>
        <w:tc>
          <w:tcPr>
            <w:tcW w:w="459" w:type="pct"/>
            <w:vAlign w:val="center"/>
          </w:tcPr>
          <w:p w14:paraId="2F56E4B7">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五</w:t>
            </w:r>
          </w:p>
        </w:tc>
        <w:tc>
          <w:tcPr>
            <w:tcW w:w="3092" w:type="pct"/>
            <w:vAlign w:val="center"/>
          </w:tcPr>
          <w:p w14:paraId="0E935E9E">
            <w:pPr>
              <w:pageBreakBefore w:val="0"/>
              <w:widowControl w:val="0"/>
              <w:kinsoku/>
              <w:wordWrap/>
              <w:overflowPunct/>
              <w:topLinePunct w:val="0"/>
              <w:bidi w:val="0"/>
              <w:spacing w:line="40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Cs w:val="21"/>
                <w:highlight w:val="none"/>
              </w:rPr>
              <w:t>★9、中标人须提供一份东莞市水务集团管网有限公司（含其下属子公司）为受益人，额度为人民币500万元的保险（食品安全责任险），每次事故每人医疗赔偿限额50万元，保险承保期限不短于服务时间（一年），如延长服务期，则顺延保险承保期。</w:t>
            </w:r>
            <w:r>
              <w:rPr>
                <w:rFonts w:hint="eastAsia" w:ascii="宋体" w:hAnsi="宋体" w:eastAsia="宋体" w:cs="宋体"/>
                <w:color w:val="auto"/>
                <w:kern w:val="0"/>
                <w:szCs w:val="21"/>
                <w:highlight w:val="none"/>
              </w:rPr>
              <w:t>（投标时需提交书面承诺书）。</w:t>
            </w:r>
          </w:p>
        </w:tc>
        <w:tc>
          <w:tcPr>
            <w:tcW w:w="348" w:type="pct"/>
            <w:vAlign w:val="center"/>
          </w:tcPr>
          <w:p w14:paraId="5BF0F6B9">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75135AB1">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0401C70F">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69060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08233069">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11</w:t>
            </w:r>
          </w:p>
        </w:tc>
        <w:tc>
          <w:tcPr>
            <w:tcW w:w="459" w:type="pct"/>
            <w:vAlign w:val="center"/>
          </w:tcPr>
          <w:p w14:paraId="3A305E9C">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五</w:t>
            </w:r>
          </w:p>
        </w:tc>
        <w:tc>
          <w:tcPr>
            <w:tcW w:w="3092" w:type="pct"/>
            <w:vAlign w:val="center"/>
          </w:tcPr>
          <w:p w14:paraId="73880586">
            <w:pPr>
              <w:pageBreakBefore w:val="0"/>
              <w:widowControl w:val="0"/>
              <w:kinsoku/>
              <w:wordWrap/>
              <w:overflowPunct/>
              <w:topLinePunct w:val="0"/>
              <w:bidi w:val="0"/>
              <w:spacing w:line="40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Cs w:val="21"/>
                <w:highlight w:val="none"/>
              </w:rPr>
              <w:t>★10、招标人根据建设、运营需要（如：招标人公司内部架构调整导致的人员分流、行政办公及食堂场所改变导致服务范围变更等）可签订补充协议约定具体变更事项，并调整（增加或删减）合同人数，但综合单价应以本项目中标综合单价为准。</w:t>
            </w:r>
          </w:p>
        </w:tc>
        <w:tc>
          <w:tcPr>
            <w:tcW w:w="348" w:type="pct"/>
            <w:vAlign w:val="center"/>
          </w:tcPr>
          <w:p w14:paraId="3096A826">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05ADB13D">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1A5CF87C">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r w14:paraId="5C02F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99" w:type="dxa"/>
            <w:vAlign w:val="center"/>
          </w:tcPr>
          <w:p w14:paraId="741B41E7">
            <w:pPr>
              <w:spacing w:line="360" w:lineRule="auto"/>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12</w:t>
            </w:r>
          </w:p>
        </w:tc>
        <w:tc>
          <w:tcPr>
            <w:tcW w:w="459" w:type="pct"/>
            <w:vAlign w:val="center"/>
          </w:tcPr>
          <w:p w14:paraId="4D14BA8C">
            <w:pPr>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Cs w:val="21"/>
                <w:highlight w:val="none"/>
              </w:rPr>
              <w:t>六</w:t>
            </w:r>
          </w:p>
        </w:tc>
        <w:tc>
          <w:tcPr>
            <w:tcW w:w="3092" w:type="pct"/>
            <w:vAlign w:val="center"/>
          </w:tcPr>
          <w:p w14:paraId="193AB0A3">
            <w:pPr>
              <w:pageBreakBefore w:val="0"/>
              <w:widowControl w:val="0"/>
              <w:kinsoku/>
              <w:wordWrap/>
              <w:overflowPunct/>
              <w:topLinePunct w:val="0"/>
              <w:bidi w:val="0"/>
              <w:spacing w:line="400" w:lineRule="exact"/>
              <w:ind w:firstLine="0" w:firstLineChars="0"/>
              <w:jc w:val="left"/>
              <w:textAlignment w:val="auto"/>
              <w:outlineLvl w:val="9"/>
              <w:rPr>
                <w:rFonts w:hint="eastAsia" w:ascii="宋体" w:hAnsi="宋体" w:eastAsia="宋体" w:cs="宋体"/>
                <w:color w:val="auto"/>
                <w:sz w:val="21"/>
                <w:szCs w:val="21"/>
                <w:highlight w:val="none"/>
              </w:rPr>
            </w:pPr>
            <w:r>
              <w:rPr>
                <w:rFonts w:hint="eastAsia" w:ascii="宋体" w:hAnsi="宋体" w:eastAsia="宋体" w:cs="宋体"/>
                <w:b w:val="0"/>
                <w:bCs w:val="0"/>
                <w:color w:val="auto"/>
                <w:kern w:val="0"/>
                <w:szCs w:val="21"/>
                <w:highlight w:val="none"/>
              </w:rPr>
              <w:t>★考核要求</w:t>
            </w:r>
          </w:p>
        </w:tc>
        <w:tc>
          <w:tcPr>
            <w:tcW w:w="348" w:type="pct"/>
            <w:vAlign w:val="center"/>
          </w:tcPr>
          <w:p w14:paraId="4698EB42">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418" w:type="pct"/>
            <w:vAlign w:val="center"/>
          </w:tcPr>
          <w:p w14:paraId="7F1F6A30">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c>
          <w:tcPr>
            <w:tcW w:w="393" w:type="pct"/>
            <w:vAlign w:val="center"/>
          </w:tcPr>
          <w:p w14:paraId="257B1032">
            <w:pPr>
              <w:keepNext/>
              <w:keepLines/>
              <w:pageBreakBefore w:val="0"/>
              <w:widowControl w:val="0"/>
              <w:kinsoku/>
              <w:wordWrap/>
              <w:overflowPunct/>
              <w:topLinePunct w:val="0"/>
              <w:bidi w:val="0"/>
              <w:spacing w:line="400" w:lineRule="exact"/>
              <w:jc w:val="center"/>
              <w:textAlignment w:val="auto"/>
              <w:outlineLvl w:val="9"/>
              <w:rPr>
                <w:rFonts w:hint="eastAsia" w:ascii="宋体" w:hAnsi="宋体" w:eastAsia="宋体" w:cs="宋体"/>
                <w:color w:val="auto"/>
                <w:kern w:val="0"/>
                <w:sz w:val="21"/>
                <w:szCs w:val="21"/>
                <w:highlight w:val="none"/>
              </w:rPr>
            </w:pPr>
          </w:p>
        </w:tc>
      </w:tr>
    </w:tbl>
    <w:p w14:paraId="3AA5A8E9">
      <w:pPr>
        <w:spacing w:line="360" w:lineRule="auto"/>
        <w:outlineLvl w:val="9"/>
        <w:rPr>
          <w:rFonts w:hint="eastAsia" w:ascii="宋体" w:hAnsi="宋体" w:eastAsia="宋体" w:cs="宋体"/>
          <w:color w:val="auto"/>
          <w:szCs w:val="21"/>
          <w:highlight w:val="none"/>
        </w:rPr>
      </w:pPr>
    </w:p>
    <w:p w14:paraId="575167B7">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547A2604">
      <w:pPr>
        <w:spacing w:line="360" w:lineRule="auto"/>
        <w:ind w:left="605" w:leftChars="18" w:hanging="567" w:hangingChars="270"/>
        <w:outlineLvl w:val="9"/>
        <w:rPr>
          <w:rFonts w:hint="eastAsia" w:ascii="宋体" w:hAnsi="宋体" w:eastAsia="宋体" w:cs="宋体"/>
          <w:b/>
          <w:bCs w:val="0"/>
          <w:color w:val="auto"/>
          <w:szCs w:val="21"/>
          <w:highlight w:val="none"/>
          <w:u w:val="single"/>
        </w:rPr>
      </w:pPr>
      <w:r>
        <w:rPr>
          <w:rFonts w:hint="eastAsia" w:ascii="宋体" w:hAnsi="宋体" w:eastAsia="宋体" w:cs="宋体"/>
          <w:color w:val="auto"/>
          <w:szCs w:val="21"/>
          <w:highlight w:val="none"/>
        </w:rPr>
        <w:t>（1）</w:t>
      </w:r>
      <w:r>
        <w:rPr>
          <w:rFonts w:hint="eastAsia" w:ascii="宋体" w:hAnsi="宋体" w:eastAsia="宋体" w:cs="宋体"/>
          <w:b/>
          <w:color w:val="auto"/>
          <w:szCs w:val="21"/>
          <w:highlight w:val="none"/>
          <w:u w:val="single"/>
        </w:rPr>
        <w:t>投标人应对照招标文件用户需求书的响应</w:t>
      </w:r>
      <w:r>
        <w:rPr>
          <w:rFonts w:hint="eastAsia" w:ascii="宋体" w:hAnsi="宋体" w:eastAsia="宋体" w:cs="宋体"/>
          <w:b/>
          <w:color w:val="auto"/>
          <w:szCs w:val="21"/>
          <w:highlight w:val="none"/>
          <w:u w:val="single"/>
          <w:lang w:eastAsia="zh-CN"/>
        </w:rPr>
        <w:t>（其中“</w:t>
      </w:r>
      <w:r>
        <w:rPr>
          <w:rFonts w:hint="eastAsia" w:ascii="宋体" w:hAnsi="宋体" w:eastAsia="宋体" w:cs="宋体"/>
          <w:b/>
          <w:color w:val="auto"/>
          <w:kern w:val="0"/>
          <w:szCs w:val="21"/>
          <w:highlight w:val="none"/>
          <w:u w:val="single"/>
        </w:rPr>
        <w:t>一、项目基本情况</w:t>
      </w:r>
      <w:r>
        <w:rPr>
          <w:rFonts w:hint="eastAsia" w:ascii="宋体" w:hAnsi="宋体" w:eastAsia="宋体" w:cs="宋体"/>
          <w:b/>
          <w:color w:val="auto"/>
          <w:szCs w:val="21"/>
          <w:highlight w:val="none"/>
          <w:u w:val="single"/>
          <w:lang w:eastAsia="zh-CN"/>
        </w:rPr>
        <w:t>”除外）</w:t>
      </w:r>
      <w:r>
        <w:rPr>
          <w:rFonts w:hint="eastAsia" w:ascii="宋体" w:hAnsi="宋体" w:eastAsia="宋体" w:cs="宋体"/>
          <w:b/>
          <w:color w:val="auto"/>
          <w:szCs w:val="21"/>
          <w:highlight w:val="none"/>
          <w:u w:val="single"/>
        </w:rPr>
        <w:t>，逐条逐项、如实地填写“偏离情况”，</w:t>
      </w:r>
      <w:r>
        <w:rPr>
          <w:rFonts w:hint="eastAsia" w:ascii="宋体" w:hAnsi="宋体" w:eastAsia="宋体" w:cs="宋体"/>
          <w:b/>
          <w:color w:val="auto"/>
          <w:kern w:val="0"/>
          <w:szCs w:val="21"/>
          <w:highlight w:val="none"/>
          <w:u w:val="single"/>
        </w:rPr>
        <w:t>若发现未填写本表，或虚假填写本表，或伪造、变造证明材料的，按无效投标文件处理</w:t>
      </w:r>
      <w:r>
        <w:rPr>
          <w:rFonts w:hint="eastAsia" w:ascii="宋体" w:hAnsi="宋体" w:eastAsia="宋体" w:cs="宋体"/>
          <w:b/>
          <w:color w:val="auto"/>
          <w:szCs w:val="21"/>
          <w:highlight w:val="none"/>
          <w:u w:val="single"/>
        </w:rPr>
        <w:t>。若招标文件用户需求书中有“★”条款须逐条逐项、如实地填写“偏离情况”，未填写“★”条款以外的条款的，视为完全满足招标文件要求。</w:t>
      </w:r>
    </w:p>
    <w:p w14:paraId="49137254">
      <w:pPr>
        <w:spacing w:line="360" w:lineRule="auto"/>
        <w:ind w:left="605" w:leftChars="18" w:hanging="567" w:hangingChars="27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2）偏离情况（投标文件对招标文件用户需求的响应程度）分为：正偏离、负偏离、无偏离。正偏离是指投标人对用户需求响应优于招标文件的要求；负偏离是指投标人对用户需求响应不满足或不完全满足招标文件的要求；无偏离是指投标人对用户需求响应完全满足招标文件的要求。 </w:t>
      </w:r>
    </w:p>
    <w:p w14:paraId="7CB04F2C">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（3）</w:t>
      </w:r>
      <w:r>
        <w:rPr>
          <w:rFonts w:hint="eastAsia" w:ascii="宋体" w:hAnsi="宋体" w:eastAsia="宋体" w:cs="宋体"/>
          <w:b/>
          <w:color w:val="auto"/>
          <w:kern w:val="0"/>
          <w:szCs w:val="21"/>
          <w:highlight w:val="none"/>
          <w:u w:val="single"/>
        </w:rPr>
        <w:t>应逐条</w:t>
      </w:r>
      <w:r>
        <w:rPr>
          <w:rFonts w:hint="eastAsia" w:ascii="宋体" w:hAnsi="宋体" w:eastAsia="宋体" w:cs="宋体"/>
          <w:b/>
          <w:color w:val="auto"/>
          <w:szCs w:val="21"/>
          <w:highlight w:val="none"/>
          <w:u w:val="single"/>
        </w:rPr>
        <w:t>逐项</w:t>
      </w:r>
      <w:r>
        <w:rPr>
          <w:rFonts w:hint="eastAsia" w:ascii="宋体" w:hAnsi="宋体" w:eastAsia="宋体" w:cs="宋体"/>
          <w:b/>
          <w:color w:val="auto"/>
          <w:kern w:val="0"/>
          <w:szCs w:val="21"/>
          <w:highlight w:val="none"/>
          <w:u w:val="single"/>
        </w:rPr>
        <w:t>、如实地填写“偏离情况”。“偏离情况”项为正偏离（或负偏离）的，必须在“实质性响应的具体内容”项内详细说明与招标文件的偏离内容，“偏离情况”项为无偏离的，在“实质性响应的具体内容”项内填“完全响应招标文件要求”即可，也可进一步说明投标响应的具体内容。投标人可将反映</w:t>
      </w:r>
      <w:r>
        <w:rPr>
          <w:rFonts w:hint="eastAsia" w:ascii="宋体" w:hAnsi="宋体" w:eastAsia="宋体" w:cs="宋体"/>
          <w:b/>
          <w:color w:val="auto"/>
          <w:kern w:val="0"/>
          <w:szCs w:val="21"/>
          <w:highlight w:val="none"/>
          <w:u w:val="single"/>
          <w:lang w:val="en-US" w:eastAsia="zh-CN"/>
        </w:rPr>
        <w:t>服务能力</w:t>
      </w:r>
      <w:r>
        <w:rPr>
          <w:rFonts w:hint="eastAsia" w:ascii="宋体" w:hAnsi="宋体" w:eastAsia="宋体" w:cs="宋体"/>
          <w:b/>
          <w:color w:val="auto"/>
          <w:kern w:val="0"/>
          <w:szCs w:val="21"/>
          <w:highlight w:val="none"/>
          <w:u w:val="single"/>
        </w:rPr>
        <w:t>的技术支持资料作为本表的附件，并在本偏离表“对应证明材料页码”项内注明其在投标文件中的具体页码。</w:t>
      </w:r>
    </w:p>
    <w:p w14:paraId="74DD1D77">
      <w:pPr>
        <w:spacing w:line="360" w:lineRule="auto"/>
        <w:ind w:left="607" w:leftChars="18" w:hanging="569" w:hangingChars="270"/>
        <w:outlineLvl w:val="9"/>
        <w:rPr>
          <w:rFonts w:hint="eastAsia" w:ascii="宋体" w:hAnsi="宋体" w:eastAsia="宋体" w:cs="宋体"/>
          <w:b/>
          <w:color w:val="auto"/>
          <w:kern w:val="0"/>
          <w:szCs w:val="21"/>
          <w:highlight w:val="none"/>
          <w:u w:val="single"/>
        </w:rPr>
      </w:pPr>
      <w:r>
        <w:rPr>
          <w:rFonts w:hint="eastAsia" w:ascii="宋体" w:hAnsi="宋体" w:eastAsia="宋体" w:cs="宋体"/>
          <w:b/>
          <w:color w:val="auto"/>
          <w:szCs w:val="21"/>
          <w:highlight w:val="none"/>
        </w:rPr>
        <w:t>（4）</w:t>
      </w:r>
      <w:r>
        <w:rPr>
          <w:rFonts w:hint="eastAsia" w:ascii="宋体" w:hAnsi="宋体" w:eastAsia="宋体" w:cs="宋体"/>
          <w:b/>
          <w:color w:val="auto"/>
          <w:kern w:val="0"/>
          <w:szCs w:val="21"/>
          <w:highlight w:val="none"/>
          <w:u w:val="single"/>
        </w:rPr>
        <w:t>凡标有“★”的地方均被视为重要的技术指标要求或性能要求。投标人要特别加以注意，必须对此回答并完全满足这些要求，否则若有一项带“★”的指标未响应或不满足，将按无效投标处</w:t>
      </w:r>
      <w:r>
        <w:rPr>
          <w:rFonts w:hint="eastAsia" w:ascii="宋体" w:hAnsi="宋体" w:eastAsia="宋体" w:cs="宋体"/>
          <w:b/>
          <w:bCs w:val="0"/>
          <w:color w:val="auto"/>
          <w:kern w:val="0"/>
          <w:szCs w:val="21"/>
          <w:highlight w:val="none"/>
          <w:u w:val="single"/>
        </w:rPr>
        <w:t>理</w:t>
      </w:r>
      <w:r>
        <w:rPr>
          <w:rFonts w:hint="eastAsia" w:ascii="宋体" w:hAnsi="宋体" w:eastAsia="宋体" w:cs="宋体"/>
          <w:b/>
          <w:bCs w:val="0"/>
          <w:color w:val="auto"/>
          <w:kern w:val="0"/>
          <w:sz w:val="24"/>
          <w:szCs w:val="21"/>
          <w:highlight w:val="none"/>
          <w:u w:val="single"/>
          <w:lang w:val="zh-CN"/>
        </w:rPr>
        <w:t>。</w:t>
      </w:r>
    </w:p>
    <w:p w14:paraId="73321513">
      <w:pPr>
        <w:spacing w:line="360" w:lineRule="auto"/>
        <w:outlineLvl w:val="9"/>
        <w:rPr>
          <w:rFonts w:hint="eastAsia" w:ascii="宋体" w:hAnsi="宋体" w:eastAsia="宋体" w:cs="宋体"/>
          <w:color w:val="auto"/>
          <w:szCs w:val="21"/>
          <w:highlight w:val="none"/>
        </w:rPr>
      </w:pPr>
    </w:p>
    <w:p w14:paraId="04F90F7A">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投标人：（</w:t>
      </w:r>
      <w:r>
        <w:rPr>
          <w:rFonts w:hint="eastAsia" w:ascii="宋体" w:hAnsi="宋体" w:eastAsia="宋体" w:cs="宋体"/>
          <w:color w:val="auto"/>
          <w:szCs w:val="21"/>
          <w:highlight w:val="none"/>
          <w:lang w:val="zh-CN"/>
        </w:rPr>
        <w:t>加盖投标人法人公章</w:t>
      </w:r>
      <w:r>
        <w:rPr>
          <w:rFonts w:hint="eastAsia" w:ascii="宋体" w:hAnsi="宋体" w:eastAsia="宋体" w:cs="宋体"/>
          <w:color w:val="auto"/>
          <w:kern w:val="0"/>
          <w:szCs w:val="21"/>
          <w:highlight w:val="none"/>
        </w:rPr>
        <w:t>）</w:t>
      </w:r>
    </w:p>
    <w:p w14:paraId="1637D31A">
      <w:pPr>
        <w:autoSpaceDE w:val="0"/>
        <w:autoSpaceDN w:val="0"/>
        <w:adjustRightInd w:val="0"/>
        <w:ind w:left="15" w:leftChars="-50" w:hanging="12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 xml:space="preserve">                                                               日  期：   年  月  日</w:t>
      </w:r>
    </w:p>
    <w:p w14:paraId="34B0A0FA">
      <w:pPr>
        <w:tabs>
          <w:tab w:val="left" w:pos="567"/>
        </w:tabs>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rPr>
        <w:br w:type="page"/>
      </w:r>
      <w:bookmarkStart w:id="641" w:name="_Toc3593"/>
      <w:bookmarkStart w:id="642" w:name="_Toc142508382"/>
      <w:bookmarkStart w:id="643" w:name="_Toc5046"/>
      <w:bookmarkStart w:id="644" w:name="_Toc94107224"/>
      <w:bookmarkStart w:id="645" w:name="_Toc140596942"/>
      <w:bookmarkStart w:id="646" w:name="_Toc102860431"/>
      <w:bookmarkStart w:id="647" w:name="_Toc102860087"/>
      <w:bookmarkStart w:id="648" w:name="_Toc104991889"/>
      <w:bookmarkStart w:id="649" w:name="_Toc23150"/>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.2 总体服务方案（投标人自行编写）</w:t>
      </w:r>
      <w:bookmarkEnd w:id="641"/>
      <w:bookmarkEnd w:id="642"/>
      <w:bookmarkEnd w:id="643"/>
      <w:bookmarkEnd w:id="644"/>
      <w:bookmarkEnd w:id="645"/>
      <w:bookmarkEnd w:id="646"/>
      <w:bookmarkEnd w:id="647"/>
      <w:bookmarkEnd w:id="648"/>
      <w:bookmarkEnd w:id="649"/>
    </w:p>
    <w:p w14:paraId="46DC2085">
      <w:pPr>
        <w:widowControl/>
        <w:jc w:val="left"/>
        <w:outlineLvl w:val="9"/>
        <w:rPr>
          <w:rFonts w:hint="eastAsia" w:ascii="宋体" w:hAnsi="宋体" w:eastAsia="宋体" w:cs="宋体"/>
          <w:color w:val="auto"/>
          <w:kern w:val="0"/>
          <w:szCs w:val="21"/>
          <w:highlight w:val="none"/>
        </w:rPr>
      </w:pPr>
      <w:bookmarkStart w:id="650" w:name="_Toc94107225"/>
      <w:r>
        <w:rPr>
          <w:rFonts w:hint="eastAsia" w:ascii="宋体" w:hAnsi="宋体" w:eastAsia="宋体" w:cs="宋体"/>
          <w:color w:val="auto"/>
          <w:kern w:val="0"/>
          <w:szCs w:val="21"/>
          <w:highlight w:val="none"/>
        </w:rPr>
        <w:br w:type="page"/>
      </w:r>
    </w:p>
    <w:bookmarkEnd w:id="650"/>
    <w:p w14:paraId="43F07D46">
      <w:pPr>
        <w:outlineLvl w:val="2"/>
        <w:rPr>
          <w:rFonts w:hint="eastAsia" w:ascii="宋体" w:hAnsi="宋体" w:eastAsia="宋体" w:cs="宋体"/>
          <w:b/>
          <w:color w:val="auto"/>
          <w:kern w:val="0"/>
          <w:sz w:val="30"/>
          <w:szCs w:val="30"/>
          <w:highlight w:val="none"/>
        </w:rPr>
      </w:pPr>
      <w:bookmarkStart w:id="651" w:name="_Toc104991896"/>
      <w:bookmarkStart w:id="652" w:name="_Toc140596949"/>
      <w:bookmarkStart w:id="653" w:name="_Toc142508389"/>
      <w:bookmarkStart w:id="654" w:name="_Toc102860094"/>
      <w:bookmarkStart w:id="655" w:name="_Toc102860438"/>
      <w:bookmarkStart w:id="656" w:name="_Toc533708139"/>
      <w:r>
        <w:rPr>
          <w:rFonts w:hint="eastAsia" w:ascii="宋体" w:hAnsi="宋体" w:eastAsia="宋体" w:cs="宋体"/>
          <w:b/>
          <w:color w:val="auto"/>
          <w:kern w:val="0"/>
          <w:sz w:val="30"/>
          <w:szCs w:val="30"/>
          <w:highlight w:val="none"/>
          <w:lang w:val="en-US" w:eastAsia="zh-CN"/>
        </w:rPr>
        <w:t>14</w:t>
      </w:r>
      <w:r>
        <w:rPr>
          <w:rFonts w:hint="eastAsia" w:ascii="宋体" w:hAnsi="宋体" w:eastAsia="宋体" w:cs="宋体"/>
          <w:b/>
          <w:color w:val="auto"/>
          <w:kern w:val="0"/>
          <w:sz w:val="30"/>
          <w:szCs w:val="30"/>
          <w:highlight w:val="none"/>
        </w:rPr>
        <w:t>.3 拟投入本项目管理人员情况</w:t>
      </w:r>
    </w:p>
    <w:p w14:paraId="4FDCF4C5">
      <w:pPr>
        <w:spacing w:before="120" w:beforeLines="50" w:line="360" w:lineRule="auto"/>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（1）拟投入本项目管理人员情况一览表</w:t>
      </w:r>
    </w:p>
    <w:tbl>
      <w:tblPr>
        <w:tblStyle w:val="39"/>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169"/>
        <w:gridCol w:w="677"/>
        <w:gridCol w:w="677"/>
        <w:gridCol w:w="677"/>
        <w:gridCol w:w="1647"/>
        <w:gridCol w:w="1417"/>
        <w:gridCol w:w="1656"/>
        <w:gridCol w:w="947"/>
      </w:tblGrid>
      <w:tr w14:paraId="162CC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trPr>
        <w:tc>
          <w:tcPr>
            <w:tcW w:w="648" w:type="dxa"/>
            <w:vAlign w:val="center"/>
          </w:tcPr>
          <w:p w14:paraId="26B518D3">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序号</w:t>
            </w:r>
          </w:p>
        </w:tc>
        <w:tc>
          <w:tcPr>
            <w:tcW w:w="1169" w:type="dxa"/>
            <w:vAlign w:val="center"/>
          </w:tcPr>
          <w:p w14:paraId="6D54685B">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677" w:type="dxa"/>
            <w:vAlign w:val="center"/>
          </w:tcPr>
          <w:p w14:paraId="5CEEC98A">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677" w:type="dxa"/>
            <w:vAlign w:val="center"/>
          </w:tcPr>
          <w:p w14:paraId="1D7752C2">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677" w:type="dxa"/>
            <w:vAlign w:val="center"/>
          </w:tcPr>
          <w:p w14:paraId="73AA7A0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1647" w:type="dxa"/>
            <w:vAlign w:val="center"/>
          </w:tcPr>
          <w:p w14:paraId="21C985C4">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资格证书</w:t>
            </w:r>
          </w:p>
        </w:tc>
        <w:tc>
          <w:tcPr>
            <w:tcW w:w="1417" w:type="dxa"/>
            <w:vAlign w:val="center"/>
          </w:tcPr>
          <w:p w14:paraId="76820689">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拟任职务</w:t>
            </w:r>
          </w:p>
        </w:tc>
        <w:tc>
          <w:tcPr>
            <w:tcW w:w="1656" w:type="dxa"/>
            <w:vAlign w:val="center"/>
          </w:tcPr>
          <w:p w14:paraId="650D9700">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从事本行业年限</w:t>
            </w:r>
          </w:p>
        </w:tc>
        <w:tc>
          <w:tcPr>
            <w:tcW w:w="947" w:type="dxa"/>
            <w:vAlign w:val="center"/>
          </w:tcPr>
          <w:p w14:paraId="2216E6CD">
            <w:pPr>
              <w:spacing w:line="36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17F1A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648" w:type="dxa"/>
            <w:vAlign w:val="center"/>
          </w:tcPr>
          <w:p w14:paraId="135339F0">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30E12E0F">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5308F74">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34BD8E1">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71CBAE65">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6333950A">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32F57111">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289D70E3">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6A497A38">
            <w:pPr>
              <w:spacing w:line="360" w:lineRule="auto"/>
              <w:jc w:val="center"/>
              <w:outlineLvl w:val="9"/>
              <w:rPr>
                <w:rFonts w:hint="eastAsia" w:ascii="宋体" w:hAnsi="宋体" w:eastAsia="宋体" w:cs="宋体"/>
                <w:color w:val="auto"/>
                <w:szCs w:val="21"/>
                <w:highlight w:val="none"/>
              </w:rPr>
            </w:pPr>
          </w:p>
        </w:tc>
      </w:tr>
      <w:tr w14:paraId="0BCF6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648" w:type="dxa"/>
            <w:vAlign w:val="center"/>
          </w:tcPr>
          <w:p w14:paraId="0C395705">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3A57A113">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B40879D">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855A793">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69866841">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123B2014">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33C484B1">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10174376">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2DF364F2">
            <w:pPr>
              <w:spacing w:line="360" w:lineRule="auto"/>
              <w:jc w:val="center"/>
              <w:outlineLvl w:val="9"/>
              <w:rPr>
                <w:rFonts w:hint="eastAsia" w:ascii="宋体" w:hAnsi="宋体" w:eastAsia="宋体" w:cs="宋体"/>
                <w:color w:val="auto"/>
                <w:szCs w:val="21"/>
                <w:highlight w:val="none"/>
              </w:rPr>
            </w:pPr>
          </w:p>
        </w:tc>
      </w:tr>
      <w:tr w14:paraId="0C50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48FB47B7">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02866C46">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C997A66">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5832FF2">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4D0A09C">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1171BBE4">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50F91F8D">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379843B9">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37CB62E9">
            <w:pPr>
              <w:spacing w:line="360" w:lineRule="auto"/>
              <w:jc w:val="center"/>
              <w:outlineLvl w:val="9"/>
              <w:rPr>
                <w:rFonts w:hint="eastAsia" w:ascii="宋体" w:hAnsi="宋体" w:eastAsia="宋体" w:cs="宋体"/>
                <w:color w:val="auto"/>
                <w:szCs w:val="21"/>
                <w:highlight w:val="none"/>
              </w:rPr>
            </w:pPr>
          </w:p>
        </w:tc>
      </w:tr>
      <w:tr w14:paraId="5DB8F6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2E0ABE4E">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2DAD8B6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6CCFD24E">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E9911E2">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D5705E8">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1D81C2DD">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25EC80BB">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74A53883">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5EBE2AA0">
            <w:pPr>
              <w:spacing w:line="360" w:lineRule="auto"/>
              <w:jc w:val="center"/>
              <w:outlineLvl w:val="9"/>
              <w:rPr>
                <w:rFonts w:hint="eastAsia" w:ascii="宋体" w:hAnsi="宋体" w:eastAsia="宋体" w:cs="宋体"/>
                <w:color w:val="auto"/>
                <w:szCs w:val="21"/>
                <w:highlight w:val="none"/>
              </w:rPr>
            </w:pPr>
          </w:p>
        </w:tc>
      </w:tr>
      <w:tr w14:paraId="62A5F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783CBBD2">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12A109BB">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AB20C19">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0A3B0AD">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F151040">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077BCBF1">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37A5A988">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13B5848C">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47595610">
            <w:pPr>
              <w:spacing w:line="360" w:lineRule="auto"/>
              <w:jc w:val="center"/>
              <w:outlineLvl w:val="9"/>
              <w:rPr>
                <w:rFonts w:hint="eastAsia" w:ascii="宋体" w:hAnsi="宋体" w:eastAsia="宋体" w:cs="宋体"/>
                <w:color w:val="auto"/>
                <w:szCs w:val="21"/>
                <w:highlight w:val="none"/>
              </w:rPr>
            </w:pPr>
          </w:p>
        </w:tc>
      </w:tr>
      <w:tr w14:paraId="7B3B3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3CC622AC">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428DA22A">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510435AB">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C95D6F1">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7D892918">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25F73577">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57EEAC21">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4F17944A">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3AF1BA09">
            <w:pPr>
              <w:spacing w:line="360" w:lineRule="auto"/>
              <w:jc w:val="center"/>
              <w:outlineLvl w:val="9"/>
              <w:rPr>
                <w:rFonts w:hint="eastAsia" w:ascii="宋体" w:hAnsi="宋体" w:eastAsia="宋体" w:cs="宋体"/>
                <w:color w:val="auto"/>
                <w:szCs w:val="21"/>
                <w:highlight w:val="none"/>
              </w:rPr>
            </w:pPr>
          </w:p>
        </w:tc>
      </w:tr>
      <w:tr w14:paraId="54A1D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648" w:type="dxa"/>
            <w:vAlign w:val="center"/>
          </w:tcPr>
          <w:p w14:paraId="0986016F">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4BB69703">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375AC3A3">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1575C78A">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6E66451D">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5C2BED69">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2D74A5BE">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0455DA3B">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5DDE75D0">
            <w:pPr>
              <w:spacing w:line="360" w:lineRule="auto"/>
              <w:jc w:val="center"/>
              <w:outlineLvl w:val="9"/>
              <w:rPr>
                <w:rFonts w:hint="eastAsia" w:ascii="宋体" w:hAnsi="宋体" w:eastAsia="宋体" w:cs="宋体"/>
                <w:color w:val="auto"/>
                <w:szCs w:val="21"/>
                <w:highlight w:val="none"/>
              </w:rPr>
            </w:pPr>
          </w:p>
        </w:tc>
      </w:tr>
      <w:tr w14:paraId="69ACB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648" w:type="dxa"/>
            <w:vAlign w:val="center"/>
          </w:tcPr>
          <w:p w14:paraId="2F761F94">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261FE25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E239397">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FD4F728">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078BC0D4">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3164B984">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6F4B35D0">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2082C89C">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1664978A">
            <w:pPr>
              <w:spacing w:line="360" w:lineRule="auto"/>
              <w:jc w:val="center"/>
              <w:outlineLvl w:val="9"/>
              <w:rPr>
                <w:rFonts w:hint="eastAsia" w:ascii="宋体" w:hAnsi="宋体" w:eastAsia="宋体" w:cs="宋体"/>
                <w:color w:val="auto"/>
                <w:szCs w:val="21"/>
                <w:highlight w:val="none"/>
              </w:rPr>
            </w:pPr>
          </w:p>
        </w:tc>
      </w:tr>
      <w:tr w14:paraId="78FE3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648" w:type="dxa"/>
            <w:vAlign w:val="center"/>
          </w:tcPr>
          <w:p w14:paraId="345E3208">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5E84C80C">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3112607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DEBAF3E">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32CB212">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69B03DEE">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16B34FD0">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6E6FE36A">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26AC4320">
            <w:pPr>
              <w:spacing w:line="360" w:lineRule="auto"/>
              <w:jc w:val="center"/>
              <w:outlineLvl w:val="9"/>
              <w:rPr>
                <w:rFonts w:hint="eastAsia" w:ascii="宋体" w:hAnsi="宋体" w:eastAsia="宋体" w:cs="宋体"/>
                <w:color w:val="auto"/>
                <w:szCs w:val="21"/>
                <w:highlight w:val="none"/>
              </w:rPr>
            </w:pPr>
          </w:p>
        </w:tc>
      </w:tr>
      <w:tr w14:paraId="742AE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648" w:type="dxa"/>
            <w:vAlign w:val="center"/>
          </w:tcPr>
          <w:p w14:paraId="4B6A7FD3">
            <w:pPr>
              <w:spacing w:line="360" w:lineRule="auto"/>
              <w:jc w:val="center"/>
              <w:outlineLvl w:val="9"/>
              <w:rPr>
                <w:rFonts w:hint="eastAsia" w:ascii="宋体" w:hAnsi="宋体" w:eastAsia="宋体" w:cs="宋体"/>
                <w:color w:val="auto"/>
                <w:szCs w:val="21"/>
                <w:highlight w:val="none"/>
              </w:rPr>
            </w:pPr>
          </w:p>
        </w:tc>
        <w:tc>
          <w:tcPr>
            <w:tcW w:w="1169" w:type="dxa"/>
            <w:vAlign w:val="center"/>
          </w:tcPr>
          <w:p w14:paraId="2EE29735">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42A01E40">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B434567">
            <w:pPr>
              <w:spacing w:line="360" w:lineRule="auto"/>
              <w:jc w:val="center"/>
              <w:outlineLvl w:val="9"/>
              <w:rPr>
                <w:rFonts w:hint="eastAsia" w:ascii="宋体" w:hAnsi="宋体" w:eastAsia="宋体" w:cs="宋体"/>
                <w:color w:val="auto"/>
                <w:szCs w:val="21"/>
                <w:highlight w:val="none"/>
              </w:rPr>
            </w:pPr>
          </w:p>
        </w:tc>
        <w:tc>
          <w:tcPr>
            <w:tcW w:w="677" w:type="dxa"/>
            <w:vAlign w:val="center"/>
          </w:tcPr>
          <w:p w14:paraId="21937D27">
            <w:pPr>
              <w:spacing w:line="360" w:lineRule="auto"/>
              <w:jc w:val="center"/>
              <w:outlineLvl w:val="9"/>
              <w:rPr>
                <w:rFonts w:hint="eastAsia" w:ascii="宋体" w:hAnsi="宋体" w:eastAsia="宋体" w:cs="宋体"/>
                <w:color w:val="auto"/>
                <w:szCs w:val="21"/>
                <w:highlight w:val="none"/>
              </w:rPr>
            </w:pPr>
          </w:p>
        </w:tc>
        <w:tc>
          <w:tcPr>
            <w:tcW w:w="1647" w:type="dxa"/>
            <w:vAlign w:val="center"/>
          </w:tcPr>
          <w:p w14:paraId="7E4CF744">
            <w:pPr>
              <w:spacing w:line="360" w:lineRule="auto"/>
              <w:jc w:val="center"/>
              <w:outlineLvl w:val="9"/>
              <w:rPr>
                <w:rFonts w:hint="eastAsia" w:ascii="宋体" w:hAnsi="宋体" w:eastAsia="宋体" w:cs="宋体"/>
                <w:color w:val="auto"/>
                <w:szCs w:val="21"/>
                <w:highlight w:val="none"/>
              </w:rPr>
            </w:pPr>
          </w:p>
        </w:tc>
        <w:tc>
          <w:tcPr>
            <w:tcW w:w="1417" w:type="dxa"/>
            <w:vAlign w:val="center"/>
          </w:tcPr>
          <w:p w14:paraId="0A5B26E9">
            <w:pPr>
              <w:spacing w:line="360" w:lineRule="auto"/>
              <w:jc w:val="center"/>
              <w:outlineLvl w:val="9"/>
              <w:rPr>
                <w:rFonts w:hint="eastAsia" w:ascii="宋体" w:hAnsi="宋体" w:eastAsia="宋体" w:cs="宋体"/>
                <w:color w:val="auto"/>
                <w:szCs w:val="21"/>
                <w:highlight w:val="none"/>
              </w:rPr>
            </w:pPr>
          </w:p>
        </w:tc>
        <w:tc>
          <w:tcPr>
            <w:tcW w:w="1656" w:type="dxa"/>
            <w:vAlign w:val="center"/>
          </w:tcPr>
          <w:p w14:paraId="1C0D3351">
            <w:pPr>
              <w:spacing w:line="360" w:lineRule="auto"/>
              <w:jc w:val="center"/>
              <w:outlineLvl w:val="9"/>
              <w:rPr>
                <w:rFonts w:hint="eastAsia" w:ascii="宋体" w:hAnsi="宋体" w:eastAsia="宋体" w:cs="宋体"/>
                <w:color w:val="auto"/>
                <w:szCs w:val="21"/>
                <w:highlight w:val="none"/>
              </w:rPr>
            </w:pPr>
          </w:p>
        </w:tc>
        <w:tc>
          <w:tcPr>
            <w:tcW w:w="947" w:type="dxa"/>
            <w:vAlign w:val="center"/>
          </w:tcPr>
          <w:p w14:paraId="09FF8736">
            <w:pPr>
              <w:spacing w:line="360" w:lineRule="auto"/>
              <w:jc w:val="center"/>
              <w:outlineLvl w:val="9"/>
              <w:rPr>
                <w:rFonts w:hint="eastAsia" w:ascii="宋体" w:hAnsi="宋体" w:eastAsia="宋体" w:cs="宋体"/>
                <w:color w:val="auto"/>
                <w:szCs w:val="21"/>
                <w:highlight w:val="none"/>
              </w:rPr>
            </w:pPr>
          </w:p>
        </w:tc>
      </w:tr>
    </w:tbl>
    <w:p w14:paraId="4F8BFE64">
      <w:p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p>
    <w:p w14:paraId="131BC395">
      <w:p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6CFDCF4E">
      <w:pPr>
        <w:numPr>
          <w:ilvl w:val="0"/>
          <w:numId w:val="6"/>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此表格式供参照，投标人可以根据本表格式内容自行划表填写。</w:t>
      </w:r>
    </w:p>
    <w:p w14:paraId="2242FE53">
      <w:pPr>
        <w:numPr>
          <w:ilvl w:val="0"/>
          <w:numId w:val="6"/>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上述人员需提供资格证书（或注册/执业/岗位证书/技术职称）、以及人力资源和社会保障部门（或税务部门）出具的投标人202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年3月至202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年2月为其缴纳的社保证明复印件。</w:t>
      </w:r>
    </w:p>
    <w:p w14:paraId="5884DB79">
      <w:pPr>
        <w:spacing w:line="360" w:lineRule="auto"/>
        <w:ind w:right="420" w:firstLine="4935" w:firstLineChars="2350"/>
        <w:outlineLvl w:val="9"/>
        <w:rPr>
          <w:rFonts w:hint="eastAsia" w:ascii="宋体" w:hAnsi="宋体" w:eastAsia="宋体" w:cs="宋体"/>
          <w:color w:val="auto"/>
          <w:szCs w:val="21"/>
          <w:highlight w:val="none"/>
          <w:lang w:val="zh-CN"/>
        </w:rPr>
      </w:pPr>
    </w:p>
    <w:p w14:paraId="44010EA3">
      <w:pPr>
        <w:spacing w:line="360" w:lineRule="auto"/>
        <w:ind w:right="420" w:firstLine="4935" w:firstLineChars="2350"/>
        <w:outlineLvl w:val="9"/>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投标人：（加盖投标人法人公章）</w:t>
      </w:r>
    </w:p>
    <w:p w14:paraId="77DBE532">
      <w:pPr>
        <w:spacing w:line="360" w:lineRule="auto"/>
        <w:ind w:firstLine="4935" w:firstLineChars="2350"/>
        <w:outlineLvl w:val="9"/>
        <w:rPr>
          <w:rFonts w:hint="eastAsia" w:ascii="宋体" w:hAnsi="宋体" w:eastAsia="宋体" w:cs="宋体"/>
          <w:color w:val="auto"/>
          <w:highlight w:val="none"/>
          <w:lang w:val="zh-CN"/>
        </w:rPr>
      </w:pPr>
      <w:r>
        <w:rPr>
          <w:rFonts w:hint="eastAsia" w:ascii="宋体" w:hAnsi="宋体" w:eastAsia="宋体" w:cs="宋体"/>
          <w:color w:val="auto"/>
          <w:szCs w:val="21"/>
          <w:highlight w:val="none"/>
        </w:rPr>
        <w:t xml:space="preserve">日  期：  </w:t>
      </w:r>
      <w:r>
        <w:rPr>
          <w:rFonts w:hint="eastAsia" w:ascii="宋体" w:hAnsi="宋体" w:eastAsia="宋体" w:cs="宋体"/>
          <w:color w:val="auto"/>
          <w:highlight w:val="none"/>
          <w:lang w:val="zh-CN"/>
        </w:rPr>
        <w:t>年  月  日</w:t>
      </w:r>
    </w:p>
    <w:p w14:paraId="5E09D1EE">
      <w:pPr>
        <w:spacing w:line="360" w:lineRule="auto"/>
        <w:ind w:firstLine="5040" w:firstLineChars="2400"/>
        <w:outlineLvl w:val="9"/>
        <w:rPr>
          <w:rFonts w:hint="eastAsia" w:ascii="宋体" w:hAnsi="宋体" w:eastAsia="宋体" w:cs="宋体"/>
          <w:color w:val="auto"/>
          <w:highlight w:val="none"/>
          <w:lang w:val="zh-CN"/>
        </w:rPr>
      </w:pPr>
    </w:p>
    <w:p w14:paraId="44A66A97">
      <w:pPr>
        <w:spacing w:line="360" w:lineRule="auto"/>
        <w:ind w:firstLine="5040" w:firstLineChars="2400"/>
        <w:outlineLvl w:val="9"/>
        <w:rPr>
          <w:rFonts w:hint="eastAsia" w:ascii="宋体" w:hAnsi="宋体" w:eastAsia="宋体" w:cs="宋体"/>
          <w:color w:val="auto"/>
          <w:highlight w:val="none"/>
          <w:lang w:val="zh-CN"/>
        </w:rPr>
      </w:pPr>
    </w:p>
    <w:p w14:paraId="4699EC69">
      <w:pPr>
        <w:pageBreakBefore/>
        <w:spacing w:line="360" w:lineRule="auto"/>
        <w:jc w:val="center"/>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30"/>
          <w:szCs w:val="30"/>
          <w:highlight w:val="none"/>
        </w:rPr>
        <w:t>（2）拟投入本项目的项目负责人简历表</w:t>
      </w:r>
    </w:p>
    <w:tbl>
      <w:tblPr>
        <w:tblStyle w:val="39"/>
        <w:tblW w:w="5000" w:type="pct"/>
        <w:jc w:val="center"/>
        <w:tblLayout w:type="autofit"/>
        <w:tblCellMar>
          <w:top w:w="0" w:type="dxa"/>
          <w:left w:w="108" w:type="dxa"/>
          <w:bottom w:w="0" w:type="dxa"/>
          <w:right w:w="108" w:type="dxa"/>
        </w:tblCellMar>
      </w:tblPr>
      <w:tblGrid>
        <w:gridCol w:w="2305"/>
        <w:gridCol w:w="407"/>
        <w:gridCol w:w="577"/>
        <w:gridCol w:w="975"/>
        <w:gridCol w:w="531"/>
        <w:gridCol w:w="1037"/>
        <w:gridCol w:w="637"/>
        <w:gridCol w:w="473"/>
        <w:gridCol w:w="506"/>
        <w:gridCol w:w="944"/>
        <w:gridCol w:w="508"/>
        <w:gridCol w:w="1470"/>
      </w:tblGrid>
      <w:tr w14:paraId="1B03A1BE">
        <w:tblPrEx>
          <w:tblCellMar>
            <w:top w:w="0" w:type="dxa"/>
            <w:left w:w="108" w:type="dxa"/>
            <w:bottom w:w="0" w:type="dxa"/>
            <w:right w:w="108" w:type="dxa"/>
          </w:tblCellMar>
        </w:tblPrEx>
        <w:trPr>
          <w:trHeight w:val="915" w:hRule="atLeast"/>
          <w:jc w:val="center"/>
        </w:trPr>
        <w:tc>
          <w:tcPr>
            <w:tcW w:w="1112" w:type="pct"/>
            <w:tcBorders>
              <w:top w:val="single" w:color="auto" w:sz="8" w:space="0"/>
              <w:left w:val="single" w:color="auto" w:sz="8" w:space="0"/>
              <w:bottom w:val="single" w:color="auto" w:sz="8" w:space="0"/>
              <w:right w:val="single" w:color="auto" w:sz="8" w:space="0"/>
            </w:tcBorders>
            <w:vAlign w:val="center"/>
          </w:tcPr>
          <w:p w14:paraId="293D7D36">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姓名</w:t>
            </w:r>
          </w:p>
        </w:tc>
        <w:tc>
          <w:tcPr>
            <w:tcW w:w="1200" w:type="pct"/>
            <w:gridSpan w:val="4"/>
            <w:tcBorders>
              <w:top w:val="single" w:color="auto" w:sz="8" w:space="0"/>
              <w:left w:val="nil"/>
              <w:bottom w:val="single" w:color="auto" w:sz="8" w:space="0"/>
              <w:right w:val="single" w:color="000000" w:sz="8" w:space="0"/>
            </w:tcBorders>
            <w:vAlign w:val="center"/>
          </w:tcPr>
          <w:p w14:paraId="6EA6C2AF">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00" w:type="pct"/>
            <w:tcBorders>
              <w:top w:val="single" w:color="auto" w:sz="8" w:space="0"/>
              <w:left w:val="nil"/>
              <w:bottom w:val="single" w:color="auto" w:sz="8" w:space="0"/>
              <w:right w:val="single" w:color="auto" w:sz="8" w:space="0"/>
            </w:tcBorders>
            <w:vAlign w:val="center"/>
          </w:tcPr>
          <w:p w14:paraId="465E69BE">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性别</w:t>
            </w:r>
          </w:p>
        </w:tc>
        <w:tc>
          <w:tcPr>
            <w:tcW w:w="779" w:type="pct"/>
            <w:gridSpan w:val="3"/>
            <w:tcBorders>
              <w:top w:val="single" w:color="auto" w:sz="8" w:space="0"/>
              <w:left w:val="nil"/>
              <w:bottom w:val="single" w:color="auto" w:sz="8" w:space="0"/>
              <w:right w:val="single" w:color="000000" w:sz="8" w:space="0"/>
            </w:tcBorders>
            <w:vAlign w:val="center"/>
          </w:tcPr>
          <w:p w14:paraId="2B19F242">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617AC303">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年龄</w:t>
            </w:r>
          </w:p>
        </w:tc>
        <w:tc>
          <w:tcPr>
            <w:tcW w:w="709" w:type="pct"/>
            <w:tcBorders>
              <w:top w:val="single" w:color="auto" w:sz="8" w:space="0"/>
              <w:left w:val="nil"/>
              <w:bottom w:val="single" w:color="auto" w:sz="8" w:space="0"/>
              <w:right w:val="single" w:color="000000" w:sz="8" w:space="0"/>
            </w:tcBorders>
            <w:vAlign w:val="center"/>
          </w:tcPr>
          <w:p w14:paraId="04FCB597">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716B8ECE">
        <w:tblPrEx>
          <w:tblCellMar>
            <w:top w:w="0" w:type="dxa"/>
            <w:left w:w="108" w:type="dxa"/>
            <w:bottom w:w="0" w:type="dxa"/>
            <w:right w:w="108" w:type="dxa"/>
          </w:tblCellMar>
        </w:tblPrEx>
        <w:trPr>
          <w:trHeight w:val="915" w:hRule="atLeast"/>
          <w:jc w:val="center"/>
        </w:trPr>
        <w:tc>
          <w:tcPr>
            <w:tcW w:w="1112" w:type="pct"/>
            <w:tcBorders>
              <w:top w:val="nil"/>
              <w:left w:val="single" w:color="auto" w:sz="8" w:space="0"/>
              <w:bottom w:val="single" w:color="auto" w:sz="8" w:space="0"/>
              <w:right w:val="single" w:color="auto" w:sz="8" w:space="0"/>
            </w:tcBorders>
            <w:vAlign w:val="center"/>
          </w:tcPr>
          <w:p w14:paraId="7683D5CD">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职务</w:t>
            </w:r>
          </w:p>
        </w:tc>
        <w:tc>
          <w:tcPr>
            <w:tcW w:w="1200" w:type="pct"/>
            <w:gridSpan w:val="4"/>
            <w:tcBorders>
              <w:top w:val="single" w:color="auto" w:sz="8" w:space="0"/>
              <w:left w:val="nil"/>
              <w:bottom w:val="single" w:color="auto" w:sz="8" w:space="0"/>
              <w:right w:val="single" w:color="000000" w:sz="8" w:space="0"/>
            </w:tcBorders>
            <w:vAlign w:val="center"/>
          </w:tcPr>
          <w:p w14:paraId="417A8662">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500" w:type="pct"/>
            <w:tcBorders>
              <w:top w:val="nil"/>
              <w:left w:val="nil"/>
              <w:bottom w:val="single" w:color="auto" w:sz="8" w:space="0"/>
              <w:right w:val="single" w:color="auto" w:sz="8" w:space="0"/>
            </w:tcBorders>
            <w:vAlign w:val="center"/>
          </w:tcPr>
          <w:p w14:paraId="21AAA63D">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职称</w:t>
            </w:r>
          </w:p>
        </w:tc>
        <w:tc>
          <w:tcPr>
            <w:tcW w:w="779" w:type="pct"/>
            <w:gridSpan w:val="3"/>
            <w:tcBorders>
              <w:top w:val="single" w:color="auto" w:sz="8" w:space="0"/>
              <w:left w:val="nil"/>
              <w:bottom w:val="single" w:color="auto" w:sz="8" w:space="0"/>
              <w:right w:val="single" w:color="000000" w:sz="8" w:space="0"/>
            </w:tcBorders>
            <w:vAlign w:val="center"/>
          </w:tcPr>
          <w:p w14:paraId="02AED4D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00" w:type="pct"/>
            <w:gridSpan w:val="2"/>
            <w:tcBorders>
              <w:top w:val="single" w:color="auto" w:sz="8" w:space="0"/>
              <w:left w:val="nil"/>
              <w:bottom w:val="single" w:color="auto" w:sz="8" w:space="0"/>
              <w:right w:val="single" w:color="000000" w:sz="8" w:space="0"/>
            </w:tcBorders>
            <w:vAlign w:val="center"/>
          </w:tcPr>
          <w:p w14:paraId="7F1D12AC">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学历</w:t>
            </w:r>
          </w:p>
        </w:tc>
        <w:tc>
          <w:tcPr>
            <w:tcW w:w="709" w:type="pct"/>
            <w:tcBorders>
              <w:top w:val="single" w:color="auto" w:sz="8" w:space="0"/>
              <w:left w:val="nil"/>
              <w:bottom w:val="single" w:color="auto" w:sz="8" w:space="0"/>
              <w:right w:val="single" w:color="000000" w:sz="8" w:space="0"/>
            </w:tcBorders>
            <w:vAlign w:val="center"/>
          </w:tcPr>
          <w:p w14:paraId="696888A1">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32FE2F60">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50ED425D">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参加工作时间</w:t>
            </w:r>
          </w:p>
        </w:tc>
        <w:tc>
          <w:tcPr>
            <w:tcW w:w="1761" w:type="pct"/>
            <w:gridSpan w:val="5"/>
            <w:tcBorders>
              <w:top w:val="single" w:color="auto" w:sz="8" w:space="0"/>
              <w:left w:val="nil"/>
              <w:bottom w:val="single" w:color="auto" w:sz="8" w:space="0"/>
              <w:right w:val="single" w:color="000000" w:sz="8" w:space="0"/>
            </w:tcBorders>
            <w:vAlign w:val="center"/>
          </w:tcPr>
          <w:p w14:paraId="7951C73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27A7E74F">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担任</w:t>
            </w:r>
            <w:r>
              <w:rPr>
                <w:rFonts w:hint="eastAsia" w:ascii="宋体" w:hAnsi="宋体" w:eastAsia="宋体" w:cs="宋体"/>
                <w:b/>
                <w:bCs/>
                <w:color w:val="auto"/>
                <w:szCs w:val="21"/>
                <w:highlight w:val="none"/>
                <w:u w:val="single"/>
              </w:rPr>
              <w:t xml:space="preserve"> </w:t>
            </w:r>
            <w:r>
              <w:rPr>
                <w:rFonts w:hint="eastAsia" w:ascii="宋体" w:hAnsi="宋体" w:eastAsia="宋体" w:cs="宋体"/>
                <w:color w:val="auto"/>
                <w:szCs w:val="21"/>
                <w:highlight w:val="none"/>
                <w:u w:val="single"/>
              </w:rPr>
              <w:t xml:space="preserve">    （职位名称）</w:t>
            </w:r>
            <w:r>
              <w:rPr>
                <w:rFonts w:hint="eastAsia" w:ascii="宋体" w:hAnsi="宋体" w:eastAsia="宋体" w:cs="宋体"/>
                <w:color w:val="auto"/>
                <w:szCs w:val="21"/>
                <w:highlight w:val="none"/>
              </w:rPr>
              <w:t>年限</w:t>
            </w:r>
          </w:p>
        </w:tc>
        <w:tc>
          <w:tcPr>
            <w:tcW w:w="709" w:type="pct"/>
            <w:tcBorders>
              <w:top w:val="nil"/>
              <w:left w:val="nil"/>
              <w:bottom w:val="single" w:color="auto" w:sz="8" w:space="0"/>
              <w:right w:val="single" w:color="auto" w:sz="8" w:space="0"/>
            </w:tcBorders>
            <w:vAlign w:val="center"/>
          </w:tcPr>
          <w:p w14:paraId="17C5E52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9F04F2A">
        <w:tblPrEx>
          <w:tblCellMar>
            <w:top w:w="0" w:type="dxa"/>
            <w:left w:w="108" w:type="dxa"/>
            <w:bottom w:w="0" w:type="dxa"/>
            <w:right w:w="108" w:type="dxa"/>
          </w:tblCellMar>
        </w:tblPrEx>
        <w:trPr>
          <w:trHeight w:val="915" w:hRule="atLeast"/>
          <w:jc w:val="center"/>
        </w:trPr>
        <w:tc>
          <w:tcPr>
            <w:tcW w:w="1586" w:type="pct"/>
            <w:gridSpan w:val="3"/>
            <w:tcBorders>
              <w:top w:val="single" w:color="auto" w:sz="8" w:space="0"/>
              <w:left w:val="single" w:color="auto" w:sz="8" w:space="0"/>
              <w:bottom w:val="single" w:color="auto" w:sz="8" w:space="0"/>
              <w:right w:val="single" w:color="000000" w:sz="8" w:space="0"/>
            </w:tcBorders>
            <w:vAlign w:val="center"/>
          </w:tcPr>
          <w:p w14:paraId="6F7C57CE">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资格证书编号</w:t>
            </w:r>
          </w:p>
        </w:tc>
        <w:tc>
          <w:tcPr>
            <w:tcW w:w="1761" w:type="pct"/>
            <w:gridSpan w:val="5"/>
            <w:tcBorders>
              <w:top w:val="single" w:color="auto" w:sz="8" w:space="0"/>
              <w:left w:val="nil"/>
              <w:bottom w:val="single" w:color="auto" w:sz="8" w:space="0"/>
              <w:right w:val="single" w:color="000000" w:sz="8" w:space="0"/>
            </w:tcBorders>
            <w:vAlign w:val="center"/>
          </w:tcPr>
          <w:p w14:paraId="7B9D89F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44" w:type="pct"/>
            <w:gridSpan w:val="3"/>
            <w:tcBorders>
              <w:top w:val="single" w:color="auto" w:sz="8" w:space="0"/>
              <w:left w:val="nil"/>
              <w:bottom w:val="single" w:color="auto" w:sz="8" w:space="0"/>
              <w:right w:val="single" w:color="000000" w:sz="8" w:space="0"/>
            </w:tcBorders>
            <w:vAlign w:val="center"/>
          </w:tcPr>
          <w:p w14:paraId="59EBBD10">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w:t>
            </w:r>
          </w:p>
        </w:tc>
        <w:tc>
          <w:tcPr>
            <w:tcW w:w="709" w:type="pct"/>
            <w:tcBorders>
              <w:top w:val="nil"/>
              <w:left w:val="nil"/>
              <w:bottom w:val="single" w:color="auto" w:sz="8" w:space="0"/>
              <w:right w:val="single" w:color="auto" w:sz="8" w:space="0"/>
            </w:tcBorders>
            <w:vAlign w:val="center"/>
          </w:tcPr>
          <w:p w14:paraId="72959CF6">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38601783">
        <w:tblPrEx>
          <w:tblCellMar>
            <w:top w:w="0" w:type="dxa"/>
            <w:left w:w="108" w:type="dxa"/>
            <w:bottom w:w="0" w:type="dxa"/>
            <w:right w:w="108" w:type="dxa"/>
          </w:tblCellMar>
        </w:tblPrEx>
        <w:trPr>
          <w:trHeight w:val="915" w:hRule="atLeast"/>
          <w:jc w:val="center"/>
        </w:trPr>
        <w:tc>
          <w:tcPr>
            <w:tcW w:w="5000" w:type="pct"/>
            <w:gridSpan w:val="12"/>
            <w:tcBorders>
              <w:top w:val="single" w:color="auto" w:sz="8" w:space="0"/>
              <w:left w:val="single" w:color="auto" w:sz="8" w:space="0"/>
              <w:bottom w:val="single" w:color="auto" w:sz="8" w:space="0"/>
              <w:right w:val="single" w:color="000000" w:sz="8" w:space="0"/>
            </w:tcBorders>
            <w:vAlign w:val="center"/>
          </w:tcPr>
          <w:p w14:paraId="5BA34720">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主要类似项目业绩</w:t>
            </w:r>
          </w:p>
        </w:tc>
      </w:tr>
      <w:tr w14:paraId="2528C308">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5C27EE21">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项目名称</w:t>
            </w:r>
          </w:p>
        </w:tc>
        <w:tc>
          <w:tcPr>
            <w:tcW w:w="748" w:type="pct"/>
            <w:gridSpan w:val="2"/>
            <w:tcBorders>
              <w:top w:val="single" w:color="auto" w:sz="8" w:space="0"/>
              <w:left w:val="nil"/>
              <w:bottom w:val="single" w:color="auto" w:sz="8" w:space="0"/>
              <w:right w:val="single" w:color="000000" w:sz="8" w:space="0"/>
            </w:tcBorders>
            <w:vAlign w:val="center"/>
          </w:tcPr>
          <w:p w14:paraId="0432F3A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发包单位</w:t>
            </w:r>
          </w:p>
        </w:tc>
        <w:tc>
          <w:tcPr>
            <w:tcW w:w="1063" w:type="pct"/>
            <w:gridSpan w:val="3"/>
            <w:tcBorders>
              <w:top w:val="single" w:color="auto" w:sz="8" w:space="0"/>
              <w:left w:val="nil"/>
              <w:bottom w:val="single" w:color="auto" w:sz="8" w:space="0"/>
              <w:right w:val="single" w:color="000000" w:sz="8" w:space="0"/>
            </w:tcBorders>
            <w:vAlign w:val="center"/>
          </w:tcPr>
          <w:p w14:paraId="7AE0BB25">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服务内容</w:t>
            </w:r>
          </w:p>
        </w:tc>
        <w:tc>
          <w:tcPr>
            <w:tcW w:w="927" w:type="pct"/>
            <w:gridSpan w:val="3"/>
            <w:tcBorders>
              <w:top w:val="single" w:color="auto" w:sz="8" w:space="0"/>
              <w:left w:val="nil"/>
              <w:bottom w:val="single" w:color="auto" w:sz="8" w:space="0"/>
              <w:right w:val="single" w:color="000000" w:sz="8" w:space="0"/>
            </w:tcBorders>
            <w:vAlign w:val="center"/>
          </w:tcPr>
          <w:p w14:paraId="7140CBF2">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本人在该项目中所任职务</w:t>
            </w:r>
          </w:p>
        </w:tc>
        <w:tc>
          <w:tcPr>
            <w:tcW w:w="953" w:type="pct"/>
            <w:gridSpan w:val="2"/>
            <w:tcBorders>
              <w:top w:val="single" w:color="auto" w:sz="8" w:space="0"/>
              <w:left w:val="nil"/>
              <w:bottom w:val="single" w:color="auto" w:sz="8" w:space="0"/>
              <w:right w:val="single" w:color="000000" w:sz="8" w:space="0"/>
            </w:tcBorders>
            <w:vAlign w:val="center"/>
          </w:tcPr>
          <w:p w14:paraId="08B9308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起止时间</w:t>
            </w:r>
          </w:p>
        </w:tc>
      </w:tr>
      <w:tr w14:paraId="33760569">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55986A34">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746C6827">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696213B7">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5F656A12">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37A79E65">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0700F5DF">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0EC506A2">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18AB42F7">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7C154F8C">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633F6648">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58BD728A">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r w14:paraId="58D8BFE7">
        <w:tblPrEx>
          <w:tblCellMar>
            <w:top w:w="0" w:type="dxa"/>
            <w:left w:w="108" w:type="dxa"/>
            <w:bottom w:w="0" w:type="dxa"/>
            <w:right w:w="108" w:type="dxa"/>
          </w:tblCellMar>
        </w:tblPrEx>
        <w:trPr>
          <w:trHeight w:val="915" w:hRule="atLeast"/>
          <w:jc w:val="center"/>
        </w:trPr>
        <w:tc>
          <w:tcPr>
            <w:tcW w:w="1308" w:type="pct"/>
            <w:gridSpan w:val="2"/>
            <w:tcBorders>
              <w:top w:val="single" w:color="auto" w:sz="8" w:space="0"/>
              <w:left w:val="single" w:color="auto" w:sz="8" w:space="0"/>
              <w:bottom w:val="single" w:color="auto" w:sz="8" w:space="0"/>
              <w:right w:val="single" w:color="000000" w:sz="8" w:space="0"/>
            </w:tcBorders>
            <w:vAlign w:val="center"/>
          </w:tcPr>
          <w:p w14:paraId="66740799">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748" w:type="pct"/>
            <w:gridSpan w:val="2"/>
            <w:tcBorders>
              <w:top w:val="single" w:color="auto" w:sz="8" w:space="0"/>
              <w:left w:val="nil"/>
              <w:bottom w:val="single" w:color="auto" w:sz="8" w:space="0"/>
              <w:right w:val="single" w:color="000000" w:sz="8" w:space="0"/>
            </w:tcBorders>
            <w:vAlign w:val="center"/>
          </w:tcPr>
          <w:p w14:paraId="52C6FBC3">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1063" w:type="pct"/>
            <w:gridSpan w:val="3"/>
            <w:tcBorders>
              <w:top w:val="single" w:color="auto" w:sz="8" w:space="0"/>
              <w:left w:val="nil"/>
              <w:bottom w:val="single" w:color="auto" w:sz="8" w:space="0"/>
              <w:right w:val="single" w:color="000000" w:sz="8" w:space="0"/>
            </w:tcBorders>
            <w:vAlign w:val="center"/>
          </w:tcPr>
          <w:p w14:paraId="73A74492">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27" w:type="pct"/>
            <w:gridSpan w:val="3"/>
            <w:tcBorders>
              <w:top w:val="single" w:color="auto" w:sz="8" w:space="0"/>
              <w:left w:val="nil"/>
              <w:bottom w:val="single" w:color="auto" w:sz="8" w:space="0"/>
              <w:right w:val="single" w:color="000000" w:sz="8" w:space="0"/>
            </w:tcBorders>
            <w:vAlign w:val="center"/>
          </w:tcPr>
          <w:p w14:paraId="39CC6FFD">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c>
          <w:tcPr>
            <w:tcW w:w="953" w:type="pct"/>
            <w:gridSpan w:val="2"/>
            <w:tcBorders>
              <w:top w:val="single" w:color="auto" w:sz="8" w:space="0"/>
              <w:left w:val="nil"/>
              <w:bottom w:val="single" w:color="auto" w:sz="8" w:space="0"/>
              <w:right w:val="single" w:color="000000" w:sz="8" w:space="0"/>
            </w:tcBorders>
            <w:vAlign w:val="center"/>
          </w:tcPr>
          <w:p w14:paraId="5676A8D2">
            <w:pPr>
              <w:widowControl/>
              <w:snapToGrid w:val="0"/>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w:t>
            </w:r>
          </w:p>
        </w:tc>
      </w:tr>
    </w:tbl>
    <w:p w14:paraId="60BE6408">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备注：</w:t>
      </w:r>
    </w:p>
    <w:p w14:paraId="1263EEEB">
      <w:pPr>
        <w:numPr>
          <w:ilvl w:val="0"/>
          <w:numId w:val="7"/>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拟投入本项目的项目负责人需提供本简历表。</w:t>
      </w:r>
    </w:p>
    <w:p w14:paraId="112B1FF9">
      <w:pPr>
        <w:numPr>
          <w:ilvl w:val="0"/>
          <w:numId w:val="7"/>
        </w:numPr>
        <w:overflowPunct w:val="0"/>
        <w:spacing w:before="120" w:line="360" w:lineRule="auto"/>
        <w:ind w:left="267" w:leftChars="-73" w:hanging="420" w:hanging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需提供项目负责人的资格证书（或注册/执业/岗位证书/技术职称）、以及人力资源和社会保障部门（或税务部门）出具的投标人202</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年3月至202</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年2月为其缴纳的社保证明复印件。</w:t>
      </w:r>
    </w:p>
    <w:p w14:paraId="375C89C2">
      <w:pPr>
        <w:spacing w:line="360" w:lineRule="auto"/>
        <w:ind w:left="685" w:leftChars="176" w:hanging="315" w:hangingChars="15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highlight w:val="none"/>
          <w:lang w:val="zh-CN"/>
        </w:rPr>
        <w:t>投标人：（加盖投标人法人公章）</w:t>
      </w:r>
    </w:p>
    <w:p w14:paraId="760100E5">
      <w:pPr>
        <w:spacing w:before="120" w:after="120" w:line="360" w:lineRule="auto"/>
        <w:ind w:left="629" w:firstLine="5040"/>
        <w:outlineLvl w:val="9"/>
        <w:rPr>
          <w:rFonts w:hint="eastAsia" w:ascii="宋体" w:hAnsi="宋体" w:eastAsia="宋体" w:cs="宋体"/>
          <w:b/>
          <w:color w:val="auto"/>
          <w:sz w:val="32"/>
          <w:szCs w:val="32"/>
          <w:highlight w:val="none"/>
        </w:rPr>
      </w:pPr>
      <w:r>
        <w:rPr>
          <w:rFonts w:hint="eastAsia" w:ascii="宋体" w:hAnsi="宋体" w:eastAsia="宋体" w:cs="宋体"/>
          <w:color w:val="auto"/>
          <w:highlight w:val="none"/>
          <w:lang w:val="zh-CN"/>
        </w:rPr>
        <w:t>日期：   年    月     日</w:t>
      </w:r>
    </w:p>
    <w:p w14:paraId="60F6EC36">
      <w:pPr>
        <w:outlineLvl w:val="9"/>
        <w:rPr>
          <w:rFonts w:hint="eastAsia" w:ascii="宋体" w:hAnsi="宋体" w:eastAsia="宋体" w:cs="宋体"/>
          <w:b w:val="0"/>
          <w:color w:val="auto"/>
          <w:kern w:val="2"/>
          <w:sz w:val="21"/>
          <w:szCs w:val="22"/>
          <w:highlight w:val="none"/>
        </w:rPr>
      </w:pPr>
    </w:p>
    <w:p w14:paraId="2ACA073E">
      <w:pPr>
        <w:outlineLvl w:val="9"/>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527A7FC4">
      <w:pPr>
        <w:pageBreakBefore w:val="0"/>
        <w:autoSpaceDE w:val="0"/>
        <w:autoSpaceDN w:val="0"/>
        <w:adjustRightInd w:val="0"/>
        <w:spacing w:line="360" w:lineRule="auto"/>
        <w:jc w:val="center"/>
        <w:outlineLvl w:val="2"/>
        <w:rPr>
          <w:rFonts w:ascii="宋体" w:hAnsi="宋体" w:eastAsia="宋体" w:cs="宋体"/>
          <w:b/>
          <w:color w:val="auto"/>
          <w:kern w:val="0"/>
          <w:sz w:val="32"/>
          <w:szCs w:val="32"/>
          <w:highlight w:val="none"/>
          <w:lang w:bidi="ar"/>
        </w:rPr>
      </w:pPr>
      <w:bookmarkStart w:id="657" w:name="_Toc169169459"/>
      <w:bookmarkStart w:id="658" w:name="_Toc31131"/>
      <w:r>
        <w:rPr>
          <w:rFonts w:hint="eastAsia" w:ascii="宋体" w:hAnsi="宋体" w:eastAsia="宋体" w:cs="宋体"/>
          <w:b/>
          <w:color w:val="auto"/>
          <w:kern w:val="0"/>
          <w:sz w:val="32"/>
          <w:szCs w:val="32"/>
          <w:highlight w:val="none"/>
          <w:lang w:val="en-US" w:eastAsia="zh-CN" w:bidi="ar"/>
        </w:rPr>
        <w:t>(3)人员</w:t>
      </w:r>
      <w:r>
        <w:rPr>
          <w:rFonts w:hint="eastAsia" w:ascii="宋体" w:hAnsi="宋体" w:eastAsia="宋体" w:cs="宋体"/>
          <w:b/>
          <w:color w:val="auto"/>
          <w:kern w:val="0"/>
          <w:sz w:val="32"/>
          <w:szCs w:val="32"/>
          <w:highlight w:val="none"/>
          <w:lang w:bidi="ar"/>
        </w:rPr>
        <w:t>承诺书格式</w:t>
      </w:r>
      <w:bookmarkEnd w:id="657"/>
      <w:bookmarkEnd w:id="658"/>
    </w:p>
    <w:p w14:paraId="1BA7CE72">
      <w:pPr>
        <w:autoSpaceDE w:val="0"/>
        <w:autoSpaceDN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p w14:paraId="25B6B9B4">
      <w:pPr>
        <w:widowControl/>
        <w:autoSpaceDE w:val="0"/>
        <w:adjustRightInd w:val="0"/>
        <w:jc w:val="center"/>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val="en-US" w:eastAsia="zh-CN" w:bidi="ar"/>
        </w:rPr>
        <w:t>人员</w:t>
      </w:r>
      <w:r>
        <w:rPr>
          <w:rFonts w:hint="eastAsia" w:ascii="宋体" w:hAnsi="宋体" w:eastAsia="宋体" w:cs="宋体"/>
          <w:b/>
          <w:color w:val="auto"/>
          <w:kern w:val="0"/>
          <w:sz w:val="32"/>
          <w:szCs w:val="32"/>
          <w:highlight w:val="none"/>
          <w:lang w:bidi="ar"/>
        </w:rPr>
        <w:t>承诺书</w:t>
      </w:r>
    </w:p>
    <w:p w14:paraId="5901EA3B">
      <w:pPr>
        <w:widowControl/>
        <w:autoSpaceDE w:val="0"/>
        <w:adjustRightInd w:val="0"/>
        <w:jc w:val="left"/>
        <w:rPr>
          <w:rFonts w:ascii="宋体" w:hAnsi="宋体" w:eastAsia="宋体" w:cs="宋体"/>
          <w:b/>
          <w:color w:val="auto"/>
          <w:sz w:val="32"/>
          <w:szCs w:val="32"/>
          <w:highlight w:val="none"/>
        </w:rPr>
      </w:pPr>
      <w:r>
        <w:rPr>
          <w:rFonts w:hint="eastAsia" w:ascii="宋体" w:hAnsi="宋体" w:eastAsia="宋体" w:cs="宋体"/>
          <w:b/>
          <w:color w:val="auto"/>
          <w:kern w:val="0"/>
          <w:sz w:val="32"/>
          <w:szCs w:val="32"/>
          <w:highlight w:val="none"/>
          <w:lang w:bidi="ar"/>
        </w:rPr>
        <w:t xml:space="preserve"> </w:t>
      </w:r>
    </w:p>
    <w:tbl>
      <w:tblPr>
        <w:tblStyle w:val="3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42"/>
        <w:gridCol w:w="5024"/>
      </w:tblGrid>
      <w:tr w14:paraId="703E02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55169A2A">
            <w:pPr>
              <w:autoSpaceDE w:val="0"/>
              <w:autoSpaceDN w:val="0"/>
              <w:adjustRightInd w:val="0"/>
              <w:spacing w:line="360" w:lineRule="auto"/>
              <w:jc w:val="center"/>
              <w:rPr>
                <w:rFonts w:ascii="宋体" w:hAnsi="宋体" w:eastAsia="宋体" w:cs="Courier New"/>
                <w:b/>
                <w:color w:val="auto"/>
                <w:kern w:val="0"/>
                <w:szCs w:val="21"/>
                <w:highlight w:val="none"/>
                <w:shd w:val="clear" w:color="auto" w:fill="FFFFFF"/>
              </w:rPr>
            </w:pPr>
            <w:r>
              <w:rPr>
                <w:rFonts w:hint="eastAsia" w:ascii="宋体" w:hAnsi="宋体" w:eastAsia="宋体" w:cs="宋体"/>
                <w:b/>
                <w:color w:val="auto"/>
                <w:kern w:val="0"/>
                <w:szCs w:val="21"/>
                <w:highlight w:val="none"/>
                <w:shd w:val="clear" w:color="auto" w:fill="FFFFFF"/>
                <w:lang w:bidi="ar"/>
              </w:rPr>
              <w:t>承诺事项</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09AF0BDE">
            <w:pPr>
              <w:autoSpaceDE w:val="0"/>
              <w:autoSpaceDN w:val="0"/>
              <w:adjustRightInd w:val="0"/>
              <w:spacing w:line="360" w:lineRule="auto"/>
              <w:jc w:val="center"/>
              <w:rPr>
                <w:rFonts w:hint="eastAsia" w:ascii="宋体" w:hAnsi="宋体" w:eastAsia="宋体" w:cs="Courier New"/>
                <w:b/>
                <w:color w:val="auto"/>
                <w:kern w:val="0"/>
                <w:szCs w:val="21"/>
                <w:highlight w:val="none"/>
                <w:shd w:val="clear" w:color="auto" w:fill="FFFFFF"/>
                <w:lang w:eastAsia="zh-CN"/>
              </w:rPr>
            </w:pPr>
            <w:r>
              <w:rPr>
                <w:rFonts w:hint="eastAsia" w:ascii="宋体" w:hAnsi="宋体" w:eastAsia="宋体" w:cs="宋体"/>
                <w:b/>
                <w:color w:val="auto"/>
                <w:kern w:val="0"/>
                <w:szCs w:val="21"/>
                <w:highlight w:val="none"/>
                <w:shd w:val="clear" w:color="auto" w:fill="FFFFFF"/>
                <w:lang w:val="en-US" w:eastAsia="zh-CN" w:bidi="ar"/>
              </w:rPr>
              <w:t>人员数量</w:t>
            </w:r>
          </w:p>
        </w:tc>
      </w:tr>
      <w:tr w14:paraId="646A0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2576" w:type="pct"/>
            <w:tcBorders>
              <w:top w:val="single" w:color="auto" w:sz="4" w:space="0"/>
              <w:left w:val="single" w:color="auto" w:sz="4" w:space="0"/>
              <w:bottom w:val="single" w:color="auto" w:sz="4" w:space="0"/>
              <w:right w:val="single" w:color="auto" w:sz="4" w:space="0"/>
            </w:tcBorders>
            <w:shd w:val="clear" w:color="auto" w:fill="auto"/>
            <w:vAlign w:val="center"/>
          </w:tcPr>
          <w:p w14:paraId="285F91B5">
            <w:pPr>
              <w:autoSpaceDE w:val="0"/>
              <w:autoSpaceDN w:val="0"/>
              <w:adjustRightInd w:val="0"/>
              <w:spacing w:line="360" w:lineRule="auto"/>
              <w:jc w:val="center"/>
              <w:rPr>
                <w:rFonts w:ascii="宋体" w:hAnsi="宋体" w:eastAsia="宋体" w:cs="Courier New"/>
                <w:color w:val="auto"/>
                <w:kern w:val="0"/>
                <w:szCs w:val="21"/>
                <w:highlight w:val="none"/>
                <w:shd w:val="clear" w:color="auto" w:fill="FFFFFF"/>
              </w:rPr>
            </w:pPr>
            <w:r>
              <w:rPr>
                <w:rFonts w:hint="eastAsia" w:ascii="宋体" w:hAnsi="宋体" w:eastAsia="宋体" w:cs="Courier New"/>
                <w:color w:val="auto"/>
                <w:kern w:val="0"/>
                <w:szCs w:val="21"/>
                <w:highlight w:val="none"/>
                <w:shd w:val="clear" w:color="auto" w:fill="FFFFFF"/>
              </w:rPr>
              <w:t>在满足用户需求书中厨师要求的基础上，承诺提供具有人力资源和社会保障部门颁发的中级(国家职业资格四级)或以上职业资格证书（工种为中式烹调师）</w:t>
            </w:r>
            <w:r>
              <w:rPr>
                <w:rFonts w:hint="eastAsia" w:ascii="宋体" w:hAnsi="宋体" w:eastAsia="宋体" w:cs="Courier New"/>
                <w:color w:val="auto"/>
                <w:kern w:val="0"/>
                <w:szCs w:val="21"/>
                <w:highlight w:val="none"/>
                <w:shd w:val="clear" w:color="auto" w:fill="FFFFFF"/>
                <w:lang w:val="en-US" w:eastAsia="zh-CN"/>
              </w:rPr>
              <w:t>的</w:t>
            </w:r>
            <w:r>
              <w:rPr>
                <w:rFonts w:hint="eastAsia" w:ascii="宋体" w:hAnsi="宋体" w:eastAsia="宋体" w:cs="Courier New"/>
                <w:color w:val="auto"/>
                <w:kern w:val="0"/>
                <w:szCs w:val="21"/>
                <w:highlight w:val="none"/>
                <w:shd w:val="clear" w:color="auto" w:fill="FFFFFF"/>
              </w:rPr>
              <w:t>厨师</w:t>
            </w:r>
            <w:r>
              <w:rPr>
                <w:rFonts w:hint="eastAsia" w:ascii="宋体" w:hAnsi="宋体" w:eastAsia="宋体" w:cs="Courier New"/>
                <w:color w:val="auto"/>
                <w:kern w:val="0"/>
                <w:szCs w:val="21"/>
                <w:highlight w:val="none"/>
                <w:shd w:val="clear" w:color="auto" w:fill="FFFFFF"/>
                <w:lang w:val="en-US" w:eastAsia="zh-CN"/>
              </w:rPr>
              <w:t>人数</w:t>
            </w:r>
            <w:r>
              <w:rPr>
                <w:rFonts w:hint="eastAsia" w:ascii="宋体" w:hAnsi="宋体" w:eastAsia="宋体" w:cs="Courier New"/>
                <w:color w:val="auto"/>
                <w:kern w:val="0"/>
                <w:szCs w:val="21"/>
                <w:highlight w:val="none"/>
                <w:shd w:val="clear" w:color="auto" w:fill="FFFFFF"/>
              </w:rPr>
              <w:t>。</w:t>
            </w:r>
          </w:p>
        </w:tc>
        <w:tc>
          <w:tcPr>
            <w:tcW w:w="2423" w:type="pct"/>
            <w:tcBorders>
              <w:top w:val="single" w:color="auto" w:sz="4" w:space="0"/>
              <w:left w:val="single" w:color="auto" w:sz="4" w:space="0"/>
              <w:bottom w:val="single" w:color="auto" w:sz="4" w:space="0"/>
              <w:right w:val="single" w:color="auto" w:sz="4" w:space="0"/>
            </w:tcBorders>
            <w:shd w:val="clear" w:color="auto" w:fill="auto"/>
            <w:vAlign w:val="center"/>
          </w:tcPr>
          <w:p w14:paraId="44580C3F">
            <w:pPr>
              <w:autoSpaceDE w:val="0"/>
              <w:autoSpaceDN w:val="0"/>
              <w:adjustRightInd w:val="0"/>
              <w:spacing w:line="360" w:lineRule="auto"/>
              <w:jc w:val="center"/>
              <w:rPr>
                <w:rFonts w:hint="eastAsia" w:ascii="宋体" w:hAnsi="宋体" w:eastAsia="宋体" w:cs="Courier New"/>
                <w:color w:val="auto"/>
                <w:kern w:val="0"/>
                <w:szCs w:val="21"/>
                <w:highlight w:val="none"/>
                <w:shd w:val="clear" w:color="auto" w:fill="FFFFFF"/>
                <w:lang w:eastAsia="zh-CN"/>
              </w:rPr>
            </w:pPr>
            <w:r>
              <w:rPr>
                <w:rFonts w:hint="eastAsia" w:ascii="宋体" w:hAnsi="宋体" w:eastAsia="宋体" w:cs="Courier New"/>
                <w:bCs/>
                <w:color w:val="auto"/>
                <w:kern w:val="0"/>
                <w:szCs w:val="21"/>
                <w:highlight w:val="none"/>
                <w:u w:val="single"/>
                <w:lang w:bidi="ar"/>
              </w:rPr>
              <w:t xml:space="preserve">        </w:t>
            </w:r>
            <w:r>
              <w:rPr>
                <w:rFonts w:hint="eastAsia" w:ascii="宋体" w:hAnsi="宋体" w:eastAsia="宋体" w:cs="宋体"/>
                <w:bCs/>
                <w:color w:val="auto"/>
                <w:kern w:val="0"/>
                <w:szCs w:val="21"/>
                <w:highlight w:val="none"/>
                <w:lang w:val="en-US" w:eastAsia="zh-CN" w:bidi="ar"/>
              </w:rPr>
              <w:t>人</w:t>
            </w:r>
          </w:p>
        </w:tc>
      </w:tr>
    </w:tbl>
    <w:p w14:paraId="7064910A">
      <w:pPr>
        <w:autoSpaceDE w:val="0"/>
        <w:autoSpaceDN w:val="0"/>
        <w:adjustRightInd w:val="0"/>
        <w:spacing w:line="360" w:lineRule="auto"/>
        <w:ind w:firstLine="5040"/>
        <w:rPr>
          <w:rFonts w:hint="eastAsia" w:ascii="宋体" w:hAnsi="宋体" w:eastAsia="宋体" w:cs="宋体"/>
          <w:color w:val="auto"/>
          <w:szCs w:val="21"/>
          <w:highlight w:val="none"/>
          <w:lang w:bidi="ar"/>
        </w:rPr>
      </w:pPr>
    </w:p>
    <w:p w14:paraId="3C945EC9">
      <w:pPr>
        <w:autoSpaceDE w:val="0"/>
        <w:autoSpaceDN w:val="0"/>
        <w:adjustRightInd w:val="0"/>
        <w:spacing w:line="360" w:lineRule="auto"/>
        <w:ind w:firstLine="5040"/>
        <w:rPr>
          <w:rFonts w:ascii="宋体" w:hAnsi="宋体" w:eastAsia="宋体" w:cs="宋体"/>
          <w:color w:val="auto"/>
          <w:szCs w:val="21"/>
          <w:highlight w:val="none"/>
        </w:rPr>
      </w:pPr>
      <w:r>
        <w:rPr>
          <w:rFonts w:hint="eastAsia" w:ascii="宋体" w:hAnsi="宋体" w:eastAsia="宋体" w:cs="宋体"/>
          <w:color w:val="auto"/>
          <w:szCs w:val="21"/>
          <w:highlight w:val="none"/>
          <w:lang w:bidi="ar"/>
        </w:rPr>
        <w:t>投标人：（加盖投标人法人公章）</w:t>
      </w:r>
    </w:p>
    <w:p w14:paraId="4A2D9A1F">
      <w:pPr>
        <w:autoSpaceDE w:val="0"/>
        <w:autoSpaceDN w:val="0"/>
        <w:adjustRightInd w:val="0"/>
        <w:spacing w:line="360" w:lineRule="auto"/>
        <w:ind w:firstLine="5040"/>
        <w:rPr>
          <w:rFonts w:ascii="宋体" w:hAnsi="宋体" w:eastAsia="宋体" w:cs="宋体"/>
          <w:color w:val="auto"/>
          <w:sz w:val="24"/>
          <w:szCs w:val="24"/>
          <w:highlight w:val="none"/>
        </w:rPr>
      </w:pPr>
      <w:r>
        <w:rPr>
          <w:rFonts w:hint="eastAsia" w:ascii="宋体" w:hAnsi="宋体" w:eastAsia="宋体" w:cs="宋体"/>
          <w:color w:val="auto"/>
          <w:szCs w:val="21"/>
          <w:highlight w:val="none"/>
          <w:lang w:bidi="ar"/>
        </w:rPr>
        <w:t>日期：   年   月   日</w:t>
      </w:r>
    </w:p>
    <w:p w14:paraId="5EFC1C41">
      <w:pPr>
        <w:pStyle w:val="2"/>
        <w:rPr>
          <w:rFonts w:hint="eastAsia" w:ascii="宋体" w:hAnsi="宋体" w:eastAsia="宋体" w:cs="宋体"/>
          <w:b/>
          <w:color w:val="auto"/>
          <w:kern w:val="0"/>
          <w:sz w:val="30"/>
          <w:szCs w:val="30"/>
          <w:highlight w:val="none"/>
          <w:lang w:val="en-US" w:eastAsia="zh-CN"/>
        </w:rPr>
      </w:pPr>
    </w:p>
    <w:p w14:paraId="7B12EE53">
      <w:pPr>
        <w:pStyle w:val="2"/>
        <w:rPr>
          <w:rFonts w:hint="eastAsia" w:ascii="宋体" w:hAnsi="宋体" w:eastAsia="宋体" w:cs="宋体"/>
          <w:b/>
          <w:color w:val="auto"/>
          <w:kern w:val="0"/>
          <w:sz w:val="30"/>
          <w:szCs w:val="30"/>
          <w:highlight w:val="none"/>
          <w:lang w:val="en-US" w:eastAsia="zh-CN"/>
        </w:rPr>
      </w:pPr>
    </w:p>
    <w:p w14:paraId="7984ED91">
      <w:pPr>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lang w:val="en-US" w:eastAsia="zh-CN"/>
        </w:rPr>
        <w:br w:type="page"/>
      </w:r>
    </w:p>
    <w:p w14:paraId="1AE8C5EF">
      <w:pPr>
        <w:outlineLvl w:val="2"/>
        <w:rPr>
          <w:rFonts w:hint="eastAsia" w:ascii="宋体" w:hAnsi="宋体" w:eastAsia="宋体" w:cs="宋体"/>
          <w:b/>
          <w:color w:val="auto"/>
          <w:kern w:val="0"/>
          <w:sz w:val="30"/>
          <w:szCs w:val="30"/>
          <w:highlight w:val="none"/>
          <w:lang w:val="en-US" w:eastAsia="zh-CN"/>
        </w:rPr>
      </w:pPr>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.4 应急预案和保障措施（投标人自行编写）</w:t>
      </w:r>
      <w:r>
        <w:rPr>
          <w:rFonts w:hint="eastAsia" w:ascii="宋体" w:hAnsi="宋体" w:eastAsia="宋体" w:cs="宋体"/>
          <w:b/>
          <w:color w:val="auto"/>
          <w:kern w:val="0"/>
          <w:sz w:val="30"/>
          <w:szCs w:val="30"/>
          <w:highlight w:val="none"/>
          <w:lang w:val="en-US" w:eastAsia="zh-CN"/>
        </w:rPr>
        <w:br w:type="page"/>
      </w:r>
    </w:p>
    <w:p w14:paraId="61BC76E5">
      <w:pPr>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bookmarkStart w:id="659" w:name="_Toc3750"/>
      <w:bookmarkStart w:id="660" w:name="_Toc18180"/>
      <w:bookmarkStart w:id="661" w:name="_Toc30545"/>
      <w:r>
        <w:rPr>
          <w:rFonts w:hint="eastAsia" w:ascii="宋体" w:hAnsi="宋体" w:eastAsia="宋体" w:cs="宋体"/>
          <w:b/>
          <w:color w:val="auto"/>
          <w:kern w:val="0"/>
          <w:sz w:val="30"/>
          <w:szCs w:val="30"/>
          <w:highlight w:val="none"/>
        </w:rPr>
        <w:t>1</w:t>
      </w:r>
      <w:r>
        <w:rPr>
          <w:rFonts w:hint="eastAsia" w:ascii="宋体" w:hAnsi="宋体" w:eastAsia="宋体" w:cs="宋体"/>
          <w:b/>
          <w:color w:val="auto"/>
          <w:kern w:val="0"/>
          <w:sz w:val="30"/>
          <w:szCs w:val="30"/>
          <w:highlight w:val="none"/>
          <w:lang w:val="en-US" w:eastAsia="zh-CN"/>
        </w:rPr>
        <w:t>4</w:t>
      </w:r>
      <w:r>
        <w:rPr>
          <w:rFonts w:hint="eastAsia" w:ascii="宋体" w:hAnsi="宋体" w:eastAsia="宋体" w:cs="宋体"/>
          <w:b/>
          <w:color w:val="auto"/>
          <w:kern w:val="0"/>
          <w:sz w:val="30"/>
          <w:szCs w:val="30"/>
          <w:highlight w:val="none"/>
        </w:rPr>
        <w:t>.</w:t>
      </w:r>
      <w:r>
        <w:rPr>
          <w:rFonts w:hint="eastAsia" w:ascii="宋体" w:hAnsi="宋体" w:eastAsia="宋体" w:cs="宋体"/>
          <w:b/>
          <w:color w:val="auto"/>
          <w:kern w:val="0"/>
          <w:sz w:val="30"/>
          <w:szCs w:val="30"/>
          <w:highlight w:val="none"/>
          <w:lang w:val="en-US" w:eastAsia="zh-CN"/>
        </w:rPr>
        <w:t>5</w:t>
      </w:r>
      <w:r>
        <w:rPr>
          <w:rFonts w:hint="eastAsia" w:ascii="宋体" w:hAnsi="宋体" w:eastAsia="宋体" w:cs="宋体"/>
          <w:b/>
          <w:color w:val="auto"/>
          <w:kern w:val="0"/>
          <w:sz w:val="30"/>
          <w:szCs w:val="30"/>
          <w:highlight w:val="none"/>
        </w:rPr>
        <w:t xml:space="preserve"> </w:t>
      </w:r>
      <w:r>
        <w:rPr>
          <w:rFonts w:hint="eastAsia" w:ascii="宋体" w:hAnsi="宋体" w:eastAsia="宋体" w:cs="宋体"/>
          <w:b/>
          <w:color w:val="auto"/>
          <w:sz w:val="30"/>
          <w:szCs w:val="30"/>
          <w:highlight w:val="none"/>
        </w:rPr>
        <w:t>购买食品安全责任险承诺书</w:t>
      </w:r>
    </w:p>
    <w:p w14:paraId="120864E9">
      <w:pPr>
        <w:spacing w:line="360" w:lineRule="auto"/>
        <w:ind w:left="-21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说明：中标人须承诺提供一份东莞市水务集团管网有限公司（含其下属子公司）为受益人，额度为人民币500万元的保险（食品安全责任险），每次事故每人医疗赔偿限额50万元，保险承保期限不短于服务时间（一年），如延长服务期，则顺延保险承保期。投标时须单独提交书面承诺书原件加盖投标人公章，格式自拟。</w:t>
      </w:r>
    </w:p>
    <w:p w14:paraId="3304CA69">
      <w:pPr>
        <w:rPr>
          <w:rFonts w:hint="eastAsia" w:ascii="宋体" w:hAnsi="宋体" w:eastAsia="宋体" w:cs="宋体"/>
          <w:color w:val="auto"/>
          <w:highlight w:val="none"/>
        </w:rPr>
      </w:pPr>
      <w:r>
        <w:rPr>
          <w:rFonts w:hint="eastAsia" w:ascii="宋体" w:hAnsi="宋体" w:eastAsia="宋体" w:cs="宋体"/>
          <w:b/>
          <w:color w:val="auto"/>
          <w:kern w:val="0"/>
          <w:sz w:val="30"/>
          <w:szCs w:val="30"/>
          <w:highlight w:val="none"/>
        </w:rPr>
        <w:br w:type="page"/>
      </w:r>
    </w:p>
    <w:p w14:paraId="5B0D54F3">
      <w:pPr>
        <w:pageBreakBefore/>
        <w:autoSpaceDE w:val="0"/>
        <w:autoSpaceDN w:val="0"/>
        <w:adjustRightInd w:val="0"/>
        <w:spacing w:line="360" w:lineRule="auto"/>
        <w:jc w:val="left"/>
        <w:outlineLvl w:val="2"/>
        <w:rPr>
          <w:rFonts w:hint="eastAsia" w:ascii="宋体" w:hAnsi="宋体" w:eastAsia="宋体" w:cs="宋体"/>
          <w:b/>
          <w:color w:val="auto"/>
          <w:kern w:val="0"/>
          <w:sz w:val="30"/>
          <w:szCs w:val="30"/>
          <w:highlight w:val="none"/>
        </w:rPr>
      </w:pPr>
      <w:r>
        <w:rPr>
          <w:rFonts w:hint="eastAsia" w:ascii="宋体" w:hAnsi="宋体" w:eastAsia="宋体" w:cs="宋体"/>
          <w:b/>
          <w:color w:val="auto"/>
          <w:kern w:val="0"/>
          <w:sz w:val="30"/>
          <w:szCs w:val="30"/>
          <w:highlight w:val="none"/>
          <w:lang w:val="en-US" w:eastAsia="zh-CN"/>
        </w:rPr>
        <w:t xml:space="preserve">14.6 </w:t>
      </w:r>
      <w:r>
        <w:rPr>
          <w:rFonts w:hint="eastAsia" w:ascii="宋体" w:hAnsi="宋体" w:eastAsia="宋体" w:cs="宋体"/>
          <w:b/>
          <w:color w:val="auto"/>
          <w:kern w:val="0"/>
          <w:sz w:val="30"/>
          <w:szCs w:val="30"/>
          <w:highlight w:val="none"/>
        </w:rPr>
        <w:t>投标人认为有必要提供的其它材料（不做强制要求）</w:t>
      </w:r>
      <w:bookmarkEnd w:id="651"/>
      <w:bookmarkEnd w:id="652"/>
      <w:bookmarkEnd w:id="653"/>
      <w:bookmarkEnd w:id="654"/>
      <w:bookmarkEnd w:id="655"/>
      <w:bookmarkEnd w:id="659"/>
      <w:bookmarkEnd w:id="660"/>
      <w:bookmarkEnd w:id="661"/>
    </w:p>
    <w:p w14:paraId="6DDBBF36">
      <w:pPr>
        <w:autoSpaceDE w:val="0"/>
        <w:autoSpaceDN w:val="0"/>
        <w:adjustRightInd w:val="0"/>
        <w:jc w:val="left"/>
        <w:outlineLvl w:val="9"/>
        <w:rPr>
          <w:rFonts w:hint="eastAsia" w:ascii="宋体" w:hAnsi="宋体" w:eastAsia="宋体" w:cs="宋体"/>
          <w:color w:val="auto"/>
          <w:kern w:val="0"/>
          <w:sz w:val="24"/>
          <w:szCs w:val="24"/>
          <w:highlight w:val="none"/>
        </w:rPr>
      </w:pPr>
    </w:p>
    <w:p w14:paraId="50DFC353">
      <w:pPr>
        <w:autoSpaceDE w:val="0"/>
        <w:autoSpaceDN w:val="0"/>
        <w:adjustRightInd w:val="0"/>
        <w:jc w:val="left"/>
        <w:outlineLvl w:val="9"/>
        <w:rPr>
          <w:rFonts w:hint="eastAsia" w:ascii="宋体" w:hAnsi="宋体" w:eastAsia="宋体" w:cs="宋体"/>
          <w:color w:val="auto"/>
          <w:kern w:val="0"/>
          <w:sz w:val="24"/>
          <w:szCs w:val="24"/>
          <w:highlight w:val="none"/>
        </w:rPr>
      </w:pPr>
    </w:p>
    <w:p w14:paraId="4FD114CB">
      <w:pPr>
        <w:autoSpaceDE w:val="0"/>
        <w:autoSpaceDN w:val="0"/>
        <w:adjustRightInd w:val="0"/>
        <w:jc w:val="left"/>
        <w:outlineLvl w:val="9"/>
        <w:rPr>
          <w:rFonts w:hint="eastAsia" w:ascii="宋体" w:hAnsi="宋体" w:eastAsia="宋体" w:cs="宋体"/>
          <w:color w:val="auto"/>
          <w:kern w:val="0"/>
          <w:sz w:val="24"/>
          <w:szCs w:val="24"/>
          <w:highlight w:val="none"/>
        </w:rPr>
      </w:pPr>
    </w:p>
    <w:p w14:paraId="71E555E7">
      <w:pPr>
        <w:autoSpaceDE w:val="0"/>
        <w:autoSpaceDN w:val="0"/>
        <w:adjustRightInd w:val="0"/>
        <w:jc w:val="left"/>
        <w:outlineLvl w:val="9"/>
        <w:rPr>
          <w:rFonts w:hint="eastAsia" w:ascii="宋体" w:hAnsi="宋体" w:eastAsia="宋体" w:cs="宋体"/>
          <w:color w:val="auto"/>
          <w:kern w:val="0"/>
          <w:sz w:val="24"/>
          <w:szCs w:val="24"/>
          <w:highlight w:val="none"/>
        </w:rPr>
      </w:pPr>
    </w:p>
    <w:p w14:paraId="3CA5DE2F">
      <w:pPr>
        <w:autoSpaceDE w:val="0"/>
        <w:autoSpaceDN w:val="0"/>
        <w:adjustRightInd w:val="0"/>
        <w:jc w:val="left"/>
        <w:outlineLvl w:val="9"/>
        <w:rPr>
          <w:rFonts w:hint="eastAsia" w:ascii="宋体" w:hAnsi="宋体" w:eastAsia="宋体" w:cs="宋体"/>
          <w:color w:val="auto"/>
          <w:kern w:val="0"/>
          <w:sz w:val="24"/>
          <w:szCs w:val="24"/>
          <w:highlight w:val="none"/>
        </w:rPr>
      </w:pPr>
    </w:p>
    <w:p w14:paraId="351EAE7B">
      <w:pPr>
        <w:autoSpaceDE w:val="0"/>
        <w:autoSpaceDN w:val="0"/>
        <w:adjustRightInd w:val="0"/>
        <w:jc w:val="left"/>
        <w:outlineLvl w:val="9"/>
        <w:rPr>
          <w:rFonts w:hint="eastAsia" w:ascii="宋体" w:hAnsi="宋体" w:eastAsia="宋体" w:cs="宋体"/>
          <w:color w:val="auto"/>
          <w:kern w:val="0"/>
          <w:sz w:val="24"/>
          <w:szCs w:val="24"/>
          <w:highlight w:val="none"/>
        </w:rPr>
      </w:pPr>
    </w:p>
    <w:p w14:paraId="2A58D69E">
      <w:pPr>
        <w:widowControl/>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br w:type="page"/>
      </w:r>
    </w:p>
    <w:p w14:paraId="105ABEB5">
      <w:pPr>
        <w:autoSpaceDE w:val="0"/>
        <w:autoSpaceDN w:val="0"/>
        <w:adjustRightInd w:val="0"/>
        <w:jc w:val="left"/>
        <w:rPr>
          <w:rFonts w:hint="eastAsia" w:ascii="宋体" w:hAnsi="宋体" w:eastAsia="宋体" w:cs="宋体"/>
          <w:color w:val="auto"/>
          <w:kern w:val="0"/>
          <w:sz w:val="24"/>
          <w:szCs w:val="24"/>
          <w:highlight w:val="none"/>
        </w:rPr>
      </w:pPr>
    </w:p>
    <w:p w14:paraId="057BB685">
      <w:pPr>
        <w:tabs>
          <w:tab w:val="left" w:pos="1080"/>
        </w:tabs>
        <w:autoSpaceDE w:val="0"/>
        <w:autoSpaceDN w:val="0"/>
        <w:adjustRightInd w:val="0"/>
        <w:spacing w:line="360" w:lineRule="auto"/>
        <w:jc w:val="left"/>
        <w:outlineLvl w:val="0"/>
        <w:rPr>
          <w:rFonts w:hint="eastAsia" w:ascii="宋体" w:hAnsi="宋体" w:eastAsia="宋体" w:cs="宋体"/>
          <w:b/>
          <w:bCs/>
          <w:color w:val="auto"/>
          <w:kern w:val="44"/>
          <w:sz w:val="32"/>
          <w:szCs w:val="32"/>
          <w:highlight w:val="none"/>
          <w:lang w:val="zh-CN"/>
        </w:rPr>
      </w:pPr>
      <w:bookmarkStart w:id="662" w:name="_Toc14977"/>
      <w:bookmarkStart w:id="663" w:name="_Toc142508390"/>
      <w:bookmarkStart w:id="664" w:name="_Toc18929"/>
      <w:bookmarkStart w:id="665" w:name="_Toc21059"/>
      <w:bookmarkStart w:id="666" w:name="_Toc22601_WPSOffice_Level1"/>
      <w:bookmarkStart w:id="667" w:name="_Toc521918141"/>
      <w:bookmarkStart w:id="668" w:name="_Toc522047402"/>
      <w:r>
        <w:rPr>
          <w:rFonts w:hint="eastAsia" w:ascii="宋体" w:hAnsi="宋体" w:eastAsia="宋体" w:cs="宋体"/>
          <w:b/>
          <w:bCs/>
          <w:color w:val="auto"/>
          <w:kern w:val="44"/>
          <w:sz w:val="32"/>
          <w:szCs w:val="32"/>
          <w:highlight w:val="none"/>
          <w:lang w:val="zh-CN"/>
        </w:rPr>
        <w:t>附件一：评标工作大纲</w:t>
      </w:r>
      <w:bookmarkEnd w:id="662"/>
      <w:bookmarkEnd w:id="663"/>
      <w:bookmarkEnd w:id="664"/>
      <w:bookmarkEnd w:id="665"/>
    </w:p>
    <w:p w14:paraId="0429BD2A">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538D5776">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10B2616F">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2A4AAE01">
      <w:pPr>
        <w:autoSpaceDE w:val="0"/>
        <w:autoSpaceDN w:val="0"/>
        <w:adjustRightInd w:val="0"/>
        <w:spacing w:line="400" w:lineRule="atLeast"/>
        <w:jc w:val="center"/>
        <w:outlineLvl w:val="9"/>
        <w:rPr>
          <w:rFonts w:hint="eastAsia" w:ascii="宋体" w:hAnsi="宋体" w:eastAsia="宋体" w:cs="宋体"/>
          <w:b/>
          <w:bCs/>
          <w:color w:val="auto"/>
          <w:szCs w:val="21"/>
          <w:highlight w:val="none"/>
        </w:rPr>
      </w:pPr>
    </w:p>
    <w:p w14:paraId="1FB581EB">
      <w:pPr>
        <w:autoSpaceDE w:val="0"/>
        <w:autoSpaceDN w:val="0"/>
        <w:adjustRightInd w:val="0"/>
        <w:spacing w:line="360" w:lineRule="auto"/>
        <w:jc w:val="center"/>
        <w:outlineLvl w:val="9"/>
        <w:rPr>
          <w:rFonts w:hint="eastAsia" w:ascii="宋体" w:hAnsi="宋体" w:eastAsia="宋体" w:cs="宋体"/>
          <w:b/>
          <w:bCs/>
          <w:color w:val="auto"/>
          <w:sz w:val="36"/>
          <w:szCs w:val="44"/>
          <w:highlight w:val="none"/>
        </w:rPr>
      </w:pPr>
      <w:r>
        <w:rPr>
          <w:rFonts w:hint="eastAsia" w:ascii="宋体" w:hAnsi="宋体" w:eastAsia="宋体" w:cs="宋体"/>
          <w:b/>
          <w:bCs/>
          <w:color w:val="auto"/>
          <w:sz w:val="40"/>
          <w:szCs w:val="36"/>
          <w:highlight w:val="none"/>
        </w:rPr>
        <w:t>东莞市水务集团管网有限公司2025年餐厨及清洁服务采购项目</w:t>
      </w:r>
    </w:p>
    <w:p w14:paraId="2AABFBE0">
      <w:pPr>
        <w:autoSpaceDE w:val="0"/>
        <w:autoSpaceDN w:val="0"/>
        <w:adjustRightInd w:val="0"/>
        <w:spacing w:line="360" w:lineRule="auto"/>
        <w:jc w:val="center"/>
        <w:outlineLvl w:val="9"/>
        <w:rPr>
          <w:rFonts w:hint="eastAsia" w:ascii="宋体" w:hAnsi="宋体" w:eastAsia="宋体" w:cs="宋体"/>
          <w:b/>
          <w:bCs/>
          <w:color w:val="auto"/>
          <w:sz w:val="36"/>
          <w:szCs w:val="36"/>
          <w:highlight w:val="none"/>
        </w:rPr>
      </w:pPr>
      <w:bookmarkStart w:id="669" w:name="_Toc14752_WPSOffice_Level1"/>
      <w:r>
        <w:rPr>
          <w:rFonts w:hint="eastAsia" w:ascii="宋体" w:hAnsi="宋体" w:eastAsia="宋体" w:cs="宋体"/>
          <w:b/>
          <w:bCs/>
          <w:color w:val="auto"/>
          <w:sz w:val="36"/>
          <w:szCs w:val="36"/>
          <w:highlight w:val="none"/>
          <w:lang w:val="zh-CN"/>
        </w:rPr>
        <w:t>（招标编号：YDZB25DGQY0006）</w:t>
      </w:r>
      <w:bookmarkEnd w:id="669"/>
    </w:p>
    <w:p w14:paraId="62B7CEDD">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2EE9832F">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6F668958">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6A1DE54E">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2A6637A8">
      <w:pPr>
        <w:autoSpaceDE w:val="0"/>
        <w:autoSpaceDN w:val="0"/>
        <w:adjustRightInd w:val="0"/>
        <w:spacing w:line="400" w:lineRule="atLeast"/>
        <w:jc w:val="center"/>
        <w:outlineLvl w:val="9"/>
        <w:rPr>
          <w:rFonts w:hint="eastAsia" w:ascii="宋体" w:hAnsi="宋体" w:eastAsia="宋体" w:cs="宋体"/>
          <w:b/>
          <w:bCs/>
          <w:color w:val="auto"/>
          <w:sz w:val="72"/>
          <w:szCs w:val="72"/>
          <w:highlight w:val="none"/>
          <w:lang w:val="zh-CN"/>
        </w:rPr>
      </w:pPr>
      <w:bookmarkStart w:id="670" w:name="_Toc18947_WPSOffice_Level2"/>
      <w:r>
        <w:rPr>
          <w:rFonts w:hint="eastAsia" w:ascii="宋体" w:hAnsi="宋体" w:eastAsia="宋体" w:cs="宋体"/>
          <w:b/>
          <w:bCs/>
          <w:color w:val="auto"/>
          <w:sz w:val="72"/>
          <w:szCs w:val="72"/>
          <w:highlight w:val="none"/>
          <w:lang w:val="zh-CN"/>
        </w:rPr>
        <w:t>评标工作大纲</w:t>
      </w:r>
      <w:bookmarkEnd w:id="670"/>
    </w:p>
    <w:p w14:paraId="13923314">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5EC43E98">
      <w:pPr>
        <w:autoSpaceDE w:val="0"/>
        <w:autoSpaceDN w:val="0"/>
        <w:adjustRightInd w:val="0"/>
        <w:spacing w:line="400" w:lineRule="atLeast"/>
        <w:outlineLvl w:val="9"/>
        <w:rPr>
          <w:rFonts w:hint="eastAsia" w:ascii="宋体" w:hAnsi="宋体" w:eastAsia="宋体" w:cs="宋体"/>
          <w:b/>
          <w:bCs/>
          <w:color w:val="auto"/>
          <w:sz w:val="36"/>
          <w:szCs w:val="36"/>
          <w:highlight w:val="none"/>
        </w:rPr>
      </w:pPr>
    </w:p>
    <w:p w14:paraId="705A516D">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741A8321">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15F180D8">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3FBB10F4">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广东有德招标采购有限公司</w:t>
      </w:r>
    </w:p>
    <w:p w14:paraId="0CDC76A4">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p>
    <w:p w14:paraId="293AA73A">
      <w:pPr>
        <w:autoSpaceDE w:val="0"/>
        <w:autoSpaceDN w:val="0"/>
        <w:adjustRightInd w:val="0"/>
        <w:spacing w:line="400" w:lineRule="atLeast"/>
        <w:jc w:val="center"/>
        <w:outlineLvl w:val="9"/>
        <w:rPr>
          <w:rFonts w:hint="eastAsia" w:ascii="宋体" w:hAnsi="宋体" w:eastAsia="宋体" w:cs="宋体"/>
          <w:b/>
          <w:bCs/>
          <w:color w:val="auto"/>
          <w:sz w:val="36"/>
          <w:szCs w:val="36"/>
          <w:highlight w:val="none"/>
        </w:rPr>
      </w:pPr>
      <w:r>
        <w:rPr>
          <w:rFonts w:hint="eastAsia" w:ascii="宋体" w:hAnsi="宋体" w:eastAsia="宋体" w:cs="宋体"/>
          <w:color w:val="auto"/>
          <w:sz w:val="44"/>
          <w:szCs w:val="44"/>
          <w:highlight w:val="none"/>
        </w:rPr>
        <w:br w:type="page"/>
      </w:r>
      <w:bookmarkStart w:id="671" w:name="_Toc32395_WPSOffice_Level1"/>
      <w:r>
        <w:rPr>
          <w:rFonts w:hint="eastAsia" w:ascii="宋体" w:hAnsi="宋体" w:eastAsia="宋体" w:cs="宋体"/>
          <w:b/>
          <w:bCs/>
          <w:color w:val="auto"/>
          <w:sz w:val="36"/>
          <w:szCs w:val="36"/>
          <w:highlight w:val="none"/>
          <w:lang w:val="zh-CN"/>
        </w:rPr>
        <w:t>目录</w:t>
      </w:r>
      <w:bookmarkEnd w:id="671"/>
    </w:p>
    <w:p w14:paraId="5E6F55AE">
      <w:pPr>
        <w:autoSpaceDE w:val="0"/>
        <w:autoSpaceDN w:val="0"/>
        <w:adjustRightInd w:val="0"/>
        <w:spacing w:line="400" w:lineRule="atLeast"/>
        <w:jc w:val="center"/>
        <w:outlineLvl w:val="9"/>
        <w:rPr>
          <w:rFonts w:hint="eastAsia" w:ascii="宋体" w:hAnsi="宋体" w:eastAsia="宋体" w:cs="宋体"/>
          <w:color w:val="auto"/>
          <w:sz w:val="44"/>
          <w:szCs w:val="44"/>
          <w:highlight w:val="none"/>
        </w:rPr>
      </w:pPr>
    </w:p>
    <w:p w14:paraId="157571FE">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72" w:name="_Toc21604_WPSOffice_Level1"/>
      <w:r>
        <w:rPr>
          <w:rFonts w:hint="eastAsia" w:ascii="宋体" w:hAnsi="宋体" w:eastAsia="宋体" w:cs="宋体"/>
          <w:color w:val="auto"/>
          <w:szCs w:val="30"/>
          <w:highlight w:val="none"/>
          <w:lang w:val="zh-CN"/>
        </w:rPr>
        <w:t>一、</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总则</w:t>
      </w:r>
      <w:bookmarkEnd w:id="672"/>
    </w:p>
    <w:p w14:paraId="455B3141">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73" w:name="_Toc1387_WPSOffice_Level1"/>
      <w:r>
        <w:rPr>
          <w:rFonts w:hint="eastAsia" w:ascii="宋体" w:hAnsi="宋体" w:eastAsia="宋体" w:cs="宋体"/>
          <w:color w:val="auto"/>
          <w:szCs w:val="30"/>
          <w:highlight w:val="none"/>
          <w:lang w:val="zh-CN"/>
        </w:rPr>
        <w:t>二、</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投标文件的初审</w:t>
      </w:r>
      <w:bookmarkEnd w:id="673"/>
    </w:p>
    <w:p w14:paraId="71E49717">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74" w:name="_Toc30284_WPSOffice_Level1"/>
      <w:r>
        <w:rPr>
          <w:rFonts w:hint="eastAsia" w:ascii="宋体" w:hAnsi="宋体" w:eastAsia="宋体" w:cs="宋体"/>
          <w:color w:val="auto"/>
          <w:szCs w:val="30"/>
          <w:highlight w:val="none"/>
          <w:lang w:val="zh-CN"/>
        </w:rPr>
        <w:t>三、</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澄清有关问题</w:t>
      </w:r>
      <w:bookmarkEnd w:id="674"/>
    </w:p>
    <w:p w14:paraId="68E75D33">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75" w:name="_Toc1206_WPSOffice_Level1"/>
      <w:r>
        <w:rPr>
          <w:rFonts w:hint="eastAsia" w:ascii="宋体" w:hAnsi="宋体" w:eastAsia="宋体" w:cs="宋体"/>
          <w:color w:val="auto"/>
          <w:szCs w:val="30"/>
          <w:highlight w:val="none"/>
        </w:rPr>
        <w:t>四、 比较和评价</w:t>
      </w:r>
      <w:bookmarkEnd w:id="675"/>
    </w:p>
    <w:p w14:paraId="6B4EF60C">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76" w:name="_Toc12163_WPSOffice_Level1"/>
      <w:r>
        <w:rPr>
          <w:rFonts w:hint="eastAsia" w:ascii="宋体" w:hAnsi="宋体" w:eastAsia="宋体" w:cs="宋体"/>
          <w:color w:val="auto"/>
          <w:szCs w:val="30"/>
          <w:highlight w:val="none"/>
          <w:lang w:val="zh-CN"/>
        </w:rPr>
        <w:t>五、</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推荐中标候选人名单</w:t>
      </w:r>
      <w:bookmarkEnd w:id="676"/>
    </w:p>
    <w:p w14:paraId="6F4B1FBB">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77" w:name="_Toc366_WPSOffice_Level1"/>
      <w:r>
        <w:rPr>
          <w:rFonts w:hint="eastAsia" w:ascii="宋体" w:hAnsi="宋体" w:eastAsia="宋体" w:cs="宋体"/>
          <w:color w:val="auto"/>
          <w:szCs w:val="30"/>
          <w:highlight w:val="none"/>
          <w:lang w:val="zh-CN"/>
        </w:rPr>
        <w:t>六、</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编写评标报告</w:t>
      </w:r>
      <w:bookmarkEnd w:id="677"/>
    </w:p>
    <w:p w14:paraId="35842FEB">
      <w:pPr>
        <w:autoSpaceDE w:val="0"/>
        <w:autoSpaceDN w:val="0"/>
        <w:adjustRightInd w:val="0"/>
        <w:spacing w:line="360" w:lineRule="auto"/>
        <w:ind w:left="567" w:hanging="567"/>
        <w:outlineLvl w:val="9"/>
        <w:rPr>
          <w:rFonts w:hint="eastAsia" w:ascii="宋体" w:hAnsi="宋体" w:eastAsia="宋体" w:cs="宋体"/>
          <w:color w:val="auto"/>
          <w:szCs w:val="30"/>
          <w:highlight w:val="none"/>
        </w:rPr>
      </w:pPr>
      <w:bookmarkStart w:id="678" w:name="_Toc22378_WPSOffice_Level1"/>
      <w:r>
        <w:rPr>
          <w:rFonts w:hint="eastAsia" w:ascii="宋体" w:hAnsi="宋体" w:eastAsia="宋体" w:cs="宋体"/>
          <w:color w:val="auto"/>
          <w:szCs w:val="30"/>
          <w:highlight w:val="none"/>
          <w:lang w:val="zh-CN"/>
        </w:rPr>
        <w:t>七、</w:t>
      </w:r>
      <w:r>
        <w:rPr>
          <w:rFonts w:hint="eastAsia" w:ascii="宋体" w:hAnsi="宋体" w:eastAsia="宋体" w:cs="宋体"/>
          <w:color w:val="auto"/>
          <w:szCs w:val="30"/>
          <w:highlight w:val="none"/>
          <w:lang w:val="zh-CN"/>
        </w:rPr>
        <w:tab/>
      </w:r>
      <w:r>
        <w:rPr>
          <w:rFonts w:hint="eastAsia" w:ascii="宋体" w:hAnsi="宋体" w:eastAsia="宋体" w:cs="宋体"/>
          <w:color w:val="auto"/>
          <w:szCs w:val="30"/>
          <w:highlight w:val="none"/>
          <w:lang w:val="zh-CN"/>
        </w:rPr>
        <w:t>注意事项</w:t>
      </w:r>
      <w:bookmarkEnd w:id="678"/>
    </w:p>
    <w:p w14:paraId="5D4F66DF">
      <w:pPr>
        <w:tabs>
          <w:tab w:val="right" w:pos="7320"/>
        </w:tabs>
        <w:autoSpaceDE w:val="0"/>
        <w:autoSpaceDN w:val="0"/>
        <w:adjustRightInd w:val="0"/>
        <w:spacing w:line="360" w:lineRule="auto"/>
        <w:ind w:left="720" w:hanging="720"/>
        <w:outlineLvl w:val="9"/>
        <w:rPr>
          <w:rFonts w:hint="eastAsia" w:ascii="宋体" w:hAnsi="宋体" w:eastAsia="宋体" w:cs="宋体"/>
          <w:color w:val="auto"/>
          <w:szCs w:val="30"/>
          <w:highlight w:val="none"/>
        </w:rPr>
      </w:pPr>
    </w:p>
    <w:p w14:paraId="625D3BE6">
      <w:pPr>
        <w:tabs>
          <w:tab w:val="right" w:pos="7320"/>
        </w:tabs>
        <w:autoSpaceDE w:val="0"/>
        <w:autoSpaceDN w:val="0"/>
        <w:adjustRightInd w:val="0"/>
        <w:spacing w:line="360" w:lineRule="auto"/>
        <w:ind w:left="720" w:hanging="720"/>
        <w:outlineLvl w:val="9"/>
        <w:rPr>
          <w:rFonts w:hint="eastAsia" w:ascii="宋体" w:hAnsi="宋体" w:eastAsia="宋体" w:cs="宋体"/>
          <w:color w:val="auto"/>
          <w:szCs w:val="30"/>
          <w:highlight w:val="none"/>
        </w:rPr>
      </w:pPr>
    </w:p>
    <w:p w14:paraId="1308B257">
      <w:pPr>
        <w:tabs>
          <w:tab w:val="left" w:pos="1080"/>
          <w:tab w:val="right" w:pos="7320"/>
        </w:tabs>
        <w:autoSpaceDE w:val="0"/>
        <w:autoSpaceDN w:val="0"/>
        <w:adjustRightInd w:val="0"/>
        <w:spacing w:line="400" w:lineRule="atLeast"/>
        <w:ind w:left="720" w:hanging="720"/>
        <w:outlineLvl w:val="9"/>
        <w:rPr>
          <w:rFonts w:hint="eastAsia" w:ascii="宋体" w:hAnsi="宋体" w:eastAsia="宋体" w:cs="宋体"/>
          <w:color w:val="auto"/>
          <w:szCs w:val="30"/>
          <w:highlight w:val="none"/>
        </w:rPr>
      </w:pPr>
    </w:p>
    <w:p w14:paraId="321984BD">
      <w:pPr>
        <w:tabs>
          <w:tab w:val="left" w:pos="1140"/>
        </w:tabs>
        <w:autoSpaceDE w:val="0"/>
        <w:autoSpaceDN w:val="0"/>
        <w:adjustRightInd w:val="0"/>
        <w:spacing w:line="360" w:lineRule="auto"/>
        <w:jc w:val="center"/>
        <w:outlineLvl w:val="1"/>
        <w:rPr>
          <w:rFonts w:hint="eastAsia" w:ascii="宋体" w:hAnsi="宋体" w:eastAsia="宋体" w:cs="宋体"/>
          <w:b/>
          <w:bCs/>
          <w:color w:val="auto"/>
          <w:sz w:val="28"/>
          <w:szCs w:val="28"/>
          <w:highlight w:val="none"/>
        </w:rPr>
      </w:pPr>
      <w:r>
        <w:rPr>
          <w:rFonts w:hint="eastAsia" w:ascii="宋体" w:hAnsi="宋体" w:eastAsia="宋体" w:cs="宋体"/>
          <w:color w:val="auto"/>
          <w:sz w:val="30"/>
          <w:szCs w:val="30"/>
          <w:highlight w:val="none"/>
        </w:rPr>
        <w:br w:type="page"/>
      </w:r>
      <w:bookmarkStart w:id="679" w:name="_Toc27181_WPSOffice_Level1"/>
      <w:r>
        <w:rPr>
          <w:rFonts w:hint="eastAsia" w:ascii="宋体" w:hAnsi="宋体" w:eastAsia="宋体" w:cs="宋体"/>
          <w:color w:val="auto"/>
          <w:sz w:val="28"/>
          <w:szCs w:val="28"/>
          <w:highlight w:val="none"/>
          <w:lang w:val="zh-CN"/>
        </w:rPr>
        <w:t>一、</w:t>
      </w:r>
      <w:r>
        <w:rPr>
          <w:rFonts w:hint="eastAsia" w:ascii="宋体" w:hAnsi="宋体" w:eastAsia="宋体" w:cs="宋体"/>
          <w:b/>
          <w:bCs/>
          <w:color w:val="auto"/>
          <w:sz w:val="28"/>
          <w:szCs w:val="28"/>
          <w:highlight w:val="none"/>
          <w:lang w:val="zh-CN"/>
        </w:rPr>
        <w:t>总则</w:t>
      </w:r>
      <w:bookmarkEnd w:id="679"/>
    </w:p>
    <w:p w14:paraId="687B817A">
      <w:pPr>
        <w:tabs>
          <w:tab w:val="left" w:pos="567"/>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1、一般规定</w:t>
      </w:r>
    </w:p>
    <w:p w14:paraId="34A41C97">
      <w:pPr>
        <w:autoSpaceDE w:val="0"/>
        <w:autoSpaceDN w:val="0"/>
        <w:adjustRightInd w:val="0"/>
        <w:spacing w:line="360" w:lineRule="auto"/>
        <w:ind w:left="567" w:hanging="567"/>
        <w:outlineLvl w:val="9"/>
        <w:rPr>
          <w:rFonts w:hint="eastAsia" w:ascii="宋体" w:hAnsi="宋体" w:eastAsia="宋体" w:cs="宋体"/>
          <w:color w:val="auto"/>
          <w:kern w:val="0"/>
          <w:szCs w:val="32"/>
          <w:highlight w:val="none"/>
        </w:rPr>
      </w:pPr>
      <w:r>
        <w:rPr>
          <w:rFonts w:hint="eastAsia" w:ascii="宋体" w:hAnsi="宋体" w:eastAsia="宋体" w:cs="宋体"/>
          <w:color w:val="auto"/>
          <w:szCs w:val="21"/>
          <w:highlight w:val="none"/>
          <w:lang w:val="zh-CN"/>
        </w:rPr>
        <w:t>1.1</w:t>
      </w:r>
      <w:r>
        <w:rPr>
          <w:rFonts w:hint="eastAsia" w:ascii="宋体" w:hAnsi="宋体" w:eastAsia="宋体" w:cs="宋体"/>
          <w:color w:val="auto"/>
          <w:szCs w:val="21"/>
          <w:highlight w:val="none"/>
          <w:lang w:val="zh-CN"/>
        </w:rPr>
        <w:tab/>
      </w:r>
      <w:r>
        <w:rPr>
          <w:rFonts w:hint="eastAsia" w:ascii="宋体" w:hAnsi="宋体" w:eastAsia="宋体" w:cs="宋体"/>
          <w:color w:val="auto"/>
          <w:szCs w:val="21"/>
          <w:highlight w:val="none"/>
          <w:lang w:val="zh-CN"/>
        </w:rPr>
        <w:t>东莞市水务集团管网有限公司2025年餐厨及清洁服务采购项目(招标编号：YDZB25DGQY0006</w:t>
      </w:r>
      <w:r>
        <w:rPr>
          <w:rFonts w:hint="eastAsia" w:ascii="宋体" w:hAnsi="宋体" w:eastAsia="宋体" w:cs="宋体"/>
          <w:color w:val="auto"/>
          <w:kern w:val="0"/>
          <w:szCs w:val="32"/>
          <w:highlight w:val="none"/>
        </w:rPr>
        <w:t>)的</w:t>
      </w:r>
      <w:r>
        <w:rPr>
          <w:rFonts w:hint="eastAsia" w:ascii="宋体" w:hAnsi="宋体" w:eastAsia="宋体" w:cs="宋体"/>
          <w:color w:val="auto"/>
          <w:szCs w:val="21"/>
          <w:highlight w:val="none"/>
          <w:lang w:val="zh-CN"/>
        </w:rPr>
        <w:t>招标</w:t>
      </w:r>
      <w:r>
        <w:rPr>
          <w:rFonts w:hint="eastAsia" w:ascii="宋体" w:hAnsi="宋体" w:eastAsia="宋体" w:cs="宋体"/>
          <w:color w:val="auto"/>
          <w:kern w:val="0"/>
          <w:szCs w:val="32"/>
          <w:highlight w:val="none"/>
        </w:rPr>
        <w:t>按照《中华人民共和国招标投标法》等有关规定进行。</w:t>
      </w:r>
    </w:p>
    <w:p w14:paraId="6F95F28F">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评标必须遵循公平、公正、诚实信用的原则。</w:t>
      </w:r>
    </w:p>
    <w:p w14:paraId="1EE50DCF">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招标代理机构</w:t>
      </w:r>
      <w:r>
        <w:rPr>
          <w:rFonts w:hint="eastAsia" w:ascii="宋体" w:hAnsi="宋体" w:eastAsia="宋体" w:cs="宋体"/>
          <w:color w:val="auto"/>
          <w:kern w:val="0"/>
          <w:szCs w:val="32"/>
          <w:highlight w:val="none"/>
        </w:rPr>
        <w:t>(广东有德招标采购有限公司）组</w:t>
      </w:r>
      <w:r>
        <w:rPr>
          <w:rFonts w:hint="eastAsia" w:ascii="宋体" w:hAnsi="宋体" w:eastAsia="宋体" w:cs="宋体"/>
          <w:color w:val="auto"/>
          <w:szCs w:val="24"/>
          <w:highlight w:val="none"/>
          <w:lang w:val="zh-CN"/>
        </w:rPr>
        <w:t>织评标工作，全过程接受招标人及相关部门的监督、管理和指导。</w:t>
      </w:r>
    </w:p>
    <w:p w14:paraId="119BFE49">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评标按照招标文件规定的内容进行，采取综合评分</w:t>
      </w:r>
      <w:r>
        <w:rPr>
          <w:rFonts w:hint="eastAsia" w:ascii="宋体" w:hAnsi="宋体" w:eastAsia="宋体" w:cs="宋体"/>
          <w:color w:val="auto"/>
          <w:szCs w:val="21"/>
          <w:highlight w:val="none"/>
        </w:rPr>
        <w:t>法进行评审</w:t>
      </w:r>
      <w:r>
        <w:rPr>
          <w:rFonts w:hint="eastAsia" w:ascii="宋体" w:hAnsi="宋体" w:eastAsia="宋体" w:cs="宋体"/>
          <w:color w:val="auto"/>
          <w:szCs w:val="24"/>
          <w:highlight w:val="none"/>
          <w:lang w:val="zh-CN"/>
        </w:rPr>
        <w:t>。</w:t>
      </w:r>
    </w:p>
    <w:p w14:paraId="398AAB35">
      <w:pPr>
        <w:numPr>
          <w:ilvl w:val="1"/>
          <w:numId w:val="8"/>
        </w:numPr>
        <w:autoSpaceDE w:val="0"/>
        <w:autoSpaceDN w:val="0"/>
        <w:adjustRightInd w:val="0"/>
        <w:spacing w:line="360" w:lineRule="auto"/>
        <w:ind w:left="565" w:hanging="564" w:hangingChars="269"/>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en-US" w:eastAsia="zh-CN"/>
        </w:rPr>
        <w:t xml:space="preserve"> </w:t>
      </w:r>
      <w:r>
        <w:rPr>
          <w:rFonts w:hint="eastAsia" w:ascii="宋体" w:hAnsi="宋体" w:eastAsia="宋体" w:cs="宋体"/>
          <w:color w:val="auto"/>
          <w:szCs w:val="24"/>
          <w:highlight w:val="none"/>
          <w:lang w:val="zh-CN"/>
        </w:rPr>
        <w:t>本办法的评审对象是指投标人按照招标文件要求提供的有效投标文件，包括投标人应评标委员会要求对原投标文件作出的正式书面澄清文件。</w:t>
      </w:r>
    </w:p>
    <w:p w14:paraId="2F32E653">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1F0FA7F1">
      <w:pPr>
        <w:tabs>
          <w:tab w:val="left" w:pos="360"/>
          <w:tab w:val="left" w:pos="600"/>
        </w:tabs>
        <w:autoSpaceDE w:val="0"/>
        <w:autoSpaceDN w:val="0"/>
        <w:adjustRightInd w:val="0"/>
        <w:spacing w:line="360" w:lineRule="auto"/>
        <w:ind w:left="600" w:hanging="600"/>
        <w:outlineLvl w:val="2"/>
        <w:rPr>
          <w:rFonts w:hint="eastAsia" w:ascii="宋体" w:hAnsi="宋体" w:eastAsia="宋体" w:cs="宋体"/>
          <w:b/>
          <w:bCs/>
          <w:color w:val="auto"/>
          <w:szCs w:val="24"/>
          <w:highlight w:val="none"/>
          <w:lang w:val="zh-CN"/>
        </w:rPr>
      </w:pPr>
      <w:r>
        <w:rPr>
          <w:rFonts w:hint="eastAsia" w:ascii="宋体" w:hAnsi="宋体" w:eastAsia="宋体" w:cs="宋体"/>
          <w:b/>
          <w:bCs/>
          <w:color w:val="auto"/>
          <w:szCs w:val="24"/>
          <w:highlight w:val="none"/>
          <w:lang w:val="zh-CN"/>
        </w:rPr>
        <w:t>2、</w:t>
      </w:r>
      <w:r>
        <w:rPr>
          <w:rFonts w:hint="eastAsia" w:ascii="宋体" w:hAnsi="宋体" w:eastAsia="宋体" w:cs="宋体"/>
          <w:b/>
          <w:bCs/>
          <w:color w:val="auto"/>
          <w:szCs w:val="24"/>
          <w:highlight w:val="none"/>
          <w:lang w:val="zh-CN"/>
        </w:rPr>
        <w:tab/>
      </w:r>
      <w:r>
        <w:rPr>
          <w:rFonts w:hint="eastAsia" w:ascii="宋体" w:hAnsi="宋体" w:eastAsia="宋体" w:cs="宋体"/>
          <w:b/>
          <w:bCs/>
          <w:color w:val="auto"/>
          <w:szCs w:val="24"/>
          <w:highlight w:val="none"/>
          <w:lang w:val="zh-CN"/>
        </w:rPr>
        <w:t>评标组织机构的组成</w:t>
      </w:r>
    </w:p>
    <w:p w14:paraId="32212630">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2.1</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4"/>
          <w:highlight w:val="none"/>
        </w:rPr>
        <w:t>由招标人和技术、经济等方面的专家组成，成员为</w:t>
      </w:r>
      <w:r>
        <w:rPr>
          <w:rFonts w:hint="eastAsia" w:ascii="宋体" w:hAnsi="宋体" w:eastAsia="宋体" w:cs="宋体"/>
          <w:b/>
          <w:bCs/>
          <w:color w:val="auto"/>
          <w:kern w:val="0"/>
          <w:szCs w:val="24"/>
          <w:highlight w:val="none"/>
        </w:rPr>
        <w:t>5人以上（含5人）单数</w:t>
      </w:r>
      <w:r>
        <w:rPr>
          <w:rFonts w:hint="eastAsia" w:ascii="宋体" w:hAnsi="宋体" w:eastAsia="宋体" w:cs="宋体"/>
          <w:color w:val="auto"/>
          <w:kern w:val="0"/>
          <w:szCs w:val="24"/>
          <w:highlight w:val="none"/>
        </w:rPr>
        <w:t>，其中技术、经济等方面的专家不少于成员总数的三分之二。</w:t>
      </w:r>
      <w:r>
        <w:rPr>
          <w:rFonts w:hint="eastAsia" w:ascii="宋体" w:hAnsi="宋体" w:eastAsia="宋体" w:cs="宋体"/>
          <w:color w:val="auto"/>
          <w:szCs w:val="24"/>
          <w:highlight w:val="none"/>
          <w:lang w:val="zh-CN"/>
        </w:rPr>
        <w:t>专家依法从</w:t>
      </w:r>
      <w:r>
        <w:rPr>
          <w:rFonts w:hint="eastAsia" w:ascii="宋体" w:hAnsi="宋体" w:eastAsia="宋体" w:cs="宋体"/>
          <w:color w:val="auto"/>
          <w:kern w:val="0"/>
          <w:szCs w:val="24"/>
          <w:highlight w:val="none"/>
        </w:rPr>
        <w:t>专家库中随机抽取产生。</w:t>
      </w:r>
    </w:p>
    <w:p w14:paraId="23ECB827">
      <w:pPr>
        <w:tabs>
          <w:tab w:val="left" w:pos="567"/>
          <w:tab w:val="left" w:pos="1145"/>
        </w:tabs>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2.2</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评标工作组由招标人、招标代理机构及有关专家组成，由评标委员会确认，并接受其领导。</w:t>
      </w:r>
    </w:p>
    <w:p w14:paraId="7C4894BF">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2.3</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评标工作组分成评标委员会、秘书组。</w:t>
      </w:r>
    </w:p>
    <w:p w14:paraId="61C08416">
      <w:pPr>
        <w:autoSpaceDE w:val="0"/>
        <w:autoSpaceDN w:val="0"/>
        <w:adjustRightInd w:val="0"/>
        <w:spacing w:line="360" w:lineRule="auto"/>
        <w:ind w:left="600" w:hanging="6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2.4</w:t>
      </w:r>
      <w:r>
        <w:rPr>
          <w:rFonts w:hint="eastAsia" w:ascii="宋体" w:hAnsi="宋体" w:eastAsia="宋体" w:cs="宋体"/>
          <w:color w:val="auto"/>
          <w:szCs w:val="24"/>
          <w:highlight w:val="none"/>
          <w:lang w:val="zh-CN"/>
        </w:rPr>
        <w:tab/>
      </w:r>
      <w:r>
        <w:rPr>
          <w:rFonts w:hint="eastAsia" w:ascii="宋体" w:hAnsi="宋体" w:eastAsia="宋体" w:cs="宋体"/>
          <w:color w:val="auto"/>
          <w:szCs w:val="24"/>
          <w:highlight w:val="none"/>
          <w:lang w:val="zh-CN"/>
        </w:rPr>
        <w:t>评标委员会应相对独立工作，负责评审、撰写评标报告。招标代理机构秘书组负责评标过程中资料的保管、发放及回收，协调技术和评标委员会评标工作的进展和整理、汇总评标资料及复核。</w:t>
      </w:r>
    </w:p>
    <w:p w14:paraId="208B4BB4">
      <w:pPr>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74E88DA2">
      <w:pPr>
        <w:autoSpaceDE w:val="0"/>
        <w:autoSpaceDN w:val="0"/>
        <w:adjustRightInd w:val="0"/>
        <w:spacing w:line="360" w:lineRule="auto"/>
        <w:outlineLvl w:val="2"/>
        <w:rPr>
          <w:rFonts w:hint="eastAsia" w:ascii="宋体" w:hAnsi="宋体" w:eastAsia="宋体" w:cs="宋体"/>
          <w:color w:val="auto"/>
          <w:sz w:val="24"/>
          <w:szCs w:val="24"/>
          <w:highlight w:val="none"/>
          <w:lang w:val="zh-CN"/>
        </w:rPr>
      </w:pPr>
      <w:r>
        <w:rPr>
          <w:rFonts w:hint="eastAsia" w:ascii="宋体" w:hAnsi="宋体" w:eastAsia="宋体" w:cs="宋体"/>
          <w:b/>
          <w:color w:val="auto"/>
          <w:szCs w:val="21"/>
          <w:highlight w:val="none"/>
          <w:lang w:val="zh-CN"/>
        </w:rPr>
        <w:t>3、</w:t>
      </w:r>
      <w:r>
        <w:rPr>
          <w:rFonts w:hint="eastAsia" w:ascii="宋体" w:hAnsi="宋体" w:eastAsia="宋体" w:cs="宋体"/>
          <w:b/>
          <w:bCs/>
          <w:color w:val="auto"/>
          <w:szCs w:val="21"/>
          <w:highlight w:val="none"/>
          <w:lang w:val="zh-CN"/>
        </w:rPr>
        <w:t>评标</w:t>
      </w:r>
      <w:r>
        <w:rPr>
          <w:rFonts w:hint="eastAsia" w:ascii="宋体" w:hAnsi="宋体" w:eastAsia="宋体" w:cs="宋体"/>
          <w:b/>
          <w:bCs/>
          <w:color w:val="auto"/>
          <w:szCs w:val="24"/>
          <w:highlight w:val="none"/>
          <w:lang w:val="zh-CN"/>
        </w:rPr>
        <w:t>委员会职责</w:t>
      </w:r>
    </w:p>
    <w:p w14:paraId="7A647822">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3.1  审查投标文件是否符合招标文件要求，并作出评价；</w:t>
      </w:r>
    </w:p>
    <w:p w14:paraId="1DDB5136">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3.2  要求投标人对投标文件有关事项作出解释或者澄清；</w:t>
      </w:r>
    </w:p>
    <w:p w14:paraId="0A375368">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3.3</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推荐中标候选人名单及排序；</w:t>
      </w:r>
    </w:p>
    <w:p w14:paraId="5C0BF795">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3.4</w:t>
      </w:r>
      <w:r>
        <w:rPr>
          <w:rFonts w:hint="eastAsia" w:ascii="宋体" w:hAnsi="宋体" w:eastAsia="宋体" w:cs="宋体"/>
          <w:color w:val="auto"/>
          <w:kern w:val="0"/>
          <w:szCs w:val="24"/>
          <w:highlight w:val="none"/>
          <w:lang w:val="zh-CN"/>
        </w:rPr>
        <w:tab/>
      </w:r>
      <w:r>
        <w:rPr>
          <w:rFonts w:hint="eastAsia" w:ascii="宋体" w:hAnsi="宋体" w:eastAsia="宋体" w:cs="宋体"/>
          <w:color w:val="auto"/>
          <w:kern w:val="0"/>
          <w:szCs w:val="24"/>
          <w:highlight w:val="none"/>
          <w:lang w:val="zh-CN"/>
        </w:rPr>
        <w:t xml:space="preserve"> 向招标人、招标代理机构或者有关部门报告非法干预评标工作的行为。</w:t>
      </w:r>
    </w:p>
    <w:p w14:paraId="02EF25C1">
      <w:pPr>
        <w:autoSpaceDE w:val="0"/>
        <w:autoSpaceDN w:val="0"/>
        <w:adjustRightInd w:val="0"/>
        <w:spacing w:line="360" w:lineRule="auto"/>
        <w:jc w:val="left"/>
        <w:outlineLvl w:val="9"/>
        <w:rPr>
          <w:rFonts w:hint="eastAsia" w:ascii="宋体" w:hAnsi="宋体" w:eastAsia="宋体" w:cs="宋体"/>
          <w:color w:val="auto"/>
          <w:kern w:val="0"/>
          <w:sz w:val="24"/>
          <w:szCs w:val="24"/>
          <w:highlight w:val="none"/>
          <w:lang w:val="zh-CN"/>
        </w:rPr>
      </w:pPr>
    </w:p>
    <w:p w14:paraId="53B3B70C">
      <w:pPr>
        <w:tabs>
          <w:tab w:val="left" w:pos="720"/>
        </w:tabs>
        <w:autoSpaceDE w:val="0"/>
        <w:autoSpaceDN w:val="0"/>
        <w:adjustRightInd w:val="0"/>
        <w:spacing w:line="360" w:lineRule="auto"/>
        <w:outlineLvl w:val="2"/>
        <w:rPr>
          <w:rFonts w:hint="eastAsia" w:ascii="宋体" w:hAnsi="宋体" w:eastAsia="宋体" w:cs="宋体"/>
          <w:b/>
          <w:bCs/>
          <w:color w:val="auto"/>
          <w:szCs w:val="21"/>
          <w:highlight w:val="none"/>
          <w:lang w:val="zh-CN"/>
        </w:rPr>
      </w:pPr>
      <w:r>
        <w:rPr>
          <w:rFonts w:hint="eastAsia" w:ascii="宋体" w:hAnsi="宋体" w:eastAsia="宋体" w:cs="宋体"/>
          <w:b/>
          <w:bCs/>
          <w:color w:val="auto"/>
          <w:szCs w:val="21"/>
          <w:highlight w:val="none"/>
          <w:lang w:val="zh-CN"/>
        </w:rPr>
        <w:t>4、评标委员会义务</w:t>
      </w:r>
    </w:p>
    <w:p w14:paraId="75F906F9">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4.1  遵纪守法，客观、公正、廉洁地履行职责；</w:t>
      </w:r>
    </w:p>
    <w:p w14:paraId="264614AA">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4.2  按照招标文件规定的评标方法和评标标准进行评审，对评审意见承担个人责任；</w:t>
      </w:r>
    </w:p>
    <w:p w14:paraId="5C1F0D8E">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4.3  对评标过程和结果，以及投标人的商业秘密保密；</w:t>
      </w:r>
    </w:p>
    <w:p w14:paraId="07B5B702">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4.4  参与评标报告的起草；</w:t>
      </w:r>
    </w:p>
    <w:p w14:paraId="79B20DCB">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4.5  配合有关部门的投诉处理工作；</w:t>
      </w:r>
    </w:p>
    <w:p w14:paraId="34E6B68A">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4.6  配合招标人、招标代理机构答复投标人提出的质疑、异议。</w:t>
      </w:r>
    </w:p>
    <w:p w14:paraId="504EF302">
      <w:pPr>
        <w:tabs>
          <w:tab w:val="left" w:pos="720"/>
        </w:tabs>
        <w:autoSpaceDE w:val="0"/>
        <w:autoSpaceDN w:val="0"/>
        <w:adjustRightInd w:val="0"/>
        <w:spacing w:line="360" w:lineRule="auto"/>
        <w:outlineLvl w:val="9"/>
        <w:rPr>
          <w:rFonts w:hint="eastAsia" w:ascii="宋体" w:hAnsi="宋体" w:eastAsia="宋体" w:cs="宋体"/>
          <w:color w:val="auto"/>
          <w:sz w:val="24"/>
          <w:szCs w:val="24"/>
          <w:highlight w:val="none"/>
          <w:lang w:val="zh-CN"/>
        </w:rPr>
      </w:pPr>
    </w:p>
    <w:p w14:paraId="704BA074">
      <w:pPr>
        <w:tabs>
          <w:tab w:val="left" w:pos="1547"/>
        </w:tabs>
        <w:autoSpaceDE w:val="0"/>
        <w:autoSpaceDN w:val="0"/>
        <w:adjustRightInd w:val="0"/>
        <w:spacing w:line="360" w:lineRule="auto"/>
        <w:outlineLvl w:val="2"/>
        <w:rPr>
          <w:rFonts w:hint="eastAsia" w:ascii="宋体" w:hAnsi="宋体" w:eastAsia="宋体" w:cs="宋体"/>
          <w:b/>
          <w:color w:val="auto"/>
          <w:szCs w:val="24"/>
          <w:highlight w:val="none"/>
          <w:lang w:val="zh-CN"/>
        </w:rPr>
      </w:pPr>
      <w:r>
        <w:rPr>
          <w:rFonts w:hint="eastAsia" w:ascii="宋体" w:hAnsi="宋体" w:eastAsia="宋体" w:cs="宋体"/>
          <w:b/>
          <w:bCs/>
          <w:color w:val="auto"/>
          <w:szCs w:val="21"/>
          <w:highlight w:val="none"/>
          <w:lang w:val="zh-CN"/>
        </w:rPr>
        <w:t>5、评审程序</w:t>
      </w:r>
    </w:p>
    <w:p w14:paraId="47A3A4C4">
      <w:pPr>
        <w:autoSpaceDE w:val="0"/>
        <w:autoSpaceDN w:val="0"/>
        <w:adjustRightInd w:val="0"/>
        <w:spacing w:line="360" w:lineRule="auto"/>
        <w:ind w:left="567" w:hanging="567"/>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公开招标：</w:t>
      </w:r>
    </w:p>
    <w:p w14:paraId="035BD883">
      <w:pPr>
        <w:autoSpaceDE w:val="0"/>
        <w:autoSpaceDN w:val="0"/>
        <w:adjustRightInd w:val="0"/>
        <w:spacing w:line="360" w:lineRule="auto"/>
        <w:ind w:left="567" w:hanging="567"/>
        <w:outlineLvl w:val="9"/>
        <w:rPr>
          <w:rFonts w:hint="eastAsia" w:ascii="宋体" w:hAnsi="宋体" w:eastAsia="宋体" w:cs="宋体"/>
          <w:bCs/>
          <w:color w:val="auto"/>
          <w:szCs w:val="24"/>
          <w:highlight w:val="none"/>
          <w:lang w:val="zh-CN"/>
        </w:rPr>
      </w:pPr>
      <w:r>
        <w:rPr>
          <w:rFonts w:hint="eastAsia" w:ascii="宋体" w:hAnsi="宋体" w:eastAsia="宋体" w:cs="宋体"/>
          <w:color w:val="auto"/>
          <w:szCs w:val="24"/>
          <w:highlight w:val="none"/>
          <w:lang w:val="zh-CN"/>
        </w:rPr>
        <w:t>5.1</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评审首先由评标委员会对投标人的</w:t>
      </w:r>
      <w:r>
        <w:rPr>
          <w:rFonts w:hint="eastAsia" w:ascii="宋体" w:hAnsi="宋体" w:eastAsia="宋体" w:cs="宋体"/>
          <w:color w:val="auto"/>
          <w:szCs w:val="24"/>
          <w:highlight w:val="none"/>
          <w:lang w:val="zh-CN"/>
        </w:rPr>
        <w:t>投标</w:t>
      </w:r>
      <w:r>
        <w:rPr>
          <w:rFonts w:hint="eastAsia" w:ascii="宋体" w:hAnsi="宋体" w:eastAsia="宋体" w:cs="宋体"/>
          <w:bCs/>
          <w:color w:val="auto"/>
          <w:szCs w:val="24"/>
          <w:highlight w:val="none"/>
          <w:lang w:val="zh-CN"/>
        </w:rPr>
        <w:t>文件做初审，对未能通过初审的投标文件不再进入下一阶段评审。</w:t>
      </w:r>
    </w:p>
    <w:p w14:paraId="149B3F89">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5.2</w:t>
      </w:r>
      <w:r>
        <w:rPr>
          <w:rFonts w:hint="eastAsia" w:ascii="宋体" w:hAnsi="宋体" w:eastAsia="宋体" w:cs="宋体"/>
          <w:color w:val="auto"/>
          <w:szCs w:val="24"/>
          <w:highlight w:val="none"/>
          <w:lang w:val="zh-CN"/>
        </w:rPr>
        <w:tab/>
      </w:r>
      <w:r>
        <w:rPr>
          <w:rFonts w:hint="eastAsia" w:ascii="宋体" w:hAnsi="宋体" w:eastAsia="宋体" w:cs="宋体"/>
          <w:bCs/>
          <w:color w:val="auto"/>
          <w:szCs w:val="24"/>
          <w:highlight w:val="none"/>
          <w:lang w:val="zh-CN"/>
        </w:rPr>
        <w:t>评标</w:t>
      </w:r>
      <w:r>
        <w:rPr>
          <w:rFonts w:hint="eastAsia" w:ascii="宋体" w:hAnsi="宋体" w:eastAsia="宋体" w:cs="宋体"/>
          <w:color w:val="auto"/>
          <w:szCs w:val="24"/>
          <w:highlight w:val="none"/>
          <w:lang w:val="zh-CN"/>
        </w:rPr>
        <w:t>委员会对通过初审的投标人的投标文件进行详细的比较和评价。如需要，进行必要的澄清工作。</w:t>
      </w:r>
    </w:p>
    <w:p w14:paraId="7EBFE0B7">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5.3  依据评分标准以及各项权重，各位评标委员会成员单独就每个投标人的商务状况、技术状况进行比较和评价，分别评出其商务得分和技术得分。</w:t>
      </w:r>
    </w:p>
    <w:p w14:paraId="25DDFA98">
      <w:pPr>
        <w:autoSpaceDE w:val="0"/>
        <w:autoSpaceDN w:val="0"/>
        <w:adjustRightInd w:val="0"/>
        <w:spacing w:line="360" w:lineRule="auto"/>
        <w:ind w:left="567" w:hanging="5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5.4</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对有效投标人的投标报价进行审查和价格评分。</w:t>
      </w:r>
    </w:p>
    <w:p w14:paraId="7654F2E6">
      <w:pPr>
        <w:autoSpaceDE w:val="0"/>
        <w:autoSpaceDN w:val="0"/>
        <w:adjustRightInd w:val="0"/>
        <w:spacing w:line="360" w:lineRule="auto"/>
        <w:ind w:left="567" w:hanging="567"/>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5.5  将各</w:t>
      </w:r>
      <w:r>
        <w:rPr>
          <w:rFonts w:hint="eastAsia" w:ascii="宋体" w:hAnsi="宋体" w:eastAsia="宋体" w:cs="宋体"/>
          <w:color w:val="auto"/>
          <w:szCs w:val="24"/>
          <w:highlight w:val="none"/>
          <w:lang w:val="zh-CN"/>
        </w:rPr>
        <w:t>评委对</w:t>
      </w:r>
      <w:r>
        <w:rPr>
          <w:rFonts w:hint="eastAsia" w:ascii="宋体" w:hAnsi="宋体" w:eastAsia="宋体" w:cs="宋体"/>
          <w:color w:val="auto"/>
          <w:kern w:val="0"/>
          <w:szCs w:val="24"/>
          <w:highlight w:val="none"/>
          <w:lang w:val="zh-CN"/>
        </w:rPr>
        <w:t>投标人的技术打分的最终综合得分、商务打分的算术平均值和价格得分相加得出投标人的总分。</w:t>
      </w:r>
    </w:p>
    <w:p w14:paraId="2FA8022F">
      <w:pPr>
        <w:autoSpaceDE w:val="0"/>
        <w:autoSpaceDN w:val="0"/>
        <w:adjustRightInd w:val="0"/>
        <w:spacing w:line="360" w:lineRule="auto"/>
        <w:ind w:left="567" w:hanging="567"/>
        <w:outlineLvl w:val="9"/>
        <w:rPr>
          <w:rFonts w:hint="eastAsia" w:ascii="宋体" w:hAnsi="宋体" w:eastAsia="宋体" w:cs="宋体"/>
          <w:color w:val="auto"/>
          <w:kern w:val="0"/>
          <w:szCs w:val="21"/>
          <w:highlight w:val="none"/>
        </w:rPr>
      </w:pPr>
      <w:r>
        <w:rPr>
          <w:rFonts w:hint="eastAsia" w:ascii="宋体" w:hAnsi="宋体" w:eastAsia="宋体" w:cs="宋体"/>
          <w:bCs/>
          <w:color w:val="auto"/>
          <w:kern w:val="0"/>
          <w:szCs w:val="24"/>
          <w:highlight w:val="none"/>
        </w:rPr>
        <w:t xml:space="preserve">5.6  </w:t>
      </w:r>
      <w:r>
        <w:rPr>
          <w:rFonts w:hint="eastAsia" w:ascii="宋体" w:hAnsi="宋体" w:eastAsia="宋体" w:cs="宋体"/>
          <w:color w:val="auto"/>
          <w:kern w:val="0"/>
          <w:szCs w:val="21"/>
          <w:highlight w:val="none"/>
        </w:rPr>
        <w:t>评标委员会将向招标人推荐评标最后综合得分最高的前二名投标人为中标候选人，并标明排列顺序。</w:t>
      </w:r>
    </w:p>
    <w:p w14:paraId="2C3F8C7E">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5.</w:t>
      </w:r>
      <w:r>
        <w:rPr>
          <w:rFonts w:hint="eastAsia" w:ascii="宋体" w:hAnsi="宋体" w:eastAsia="宋体" w:cs="宋体"/>
          <w:color w:val="auto"/>
          <w:szCs w:val="24"/>
          <w:highlight w:val="none"/>
          <w:lang w:val="zh-CN"/>
        </w:rPr>
        <w:t>7</w:t>
      </w:r>
      <w:r>
        <w:rPr>
          <w:rFonts w:hint="eastAsia" w:ascii="宋体" w:hAnsi="宋体" w:eastAsia="宋体" w:cs="宋体"/>
          <w:color w:val="auto"/>
          <w:szCs w:val="24"/>
          <w:highlight w:val="none"/>
          <w:lang w:val="zh-CN"/>
        </w:rPr>
        <w:tab/>
      </w:r>
      <w:r>
        <w:rPr>
          <w:rFonts w:hint="eastAsia" w:ascii="宋体" w:hAnsi="宋体" w:eastAsia="宋体" w:cs="宋体"/>
          <w:color w:val="auto"/>
          <w:kern w:val="0"/>
          <w:szCs w:val="24"/>
          <w:highlight w:val="none"/>
          <w:lang w:val="zh-CN"/>
        </w:rPr>
        <w:t>评标委员会</w:t>
      </w:r>
      <w:r>
        <w:rPr>
          <w:rFonts w:hint="eastAsia" w:ascii="宋体" w:hAnsi="宋体" w:eastAsia="宋体" w:cs="宋体"/>
          <w:color w:val="auto"/>
          <w:szCs w:val="24"/>
          <w:highlight w:val="none"/>
          <w:lang w:val="zh-CN"/>
        </w:rPr>
        <w:t>根据评审结果编写评标报告。</w:t>
      </w:r>
    </w:p>
    <w:p w14:paraId="1D91EA6E">
      <w:pPr>
        <w:autoSpaceDE w:val="0"/>
        <w:autoSpaceDN w:val="0"/>
        <w:adjustRightInd w:val="0"/>
        <w:spacing w:line="360" w:lineRule="auto"/>
        <w:ind w:left="525" w:hanging="525" w:hangingChars="250"/>
        <w:jc w:val="left"/>
        <w:outlineLvl w:val="9"/>
        <w:rPr>
          <w:rFonts w:hint="eastAsia" w:ascii="宋体" w:hAnsi="宋体" w:eastAsia="宋体" w:cs="宋体"/>
          <w:color w:val="auto"/>
          <w:szCs w:val="24"/>
          <w:highlight w:val="none"/>
          <w:lang w:val="zh-CN"/>
        </w:rPr>
      </w:pPr>
    </w:p>
    <w:p w14:paraId="59E293BA">
      <w:pPr>
        <w:tabs>
          <w:tab w:val="left" w:pos="1140"/>
        </w:tabs>
        <w:autoSpaceDE w:val="0"/>
        <w:autoSpaceDN w:val="0"/>
        <w:adjustRightInd w:val="0"/>
        <w:spacing w:line="360" w:lineRule="auto"/>
        <w:jc w:val="center"/>
        <w:outlineLvl w:val="1"/>
        <w:rPr>
          <w:rFonts w:hint="eastAsia" w:ascii="宋体" w:hAnsi="宋体" w:eastAsia="宋体" w:cs="宋体"/>
          <w:b/>
          <w:bCs/>
          <w:color w:val="auto"/>
          <w:sz w:val="28"/>
          <w:szCs w:val="28"/>
          <w:highlight w:val="none"/>
        </w:rPr>
      </w:pPr>
      <w:bookmarkStart w:id="680" w:name="_Toc19435_WPSOffice_Level1"/>
      <w:r>
        <w:rPr>
          <w:rFonts w:hint="eastAsia" w:ascii="宋体" w:hAnsi="宋体" w:eastAsia="宋体" w:cs="宋体"/>
          <w:b/>
          <w:bCs/>
          <w:color w:val="auto"/>
          <w:sz w:val="28"/>
          <w:szCs w:val="28"/>
          <w:highlight w:val="none"/>
          <w:lang w:val="zh-CN"/>
        </w:rPr>
        <w:t>二、投标文件的初审</w:t>
      </w:r>
      <w:bookmarkEnd w:id="680"/>
    </w:p>
    <w:p w14:paraId="773A58EA">
      <w:pPr>
        <w:autoSpaceDE w:val="0"/>
        <w:autoSpaceDN w:val="0"/>
        <w:adjustRightInd w:val="0"/>
        <w:spacing w:line="360" w:lineRule="auto"/>
        <w:outlineLvl w:val="2"/>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6、投标文件的初审分为资格性检查和符合性检查。</w:t>
      </w:r>
    </w:p>
    <w:p w14:paraId="70D7AF87">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6.1  资格性检查是指评标委员会依据法律法规和招标文件的规定，对投标文件中的资格证明、投标保证金、投标人（含其不具有独立法人资格的分支机构）信用（由招标代理机构在递交投标文件截止时间当天通过“信用中国”网站对投标人信用进行查询，招标代理机构将查询情况提交评标委员会评审）等进行审查，以确定投标人是否具备投标资格。</w:t>
      </w:r>
    </w:p>
    <w:p w14:paraId="7F8903BF">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6.2  符合性检查是指评标委员会依据招标文件规定，从投标文件的有效性、完整性和对招标文件的响应程度进行审查，以确定是否对招标文件的实质性要求作出响应。</w:t>
      </w:r>
    </w:p>
    <w:p w14:paraId="0CAA35EC">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实质性响应的投标指的是符合招标文件要求的全部“★”条款和验收标准而无任何重大偏离或保留。重大偏离或保留系指实质上影响到合同项下的服务范围、质量，或指与招标文件有实质不一致，限制了合同项下委托人的权利和承包人的义务, 或对该重大偏离的修改对提交实质性响应投标的其他投标人将不公平。</w:t>
      </w:r>
    </w:p>
    <w:p w14:paraId="275B7657">
      <w:pPr>
        <w:autoSpaceDE w:val="0"/>
        <w:autoSpaceDN w:val="0"/>
        <w:adjustRightInd w:val="0"/>
        <w:spacing w:line="360" w:lineRule="auto"/>
        <w:ind w:firstLine="840" w:firstLineChars="4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评标委员会决定投标文件的响应性是基于投标文件的内容本身而不靠外部的证据。</w:t>
      </w:r>
    </w:p>
    <w:p w14:paraId="3F093A10">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对是否符合实质性响应招标文件有争议的投标文件,评标委员会成员将以记名方式表决,根据少数服</w:t>
      </w:r>
      <w:r>
        <w:rPr>
          <w:rFonts w:hint="eastAsia" w:ascii="宋体" w:hAnsi="宋体" w:eastAsia="宋体" w:cs="宋体"/>
          <w:b/>
          <w:color w:val="auto"/>
          <w:szCs w:val="24"/>
          <w:highlight w:val="none"/>
          <w:lang w:val="en-US" w:eastAsia="zh-CN"/>
        </w:rPr>
        <w:t>从</w:t>
      </w:r>
      <w:r>
        <w:rPr>
          <w:rFonts w:hint="eastAsia" w:ascii="宋体" w:hAnsi="宋体" w:eastAsia="宋体" w:cs="宋体"/>
          <w:b/>
          <w:color w:val="auto"/>
          <w:szCs w:val="24"/>
          <w:highlight w:val="none"/>
          <w:lang w:val="zh-CN"/>
        </w:rPr>
        <w:t>多数的原则，获多数表决通过的投标人才有资格进入下一阶段的评审,否则将被认定为无效投标文件。</w:t>
      </w:r>
    </w:p>
    <w:p w14:paraId="796E114E">
      <w:pPr>
        <w:autoSpaceDE w:val="0"/>
        <w:autoSpaceDN w:val="0"/>
        <w:adjustRightInd w:val="0"/>
        <w:spacing w:line="360" w:lineRule="auto"/>
        <w:outlineLvl w:val="2"/>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7、投标文件出现下列情况之一的，被认定为无效投标：</w:t>
      </w:r>
    </w:p>
    <w:p w14:paraId="7B40C8F5">
      <w:pPr>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 xml:space="preserve">7.1  </w:t>
      </w:r>
      <w:r>
        <w:rPr>
          <w:rFonts w:hint="eastAsia" w:ascii="宋体" w:hAnsi="宋体" w:eastAsia="宋体" w:cs="宋体"/>
          <w:b/>
          <w:bCs/>
          <w:color w:val="auto"/>
          <w:kern w:val="0"/>
          <w:szCs w:val="21"/>
          <w:highlight w:val="none"/>
        </w:rPr>
        <w:t>投标人未按招标文件要求交纳投标保证金的；</w:t>
      </w:r>
    </w:p>
    <w:p w14:paraId="130C6BEF">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7.2  </w:t>
      </w:r>
      <w:r>
        <w:rPr>
          <w:rFonts w:hint="eastAsia" w:ascii="宋体" w:hAnsi="宋体" w:eastAsia="宋体" w:cs="宋体"/>
          <w:b/>
          <w:color w:val="auto"/>
          <w:kern w:val="0"/>
          <w:szCs w:val="21"/>
          <w:highlight w:val="none"/>
        </w:rPr>
        <w:t>投标文件中的投标报价高于</w:t>
      </w:r>
      <w:r>
        <w:rPr>
          <w:rFonts w:hint="eastAsia" w:ascii="宋体" w:hAnsi="宋体" w:eastAsia="宋体" w:cs="宋体"/>
          <w:b/>
          <w:bCs/>
          <w:color w:val="auto"/>
          <w:kern w:val="0"/>
          <w:szCs w:val="24"/>
          <w:highlight w:val="none"/>
        </w:rPr>
        <w:t>最高投标限价，或各岗位类型人员每人每月的投标综合单价超过综合单价采购限价</w:t>
      </w:r>
      <w:r>
        <w:rPr>
          <w:rFonts w:hint="eastAsia" w:ascii="宋体" w:hAnsi="宋体" w:eastAsia="宋体" w:cs="宋体"/>
          <w:b/>
          <w:color w:val="auto"/>
          <w:kern w:val="0"/>
          <w:szCs w:val="21"/>
          <w:highlight w:val="none"/>
        </w:rPr>
        <w:t>的</w:t>
      </w:r>
      <w:r>
        <w:rPr>
          <w:rFonts w:hint="eastAsia" w:ascii="宋体" w:hAnsi="宋体" w:eastAsia="宋体" w:cs="宋体"/>
          <w:b/>
          <w:bCs/>
          <w:color w:val="auto"/>
          <w:kern w:val="0"/>
          <w:szCs w:val="21"/>
          <w:highlight w:val="none"/>
        </w:rPr>
        <w:t>；</w:t>
      </w:r>
    </w:p>
    <w:p w14:paraId="16157169">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7.3  投标人以低于企业成本价报价，且投标人不能合理说明或不能提供相关证明材料；</w:t>
      </w:r>
    </w:p>
    <w:p w14:paraId="6D9DD4D7">
      <w:pPr>
        <w:tabs>
          <w:tab w:val="left" w:pos="567"/>
        </w:tabs>
        <w:spacing w:line="360" w:lineRule="auto"/>
        <w:ind w:left="632" w:hanging="632" w:hangingChars="300"/>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7.4  投标人递交两份或多份内容不同的投标文件，或在一份投标文件中报有两个或多个报价，且未书面声明哪一个有效；</w:t>
      </w:r>
    </w:p>
    <w:p w14:paraId="75404604">
      <w:pPr>
        <w:tabs>
          <w:tab w:val="left" w:pos="567"/>
        </w:tabs>
        <w:spacing w:line="360" w:lineRule="auto"/>
        <w:ind w:left="632" w:hanging="632" w:hangingChars="3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7.5  </w:t>
      </w:r>
      <w:r>
        <w:rPr>
          <w:rFonts w:hint="eastAsia" w:ascii="宋体" w:hAnsi="宋体" w:eastAsia="宋体" w:cs="宋体"/>
          <w:b/>
          <w:color w:val="auto"/>
          <w:kern w:val="0"/>
          <w:szCs w:val="21"/>
          <w:highlight w:val="none"/>
        </w:rPr>
        <w:t>投标人不符合合格投标人的基本条件[含未提供资格证明文件，或投标人（含其不具有独立法人资格的分支机构）被列入“信用中国”网站（www.creditchina.gov.cn）失信被执行人、重大税收违法失信主体、</w:t>
      </w:r>
      <w:r>
        <w:rPr>
          <w:rFonts w:hint="eastAsia" w:ascii="宋体" w:hAnsi="宋体" w:eastAsia="宋体" w:cs="宋体"/>
          <w:b/>
          <w:color w:val="auto"/>
          <w:kern w:val="0"/>
          <w:szCs w:val="21"/>
          <w:highlight w:val="none"/>
          <w:lang w:val="en-US" w:eastAsia="zh-CN"/>
        </w:rPr>
        <w:t>政府采购</w:t>
      </w:r>
      <w:r>
        <w:rPr>
          <w:rFonts w:hint="eastAsia" w:ascii="宋体" w:hAnsi="宋体" w:eastAsia="宋体" w:cs="宋体"/>
          <w:b/>
          <w:color w:val="auto"/>
          <w:kern w:val="0"/>
          <w:szCs w:val="21"/>
          <w:highlight w:val="none"/>
        </w:rPr>
        <w:t>严重违法失信行为记录名单（处罚期限届满的除外）]；</w:t>
      </w:r>
    </w:p>
    <w:p w14:paraId="2B4959D5">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 xml:space="preserve">7.6  投标文件未按照招标文件规定要求密封；投标文件无法定代表人或其授权代表签字（或盖私章），或签字人无法定代表人有效授权的；签字盖章不符合招标文件要求的； </w:t>
      </w:r>
    </w:p>
    <w:p w14:paraId="6209E1F7">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7.7  投标有效期限不符合要求；</w:t>
      </w:r>
    </w:p>
    <w:p w14:paraId="0E1AA88D">
      <w:pPr>
        <w:spacing w:line="360" w:lineRule="auto"/>
        <w:ind w:left="527" w:hanging="527" w:hangingChars="25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rPr>
        <w:t>7.8  投标文件未对招标范围内的全部内容进行投标报价</w:t>
      </w:r>
      <w:r>
        <w:rPr>
          <w:rFonts w:hint="eastAsia" w:ascii="宋体" w:hAnsi="宋体" w:eastAsia="宋体" w:cs="宋体"/>
          <w:b/>
          <w:color w:val="auto"/>
          <w:kern w:val="0"/>
          <w:szCs w:val="21"/>
          <w:highlight w:val="none"/>
        </w:rPr>
        <w:t>或投标方案不是唯一</w:t>
      </w:r>
      <w:r>
        <w:rPr>
          <w:rFonts w:hint="eastAsia" w:ascii="宋体" w:hAnsi="宋体" w:eastAsia="宋体" w:cs="宋体"/>
          <w:b/>
          <w:bCs/>
          <w:color w:val="auto"/>
          <w:kern w:val="0"/>
          <w:szCs w:val="21"/>
          <w:highlight w:val="none"/>
        </w:rPr>
        <w:t>；</w:t>
      </w:r>
    </w:p>
    <w:p w14:paraId="3D5E391D">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7.9  未提供或虚假填写《合同条款偏离表》，或对《合同条款偏离表》有负偏离的；</w:t>
      </w:r>
    </w:p>
    <w:p w14:paraId="1EB8ABFD">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7.10  未填写或虚假填写《用户需求偏离表》的；</w:t>
      </w:r>
    </w:p>
    <w:p w14:paraId="6ED82F88">
      <w:pPr>
        <w:spacing w:line="360" w:lineRule="auto"/>
        <w:ind w:left="413" w:hanging="413" w:hangingChars="196"/>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 xml:space="preserve">7.11 </w:t>
      </w:r>
      <w:r>
        <w:rPr>
          <w:rFonts w:hint="eastAsia" w:ascii="宋体" w:hAnsi="宋体" w:eastAsia="宋体" w:cs="宋体"/>
          <w:b/>
          <w:color w:val="auto"/>
          <w:kern w:val="0"/>
          <w:szCs w:val="21"/>
          <w:highlight w:val="none"/>
          <w:lang w:val="en-US" w:eastAsia="zh-CN"/>
        </w:rPr>
        <w:t xml:space="preserve"> </w:t>
      </w:r>
      <w:r>
        <w:rPr>
          <w:rFonts w:hint="eastAsia" w:ascii="宋体" w:hAnsi="宋体" w:eastAsia="宋体" w:cs="宋体"/>
          <w:b/>
          <w:color w:val="auto"/>
          <w:kern w:val="0"/>
          <w:szCs w:val="21"/>
          <w:highlight w:val="none"/>
        </w:rPr>
        <w:t>未响应招标文件提出的实质性要求和条件（标注★的条款）。</w:t>
      </w:r>
    </w:p>
    <w:p w14:paraId="64731380">
      <w:pPr>
        <w:autoSpaceDE w:val="0"/>
        <w:autoSpaceDN w:val="0"/>
        <w:adjustRightInd w:val="0"/>
        <w:spacing w:line="360" w:lineRule="auto"/>
        <w:ind w:left="315" w:hanging="315" w:hangingChars="150"/>
        <w:outlineLvl w:val="2"/>
        <w:rPr>
          <w:rFonts w:hint="eastAsia" w:ascii="宋体" w:hAnsi="宋体" w:eastAsia="宋体" w:cs="宋体"/>
          <w:color w:val="auto"/>
          <w:kern w:val="0"/>
          <w:szCs w:val="24"/>
          <w:highlight w:val="none"/>
          <w:lang w:val="zh-CN"/>
        </w:rPr>
      </w:pPr>
      <w:r>
        <w:rPr>
          <w:rFonts w:hint="eastAsia" w:ascii="宋体" w:hAnsi="宋体" w:eastAsia="宋体" w:cs="宋体"/>
          <w:bCs/>
          <w:color w:val="auto"/>
          <w:kern w:val="0"/>
          <w:szCs w:val="24"/>
          <w:highlight w:val="none"/>
          <w:lang w:val="zh-CN"/>
        </w:rPr>
        <w:t>8、</w:t>
      </w:r>
      <w:r>
        <w:rPr>
          <w:rFonts w:hint="eastAsia" w:ascii="宋体" w:hAnsi="宋体" w:eastAsia="宋体" w:cs="宋体"/>
          <w:color w:val="auto"/>
          <w:kern w:val="0"/>
          <w:szCs w:val="24"/>
          <w:highlight w:val="none"/>
          <w:lang w:val="zh-CN"/>
        </w:rPr>
        <w:t>评标委员会应当书面要求存在细微偏差的投标人在开标评审结束前予以补正。细微偏差是指投标文件在实质上响应招标文件要求，但在个别地方存在漏项或者提供了不完整的技术方案信息和数据等情况，并且补正这些遗漏或者不完整不会对其他投标人造成不公平的结果。细微偏差不影响投标文件的有效性。</w:t>
      </w:r>
    </w:p>
    <w:p w14:paraId="3D980775">
      <w:pPr>
        <w:spacing w:line="360" w:lineRule="auto"/>
        <w:ind w:left="480"/>
        <w:outlineLvl w:val="9"/>
        <w:rPr>
          <w:rFonts w:hint="eastAsia" w:ascii="宋体" w:hAnsi="宋体" w:eastAsia="宋体" w:cs="宋体"/>
          <w:b/>
          <w:color w:val="auto"/>
          <w:kern w:val="0"/>
          <w:szCs w:val="21"/>
          <w:highlight w:val="none"/>
        </w:rPr>
      </w:pPr>
    </w:p>
    <w:p w14:paraId="182F8564">
      <w:pPr>
        <w:tabs>
          <w:tab w:val="left" w:pos="1140"/>
        </w:tabs>
        <w:autoSpaceDE w:val="0"/>
        <w:autoSpaceDN w:val="0"/>
        <w:adjustRightInd w:val="0"/>
        <w:spacing w:line="360" w:lineRule="auto"/>
        <w:ind w:firstLine="3528" w:firstLineChars="1255"/>
        <w:jc w:val="left"/>
        <w:outlineLvl w:val="1"/>
        <w:rPr>
          <w:rFonts w:hint="eastAsia" w:ascii="宋体" w:hAnsi="宋体" w:eastAsia="宋体" w:cs="宋体"/>
          <w:b/>
          <w:bCs/>
          <w:color w:val="auto"/>
          <w:sz w:val="28"/>
          <w:szCs w:val="28"/>
          <w:highlight w:val="none"/>
        </w:rPr>
      </w:pPr>
      <w:bookmarkStart w:id="681" w:name="_Toc4109_WPSOffice_Level1"/>
      <w:r>
        <w:rPr>
          <w:rFonts w:hint="eastAsia" w:ascii="宋体" w:hAnsi="宋体" w:eastAsia="宋体" w:cs="宋体"/>
          <w:b/>
          <w:bCs/>
          <w:color w:val="auto"/>
          <w:sz w:val="28"/>
          <w:szCs w:val="28"/>
          <w:highlight w:val="none"/>
          <w:lang w:val="zh-CN"/>
        </w:rPr>
        <w:t>三、澄清有关问题</w:t>
      </w:r>
      <w:bookmarkEnd w:id="681"/>
    </w:p>
    <w:p w14:paraId="0BD05875">
      <w:pPr>
        <w:autoSpaceDE w:val="0"/>
        <w:autoSpaceDN w:val="0"/>
        <w:adjustRightInd w:val="0"/>
        <w:spacing w:line="360" w:lineRule="auto"/>
        <w:ind w:left="315" w:hanging="315" w:hangingChars="150"/>
        <w:outlineLvl w:val="2"/>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9、</w:t>
      </w:r>
      <w:r>
        <w:rPr>
          <w:rFonts w:hint="eastAsia" w:ascii="宋体" w:hAnsi="宋体" w:eastAsia="宋体" w:cs="宋体"/>
          <w:color w:val="auto"/>
          <w:szCs w:val="24"/>
          <w:highlight w:val="none"/>
          <w:lang w:val="zh-CN"/>
        </w:rPr>
        <w:t>在</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的商务、技术资格性检查及符合性检查过程中，</w:t>
      </w:r>
      <w:r>
        <w:rPr>
          <w:rFonts w:hint="eastAsia" w:ascii="宋体" w:hAnsi="宋体" w:eastAsia="宋体" w:cs="宋体"/>
          <w:color w:val="auto"/>
          <w:kern w:val="0"/>
          <w:szCs w:val="24"/>
          <w:highlight w:val="none"/>
          <w:lang w:val="zh-CN"/>
        </w:rPr>
        <w:t>投标人</w:t>
      </w:r>
      <w:r>
        <w:rPr>
          <w:rFonts w:hint="eastAsia" w:ascii="宋体" w:hAnsi="宋体" w:eastAsia="宋体" w:cs="宋体"/>
          <w:color w:val="auto"/>
          <w:szCs w:val="24"/>
          <w:highlight w:val="none"/>
          <w:lang w:val="zh-CN"/>
        </w:rPr>
        <w:t>可应评标委员会要求对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中有关问题进行书面澄清。该书面澄清作为其</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的一部分。</w:t>
      </w:r>
    </w:p>
    <w:p w14:paraId="533527B1">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9.1  对</w:t>
      </w:r>
      <w:r>
        <w:rPr>
          <w:rFonts w:hint="eastAsia" w:ascii="宋体" w:hAnsi="宋体" w:eastAsia="宋体" w:cs="宋体"/>
          <w:color w:val="auto"/>
          <w:kern w:val="0"/>
          <w:szCs w:val="24"/>
          <w:highlight w:val="none"/>
          <w:lang w:val="zh-CN"/>
        </w:rPr>
        <w:t>投标文件</w:t>
      </w:r>
      <w:r>
        <w:rPr>
          <w:rFonts w:hint="eastAsia" w:ascii="宋体" w:hAnsi="宋体" w:eastAsia="宋体" w:cs="宋体"/>
          <w:color w:val="auto"/>
          <w:szCs w:val="24"/>
          <w:highlight w:val="none"/>
          <w:lang w:val="zh-CN"/>
        </w:rPr>
        <w:t>中含义不明确、同类问题表述不一致或者有明显文字和计算错误的内容，评标委员会可以书面形式（由评标委员会专家签字）要求投标人作出必要的澄清、说明或者纠正。</w:t>
      </w:r>
    </w:p>
    <w:p w14:paraId="38A4D8F9">
      <w:pPr>
        <w:autoSpaceDE w:val="0"/>
        <w:autoSpaceDN w:val="0"/>
        <w:adjustRightInd w:val="0"/>
        <w:spacing w:line="360" w:lineRule="auto"/>
        <w:ind w:left="529"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9.2  投标人的澄清、说明或者纠正应当采用书面形式，经加盖其公章或其合法代表人（法定代表人或法定代表人授权书列明的被授权人）签署方有效，并不得超出投标文件的范围或者改变投标文件的实质性内容。</w:t>
      </w:r>
    </w:p>
    <w:p w14:paraId="19A86C77">
      <w:pPr>
        <w:autoSpaceDE w:val="0"/>
        <w:autoSpaceDN w:val="0"/>
        <w:adjustRightInd w:val="0"/>
        <w:spacing w:line="360" w:lineRule="auto"/>
        <w:ind w:left="529" w:right="18" w:hanging="529" w:hangingChars="252"/>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9.3  经过澄清后仍不符合要求，则该项目在下一步评审进行评分调整；若重大（实质性）偏差仍存在，且不可接受，投标人则被认为是“不响应招标文件要求的投标人”，不再进入下一步评审。</w:t>
      </w:r>
    </w:p>
    <w:p w14:paraId="6563C09C">
      <w:pPr>
        <w:spacing w:line="360" w:lineRule="auto"/>
        <w:ind w:left="424" w:hanging="424" w:hangingChars="202"/>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9.4  投标文件报价计算错误的修正</w:t>
      </w:r>
    </w:p>
    <w:p w14:paraId="0C5C5EF7">
      <w:pPr>
        <w:autoSpaceDE/>
        <w:autoSpaceDN/>
        <w:adjustRightInd/>
        <w:spacing w:line="360" w:lineRule="auto"/>
        <w:ind w:left="567" w:hanging="567" w:hangingChars="27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（1）评标委员会将对确定为实质上响应招标文件要求的投标文件进行校核，看其是否有计算或表达上的错误，修正错误的原则为：</w:t>
      </w:r>
    </w:p>
    <w:p w14:paraId="4E970619">
      <w:pPr>
        <w:autoSpaceDE/>
        <w:autoSpaceDN/>
        <w:adjustRightInd/>
        <w:spacing w:line="360" w:lineRule="auto"/>
        <w:ind w:left="0" w:firstLine="420" w:firstLineChars="20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A</w:t>
      </w:r>
      <w:r>
        <w:rPr>
          <w:rFonts w:hint="eastAsia" w:ascii="宋体" w:hAnsi="宋体" w:eastAsia="宋体" w:cs="宋体"/>
          <w:color w:val="auto"/>
          <w:kern w:val="0"/>
          <w:szCs w:val="21"/>
          <w:highlight w:val="none"/>
          <w:lang w:val="zh-CN"/>
        </w:rPr>
        <w:t>）当以数字表示的金额与以文字表示的金额不一致时，以文字表示的金额为准；</w:t>
      </w:r>
    </w:p>
    <w:p w14:paraId="49A9D005">
      <w:pPr>
        <w:autoSpaceDE/>
        <w:autoSpaceDN/>
        <w:adjustRightInd/>
        <w:spacing w:line="360" w:lineRule="auto"/>
        <w:ind w:left="420" w:leftChars="200" w:firstLine="0" w:firstLineChars="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B</w:t>
      </w:r>
      <w:r>
        <w:rPr>
          <w:rFonts w:hint="eastAsia" w:ascii="宋体" w:hAnsi="宋体" w:eastAsia="宋体" w:cs="宋体"/>
          <w:color w:val="auto"/>
          <w:kern w:val="0"/>
          <w:szCs w:val="21"/>
          <w:highlight w:val="none"/>
          <w:lang w:val="zh-CN"/>
        </w:rPr>
        <w:t>）当开标一览表(投标报价表)内总报价金额与按综合单价计算的总价不一致的，以综合单价计算结果为准，单项金额小数点有明显错位的，应以总价为准，并修正综合单价金额；</w:t>
      </w:r>
    </w:p>
    <w:p w14:paraId="234F3E41">
      <w:pPr>
        <w:autoSpaceDE/>
        <w:autoSpaceDN/>
        <w:adjustRightInd/>
        <w:spacing w:line="360" w:lineRule="auto"/>
        <w:ind w:left="420" w:leftChars="200" w:firstLine="0" w:firstLineChars="0"/>
        <w:jc w:val="left"/>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C</w:t>
      </w:r>
      <w:r>
        <w:rPr>
          <w:rFonts w:hint="eastAsia" w:ascii="宋体" w:hAnsi="宋体" w:eastAsia="宋体" w:cs="宋体"/>
          <w:color w:val="auto"/>
          <w:kern w:val="0"/>
          <w:szCs w:val="21"/>
          <w:highlight w:val="none"/>
          <w:lang w:val="zh-CN"/>
        </w:rPr>
        <w:t>）当分项报价表内累计与投标报价表内报价不符时，以投标报价表（开标一览表）为准，修正分项报价表内的各分项报价；</w:t>
      </w:r>
    </w:p>
    <w:p w14:paraId="0F3B2975">
      <w:pPr>
        <w:autoSpaceDE/>
        <w:autoSpaceDN/>
        <w:adjustRightInd/>
        <w:spacing w:line="360" w:lineRule="auto"/>
        <w:ind w:left="0" w:firstLine="420" w:firstLineChars="200"/>
        <w:jc w:val="left"/>
        <w:outlineLvl w:val="9"/>
        <w:rPr>
          <w:rFonts w:hint="eastAsia" w:ascii="宋体" w:hAnsi="宋体" w:eastAsia="宋体" w:cs="宋体"/>
          <w:color w:val="auto"/>
          <w:kern w:val="0"/>
          <w:sz w:val="24"/>
          <w:szCs w:val="24"/>
          <w:highlight w:val="none"/>
        </w:rPr>
      </w:pPr>
      <w:r>
        <w:rPr>
          <w:rFonts w:hint="eastAsia" w:ascii="宋体" w:hAnsi="宋体" w:eastAsia="宋体" w:cs="宋体"/>
          <w:color w:val="auto"/>
          <w:kern w:val="0"/>
          <w:szCs w:val="21"/>
          <w:highlight w:val="none"/>
          <w:lang w:val="zh-CN"/>
        </w:rPr>
        <w:t>（</w:t>
      </w:r>
      <w:r>
        <w:rPr>
          <w:rFonts w:hint="eastAsia" w:ascii="宋体" w:hAnsi="宋体" w:eastAsia="宋体" w:cs="宋体"/>
          <w:color w:val="auto"/>
          <w:kern w:val="0"/>
          <w:szCs w:val="21"/>
          <w:highlight w:val="none"/>
          <w:lang w:val="en-US" w:eastAsia="zh-CN"/>
        </w:rPr>
        <w:t>D</w:t>
      </w:r>
      <w:r>
        <w:rPr>
          <w:rFonts w:hint="eastAsia" w:ascii="宋体" w:hAnsi="宋体" w:eastAsia="宋体" w:cs="宋体"/>
          <w:color w:val="auto"/>
          <w:kern w:val="0"/>
          <w:szCs w:val="21"/>
          <w:highlight w:val="none"/>
          <w:lang w:val="zh-CN"/>
        </w:rPr>
        <w:t>）按前述修正原则排序依次进行修正至唯一值后的报价表经双方确认后，作为合同文件的组成部分。</w:t>
      </w:r>
    </w:p>
    <w:p w14:paraId="29A3FFDC">
      <w:pPr>
        <w:spacing w:line="360" w:lineRule="auto"/>
        <w:ind w:left="567" w:hanging="567" w:hangingChars="270"/>
        <w:outlineLvl w:val="9"/>
        <w:rPr>
          <w:rFonts w:hint="eastAsia" w:ascii="宋体" w:hAnsi="宋体" w:eastAsia="宋体" w:cs="宋体"/>
          <w:b/>
          <w:color w:val="auto"/>
          <w:kern w:val="0"/>
          <w:szCs w:val="21"/>
          <w:highlight w:val="none"/>
          <w:lang w:val="zh-CN"/>
        </w:rPr>
      </w:pPr>
      <w:r>
        <w:rPr>
          <w:rFonts w:hint="eastAsia" w:ascii="宋体" w:hAnsi="宋体" w:eastAsia="宋体" w:cs="宋体"/>
          <w:color w:val="auto"/>
          <w:kern w:val="0"/>
          <w:szCs w:val="21"/>
          <w:highlight w:val="none"/>
          <w:lang w:val="zh-CN"/>
        </w:rPr>
        <w:t>（2）</w:t>
      </w:r>
      <w:r>
        <w:rPr>
          <w:rFonts w:hint="eastAsia" w:ascii="宋体" w:hAnsi="宋体" w:eastAsia="宋体" w:cs="宋体"/>
          <w:b/>
          <w:color w:val="auto"/>
          <w:kern w:val="0"/>
          <w:szCs w:val="21"/>
          <w:highlight w:val="none"/>
          <w:u w:val="single"/>
          <w:lang w:val="zh-CN"/>
        </w:rPr>
        <w:t>按上述修正</w:t>
      </w:r>
      <w:r>
        <w:rPr>
          <w:rFonts w:hint="eastAsia" w:ascii="宋体" w:hAnsi="宋体" w:eastAsia="宋体" w:cs="宋体"/>
          <w:b/>
          <w:color w:val="auto"/>
          <w:kern w:val="0"/>
          <w:szCs w:val="21"/>
          <w:highlight w:val="none"/>
          <w:u w:val="single"/>
        </w:rPr>
        <w:t>错误</w:t>
      </w:r>
      <w:r>
        <w:rPr>
          <w:rFonts w:hint="eastAsia" w:ascii="宋体" w:hAnsi="宋体" w:eastAsia="宋体" w:cs="宋体"/>
          <w:b/>
          <w:color w:val="auto"/>
          <w:kern w:val="0"/>
          <w:szCs w:val="21"/>
          <w:highlight w:val="none"/>
          <w:u w:val="single"/>
          <w:lang w:val="zh-CN"/>
        </w:rPr>
        <w:t>的原则及方法调整或修正投标文件的投标报价，调整后的投标报价对投标人起约束作用。如果投标人不接受修正后的报价，则其投标将被拒绝，作为无效投标处理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090F866">
      <w:pPr>
        <w:spacing w:line="360" w:lineRule="auto"/>
        <w:ind w:left="567" w:hanging="567" w:hangingChars="27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9.5  若投标人出现超低报价，有可能影响服务质量和不能诚信履约的，</w:t>
      </w:r>
      <w:r>
        <w:rPr>
          <w:rFonts w:hint="eastAsia" w:ascii="宋体" w:hAnsi="宋体" w:eastAsia="宋体" w:cs="宋体"/>
          <w:b w:val="0"/>
          <w:bCs/>
          <w:color w:val="auto"/>
          <w:szCs w:val="21"/>
          <w:highlight w:val="none"/>
          <w:lang w:val="zh-CN"/>
        </w:rPr>
        <w:t>评标委员会将要求该投标人作出书面说明并提供相关证明材料，以确定投标人是否以低于企业成本价报价。</w:t>
      </w:r>
      <w:r>
        <w:rPr>
          <w:rFonts w:hint="eastAsia" w:ascii="宋体" w:hAnsi="宋体" w:eastAsia="宋体" w:cs="宋体"/>
          <w:b/>
          <w:color w:val="auto"/>
          <w:szCs w:val="21"/>
          <w:highlight w:val="none"/>
          <w:lang w:val="zh-CN"/>
        </w:rPr>
        <w:t>若投标人不能合理说明或不能提供相关证明材料的，评标委员会将认定其投标报价低于成本，同时否决其投标。</w:t>
      </w:r>
    </w:p>
    <w:p w14:paraId="0C422A99">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bookmarkStart w:id="682" w:name="_Toc8518_WPSOffice_Level1"/>
    </w:p>
    <w:p w14:paraId="46C93CDE">
      <w:pPr>
        <w:autoSpaceDE w:val="0"/>
        <w:autoSpaceDN w:val="0"/>
        <w:adjustRightInd w:val="0"/>
        <w:spacing w:line="360" w:lineRule="auto"/>
        <w:jc w:val="center"/>
        <w:outlineLvl w:val="1"/>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zh-CN"/>
        </w:rPr>
        <w:t>四、比较和评价</w:t>
      </w:r>
      <w:bookmarkEnd w:id="682"/>
    </w:p>
    <w:p w14:paraId="483195BF">
      <w:pPr>
        <w:autoSpaceDE w:val="0"/>
        <w:autoSpaceDN w:val="0"/>
        <w:adjustRightInd w:val="0"/>
        <w:spacing w:line="360" w:lineRule="auto"/>
        <w:ind w:left="422" w:leftChars="1" w:hanging="420" w:hangingChars="200"/>
        <w:outlineLvl w:val="2"/>
        <w:rPr>
          <w:rFonts w:hint="eastAsia" w:ascii="宋体" w:hAnsi="宋体" w:eastAsia="宋体" w:cs="宋体"/>
          <w:color w:val="auto"/>
          <w:szCs w:val="24"/>
          <w:highlight w:val="none"/>
          <w:lang w:val="zh-CN"/>
        </w:rPr>
      </w:pPr>
      <w:r>
        <w:rPr>
          <w:rFonts w:hint="eastAsia" w:ascii="宋体" w:hAnsi="宋体" w:eastAsia="宋体" w:cs="宋体"/>
          <w:bCs/>
          <w:color w:val="auto"/>
          <w:szCs w:val="24"/>
          <w:highlight w:val="none"/>
          <w:lang w:val="zh-CN"/>
        </w:rPr>
        <w:t>10、</w:t>
      </w:r>
      <w:r>
        <w:rPr>
          <w:rFonts w:hint="eastAsia" w:ascii="宋体" w:hAnsi="宋体" w:eastAsia="宋体" w:cs="宋体"/>
          <w:color w:val="auto"/>
          <w:szCs w:val="24"/>
          <w:highlight w:val="none"/>
          <w:lang w:val="zh-CN"/>
        </w:rPr>
        <w:t>评标委员会按招标文件中规定的评审方法和标准，对资格性检查和符合性检查合格的投标文件进行商务和技术评审、综合比较与评价；评标委员会根据商务和技术评审的结果，采用综合评分法，分别对投标文件的商务、技术、价格等内容进行打分。</w:t>
      </w:r>
    </w:p>
    <w:p w14:paraId="424B5C0D">
      <w:pPr>
        <w:autoSpaceDE w:val="0"/>
        <w:autoSpaceDN w:val="0"/>
        <w:adjustRightInd w:val="0"/>
        <w:spacing w:line="360" w:lineRule="auto"/>
        <w:ind w:left="422" w:leftChars="1" w:hanging="420" w:hangingChars="200"/>
        <w:outlineLvl w:val="9"/>
        <w:rPr>
          <w:rFonts w:hint="eastAsia" w:ascii="宋体" w:hAnsi="宋体" w:eastAsia="宋体" w:cs="宋体"/>
          <w:color w:val="auto"/>
          <w:szCs w:val="24"/>
          <w:highlight w:val="none"/>
          <w:lang w:val="zh-CN"/>
        </w:rPr>
      </w:pPr>
    </w:p>
    <w:p w14:paraId="6263C1FF">
      <w:pPr>
        <w:tabs>
          <w:tab w:val="left" w:pos="1701"/>
        </w:tabs>
        <w:autoSpaceDE w:val="0"/>
        <w:autoSpaceDN w:val="0"/>
        <w:adjustRightInd w:val="0"/>
        <w:spacing w:line="360" w:lineRule="auto"/>
        <w:outlineLvl w:val="2"/>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11、评委打分办法</w:t>
      </w:r>
    </w:p>
    <w:p w14:paraId="3E64A64F">
      <w:pPr>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11.1 参加评分的评委应尽力体现客观、实事求是，避免学派偏见和个人偏好。</w:t>
      </w:r>
    </w:p>
    <w:p w14:paraId="325CAC48">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11.2 衡量、对比的依据，应以招标文件、投标文件、提供的正式试验数据、开标澄清中的文字为准，口头回答和收集的资料只作为参考。</w:t>
      </w:r>
    </w:p>
    <w:p w14:paraId="79CBB067">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szCs w:val="24"/>
          <w:highlight w:val="none"/>
          <w:lang w:val="zh-CN"/>
        </w:rPr>
        <w:t>11.3 评分主要是为比较各投标人的商务、技术</w:t>
      </w:r>
      <w:r>
        <w:rPr>
          <w:rFonts w:hint="eastAsia" w:ascii="宋体" w:hAnsi="宋体" w:eastAsia="宋体" w:cs="宋体"/>
          <w:color w:val="auto"/>
          <w:szCs w:val="24"/>
          <w:highlight w:val="none"/>
          <w:lang w:val="en-US" w:eastAsia="zh-CN"/>
        </w:rPr>
        <w:t>和</w:t>
      </w:r>
      <w:r>
        <w:rPr>
          <w:rFonts w:hint="eastAsia" w:ascii="宋体" w:hAnsi="宋体" w:eastAsia="宋体" w:cs="宋体"/>
          <w:color w:val="auto"/>
          <w:szCs w:val="24"/>
          <w:highlight w:val="none"/>
          <w:lang w:val="zh-CN"/>
        </w:rPr>
        <w:t>价格综合排序。</w:t>
      </w:r>
      <w:r>
        <w:rPr>
          <w:rFonts w:hint="eastAsia" w:ascii="宋体" w:hAnsi="宋体" w:eastAsia="宋体" w:cs="宋体"/>
          <w:color w:val="auto"/>
          <w:kern w:val="0"/>
          <w:szCs w:val="21"/>
          <w:highlight w:val="none"/>
        </w:rPr>
        <w:t>评标委员会专家组的每一位评委根据招标文件评分标准对投标文件分别评审，对有效投标人投标文件的商务、技术、报价分别评分。</w:t>
      </w:r>
    </w:p>
    <w:p w14:paraId="085CF089">
      <w:pPr>
        <w:autoSpaceDE w:val="0"/>
        <w:autoSpaceDN w:val="0"/>
        <w:adjustRightInd w:val="0"/>
        <w:spacing w:line="360" w:lineRule="auto"/>
        <w:ind w:left="565" w:leftChars="-1" w:hanging="567" w:hangingChars="27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1</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评标委员会首先对商务标进行评审，按评标标准打分后，取所有评委评分的平均值得出该投标人的商务评分；</w:t>
      </w:r>
    </w:p>
    <w:p w14:paraId="7CD03E1B">
      <w:pPr>
        <w:autoSpaceDE w:val="0"/>
        <w:autoSpaceDN w:val="0"/>
        <w:adjustRightInd w:val="0"/>
        <w:spacing w:line="360" w:lineRule="auto"/>
        <w:ind w:left="565" w:leftChars="-1" w:hanging="567" w:hangingChars="270"/>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然后评标委员会对技术标进行评审，按评标标准打分后</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sz w:val="21"/>
          <w:szCs w:val="21"/>
          <w:highlight w:val="none"/>
        </w:rPr>
        <w:t>当评标委员会为五人时，在所有评委对同一份投标文件技术标评审的总评分中，去掉一个最高分和一个最低分，计算剩余总评分的算术平均值即为该投标人技术部分的</w:t>
      </w:r>
      <w:r>
        <w:rPr>
          <w:rFonts w:hint="eastAsia" w:ascii="宋体" w:hAnsi="宋体" w:eastAsia="宋体" w:cs="宋体"/>
          <w:color w:val="auto"/>
          <w:sz w:val="21"/>
          <w:szCs w:val="21"/>
          <w:highlight w:val="none"/>
          <w:lang w:val="en-US" w:eastAsia="zh-CN"/>
        </w:rPr>
        <w:t>最终综合得分</w:t>
      </w:r>
      <w:r>
        <w:rPr>
          <w:rFonts w:hint="eastAsia" w:ascii="宋体" w:hAnsi="宋体" w:eastAsia="宋体" w:cs="宋体"/>
          <w:color w:val="auto"/>
          <w:sz w:val="21"/>
          <w:szCs w:val="21"/>
          <w:highlight w:val="none"/>
        </w:rPr>
        <w:t>；当评标委员会为七人及以上单数时，在各评委的打分中，同一评委的最高评分减去最低评分，去掉分差最大评委的所有打分（出现分差相同时，按最高评分减去次最低评分进行比较，如此类推），在所有剩余评委对同一份投标文件技术部分评审的总评分中，去掉一个最高分和一个最低分，计算剩余总评分的算术平均值即为该投标人技术部分的最终综合得分；若评标委员会成员对某一项按“优、良、中、差”区间评审</w:t>
      </w:r>
      <w:r>
        <w:rPr>
          <w:rFonts w:hint="eastAsia" w:ascii="宋体" w:hAnsi="宋体" w:eastAsia="宋体" w:cs="宋体"/>
          <w:color w:val="auto"/>
          <w:sz w:val="21"/>
          <w:szCs w:val="21"/>
          <w:highlight w:val="none"/>
          <w:lang w:val="en-US" w:eastAsia="zh-CN"/>
        </w:rPr>
        <w:t>的</w:t>
      </w:r>
      <w:r>
        <w:rPr>
          <w:rFonts w:hint="eastAsia" w:ascii="宋体" w:hAnsi="宋体" w:eastAsia="宋体" w:cs="宋体"/>
          <w:color w:val="auto"/>
          <w:sz w:val="21"/>
          <w:szCs w:val="21"/>
          <w:highlight w:val="none"/>
        </w:rPr>
        <w:t>评分因素的评分低于权重分值60%的，应在评标报告中作出说明。</w:t>
      </w:r>
    </w:p>
    <w:p w14:paraId="343E31EC">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lang w:val="en-US" w:eastAsia="zh-CN"/>
        </w:rPr>
        <w:t>3</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kern w:val="0"/>
          <w:szCs w:val="21"/>
          <w:highlight w:val="none"/>
        </w:rPr>
        <w:t>最后评标委员会对报价进行评审，按评标标准计算得出该投标人的报价评分。</w:t>
      </w:r>
    </w:p>
    <w:p w14:paraId="2BEDB276">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11.4 评标委员会打分采取记名形式。</w:t>
      </w:r>
    </w:p>
    <w:p w14:paraId="7851F276">
      <w:pPr>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11.5 各评委根据秘书组提供的打分表严格按照评标大纲内的评分标准独立自主打分，任何人不得要求评委统一打分或统一确定等次顺序。</w:t>
      </w:r>
    </w:p>
    <w:p w14:paraId="48919C6A">
      <w:pPr>
        <w:autoSpaceDE w:val="0"/>
        <w:autoSpaceDN w:val="0"/>
        <w:adjustRightInd w:val="0"/>
        <w:spacing w:line="360" w:lineRule="auto"/>
        <w:ind w:left="426" w:hanging="426"/>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11.6 对打分表中的每项条款，各评委应根据投标文件、澄清材料、招标文件要求，按满足的程度给投标人打分。</w:t>
      </w:r>
    </w:p>
    <w:p w14:paraId="45D24852">
      <w:pPr>
        <w:tabs>
          <w:tab w:val="left" w:pos="600"/>
        </w:tabs>
        <w:autoSpaceDE w:val="0"/>
        <w:autoSpaceDN w:val="0"/>
        <w:adjustRightInd w:val="0"/>
        <w:spacing w:line="360" w:lineRule="auto"/>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11.7 评分程序</w:t>
      </w:r>
    </w:p>
    <w:p w14:paraId="5007EB91">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（1）就投标人的投标文件对照整理出商务、技术评标因素对比表、偏差表，并在经过校核的基础上逐项打分。</w:t>
      </w:r>
    </w:p>
    <w:p w14:paraId="1B7B3A72">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（2）各评委独立完成打分后，将统计好的评分表交给招标代理机构秘书组复核。</w:t>
      </w:r>
    </w:p>
    <w:p w14:paraId="195386EE">
      <w:pPr>
        <w:tabs>
          <w:tab w:val="left" w:pos="1134"/>
        </w:tabs>
        <w:autoSpaceDE w:val="0"/>
        <w:autoSpaceDN w:val="0"/>
        <w:adjustRightInd w:val="0"/>
        <w:spacing w:line="360" w:lineRule="auto"/>
        <w:ind w:left="565" w:leftChars="-1" w:hanging="567" w:hangingChars="27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（3）评分统计表中各投标人技术得分应为最终综合得分，商务和价格得分应为评委打分的算术平均值。</w:t>
      </w:r>
    </w:p>
    <w:p w14:paraId="0E3D1DB2">
      <w:pPr>
        <w:autoSpaceDE w:val="0"/>
        <w:autoSpaceDN w:val="0"/>
        <w:adjustRightInd w:val="0"/>
        <w:spacing w:line="360" w:lineRule="auto"/>
        <w:outlineLvl w:val="9"/>
        <w:rPr>
          <w:rFonts w:hint="eastAsia" w:ascii="宋体" w:hAnsi="宋体" w:eastAsia="宋体" w:cs="宋体"/>
          <w:color w:val="auto"/>
          <w:szCs w:val="24"/>
          <w:highlight w:val="none"/>
          <w:lang w:val="zh-CN"/>
        </w:rPr>
      </w:pPr>
    </w:p>
    <w:p w14:paraId="667AFA70">
      <w:pPr>
        <w:tabs>
          <w:tab w:val="left" w:pos="1701"/>
        </w:tabs>
        <w:autoSpaceDE w:val="0"/>
        <w:autoSpaceDN w:val="0"/>
        <w:adjustRightInd w:val="0"/>
        <w:spacing w:line="360" w:lineRule="auto"/>
        <w:outlineLvl w:val="2"/>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12、评分因素及分值</w:t>
      </w:r>
    </w:p>
    <w:tbl>
      <w:tblPr>
        <w:tblStyle w:val="39"/>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5197"/>
        <w:gridCol w:w="5173"/>
      </w:tblGrid>
      <w:tr w14:paraId="5CDC070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7324E721">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评分因素</w:t>
            </w:r>
          </w:p>
        </w:tc>
        <w:tc>
          <w:tcPr>
            <w:tcW w:w="2494" w:type="pct"/>
            <w:tcBorders>
              <w:top w:val="single" w:color="auto" w:sz="4" w:space="0"/>
              <w:left w:val="single" w:color="auto" w:sz="4" w:space="0"/>
              <w:bottom w:val="single" w:color="auto" w:sz="4" w:space="0"/>
              <w:right w:val="single" w:color="auto" w:sz="4" w:space="0"/>
            </w:tcBorders>
            <w:vAlign w:val="center"/>
          </w:tcPr>
          <w:p w14:paraId="68A1B862">
            <w:pPr>
              <w:spacing w:line="400" w:lineRule="exact"/>
              <w:jc w:val="center"/>
              <w:outlineLvl w:val="9"/>
              <w:rPr>
                <w:rFonts w:hint="eastAsia" w:ascii="宋体" w:hAnsi="宋体" w:eastAsia="宋体" w:cs="宋体"/>
                <w:b/>
                <w:color w:val="auto"/>
                <w:kern w:val="0"/>
                <w:sz w:val="22"/>
                <w:highlight w:val="none"/>
                <w:lang w:val="zh-CN"/>
              </w:rPr>
            </w:pPr>
            <w:r>
              <w:rPr>
                <w:rFonts w:hint="eastAsia" w:ascii="宋体" w:hAnsi="宋体" w:eastAsia="宋体" w:cs="宋体"/>
                <w:b/>
                <w:color w:val="auto"/>
                <w:kern w:val="0"/>
                <w:sz w:val="22"/>
                <w:highlight w:val="none"/>
                <w:lang w:val="zh-CN"/>
              </w:rPr>
              <w:t>分值</w:t>
            </w:r>
          </w:p>
        </w:tc>
      </w:tr>
      <w:tr w14:paraId="769F9F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3CA2EF48">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1、商务</w:t>
            </w:r>
          </w:p>
        </w:tc>
        <w:tc>
          <w:tcPr>
            <w:tcW w:w="2494" w:type="pct"/>
            <w:tcBorders>
              <w:top w:val="single" w:color="auto" w:sz="4" w:space="0"/>
              <w:left w:val="single" w:color="auto" w:sz="4" w:space="0"/>
              <w:bottom w:val="single" w:color="auto" w:sz="4" w:space="0"/>
              <w:right w:val="single" w:color="auto" w:sz="4" w:space="0"/>
            </w:tcBorders>
            <w:vAlign w:val="center"/>
          </w:tcPr>
          <w:p w14:paraId="37EFAE57">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55E52CB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65803A14">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2、技术</w:t>
            </w:r>
          </w:p>
        </w:tc>
        <w:tc>
          <w:tcPr>
            <w:tcW w:w="2494" w:type="pct"/>
            <w:tcBorders>
              <w:top w:val="single" w:color="auto" w:sz="4" w:space="0"/>
              <w:left w:val="single" w:color="auto" w:sz="4" w:space="0"/>
              <w:bottom w:val="single" w:color="auto" w:sz="4" w:space="0"/>
              <w:right w:val="single" w:color="auto" w:sz="4" w:space="0"/>
            </w:tcBorders>
            <w:vAlign w:val="center"/>
          </w:tcPr>
          <w:p w14:paraId="7A2AA4FB">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p>
        </w:tc>
      </w:tr>
      <w:tr w14:paraId="2478A4E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2506" w:type="pct"/>
            <w:tcBorders>
              <w:top w:val="single" w:color="auto" w:sz="4" w:space="0"/>
              <w:left w:val="single" w:color="auto" w:sz="4" w:space="0"/>
              <w:bottom w:val="single" w:color="auto" w:sz="4" w:space="0"/>
              <w:right w:val="single" w:color="auto" w:sz="4" w:space="0"/>
            </w:tcBorders>
            <w:vAlign w:val="center"/>
          </w:tcPr>
          <w:p w14:paraId="4882D4D6">
            <w:pPr>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Cs/>
                <w:color w:val="auto"/>
                <w:kern w:val="0"/>
                <w:sz w:val="22"/>
                <w:highlight w:val="none"/>
                <w:lang w:val="zh-CN"/>
              </w:rPr>
              <w:t>3、价格</w:t>
            </w:r>
          </w:p>
        </w:tc>
        <w:tc>
          <w:tcPr>
            <w:tcW w:w="2494" w:type="pct"/>
            <w:tcBorders>
              <w:top w:val="single" w:color="auto" w:sz="4" w:space="0"/>
              <w:left w:val="single" w:color="auto" w:sz="4" w:space="0"/>
              <w:bottom w:val="single" w:color="auto" w:sz="4" w:space="0"/>
              <w:right w:val="single" w:color="auto" w:sz="4" w:space="0"/>
            </w:tcBorders>
            <w:vAlign w:val="center"/>
          </w:tcPr>
          <w:p w14:paraId="278AE308">
            <w:pPr>
              <w:autoSpaceDE w:val="0"/>
              <w:autoSpaceDN w:val="0"/>
              <w:adjustRightInd w:val="0"/>
              <w:spacing w:line="400" w:lineRule="exact"/>
              <w:jc w:val="center"/>
              <w:outlineLvl w:val="9"/>
              <w:rPr>
                <w:rFonts w:hint="eastAsia" w:ascii="宋体" w:hAnsi="宋体" w:eastAsia="宋体" w:cs="宋体"/>
                <w:bCs/>
                <w:color w:val="auto"/>
                <w:kern w:val="0"/>
                <w:sz w:val="22"/>
                <w:highlight w:val="none"/>
                <w:lang w:val="zh-CN"/>
              </w:rPr>
            </w:pPr>
            <w:r>
              <w:rPr>
                <w:rFonts w:hint="eastAsia" w:ascii="宋体" w:hAnsi="宋体" w:eastAsia="宋体" w:cs="宋体"/>
                <w:b/>
                <w:color w:val="auto"/>
                <w:szCs w:val="21"/>
                <w:highlight w:val="none"/>
                <w:lang w:val="en-US" w:eastAsia="zh-CN"/>
              </w:rPr>
              <w:t>40</w:t>
            </w:r>
            <w:r>
              <w:rPr>
                <w:rFonts w:hint="eastAsia" w:ascii="宋体" w:hAnsi="宋体" w:eastAsia="宋体" w:cs="宋体"/>
                <w:b/>
                <w:color w:val="auto"/>
                <w:szCs w:val="21"/>
                <w:highlight w:val="none"/>
                <w:lang w:val="zh-CN"/>
              </w:rPr>
              <w:t>分</w:t>
            </w:r>
          </w:p>
        </w:tc>
      </w:tr>
    </w:tbl>
    <w:p w14:paraId="0AFCE567">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rPr>
      </w:pPr>
      <w:bookmarkStart w:id="683" w:name="_Toc18349_WPSOffice_Level2"/>
    </w:p>
    <w:p w14:paraId="0152DF36">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rPr>
        <w:t>（1）</w:t>
      </w:r>
      <w:r>
        <w:rPr>
          <w:rFonts w:hint="eastAsia" w:ascii="宋体" w:hAnsi="宋体" w:eastAsia="宋体" w:cs="宋体"/>
          <w:b/>
          <w:color w:val="auto"/>
          <w:szCs w:val="21"/>
          <w:highlight w:val="none"/>
          <w:lang w:val="zh-CN"/>
        </w:rPr>
        <w:t>商务：总分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83"/>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4"/>
        <w:gridCol w:w="1134"/>
        <w:gridCol w:w="7655"/>
        <w:gridCol w:w="907"/>
      </w:tblGrid>
      <w:tr w14:paraId="746596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325" w:type="pct"/>
            <w:tcBorders>
              <w:top w:val="single" w:color="auto" w:sz="4" w:space="0"/>
              <w:left w:val="single" w:color="auto" w:sz="4" w:space="0"/>
              <w:bottom w:val="single" w:color="auto" w:sz="4" w:space="0"/>
              <w:right w:val="single" w:color="auto" w:sz="4" w:space="0"/>
            </w:tcBorders>
            <w:vAlign w:val="bottom"/>
          </w:tcPr>
          <w:p w14:paraId="488EC111">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序号</w:t>
            </w:r>
          </w:p>
        </w:tc>
        <w:tc>
          <w:tcPr>
            <w:tcW w:w="547" w:type="pct"/>
            <w:tcBorders>
              <w:top w:val="single" w:color="auto" w:sz="4" w:space="0"/>
              <w:left w:val="single" w:color="auto" w:sz="4" w:space="0"/>
              <w:bottom w:val="single" w:color="auto" w:sz="4" w:space="0"/>
              <w:right w:val="single" w:color="auto" w:sz="4" w:space="0"/>
            </w:tcBorders>
            <w:vAlign w:val="bottom"/>
          </w:tcPr>
          <w:p w14:paraId="626BA1E6">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1" w:type="pct"/>
            <w:tcBorders>
              <w:top w:val="single" w:color="auto" w:sz="4" w:space="0"/>
              <w:left w:val="single" w:color="auto" w:sz="4" w:space="0"/>
              <w:bottom w:val="single" w:color="auto" w:sz="4" w:space="0"/>
              <w:right w:val="single" w:color="auto" w:sz="4" w:space="0"/>
            </w:tcBorders>
            <w:vAlign w:val="bottom"/>
          </w:tcPr>
          <w:p w14:paraId="0F7A1323">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bottom"/>
          </w:tcPr>
          <w:p w14:paraId="407DDB7E">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4E865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0DC8DDB8">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w:t>
            </w:r>
          </w:p>
        </w:tc>
        <w:tc>
          <w:tcPr>
            <w:tcW w:w="1134" w:type="dxa"/>
            <w:tcBorders>
              <w:top w:val="single" w:color="auto" w:sz="4" w:space="0"/>
              <w:left w:val="single" w:color="auto" w:sz="4" w:space="0"/>
              <w:bottom w:val="single" w:color="auto" w:sz="4" w:space="0"/>
              <w:right w:val="single" w:color="auto" w:sz="4" w:space="0"/>
            </w:tcBorders>
            <w:vAlign w:val="center"/>
          </w:tcPr>
          <w:p w14:paraId="5774294F">
            <w:pPr>
              <w:spacing w:line="400" w:lineRule="exact"/>
              <w:jc w:val="center"/>
              <w:outlineLvl w:val="9"/>
              <w:rPr>
                <w:rFonts w:hint="eastAsia" w:ascii="宋体" w:hAnsi="宋体" w:eastAsia="宋体" w:cs="宋体"/>
                <w:bCs/>
                <w:color w:val="auto"/>
                <w:kern w:val="0"/>
                <w:sz w:val="24"/>
                <w:szCs w:val="21"/>
                <w:highlight w:val="none"/>
              </w:rPr>
            </w:pPr>
            <w:r>
              <w:rPr>
                <w:rFonts w:hint="eastAsia" w:ascii="宋体" w:hAnsi="宋体" w:eastAsia="宋体" w:cs="宋体"/>
                <w:color w:val="auto"/>
                <w:szCs w:val="21"/>
                <w:highlight w:val="none"/>
                <w:lang w:val="zh-CN"/>
              </w:rPr>
              <w:t>财务状况</w:t>
            </w:r>
          </w:p>
        </w:tc>
        <w:tc>
          <w:tcPr>
            <w:tcW w:w="7655" w:type="dxa"/>
            <w:tcBorders>
              <w:top w:val="single" w:color="auto" w:sz="4" w:space="0"/>
              <w:left w:val="single" w:color="auto" w:sz="4" w:space="0"/>
              <w:bottom w:val="single" w:color="auto" w:sz="4" w:space="0"/>
              <w:right w:val="single" w:color="auto" w:sz="4" w:space="0"/>
            </w:tcBorders>
            <w:vAlign w:val="center"/>
          </w:tcPr>
          <w:p w14:paraId="511A613B">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年-202</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年三个年度，每具有1个年度盈利的得1分，满分3分。</w:t>
            </w:r>
          </w:p>
          <w:p w14:paraId="3C844EBD">
            <w:pPr>
              <w:spacing w:line="400" w:lineRule="exact"/>
              <w:outlineLvl w:val="9"/>
              <w:rPr>
                <w:rFonts w:hint="eastAsia" w:ascii="宋体" w:hAnsi="宋体" w:eastAsia="宋体" w:cs="宋体"/>
                <w:b/>
                <w:color w:val="auto"/>
                <w:kern w:val="0"/>
                <w:szCs w:val="21"/>
                <w:highlight w:val="none"/>
                <w:lang w:val="zh-CN"/>
              </w:rPr>
            </w:pPr>
            <w:r>
              <w:rPr>
                <w:rFonts w:hint="eastAsia" w:ascii="宋体" w:hAnsi="宋体" w:eastAsia="宋体" w:cs="宋体"/>
                <w:b/>
                <w:bCs/>
                <w:color w:val="auto"/>
                <w:szCs w:val="21"/>
                <w:highlight w:val="none"/>
              </w:rPr>
              <w:t>备注：盈利指净利润为正数（非零、非负数），投标人应提供202</w:t>
            </w:r>
            <w:r>
              <w:rPr>
                <w:rFonts w:hint="eastAsia" w:ascii="宋体" w:hAnsi="宋体" w:eastAsia="宋体" w:cs="宋体"/>
                <w:b/>
                <w:bCs/>
                <w:color w:val="auto"/>
                <w:szCs w:val="21"/>
                <w:highlight w:val="none"/>
                <w:lang w:val="en-US" w:eastAsia="zh-CN"/>
              </w:rPr>
              <w:t>1</w:t>
            </w:r>
            <w:r>
              <w:rPr>
                <w:rFonts w:hint="eastAsia" w:ascii="宋体" w:hAnsi="宋体" w:eastAsia="宋体" w:cs="宋体"/>
                <w:b/>
                <w:bCs/>
                <w:color w:val="auto"/>
                <w:szCs w:val="21"/>
                <w:highlight w:val="none"/>
              </w:rPr>
              <w:t>年、202</w:t>
            </w:r>
            <w:r>
              <w:rPr>
                <w:rFonts w:hint="eastAsia" w:ascii="宋体" w:hAnsi="宋体" w:eastAsia="宋体" w:cs="宋体"/>
                <w:b/>
                <w:bCs/>
                <w:color w:val="auto"/>
                <w:szCs w:val="21"/>
                <w:highlight w:val="none"/>
                <w:lang w:val="en-US" w:eastAsia="zh-CN"/>
              </w:rPr>
              <w:t>2</w:t>
            </w:r>
            <w:r>
              <w:rPr>
                <w:rFonts w:hint="eastAsia" w:ascii="宋体" w:hAnsi="宋体" w:eastAsia="宋体" w:cs="宋体"/>
                <w:b/>
                <w:bCs/>
                <w:color w:val="auto"/>
                <w:szCs w:val="21"/>
                <w:highlight w:val="none"/>
              </w:rPr>
              <w:t>年、202</w:t>
            </w:r>
            <w:r>
              <w:rPr>
                <w:rFonts w:hint="eastAsia" w:ascii="宋体" w:hAnsi="宋体" w:eastAsia="宋体" w:cs="宋体"/>
                <w:b/>
                <w:bCs/>
                <w:color w:val="auto"/>
                <w:szCs w:val="21"/>
                <w:highlight w:val="none"/>
                <w:lang w:val="en-US" w:eastAsia="zh-CN"/>
              </w:rPr>
              <w:t>3</w:t>
            </w:r>
            <w:r>
              <w:rPr>
                <w:rFonts w:hint="eastAsia" w:ascii="宋体" w:hAnsi="宋体" w:eastAsia="宋体" w:cs="宋体"/>
                <w:b/>
                <w:bCs/>
                <w:color w:val="auto"/>
                <w:szCs w:val="21"/>
                <w:highlight w:val="none"/>
              </w:rPr>
              <w:t>年三个年度的财务报表，净利润以对应年度经审计的财务报表为准，应提供经独立会计师事务所审计过的有效的财务报表复印件；未提供前述财务报表或财务报表未能反映净利润的，不得分。</w:t>
            </w:r>
          </w:p>
        </w:tc>
        <w:tc>
          <w:tcPr>
            <w:tcW w:w="907" w:type="dxa"/>
            <w:tcBorders>
              <w:top w:val="single" w:color="auto" w:sz="4" w:space="0"/>
              <w:left w:val="single" w:color="auto" w:sz="4" w:space="0"/>
              <w:bottom w:val="single" w:color="auto" w:sz="4" w:space="0"/>
              <w:right w:val="single" w:color="auto" w:sz="4" w:space="0"/>
            </w:tcBorders>
            <w:vAlign w:val="center"/>
          </w:tcPr>
          <w:p w14:paraId="47113B2C">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20297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479D0559">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2</w:t>
            </w:r>
          </w:p>
        </w:tc>
        <w:tc>
          <w:tcPr>
            <w:tcW w:w="1134" w:type="dxa"/>
            <w:tcBorders>
              <w:top w:val="single" w:color="auto" w:sz="4" w:space="0"/>
              <w:left w:val="single" w:color="auto" w:sz="4" w:space="0"/>
              <w:bottom w:val="single" w:color="auto" w:sz="4" w:space="0"/>
              <w:right w:val="single" w:color="auto" w:sz="4" w:space="0"/>
            </w:tcBorders>
            <w:vAlign w:val="center"/>
          </w:tcPr>
          <w:p w14:paraId="7CEC53B1">
            <w:pPr>
              <w:spacing w:line="400" w:lineRule="exact"/>
              <w:jc w:val="center"/>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szCs w:val="21"/>
                <w:highlight w:val="none"/>
                <w:lang w:val="zh-CN"/>
              </w:rPr>
              <w:t>标准化程度</w:t>
            </w:r>
          </w:p>
        </w:tc>
        <w:tc>
          <w:tcPr>
            <w:tcW w:w="7655" w:type="dxa"/>
            <w:tcBorders>
              <w:top w:val="single" w:color="auto" w:sz="4" w:space="0"/>
              <w:left w:val="single" w:color="auto" w:sz="4" w:space="0"/>
              <w:bottom w:val="single" w:color="auto" w:sz="4" w:space="0"/>
              <w:right w:val="single" w:color="auto" w:sz="4" w:space="0"/>
            </w:tcBorders>
            <w:vAlign w:val="center"/>
          </w:tcPr>
          <w:p w14:paraId="707F8096">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（1）投标人具有有效期内的ISO9001质量管理体系认证证书得1分。</w:t>
            </w:r>
          </w:p>
          <w:p w14:paraId="5E71DD28">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（2）投标人具有有效期内的ISO14001环境管理体系认证证书得1分。</w:t>
            </w:r>
          </w:p>
          <w:p w14:paraId="5D2ACF09">
            <w:pPr>
              <w:spacing w:line="400" w:lineRule="exac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（3）投标人具有有效期内的OHSAS18001（或GB/T45001-2020，或ISO45001）职业健康安全管理体系认证证书得1分。</w:t>
            </w:r>
          </w:p>
          <w:p w14:paraId="05FDAF46">
            <w:pPr>
              <w:spacing w:line="400" w:lineRule="exact"/>
              <w:outlineLvl w:val="9"/>
              <w:rPr>
                <w:rFonts w:hint="eastAsia" w:ascii="宋体" w:hAnsi="宋体" w:eastAsia="宋体" w:cs="宋体"/>
                <w:b/>
                <w:color w:val="auto"/>
                <w:kern w:val="0"/>
                <w:sz w:val="24"/>
                <w:szCs w:val="24"/>
                <w:highlight w:val="none"/>
              </w:rPr>
            </w:pPr>
            <w:r>
              <w:rPr>
                <w:rFonts w:hint="eastAsia" w:ascii="宋体" w:hAnsi="宋体" w:eastAsia="宋体" w:cs="宋体"/>
                <w:b/>
                <w:color w:val="auto"/>
                <w:szCs w:val="21"/>
                <w:highlight w:val="none"/>
              </w:rPr>
              <w:t>备注：投标人应提供上述有效证书复印件及能显示证书有效状态的全国认证认可信息公共服务平台（http://cx.cnca.cn/）查询结果凭证{凭证界面需显示有“全国认证认可信息公共服务平台”或“认证证书（需显示网址cx.cnca.cn）”}，否则不得分。</w:t>
            </w:r>
          </w:p>
        </w:tc>
        <w:tc>
          <w:tcPr>
            <w:tcW w:w="907" w:type="dxa"/>
            <w:tcBorders>
              <w:top w:val="single" w:color="auto" w:sz="4" w:space="0"/>
              <w:left w:val="single" w:color="auto" w:sz="4" w:space="0"/>
              <w:bottom w:val="single" w:color="auto" w:sz="4" w:space="0"/>
              <w:right w:val="single" w:color="auto" w:sz="4" w:space="0"/>
            </w:tcBorders>
            <w:vAlign w:val="center"/>
          </w:tcPr>
          <w:p w14:paraId="58CBFAB2">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3分</w:t>
            </w:r>
          </w:p>
        </w:tc>
      </w:tr>
      <w:tr w14:paraId="69D82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71A85349">
            <w:pPr>
              <w:spacing w:line="400" w:lineRule="exact"/>
              <w:jc w:val="center"/>
              <w:outlineLvl w:val="9"/>
              <w:rPr>
                <w:rFonts w:hint="eastAsia" w:ascii="宋体" w:hAnsi="宋体" w:eastAsia="宋体" w:cs="宋体"/>
                <w:color w:val="auto"/>
                <w:kern w:val="0"/>
                <w:szCs w:val="21"/>
                <w:highlight w:val="none"/>
              </w:rPr>
            </w:pPr>
            <w:bookmarkStart w:id="684" w:name="_Hlk104987354"/>
            <w:r>
              <w:rPr>
                <w:rFonts w:hint="eastAsia" w:ascii="宋体" w:hAnsi="宋体" w:eastAsia="宋体" w:cs="宋体"/>
                <w:color w:val="auto"/>
                <w:szCs w:val="21"/>
                <w:highlight w:val="none"/>
              </w:rPr>
              <w:t>3</w:t>
            </w:r>
          </w:p>
        </w:tc>
        <w:tc>
          <w:tcPr>
            <w:tcW w:w="1134" w:type="dxa"/>
            <w:tcBorders>
              <w:top w:val="single" w:color="auto" w:sz="4" w:space="0"/>
              <w:left w:val="single" w:color="auto" w:sz="4" w:space="0"/>
              <w:bottom w:val="single" w:color="auto" w:sz="4" w:space="0"/>
              <w:right w:val="single" w:color="auto" w:sz="4" w:space="0"/>
            </w:tcBorders>
            <w:vAlign w:val="center"/>
          </w:tcPr>
          <w:p w14:paraId="4E2C50E5">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业绩</w:t>
            </w:r>
          </w:p>
        </w:tc>
        <w:tc>
          <w:tcPr>
            <w:tcW w:w="7655" w:type="dxa"/>
            <w:tcBorders>
              <w:top w:val="single" w:color="auto" w:sz="4" w:space="0"/>
              <w:left w:val="single" w:color="auto" w:sz="4" w:space="0"/>
              <w:bottom w:val="single" w:color="auto" w:sz="4" w:space="0"/>
              <w:right w:val="single" w:color="auto" w:sz="4" w:space="0"/>
            </w:tcBorders>
            <w:vAlign w:val="center"/>
          </w:tcPr>
          <w:p w14:paraId="6AF7344F">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年1月1日以来（签订合同的时间要求为202</w:t>
            </w: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rPr>
              <w:t>年1月1日或以后）承接的劳务外包服务项目业绩（合同内容须包含厨师劳务服务），按下列情况评分，业绩评审满分2</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分。</w:t>
            </w:r>
          </w:p>
          <w:p w14:paraId="1803646D">
            <w:pPr>
              <w:spacing w:line="360" w:lineRule="auto"/>
              <w:rPr>
                <w:rFonts w:hint="eastAsia" w:ascii="宋体" w:hAnsi="宋体" w:eastAsia="宋体" w:cs="宋体"/>
                <w:color w:val="auto"/>
                <w:szCs w:val="21"/>
                <w:highlight w:val="none"/>
                <w:lang w:val="zh-CN"/>
              </w:rPr>
            </w:pPr>
            <w:r>
              <w:rPr>
                <w:rFonts w:hint="eastAsia" w:ascii="宋体" w:hAnsi="宋体" w:eastAsia="宋体" w:cs="宋体"/>
                <w:color w:val="auto"/>
                <w:szCs w:val="21"/>
                <w:highlight w:val="none"/>
                <w:lang w:val="zh-CN"/>
              </w:rPr>
              <w:t>（1）</w:t>
            </w:r>
            <w:r>
              <w:rPr>
                <w:rFonts w:hint="eastAsia" w:ascii="宋体" w:hAnsi="宋体" w:eastAsia="宋体" w:cs="宋体"/>
                <w:color w:val="auto"/>
                <w:szCs w:val="21"/>
                <w:highlight w:val="none"/>
              </w:rPr>
              <w:t>单项合同金额≥</w:t>
            </w:r>
            <w:r>
              <w:rPr>
                <w:rFonts w:hint="eastAsia" w:ascii="宋体" w:hAnsi="宋体" w:eastAsia="宋体" w:cs="宋体"/>
                <w:color w:val="auto"/>
                <w:szCs w:val="21"/>
                <w:highlight w:val="none"/>
                <w:lang w:val="en-US" w:eastAsia="zh-CN"/>
              </w:rPr>
              <w:t>220</w:t>
            </w:r>
            <w:r>
              <w:rPr>
                <w:rFonts w:hint="eastAsia" w:ascii="宋体" w:hAnsi="宋体" w:eastAsia="宋体" w:cs="宋体"/>
                <w:color w:val="auto"/>
                <w:szCs w:val="21"/>
                <w:highlight w:val="none"/>
              </w:rPr>
              <w:t>万元的前述业绩</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每项得</w:t>
            </w:r>
            <w:r>
              <w:rPr>
                <w:rFonts w:hint="eastAsia" w:ascii="宋体" w:hAnsi="宋体" w:eastAsia="宋体" w:cs="宋体"/>
                <w:color w:val="auto"/>
                <w:szCs w:val="21"/>
                <w:highlight w:val="none"/>
                <w:lang w:eastAsia="zh-CN"/>
              </w:rPr>
              <w:t>4</w:t>
            </w:r>
            <w:r>
              <w:rPr>
                <w:rFonts w:hint="eastAsia" w:ascii="宋体" w:hAnsi="宋体" w:eastAsia="宋体" w:cs="宋体"/>
                <w:color w:val="auto"/>
                <w:szCs w:val="21"/>
                <w:highlight w:val="none"/>
              </w:rPr>
              <w:t>分。</w:t>
            </w:r>
          </w:p>
          <w:p w14:paraId="328DE040">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zh-CN"/>
              </w:rPr>
              <w:t>（2）</w:t>
            </w:r>
            <w:r>
              <w:rPr>
                <w:rFonts w:hint="eastAsia" w:ascii="宋体" w:hAnsi="宋体" w:eastAsia="宋体" w:cs="宋体"/>
                <w:color w:val="auto"/>
                <w:szCs w:val="21"/>
                <w:highlight w:val="none"/>
                <w:lang w:val="en-US" w:eastAsia="zh-CN"/>
              </w:rPr>
              <w:t>110</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单项合同金额＜</w:t>
            </w:r>
            <w:r>
              <w:rPr>
                <w:rFonts w:hint="eastAsia" w:ascii="宋体" w:hAnsi="宋体" w:eastAsia="宋体" w:cs="宋体"/>
                <w:color w:val="auto"/>
                <w:szCs w:val="21"/>
                <w:highlight w:val="none"/>
                <w:lang w:val="en-US" w:eastAsia="zh-CN"/>
              </w:rPr>
              <w:t>220</w:t>
            </w:r>
            <w:r>
              <w:rPr>
                <w:rFonts w:hint="eastAsia" w:ascii="宋体" w:hAnsi="宋体" w:eastAsia="宋体" w:cs="宋体"/>
                <w:color w:val="auto"/>
                <w:szCs w:val="21"/>
                <w:highlight w:val="none"/>
              </w:rPr>
              <w:t>万元的前述业绩</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每项得</w:t>
            </w:r>
            <w:r>
              <w:rPr>
                <w:rFonts w:hint="eastAsia" w:ascii="宋体" w:hAnsi="宋体" w:eastAsia="宋体" w:cs="宋体"/>
                <w:color w:val="auto"/>
                <w:szCs w:val="21"/>
                <w:highlight w:val="none"/>
                <w:lang w:eastAsia="zh-CN"/>
              </w:rPr>
              <w:t>2</w:t>
            </w:r>
            <w:r>
              <w:rPr>
                <w:rFonts w:hint="eastAsia" w:ascii="宋体" w:hAnsi="宋体" w:eastAsia="宋体" w:cs="宋体"/>
                <w:color w:val="auto"/>
                <w:szCs w:val="21"/>
                <w:highlight w:val="none"/>
              </w:rPr>
              <w:t>分。</w:t>
            </w:r>
          </w:p>
          <w:p w14:paraId="77DFD347">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w:t>
            </w:r>
            <w:r>
              <w:rPr>
                <w:rFonts w:hint="eastAsia" w:ascii="宋体" w:hAnsi="宋体" w:eastAsia="宋体" w:cs="宋体"/>
                <w:color w:val="auto"/>
                <w:szCs w:val="21"/>
                <w:highlight w:val="none"/>
                <w:lang w:val="en-US" w:eastAsia="zh-CN"/>
              </w:rPr>
              <w:t>55</w:t>
            </w:r>
            <w:r>
              <w:rPr>
                <w:rFonts w:hint="eastAsia" w:ascii="宋体" w:hAnsi="宋体" w:eastAsia="宋体" w:cs="宋体"/>
                <w:color w:val="auto"/>
                <w:szCs w:val="21"/>
                <w:highlight w:val="none"/>
              </w:rPr>
              <w:t>万元</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单项合同金额＜</w:t>
            </w:r>
            <w:r>
              <w:rPr>
                <w:rFonts w:hint="eastAsia" w:ascii="宋体" w:hAnsi="宋体" w:eastAsia="宋体" w:cs="宋体"/>
                <w:color w:val="auto"/>
                <w:szCs w:val="21"/>
                <w:highlight w:val="none"/>
                <w:lang w:val="en-US" w:eastAsia="zh-CN"/>
              </w:rPr>
              <w:t>110</w:t>
            </w:r>
            <w:r>
              <w:rPr>
                <w:rFonts w:hint="eastAsia" w:ascii="宋体" w:hAnsi="宋体" w:eastAsia="宋体" w:cs="宋体"/>
                <w:color w:val="auto"/>
                <w:szCs w:val="21"/>
                <w:highlight w:val="none"/>
              </w:rPr>
              <w:t>万元的前述业绩</w:t>
            </w:r>
            <w:r>
              <w:rPr>
                <w:rFonts w:hint="eastAsia" w:ascii="宋体" w:hAnsi="宋体" w:eastAsia="宋体" w:cs="宋体"/>
                <w:color w:val="auto"/>
                <w:szCs w:val="21"/>
                <w:highlight w:val="none"/>
                <w:lang w:val="zh-CN"/>
              </w:rPr>
              <w:t>，</w:t>
            </w:r>
            <w:r>
              <w:rPr>
                <w:rFonts w:hint="eastAsia" w:ascii="宋体" w:hAnsi="宋体" w:eastAsia="宋体" w:cs="宋体"/>
                <w:color w:val="auto"/>
                <w:szCs w:val="21"/>
                <w:highlight w:val="none"/>
              </w:rPr>
              <w:t>每项得1分，本子项满分</w:t>
            </w:r>
            <w:r>
              <w:rPr>
                <w:rFonts w:hint="eastAsia" w:ascii="宋体" w:hAnsi="宋体" w:eastAsia="宋体" w:cs="宋体"/>
                <w:color w:val="auto"/>
                <w:szCs w:val="21"/>
                <w:highlight w:val="none"/>
                <w:lang w:eastAsia="zh-CN"/>
              </w:rPr>
              <w:t>5</w:t>
            </w:r>
            <w:r>
              <w:rPr>
                <w:rFonts w:hint="eastAsia" w:ascii="宋体" w:hAnsi="宋体" w:eastAsia="宋体" w:cs="宋体"/>
                <w:color w:val="auto"/>
                <w:szCs w:val="21"/>
                <w:highlight w:val="none"/>
              </w:rPr>
              <w:t>分。</w:t>
            </w:r>
          </w:p>
          <w:p w14:paraId="7FFB25F9">
            <w:pPr>
              <w:pStyle w:val="47"/>
              <w:spacing w:line="400" w:lineRule="exact"/>
              <w:ind w:firstLine="0" w:firstLineChars="0"/>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rPr>
              <w:t>备注</w:t>
            </w:r>
            <w:r>
              <w:rPr>
                <w:rFonts w:hint="eastAsia" w:ascii="宋体" w:hAnsi="宋体" w:eastAsia="宋体" w:cs="宋体"/>
                <w:color w:val="auto"/>
                <w:szCs w:val="21"/>
                <w:highlight w:val="none"/>
              </w:rPr>
              <w:t>：</w:t>
            </w:r>
          </w:p>
          <w:p w14:paraId="1CB0D76E">
            <w:pPr>
              <w:pStyle w:val="47"/>
              <w:spacing w:line="400" w:lineRule="exact"/>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（1）业绩须为投标人202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年1月1日以来（签订合同的时间要求为202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年1月1日或以后）承接的劳务</w:t>
            </w:r>
            <w:r>
              <w:rPr>
                <w:rFonts w:hint="eastAsia" w:ascii="宋体" w:hAnsi="宋体" w:eastAsia="宋体" w:cs="宋体"/>
                <w:b/>
                <w:color w:val="auto"/>
                <w:szCs w:val="21"/>
                <w:highlight w:val="none"/>
                <w:lang w:val="en-US"/>
              </w:rPr>
              <w:t>外包</w:t>
            </w:r>
            <w:r>
              <w:rPr>
                <w:rFonts w:hint="eastAsia" w:ascii="宋体" w:hAnsi="宋体" w:eastAsia="宋体" w:cs="宋体"/>
                <w:b/>
                <w:color w:val="auto"/>
                <w:szCs w:val="21"/>
                <w:highlight w:val="none"/>
              </w:rPr>
              <w:t>服务项目业绩（合同内容须包含厨师劳务服务</w:t>
            </w:r>
            <w:r>
              <w:rPr>
                <w:rFonts w:hint="eastAsia" w:ascii="宋体" w:hAnsi="宋体" w:eastAsia="宋体" w:cs="宋体"/>
                <w:b/>
                <w:color w:val="auto"/>
                <w:szCs w:val="21"/>
                <w:highlight w:val="none"/>
                <w:lang w:val="en-US"/>
              </w:rPr>
              <w:t>，劳务派遣项目业绩不予认定</w:t>
            </w:r>
            <w:r>
              <w:rPr>
                <w:rFonts w:hint="eastAsia" w:ascii="宋体" w:hAnsi="宋体" w:eastAsia="宋体" w:cs="宋体"/>
                <w:b/>
                <w:color w:val="auto"/>
                <w:szCs w:val="21"/>
                <w:highlight w:val="none"/>
              </w:rPr>
              <w:t>），业绩须附合同复印件（合同服务提供方为投标人）。</w:t>
            </w:r>
          </w:p>
          <w:p w14:paraId="4BBD66BE">
            <w:pPr>
              <w:pStyle w:val="47"/>
              <w:spacing w:line="400" w:lineRule="exact"/>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（2）若合同及证明文件无法反映评分条件（签订合同的时间要求为202</w:t>
            </w:r>
            <w:r>
              <w:rPr>
                <w:rFonts w:hint="eastAsia" w:ascii="宋体" w:hAnsi="宋体" w:eastAsia="宋体" w:cs="宋体"/>
                <w:b/>
                <w:color w:val="auto"/>
                <w:szCs w:val="21"/>
                <w:highlight w:val="none"/>
                <w:lang w:val="en-US" w:eastAsia="zh-CN"/>
              </w:rPr>
              <w:t>2</w:t>
            </w:r>
            <w:r>
              <w:rPr>
                <w:rFonts w:hint="eastAsia" w:ascii="宋体" w:hAnsi="宋体" w:eastAsia="宋体" w:cs="宋体"/>
                <w:b/>
                <w:color w:val="auto"/>
                <w:szCs w:val="21"/>
                <w:highlight w:val="none"/>
              </w:rPr>
              <w:t>年1月1日或以后、合同内容须包含厨师劳务服务、合同金额）的，还需提供服务购买方出具的书面补充说明文件复印件作为辅助证明（复印件能显示服务购买方公章），否则不得分。</w:t>
            </w:r>
          </w:p>
          <w:p w14:paraId="5DFEA0E1">
            <w:pPr>
              <w:pStyle w:val="47"/>
              <w:spacing w:line="400" w:lineRule="exact"/>
              <w:ind w:firstLine="0" w:firstLineChars="0"/>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（3）若业绩为框架式协议或资格入围无明确金额的合同，必须同时提供合同期限内已服务发票金额统计表和发票复印件。</w:t>
            </w:r>
          </w:p>
          <w:p w14:paraId="4DF7055A">
            <w:pPr>
              <w:pStyle w:val="47"/>
              <w:spacing w:line="400" w:lineRule="exact"/>
              <w:ind w:firstLine="0" w:firstLineChars="0"/>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（4）未按上述要求提供证明材料的业绩，或所附材料无法证明填报项目属投标人完成的或符合本项评分要求的业绩，在评标时将不予考虑。</w:t>
            </w:r>
          </w:p>
        </w:tc>
        <w:tc>
          <w:tcPr>
            <w:tcW w:w="907" w:type="dxa"/>
            <w:tcBorders>
              <w:top w:val="single" w:color="auto" w:sz="4" w:space="0"/>
              <w:left w:val="single" w:color="auto" w:sz="4" w:space="0"/>
              <w:bottom w:val="single" w:color="auto" w:sz="4" w:space="0"/>
              <w:right w:val="single" w:color="auto" w:sz="4" w:space="0"/>
            </w:tcBorders>
            <w:vAlign w:val="center"/>
          </w:tcPr>
          <w:p w14:paraId="00A7A2C4">
            <w:pPr>
              <w:spacing w:line="400" w:lineRule="exact"/>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lang w:val="en-US" w:eastAsia="zh-CN"/>
              </w:rPr>
              <w:t>20</w:t>
            </w:r>
            <w:r>
              <w:rPr>
                <w:rFonts w:hint="eastAsia" w:ascii="宋体" w:hAnsi="宋体" w:eastAsia="宋体" w:cs="宋体"/>
                <w:color w:val="auto"/>
                <w:szCs w:val="21"/>
                <w:highlight w:val="none"/>
              </w:rPr>
              <w:t>分</w:t>
            </w:r>
          </w:p>
        </w:tc>
      </w:tr>
      <w:tr w14:paraId="0CF63C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674" w:type="dxa"/>
            <w:tcBorders>
              <w:top w:val="single" w:color="auto" w:sz="4" w:space="0"/>
              <w:left w:val="single" w:color="auto" w:sz="4" w:space="0"/>
              <w:bottom w:val="single" w:color="auto" w:sz="4" w:space="0"/>
              <w:right w:val="single" w:color="auto" w:sz="4" w:space="0"/>
            </w:tcBorders>
            <w:vAlign w:val="center"/>
          </w:tcPr>
          <w:p w14:paraId="2C22F124">
            <w:pPr>
              <w:spacing w:line="400" w:lineRule="exact"/>
              <w:jc w:val="center"/>
              <w:outlineLvl w:val="9"/>
              <w:rPr>
                <w:rFonts w:hint="eastAsia" w:ascii="宋体" w:hAnsi="宋体" w:eastAsia="宋体" w:cs="宋体"/>
                <w:color w:val="auto"/>
                <w:kern w:val="0"/>
                <w:szCs w:val="21"/>
                <w:highlight w:val="none"/>
              </w:rPr>
            </w:pPr>
            <w:bookmarkStart w:id="685" w:name="_Toc11639_WPSOffice_Level2"/>
            <w:r>
              <w:rPr>
                <w:rFonts w:hint="eastAsia" w:ascii="宋体" w:hAnsi="宋体" w:eastAsia="宋体" w:cs="宋体"/>
                <w:color w:val="auto"/>
                <w:szCs w:val="21"/>
                <w:highlight w:val="none"/>
              </w:rPr>
              <w:t>4</w:t>
            </w:r>
          </w:p>
        </w:tc>
        <w:tc>
          <w:tcPr>
            <w:tcW w:w="1134" w:type="dxa"/>
            <w:tcBorders>
              <w:top w:val="single" w:color="auto" w:sz="4" w:space="0"/>
              <w:left w:val="single" w:color="auto" w:sz="4" w:space="0"/>
              <w:bottom w:val="single" w:color="auto" w:sz="4" w:space="0"/>
              <w:right w:val="single" w:color="auto" w:sz="4" w:space="0"/>
            </w:tcBorders>
            <w:vAlign w:val="center"/>
          </w:tcPr>
          <w:p w14:paraId="7DFA68A6">
            <w:pPr>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服务便利性</w:t>
            </w:r>
          </w:p>
        </w:tc>
        <w:tc>
          <w:tcPr>
            <w:tcW w:w="7655" w:type="dxa"/>
            <w:tcBorders>
              <w:top w:val="single" w:color="auto" w:sz="4" w:space="0"/>
              <w:left w:val="single" w:color="auto" w:sz="4" w:space="0"/>
              <w:bottom w:val="single" w:color="auto" w:sz="4" w:space="0"/>
              <w:right w:val="single" w:color="auto" w:sz="4" w:space="0"/>
            </w:tcBorders>
            <w:vAlign w:val="center"/>
          </w:tcPr>
          <w:p w14:paraId="08994F5F">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根据投标人承诺的服务便利性响应时间进行评审：</w:t>
            </w:r>
          </w:p>
          <w:p w14:paraId="1969A6E3">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（1）投标人承诺本项目管理人员接到招标人通知后1小时(含)内响应，8小时(含)内到达招标人指定地点的，得4分；</w:t>
            </w:r>
          </w:p>
          <w:p w14:paraId="760A0246">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（2）投标人承诺本项目管理人员接到招标人通知后2小时(含)内响应，16小时(含)内到达招标人指定地点的，得3分；</w:t>
            </w:r>
          </w:p>
          <w:p w14:paraId="6ABF4117">
            <w:pPr>
              <w:pStyle w:val="2"/>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）投标人承诺本项目管理人员接到招标人通知后</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小时(含)内响应，</w:t>
            </w:r>
            <w:r>
              <w:rPr>
                <w:rFonts w:hint="eastAsia" w:ascii="宋体" w:hAnsi="宋体" w:eastAsia="宋体" w:cs="宋体"/>
                <w:color w:val="auto"/>
                <w:szCs w:val="21"/>
                <w:highlight w:val="none"/>
                <w:lang w:val="en-US" w:eastAsia="zh-CN"/>
              </w:rPr>
              <w:t>24</w:t>
            </w:r>
            <w:r>
              <w:rPr>
                <w:rFonts w:hint="eastAsia" w:ascii="宋体" w:hAnsi="宋体" w:eastAsia="宋体" w:cs="宋体"/>
                <w:color w:val="auto"/>
                <w:szCs w:val="21"/>
                <w:highlight w:val="none"/>
              </w:rPr>
              <w:t>小时(含)内到达招标人指定地点的，得</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分；</w:t>
            </w:r>
          </w:p>
          <w:p w14:paraId="1E4ED80A">
            <w:pPr>
              <w:pStyle w:val="2"/>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其他不得分。</w:t>
            </w:r>
          </w:p>
          <w:p w14:paraId="70BE82CE">
            <w:pPr>
              <w:pStyle w:val="2"/>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rPr>
              <w:t>备注：根据《服务便利性响应时间承诺表》对应的内容进行评审。</w:t>
            </w:r>
          </w:p>
        </w:tc>
        <w:tc>
          <w:tcPr>
            <w:tcW w:w="907" w:type="dxa"/>
            <w:tcBorders>
              <w:top w:val="single" w:color="auto" w:sz="4" w:space="0"/>
              <w:left w:val="single" w:color="auto" w:sz="4" w:space="0"/>
              <w:bottom w:val="single" w:color="auto" w:sz="4" w:space="0"/>
              <w:right w:val="single" w:color="auto" w:sz="4" w:space="0"/>
            </w:tcBorders>
            <w:vAlign w:val="center"/>
          </w:tcPr>
          <w:p w14:paraId="740D0059">
            <w:pPr>
              <w:spacing w:line="400" w:lineRule="exact"/>
              <w:jc w:val="center"/>
              <w:outlineLvl w:val="9"/>
              <w:rPr>
                <w:rFonts w:hint="eastAsia" w:ascii="宋体" w:hAnsi="宋体" w:eastAsia="宋体" w:cs="宋体"/>
                <w:color w:val="auto"/>
                <w:szCs w:val="24"/>
                <w:highlight w:val="none"/>
              </w:rPr>
            </w:pPr>
            <w:r>
              <w:rPr>
                <w:rFonts w:hint="eastAsia" w:ascii="宋体" w:hAnsi="宋体" w:eastAsia="宋体" w:cs="宋体"/>
                <w:color w:val="auto"/>
                <w:szCs w:val="21"/>
                <w:highlight w:val="none"/>
              </w:rPr>
              <w:t>4分</w:t>
            </w:r>
          </w:p>
        </w:tc>
      </w:tr>
      <w:bookmarkEnd w:id="684"/>
    </w:tbl>
    <w:p w14:paraId="181DA3F6">
      <w:pPr>
        <w:autoSpaceDE w:val="0"/>
        <w:autoSpaceDN w:val="0"/>
        <w:adjustRightInd w:val="0"/>
        <w:ind w:right="-26" w:firstLine="480"/>
        <w:jc w:val="center"/>
        <w:outlineLvl w:val="9"/>
        <w:rPr>
          <w:rFonts w:hint="eastAsia" w:ascii="宋体" w:hAnsi="宋体" w:eastAsia="宋体" w:cs="宋体"/>
          <w:b/>
          <w:bCs/>
          <w:color w:val="auto"/>
          <w:kern w:val="0"/>
          <w:sz w:val="24"/>
          <w:szCs w:val="24"/>
          <w:highlight w:val="none"/>
        </w:rPr>
      </w:pPr>
    </w:p>
    <w:p w14:paraId="3276F435">
      <w:pPr>
        <w:tabs>
          <w:tab w:val="left" w:pos="585"/>
        </w:tabs>
        <w:autoSpaceDE w:val="0"/>
        <w:autoSpaceDN w:val="0"/>
        <w:adjustRightInd w:val="0"/>
        <w:spacing w:line="360" w:lineRule="auto"/>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w:t>
      </w:r>
      <w:r>
        <w:rPr>
          <w:rFonts w:hint="eastAsia" w:ascii="宋体" w:hAnsi="宋体" w:eastAsia="宋体" w:cs="宋体"/>
          <w:b/>
          <w:color w:val="auto"/>
          <w:szCs w:val="24"/>
          <w:highlight w:val="none"/>
        </w:rPr>
        <w:t>2）</w:t>
      </w:r>
      <w:r>
        <w:rPr>
          <w:rFonts w:hint="eastAsia" w:ascii="宋体" w:hAnsi="宋体" w:eastAsia="宋体" w:cs="宋体"/>
          <w:b/>
          <w:color w:val="auto"/>
          <w:szCs w:val="24"/>
          <w:highlight w:val="none"/>
          <w:lang w:val="zh-CN"/>
        </w:rPr>
        <w:t>技术：</w:t>
      </w:r>
      <w:r>
        <w:rPr>
          <w:rFonts w:hint="eastAsia" w:ascii="宋体" w:hAnsi="宋体" w:eastAsia="宋体" w:cs="宋体"/>
          <w:b/>
          <w:color w:val="auto"/>
          <w:szCs w:val="21"/>
          <w:highlight w:val="none"/>
          <w:lang w:val="zh-CN"/>
        </w:rPr>
        <w:t>总分</w:t>
      </w:r>
      <w:r>
        <w:rPr>
          <w:rFonts w:hint="eastAsia" w:ascii="宋体" w:hAnsi="宋体" w:eastAsia="宋体" w:cs="宋体"/>
          <w:b/>
          <w:color w:val="auto"/>
          <w:szCs w:val="21"/>
          <w:highlight w:val="none"/>
          <w:lang w:val="en-US" w:eastAsia="zh-CN"/>
        </w:rPr>
        <w:t>30</w:t>
      </w:r>
      <w:r>
        <w:rPr>
          <w:rFonts w:hint="eastAsia" w:ascii="宋体" w:hAnsi="宋体" w:eastAsia="宋体" w:cs="宋体"/>
          <w:b/>
          <w:color w:val="auto"/>
          <w:szCs w:val="21"/>
          <w:highlight w:val="none"/>
          <w:lang w:val="zh-CN"/>
        </w:rPr>
        <w:t>分</w:t>
      </w:r>
      <w:bookmarkEnd w:id="685"/>
    </w:p>
    <w:tbl>
      <w:tblPr>
        <w:tblStyle w:val="3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0"/>
        <w:gridCol w:w="1133"/>
        <w:gridCol w:w="7660"/>
        <w:gridCol w:w="907"/>
      </w:tblGrid>
      <w:tr w14:paraId="4BA8E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785D2F07">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bookmarkStart w:id="686" w:name="_Hlk104987779"/>
            <w:r>
              <w:rPr>
                <w:rFonts w:hint="eastAsia" w:ascii="宋体" w:hAnsi="宋体" w:eastAsia="宋体" w:cs="宋体"/>
                <w:b/>
                <w:color w:val="auto"/>
                <w:kern w:val="0"/>
                <w:szCs w:val="21"/>
                <w:highlight w:val="none"/>
              </w:rPr>
              <w:t>序号</w:t>
            </w:r>
          </w:p>
        </w:tc>
        <w:tc>
          <w:tcPr>
            <w:tcW w:w="546" w:type="pct"/>
            <w:tcBorders>
              <w:top w:val="single" w:color="auto" w:sz="4" w:space="0"/>
              <w:left w:val="single" w:color="auto" w:sz="4" w:space="0"/>
              <w:bottom w:val="single" w:color="auto" w:sz="4" w:space="0"/>
              <w:right w:val="single" w:color="auto" w:sz="4" w:space="0"/>
            </w:tcBorders>
            <w:vAlign w:val="center"/>
          </w:tcPr>
          <w:p w14:paraId="744DC70A">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szCs w:val="21"/>
                <w:highlight w:val="none"/>
                <w:lang w:val="zh-CN"/>
              </w:rPr>
              <w:t>评审内容</w:t>
            </w:r>
          </w:p>
        </w:tc>
        <w:tc>
          <w:tcPr>
            <w:tcW w:w="3692" w:type="pct"/>
            <w:tcBorders>
              <w:top w:val="single" w:color="auto" w:sz="4" w:space="0"/>
              <w:left w:val="single" w:color="auto" w:sz="4" w:space="0"/>
              <w:bottom w:val="single" w:color="auto" w:sz="4" w:space="0"/>
              <w:right w:val="single" w:color="auto" w:sz="4" w:space="0"/>
            </w:tcBorders>
            <w:vAlign w:val="center"/>
          </w:tcPr>
          <w:p w14:paraId="26B6CD9C">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评审细则</w:t>
            </w:r>
          </w:p>
        </w:tc>
        <w:tc>
          <w:tcPr>
            <w:tcW w:w="437" w:type="pct"/>
            <w:tcBorders>
              <w:top w:val="single" w:color="auto" w:sz="4" w:space="0"/>
              <w:left w:val="single" w:color="auto" w:sz="4" w:space="0"/>
              <w:bottom w:val="single" w:color="auto" w:sz="4" w:space="0"/>
              <w:right w:val="single" w:color="auto" w:sz="4" w:space="0"/>
            </w:tcBorders>
            <w:vAlign w:val="center"/>
          </w:tcPr>
          <w:p w14:paraId="7AA26014">
            <w:pPr>
              <w:autoSpaceDE w:val="0"/>
              <w:autoSpaceDN w:val="0"/>
              <w:adjustRightInd w:val="0"/>
              <w:spacing w:line="400" w:lineRule="exact"/>
              <w:jc w:val="center"/>
              <w:outlineLvl w:val="9"/>
              <w:rPr>
                <w:rFonts w:hint="eastAsia" w:ascii="宋体" w:hAnsi="宋体" w:eastAsia="宋体" w:cs="宋体"/>
                <w:b/>
                <w:color w:val="auto"/>
                <w:kern w:val="0"/>
                <w:szCs w:val="21"/>
                <w:highlight w:val="none"/>
              </w:rPr>
            </w:pPr>
            <w:r>
              <w:rPr>
                <w:rFonts w:hint="eastAsia" w:ascii="宋体" w:hAnsi="宋体" w:eastAsia="宋体" w:cs="宋体"/>
                <w:b/>
                <w:color w:val="auto"/>
                <w:kern w:val="0"/>
                <w:szCs w:val="21"/>
                <w:highlight w:val="none"/>
              </w:rPr>
              <w:t>满分值</w:t>
            </w:r>
          </w:p>
        </w:tc>
      </w:tr>
      <w:tr w14:paraId="63FE3A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4F1BA9D6">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w:t>
            </w:r>
          </w:p>
        </w:tc>
        <w:tc>
          <w:tcPr>
            <w:tcW w:w="546" w:type="pct"/>
            <w:tcBorders>
              <w:top w:val="single" w:color="auto" w:sz="4" w:space="0"/>
              <w:left w:val="single" w:color="auto" w:sz="4" w:space="0"/>
              <w:bottom w:val="single" w:color="auto" w:sz="4" w:space="0"/>
              <w:right w:val="single" w:color="auto" w:sz="4" w:space="0"/>
            </w:tcBorders>
            <w:vAlign w:val="center"/>
          </w:tcPr>
          <w:p w14:paraId="6D123A6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用户需求的响应程度</w:t>
            </w:r>
          </w:p>
        </w:tc>
        <w:tc>
          <w:tcPr>
            <w:tcW w:w="3692" w:type="pct"/>
            <w:tcBorders>
              <w:top w:val="single" w:color="auto" w:sz="4" w:space="0"/>
              <w:left w:val="single" w:color="auto" w:sz="4" w:space="0"/>
              <w:bottom w:val="single" w:color="auto" w:sz="4" w:space="0"/>
              <w:right w:val="single" w:color="auto" w:sz="4" w:space="0"/>
            </w:tcBorders>
            <w:vAlign w:val="center"/>
          </w:tcPr>
          <w:p w14:paraId="38F4CB54">
            <w:pPr>
              <w:spacing w:line="400" w:lineRule="exact"/>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zh-CN"/>
              </w:rPr>
              <w:t>对用户需求偏离表的偏离情况进行评审计分，完全满足用户需求书的要求得满分；每一处负偏离，扣</w:t>
            </w:r>
            <w:r>
              <w:rPr>
                <w:rFonts w:hint="eastAsia" w:ascii="宋体" w:hAnsi="宋体" w:eastAsia="宋体" w:cs="宋体"/>
                <w:color w:val="auto"/>
                <w:szCs w:val="21"/>
                <w:highlight w:val="none"/>
              </w:rPr>
              <w:t>5</w:t>
            </w:r>
            <w:r>
              <w:rPr>
                <w:rFonts w:hint="eastAsia" w:ascii="宋体" w:hAnsi="宋体" w:eastAsia="宋体" w:cs="宋体"/>
                <w:color w:val="auto"/>
                <w:szCs w:val="21"/>
                <w:highlight w:val="none"/>
                <w:lang w:val="zh-CN"/>
              </w:rPr>
              <w:t>分；同时参照其投标文件中技术资料内容进行对比，每发现一处投标人填写为无偏离或正偏离，但评标委员会评审认定其为负偏离的，每处扣</w:t>
            </w:r>
            <w:r>
              <w:rPr>
                <w:rFonts w:hint="eastAsia" w:ascii="宋体" w:hAnsi="宋体" w:eastAsia="宋体" w:cs="宋体"/>
                <w:color w:val="auto"/>
                <w:szCs w:val="21"/>
                <w:highlight w:val="none"/>
              </w:rPr>
              <w:t>10</w:t>
            </w:r>
            <w:r>
              <w:rPr>
                <w:rFonts w:hint="eastAsia" w:ascii="宋体" w:hAnsi="宋体" w:eastAsia="宋体" w:cs="宋体"/>
                <w:color w:val="auto"/>
                <w:szCs w:val="21"/>
                <w:highlight w:val="none"/>
                <w:lang w:val="zh-CN"/>
              </w:rPr>
              <w:t>分；本项最低分为0分。</w:t>
            </w:r>
          </w:p>
        </w:tc>
        <w:tc>
          <w:tcPr>
            <w:tcW w:w="437" w:type="pct"/>
            <w:tcBorders>
              <w:top w:val="single" w:color="auto" w:sz="4" w:space="0"/>
              <w:left w:val="single" w:color="auto" w:sz="4" w:space="0"/>
              <w:bottom w:val="single" w:color="auto" w:sz="4" w:space="0"/>
              <w:right w:val="single" w:color="auto" w:sz="4" w:space="0"/>
            </w:tcBorders>
            <w:vAlign w:val="center"/>
          </w:tcPr>
          <w:p w14:paraId="4D943332">
            <w:pPr>
              <w:spacing w:line="400" w:lineRule="exact"/>
              <w:jc w:val="center"/>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15分</w:t>
            </w:r>
          </w:p>
        </w:tc>
      </w:tr>
      <w:tr w14:paraId="59DDA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166998AB">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w:t>
            </w:r>
          </w:p>
        </w:tc>
        <w:tc>
          <w:tcPr>
            <w:tcW w:w="546" w:type="pct"/>
            <w:tcBorders>
              <w:top w:val="single" w:color="auto" w:sz="4" w:space="0"/>
              <w:left w:val="single" w:color="auto" w:sz="4" w:space="0"/>
              <w:bottom w:val="single" w:color="auto" w:sz="4" w:space="0"/>
              <w:right w:val="single" w:color="auto" w:sz="4" w:space="0"/>
            </w:tcBorders>
            <w:vAlign w:val="center"/>
          </w:tcPr>
          <w:p w14:paraId="79112540">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总体服务方案</w:t>
            </w:r>
          </w:p>
        </w:tc>
        <w:tc>
          <w:tcPr>
            <w:tcW w:w="3692" w:type="pct"/>
            <w:tcBorders>
              <w:top w:val="single" w:color="auto" w:sz="4" w:space="0"/>
              <w:left w:val="single" w:color="auto" w:sz="4" w:space="0"/>
              <w:bottom w:val="single" w:color="auto" w:sz="4" w:space="0"/>
              <w:right w:val="single" w:color="auto" w:sz="4" w:space="0"/>
            </w:tcBorders>
            <w:vAlign w:val="center"/>
          </w:tcPr>
          <w:p w14:paraId="22D119C3">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根据投标人针对本项目提供的总体服务方案（包括但不限于服务方案、</w:t>
            </w:r>
            <w:r>
              <w:rPr>
                <w:rFonts w:hint="eastAsia" w:ascii="宋体" w:hAnsi="宋体" w:eastAsia="宋体" w:cs="宋体"/>
                <w:color w:val="auto"/>
                <w:szCs w:val="21"/>
                <w:highlight w:val="none"/>
                <w:lang w:val="en-US" w:eastAsia="zh-CN"/>
              </w:rPr>
              <w:t>培训方案、制度和档案管理等方案</w:t>
            </w:r>
            <w:r>
              <w:rPr>
                <w:rFonts w:hint="eastAsia" w:ascii="宋体" w:hAnsi="宋体" w:eastAsia="宋体" w:cs="宋体"/>
                <w:color w:val="auto"/>
                <w:szCs w:val="21"/>
                <w:highlight w:val="none"/>
              </w:rPr>
              <w:t>详尽度、清晰度、合理性等</w:t>
            </w:r>
            <w:r>
              <w:rPr>
                <w:rFonts w:hint="eastAsia" w:ascii="宋体" w:hAnsi="宋体" w:eastAsia="宋体" w:cs="宋体"/>
                <w:color w:val="auto"/>
                <w:highlight w:val="none"/>
                <w:lang w:val="en-US" w:eastAsia="zh-CN"/>
              </w:rPr>
              <w:t>）进行评审：</w:t>
            </w:r>
          </w:p>
          <w:p w14:paraId="120CDCBA">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优：方案内容具体详细，保障计划切实可行，服务流程和组织配合清晰合理，</w:t>
            </w:r>
            <w:r>
              <w:rPr>
                <w:rFonts w:hint="eastAsia" w:ascii="宋体" w:hAnsi="宋体" w:eastAsia="宋体" w:cs="宋体"/>
                <w:color w:val="auto"/>
                <w:highlight w:val="none"/>
              </w:rPr>
              <w:t>培训方案详细完整，内容针对性强，</w:t>
            </w:r>
            <w:r>
              <w:rPr>
                <w:rFonts w:hint="eastAsia" w:ascii="宋体" w:hAnsi="宋体" w:eastAsia="宋体" w:cs="宋体"/>
                <w:color w:val="auto"/>
                <w:highlight w:val="none"/>
                <w:lang w:val="en-US" w:eastAsia="zh-CN"/>
              </w:rPr>
              <w:t>各项</w:t>
            </w:r>
            <w:r>
              <w:rPr>
                <w:rFonts w:hint="eastAsia" w:ascii="宋体" w:hAnsi="宋体" w:eastAsia="宋体" w:cs="宋体"/>
                <w:color w:val="auto"/>
                <w:szCs w:val="21"/>
                <w:highlight w:val="none"/>
                <w:lang w:val="en-US" w:eastAsia="zh-CN"/>
              </w:rPr>
              <w:t>制度和档案详细完整，详尽度、清晰度、完善程度强，</w:t>
            </w:r>
            <w:r>
              <w:rPr>
                <w:rFonts w:hint="eastAsia" w:ascii="宋体" w:hAnsi="宋体" w:eastAsia="宋体" w:cs="宋体"/>
                <w:color w:val="auto"/>
                <w:highlight w:val="none"/>
                <w:lang w:val="en-US" w:eastAsia="zh-CN"/>
              </w:rPr>
              <w:t>总体服务</w:t>
            </w:r>
            <w:r>
              <w:rPr>
                <w:rFonts w:hint="eastAsia" w:ascii="宋体" w:hAnsi="宋体" w:eastAsia="宋体" w:cs="宋体"/>
                <w:color w:val="auto"/>
                <w:kern w:val="0"/>
                <w:szCs w:val="21"/>
                <w:highlight w:val="none"/>
              </w:rPr>
              <w:t>内容详细完整，</w:t>
            </w:r>
            <w:r>
              <w:rPr>
                <w:rFonts w:hint="eastAsia" w:ascii="宋体" w:hAnsi="宋体" w:eastAsia="宋体" w:cs="宋体"/>
                <w:color w:val="auto"/>
                <w:szCs w:val="21"/>
                <w:highlight w:val="none"/>
              </w:rPr>
              <w:t>详尽度、清晰度、合理性</w:t>
            </w:r>
            <w:r>
              <w:rPr>
                <w:rFonts w:hint="eastAsia" w:ascii="宋体" w:hAnsi="宋体" w:eastAsia="宋体" w:cs="宋体"/>
                <w:color w:val="auto"/>
                <w:kern w:val="0"/>
                <w:szCs w:val="21"/>
                <w:highlight w:val="none"/>
              </w:rPr>
              <w:t>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lang w:val="en-US" w:eastAsia="zh-CN"/>
              </w:rPr>
              <w:t>得4分；</w:t>
            </w:r>
          </w:p>
          <w:p w14:paraId="4F44C4F0">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良：方案内容比较具体详细，保障计划比较全面可行，服务流程和组织配合较清晰合理，</w:t>
            </w:r>
            <w:r>
              <w:rPr>
                <w:rFonts w:hint="eastAsia" w:ascii="宋体" w:hAnsi="宋体" w:eastAsia="宋体" w:cs="宋体"/>
                <w:color w:val="auto"/>
                <w:highlight w:val="none"/>
              </w:rPr>
              <w:t>培训方案较完整，内容针对性较强，</w:t>
            </w:r>
            <w:r>
              <w:rPr>
                <w:rFonts w:hint="eastAsia" w:ascii="宋体" w:hAnsi="宋体" w:eastAsia="宋体" w:cs="宋体"/>
                <w:color w:val="auto"/>
                <w:highlight w:val="none"/>
                <w:lang w:val="en-US" w:eastAsia="zh-CN"/>
              </w:rPr>
              <w:t>各项</w:t>
            </w:r>
            <w:r>
              <w:rPr>
                <w:rFonts w:hint="eastAsia" w:ascii="宋体" w:hAnsi="宋体" w:eastAsia="宋体" w:cs="宋体"/>
                <w:color w:val="auto"/>
                <w:szCs w:val="21"/>
                <w:highlight w:val="none"/>
                <w:lang w:val="en-US" w:eastAsia="zh-CN"/>
              </w:rPr>
              <w:t>制度和档案较完整，详尽度、清晰度、完善程度较强，</w:t>
            </w:r>
            <w:r>
              <w:rPr>
                <w:rFonts w:hint="eastAsia" w:ascii="宋体" w:hAnsi="宋体" w:eastAsia="宋体" w:cs="宋体"/>
                <w:color w:val="auto"/>
                <w:highlight w:val="none"/>
                <w:lang w:val="en-US" w:eastAsia="zh-CN"/>
              </w:rPr>
              <w:t>总体服务</w:t>
            </w:r>
            <w:r>
              <w:rPr>
                <w:rFonts w:hint="eastAsia" w:ascii="宋体" w:hAnsi="宋体" w:eastAsia="宋体" w:cs="宋体"/>
                <w:color w:val="auto"/>
                <w:kern w:val="0"/>
                <w:szCs w:val="21"/>
                <w:highlight w:val="none"/>
              </w:rPr>
              <w:t>内容</w:t>
            </w:r>
            <w:r>
              <w:rPr>
                <w:rFonts w:hint="eastAsia" w:ascii="宋体" w:hAnsi="宋体" w:eastAsia="宋体" w:cs="宋体"/>
                <w:color w:val="auto"/>
                <w:kern w:val="0"/>
                <w:szCs w:val="21"/>
                <w:highlight w:val="none"/>
                <w:lang w:val="en-US" w:eastAsia="zh-CN"/>
              </w:rPr>
              <w:t>较</w:t>
            </w:r>
            <w:r>
              <w:rPr>
                <w:rFonts w:hint="eastAsia" w:ascii="宋体" w:hAnsi="宋体" w:eastAsia="宋体" w:cs="宋体"/>
                <w:color w:val="auto"/>
                <w:kern w:val="0"/>
                <w:szCs w:val="21"/>
                <w:highlight w:val="none"/>
              </w:rPr>
              <w:t>完整，</w:t>
            </w:r>
            <w:r>
              <w:rPr>
                <w:rFonts w:hint="eastAsia" w:ascii="宋体" w:hAnsi="宋体" w:eastAsia="宋体" w:cs="宋体"/>
                <w:color w:val="auto"/>
                <w:szCs w:val="21"/>
                <w:highlight w:val="none"/>
              </w:rPr>
              <w:t>详尽度、清晰度、合理性</w:t>
            </w:r>
            <w:r>
              <w:rPr>
                <w:rFonts w:hint="eastAsia" w:ascii="宋体" w:hAnsi="宋体" w:eastAsia="宋体" w:cs="宋体"/>
                <w:color w:val="auto"/>
                <w:szCs w:val="21"/>
                <w:highlight w:val="none"/>
                <w:lang w:val="en-US" w:eastAsia="zh-CN"/>
              </w:rPr>
              <w:t>较</w:t>
            </w:r>
            <w:r>
              <w:rPr>
                <w:rFonts w:hint="eastAsia" w:ascii="宋体" w:hAnsi="宋体" w:eastAsia="宋体" w:cs="宋体"/>
                <w:color w:val="auto"/>
                <w:kern w:val="0"/>
                <w:szCs w:val="21"/>
                <w:highlight w:val="none"/>
              </w:rPr>
              <w:t>强</w:t>
            </w:r>
            <w:r>
              <w:rPr>
                <w:rFonts w:hint="eastAsia" w:ascii="宋体" w:hAnsi="宋体" w:eastAsia="宋体" w:cs="宋体"/>
                <w:color w:val="auto"/>
                <w:kern w:val="0"/>
                <w:szCs w:val="21"/>
                <w:highlight w:val="none"/>
                <w:lang w:eastAsia="zh-CN"/>
              </w:rPr>
              <w:t>，</w:t>
            </w:r>
            <w:r>
              <w:rPr>
                <w:rFonts w:hint="eastAsia" w:ascii="宋体" w:hAnsi="宋体" w:eastAsia="宋体" w:cs="宋体"/>
                <w:color w:val="auto"/>
                <w:highlight w:val="none"/>
                <w:lang w:val="en-US" w:eastAsia="zh-CN"/>
              </w:rPr>
              <w:t>得2分；</w:t>
            </w:r>
          </w:p>
          <w:p w14:paraId="4C1770F7">
            <w:pPr>
              <w:pStyle w:val="2"/>
              <w:outlineLvl w:val="9"/>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中：方案内容简单，保障计划基本可行，服务流程和组织配合基本清晰合理，培训方案内容简单，培训内容针对性一般，各项</w:t>
            </w:r>
            <w:r>
              <w:rPr>
                <w:rFonts w:hint="eastAsia" w:ascii="宋体" w:hAnsi="宋体" w:eastAsia="宋体" w:cs="宋体"/>
                <w:color w:val="auto"/>
                <w:szCs w:val="21"/>
                <w:highlight w:val="none"/>
                <w:lang w:val="en-US" w:eastAsia="zh-CN"/>
              </w:rPr>
              <w:t>制度和档案简单，详尽度、清晰度、完善程度一般，</w:t>
            </w:r>
            <w:r>
              <w:rPr>
                <w:rFonts w:hint="eastAsia" w:ascii="宋体" w:hAnsi="宋体" w:eastAsia="宋体" w:cs="宋体"/>
                <w:color w:val="auto"/>
                <w:highlight w:val="none"/>
                <w:lang w:val="en-US" w:eastAsia="zh-CN"/>
              </w:rPr>
              <w:t>总体服务</w:t>
            </w:r>
            <w:r>
              <w:rPr>
                <w:rFonts w:hint="eastAsia" w:ascii="宋体" w:hAnsi="宋体" w:eastAsia="宋体" w:cs="宋体"/>
                <w:color w:val="auto"/>
                <w:kern w:val="0"/>
                <w:szCs w:val="21"/>
                <w:highlight w:val="none"/>
              </w:rPr>
              <w:t>内容</w:t>
            </w:r>
            <w:r>
              <w:rPr>
                <w:rFonts w:hint="eastAsia" w:ascii="宋体" w:hAnsi="宋体" w:eastAsia="宋体" w:cs="宋体"/>
                <w:color w:val="auto"/>
                <w:kern w:val="0"/>
                <w:szCs w:val="21"/>
                <w:highlight w:val="none"/>
                <w:lang w:val="en-US" w:eastAsia="zh-CN"/>
              </w:rPr>
              <w:t>简单</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详尽度、清晰度、合理性</w:t>
            </w:r>
            <w:r>
              <w:rPr>
                <w:rFonts w:hint="eastAsia" w:ascii="宋体" w:hAnsi="宋体" w:eastAsia="宋体" w:cs="宋体"/>
                <w:color w:val="auto"/>
                <w:szCs w:val="21"/>
                <w:highlight w:val="none"/>
                <w:lang w:val="en-US" w:eastAsia="zh-CN"/>
              </w:rPr>
              <w:t>一般，</w:t>
            </w:r>
            <w:r>
              <w:rPr>
                <w:rFonts w:hint="eastAsia" w:ascii="宋体" w:hAnsi="宋体" w:eastAsia="宋体" w:cs="宋体"/>
                <w:color w:val="auto"/>
                <w:highlight w:val="none"/>
                <w:lang w:val="en-US" w:eastAsia="zh-CN"/>
              </w:rPr>
              <w:t>得1分；</w:t>
            </w:r>
          </w:p>
          <w:p w14:paraId="5A0420CB">
            <w:pPr>
              <w:pStyle w:val="2"/>
              <w:outlineLvl w:val="9"/>
              <w:rPr>
                <w:rFonts w:hint="eastAsia" w:ascii="宋体" w:hAnsi="宋体" w:eastAsia="宋体" w:cs="宋体"/>
                <w:color w:val="auto"/>
                <w:kern w:val="0"/>
                <w:szCs w:val="21"/>
                <w:highlight w:val="none"/>
              </w:rPr>
            </w:pPr>
            <w:r>
              <w:rPr>
                <w:rFonts w:hint="eastAsia" w:ascii="宋体" w:hAnsi="宋体" w:eastAsia="宋体" w:cs="宋体"/>
                <w:color w:val="auto"/>
                <w:highlight w:val="none"/>
                <w:lang w:val="en-US" w:eastAsia="zh-CN"/>
              </w:rPr>
              <w:t>差：方案内容欠缺，保障计划可行性差，服务流程和组织配合不清晰合理，培训方案不完整，培训内容针对性差，各项</w:t>
            </w:r>
            <w:r>
              <w:rPr>
                <w:rFonts w:hint="eastAsia" w:ascii="宋体" w:hAnsi="宋体" w:eastAsia="宋体" w:cs="宋体"/>
                <w:color w:val="auto"/>
                <w:szCs w:val="21"/>
                <w:highlight w:val="none"/>
                <w:lang w:val="en-US" w:eastAsia="zh-CN"/>
              </w:rPr>
              <w:t>制度和档案不完整，详尽度、清晰度、完善程度差，</w:t>
            </w:r>
            <w:r>
              <w:rPr>
                <w:rFonts w:hint="eastAsia" w:ascii="宋体" w:hAnsi="宋体" w:eastAsia="宋体" w:cs="宋体"/>
                <w:color w:val="auto"/>
                <w:highlight w:val="none"/>
                <w:lang w:val="en-US" w:eastAsia="zh-CN"/>
              </w:rPr>
              <w:t>总体服务</w:t>
            </w:r>
            <w:r>
              <w:rPr>
                <w:rFonts w:hint="eastAsia" w:ascii="宋体" w:hAnsi="宋体" w:eastAsia="宋体" w:cs="宋体"/>
                <w:color w:val="auto"/>
                <w:kern w:val="0"/>
                <w:szCs w:val="21"/>
                <w:highlight w:val="none"/>
              </w:rPr>
              <w:t>内容</w:t>
            </w:r>
            <w:r>
              <w:rPr>
                <w:rFonts w:hint="eastAsia" w:ascii="宋体" w:hAnsi="宋体" w:eastAsia="宋体" w:cs="宋体"/>
                <w:color w:val="auto"/>
                <w:szCs w:val="21"/>
                <w:highlight w:val="none"/>
                <w:lang w:val="en-US" w:eastAsia="zh-CN"/>
              </w:rPr>
              <w:t>不完整</w:t>
            </w:r>
            <w:r>
              <w:rPr>
                <w:rFonts w:hint="eastAsia" w:ascii="宋体" w:hAnsi="宋体" w:eastAsia="宋体" w:cs="宋体"/>
                <w:color w:val="auto"/>
                <w:kern w:val="0"/>
                <w:szCs w:val="21"/>
                <w:highlight w:val="none"/>
              </w:rPr>
              <w:t>，</w:t>
            </w:r>
            <w:r>
              <w:rPr>
                <w:rFonts w:hint="eastAsia" w:ascii="宋体" w:hAnsi="宋体" w:eastAsia="宋体" w:cs="宋体"/>
                <w:color w:val="auto"/>
                <w:szCs w:val="21"/>
                <w:highlight w:val="none"/>
              </w:rPr>
              <w:t>详尽度、清晰度、合理性</w:t>
            </w:r>
            <w:r>
              <w:rPr>
                <w:rFonts w:hint="eastAsia" w:ascii="宋体" w:hAnsi="宋体" w:eastAsia="宋体" w:cs="宋体"/>
                <w:color w:val="auto"/>
                <w:szCs w:val="21"/>
                <w:highlight w:val="none"/>
                <w:lang w:val="en-US" w:eastAsia="zh-CN"/>
              </w:rPr>
              <w:t>差，</w:t>
            </w:r>
            <w:r>
              <w:rPr>
                <w:rFonts w:hint="eastAsia" w:ascii="宋体" w:hAnsi="宋体" w:eastAsia="宋体" w:cs="宋体"/>
                <w:color w:val="auto"/>
                <w:highlight w:val="none"/>
                <w:lang w:val="en-US" w:eastAsia="zh-CN"/>
              </w:rPr>
              <w:t>得0分。</w:t>
            </w:r>
          </w:p>
        </w:tc>
        <w:tc>
          <w:tcPr>
            <w:tcW w:w="437" w:type="pct"/>
            <w:tcBorders>
              <w:top w:val="single" w:color="auto" w:sz="4" w:space="0"/>
              <w:left w:val="single" w:color="auto" w:sz="4" w:space="0"/>
              <w:bottom w:val="single" w:color="auto" w:sz="4" w:space="0"/>
              <w:right w:val="single" w:color="auto" w:sz="4" w:space="0"/>
            </w:tcBorders>
            <w:vAlign w:val="center"/>
          </w:tcPr>
          <w:p w14:paraId="26D62B6F">
            <w:pPr>
              <w:autoSpaceDE w:val="0"/>
              <w:autoSpaceDN w:val="0"/>
              <w:adjustRightInd w:val="0"/>
              <w:spacing w:line="360" w:lineRule="auto"/>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分</w:t>
            </w:r>
          </w:p>
        </w:tc>
      </w:tr>
      <w:tr w14:paraId="44C58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restart"/>
            <w:tcBorders>
              <w:top w:val="single" w:color="auto" w:sz="4" w:space="0"/>
              <w:left w:val="single" w:color="auto" w:sz="4" w:space="0"/>
              <w:right w:val="single" w:color="auto" w:sz="4" w:space="0"/>
            </w:tcBorders>
            <w:vAlign w:val="center"/>
          </w:tcPr>
          <w:p w14:paraId="73B36C95">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3</w:t>
            </w:r>
          </w:p>
        </w:tc>
        <w:tc>
          <w:tcPr>
            <w:tcW w:w="546" w:type="pct"/>
            <w:vMerge w:val="restart"/>
            <w:tcBorders>
              <w:top w:val="single" w:color="auto" w:sz="4" w:space="0"/>
              <w:left w:val="single" w:color="auto" w:sz="4" w:space="0"/>
              <w:right w:val="single" w:color="auto" w:sz="4" w:space="0"/>
            </w:tcBorders>
            <w:vAlign w:val="center"/>
          </w:tcPr>
          <w:p w14:paraId="2690CF3B">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拟投入本项目管理人员情况</w:t>
            </w:r>
          </w:p>
        </w:tc>
        <w:tc>
          <w:tcPr>
            <w:tcW w:w="3692" w:type="pct"/>
            <w:tcBorders>
              <w:top w:val="single" w:color="auto" w:sz="4" w:space="0"/>
              <w:left w:val="single" w:color="auto" w:sz="4" w:space="0"/>
              <w:bottom w:val="single" w:color="auto" w:sz="4" w:space="0"/>
              <w:right w:val="single" w:color="auto" w:sz="4" w:space="0"/>
            </w:tcBorders>
            <w:vAlign w:val="center"/>
          </w:tcPr>
          <w:p w14:paraId="75D67C12">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根据投标人拟投入本项目的管理人员进行评审，本项满分4分。</w:t>
            </w:r>
          </w:p>
          <w:p w14:paraId="72418DA6">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（1）每提供一名具有人力资源和社会保障部门颁发的中级或以上人力资源管理师（国家职业资格二级或以上）的，得2分；</w:t>
            </w:r>
          </w:p>
          <w:p w14:paraId="6D52FA73">
            <w:pPr>
              <w:spacing w:line="360" w:lineRule="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（2）每提供一名具有人力资源和社会保障部门颁发的助理人力资源管理师（国家职业资格三级）的，得1分，本子项满分2分。</w:t>
            </w:r>
          </w:p>
          <w:p w14:paraId="280006CE">
            <w:pPr>
              <w:spacing w:line="360" w:lineRule="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备注：</w:t>
            </w:r>
          </w:p>
          <w:p w14:paraId="3000D80A">
            <w:pPr>
              <w:autoSpaceDE w:val="0"/>
              <w:autoSpaceDN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b/>
                <w:bCs/>
                <w:color w:val="auto"/>
                <w:szCs w:val="21"/>
                <w:highlight w:val="none"/>
              </w:rPr>
              <w:t>需提供上述人员资格证书（或注册/执业/岗位证书/技术职称）、以及人力资源和社会保障部门（或税务部门）出具的投标人2024年3月至2025年2月为其缴纳的社保证明复印件。</w:t>
            </w:r>
          </w:p>
        </w:tc>
        <w:tc>
          <w:tcPr>
            <w:tcW w:w="437" w:type="pct"/>
            <w:vMerge w:val="restart"/>
            <w:tcBorders>
              <w:top w:val="single" w:color="auto" w:sz="4" w:space="0"/>
              <w:left w:val="single" w:color="auto" w:sz="4" w:space="0"/>
              <w:right w:val="single" w:color="auto" w:sz="4" w:space="0"/>
            </w:tcBorders>
            <w:vAlign w:val="center"/>
          </w:tcPr>
          <w:p w14:paraId="5FE186F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8分</w:t>
            </w:r>
          </w:p>
        </w:tc>
      </w:tr>
      <w:tr w14:paraId="387A8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vMerge w:val="continue"/>
            <w:tcBorders>
              <w:left w:val="single" w:color="auto" w:sz="4" w:space="0"/>
              <w:bottom w:val="single" w:color="auto" w:sz="4" w:space="0"/>
              <w:right w:val="single" w:color="auto" w:sz="4" w:space="0"/>
            </w:tcBorders>
            <w:vAlign w:val="center"/>
          </w:tcPr>
          <w:p w14:paraId="797EA84D">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p>
        </w:tc>
        <w:tc>
          <w:tcPr>
            <w:tcW w:w="546" w:type="pct"/>
            <w:vMerge w:val="continue"/>
            <w:tcBorders>
              <w:left w:val="single" w:color="auto" w:sz="4" w:space="0"/>
              <w:bottom w:val="single" w:color="auto" w:sz="4" w:space="0"/>
              <w:right w:val="single" w:color="auto" w:sz="4" w:space="0"/>
            </w:tcBorders>
            <w:vAlign w:val="center"/>
          </w:tcPr>
          <w:p w14:paraId="7858F310">
            <w:pPr>
              <w:autoSpaceDE w:val="0"/>
              <w:autoSpaceDN w:val="0"/>
              <w:adjustRightInd w:val="0"/>
              <w:spacing w:line="400" w:lineRule="exact"/>
              <w:jc w:val="center"/>
              <w:outlineLvl w:val="9"/>
              <w:rPr>
                <w:rFonts w:hint="eastAsia" w:ascii="宋体" w:hAnsi="宋体" w:eastAsia="宋体" w:cs="宋体"/>
                <w:color w:val="auto"/>
                <w:szCs w:val="21"/>
                <w:highlight w:val="none"/>
              </w:rPr>
            </w:pPr>
          </w:p>
        </w:tc>
        <w:tc>
          <w:tcPr>
            <w:tcW w:w="3692" w:type="pct"/>
            <w:tcBorders>
              <w:top w:val="single" w:color="auto" w:sz="4" w:space="0"/>
              <w:left w:val="single" w:color="auto" w:sz="4" w:space="0"/>
              <w:bottom w:val="single" w:color="auto" w:sz="4" w:space="0"/>
              <w:right w:val="single" w:color="auto" w:sz="4" w:space="0"/>
            </w:tcBorders>
            <w:vAlign w:val="center"/>
          </w:tcPr>
          <w:p w14:paraId="0348C0CB">
            <w:pPr>
              <w:autoSpaceDE w:val="0"/>
              <w:autoSpaceDN w:val="0"/>
              <w:spacing w:line="360" w:lineRule="auto"/>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在满足用户需求书中厨师要求的基础上，每承诺提供一名具有人力资源和社会保障部门颁发的中级(国家职业资格四级)或以上职业资格证书（工种为中式烹调师）厨师的，得2分，本项满分4分。</w:t>
            </w:r>
          </w:p>
          <w:p w14:paraId="1820FDF8">
            <w:pPr>
              <w:autoSpaceDE w:val="0"/>
              <w:autoSpaceDN w:val="0"/>
              <w:spacing w:line="360" w:lineRule="auto"/>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val="0"/>
                <w:color w:val="auto"/>
                <w:szCs w:val="21"/>
                <w:highlight w:val="none"/>
              </w:rPr>
              <w:t>备注：须提供</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lang w:val="en-US" w:eastAsia="zh-CN"/>
              </w:rPr>
              <w:t>人员</w:t>
            </w:r>
            <w:r>
              <w:rPr>
                <w:rFonts w:hint="eastAsia" w:ascii="宋体" w:hAnsi="宋体" w:eastAsia="宋体" w:cs="宋体"/>
                <w:b/>
                <w:bCs w:val="0"/>
                <w:color w:val="auto"/>
                <w:szCs w:val="21"/>
                <w:highlight w:val="none"/>
              </w:rPr>
              <w:t>承诺书</w:t>
            </w:r>
            <w:r>
              <w:rPr>
                <w:rFonts w:hint="eastAsia" w:ascii="宋体" w:hAnsi="宋体" w:eastAsia="宋体" w:cs="宋体"/>
                <w:b/>
                <w:bCs w:val="0"/>
                <w:color w:val="auto"/>
                <w:szCs w:val="21"/>
                <w:highlight w:val="none"/>
                <w:lang w:eastAsia="zh-CN"/>
              </w:rPr>
              <w:t>》</w:t>
            </w:r>
            <w:r>
              <w:rPr>
                <w:rFonts w:hint="eastAsia" w:ascii="宋体" w:hAnsi="宋体" w:eastAsia="宋体" w:cs="宋体"/>
                <w:b/>
                <w:bCs w:val="0"/>
                <w:color w:val="auto"/>
                <w:szCs w:val="21"/>
                <w:highlight w:val="none"/>
              </w:rPr>
              <w:t>加盖投标人公章。</w:t>
            </w:r>
          </w:p>
        </w:tc>
        <w:tc>
          <w:tcPr>
            <w:tcW w:w="437" w:type="pct"/>
            <w:vMerge w:val="continue"/>
            <w:tcBorders>
              <w:left w:val="single" w:color="auto" w:sz="4" w:space="0"/>
              <w:bottom w:val="single" w:color="auto" w:sz="4" w:space="0"/>
              <w:right w:val="single" w:color="auto" w:sz="4" w:space="0"/>
            </w:tcBorders>
            <w:vAlign w:val="center"/>
          </w:tcPr>
          <w:p w14:paraId="55257211">
            <w:pPr>
              <w:autoSpaceDE w:val="0"/>
              <w:autoSpaceDN w:val="0"/>
              <w:adjustRightInd w:val="0"/>
              <w:spacing w:line="400" w:lineRule="exact"/>
              <w:jc w:val="center"/>
              <w:outlineLvl w:val="9"/>
              <w:rPr>
                <w:rFonts w:hint="eastAsia" w:ascii="宋体" w:hAnsi="宋体" w:eastAsia="宋体" w:cs="宋体"/>
                <w:color w:val="auto"/>
                <w:kern w:val="0"/>
                <w:szCs w:val="21"/>
                <w:highlight w:val="none"/>
                <w:lang w:val="en-US" w:eastAsia="zh-CN"/>
              </w:rPr>
            </w:pPr>
          </w:p>
        </w:tc>
      </w:tr>
      <w:tr w14:paraId="6F366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323" w:type="pct"/>
            <w:tcBorders>
              <w:top w:val="single" w:color="auto" w:sz="4" w:space="0"/>
              <w:left w:val="single" w:color="auto" w:sz="4" w:space="0"/>
              <w:bottom w:val="single" w:color="auto" w:sz="4" w:space="0"/>
              <w:right w:val="single" w:color="auto" w:sz="4" w:space="0"/>
            </w:tcBorders>
            <w:vAlign w:val="center"/>
          </w:tcPr>
          <w:p w14:paraId="075C7D2E">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4</w:t>
            </w:r>
          </w:p>
        </w:tc>
        <w:tc>
          <w:tcPr>
            <w:tcW w:w="546" w:type="pct"/>
            <w:tcBorders>
              <w:top w:val="single" w:color="auto" w:sz="4" w:space="0"/>
              <w:left w:val="single" w:color="auto" w:sz="4" w:space="0"/>
              <w:bottom w:val="single" w:color="auto" w:sz="4" w:space="0"/>
              <w:right w:val="single" w:color="auto" w:sz="4" w:space="0"/>
            </w:tcBorders>
            <w:vAlign w:val="center"/>
          </w:tcPr>
          <w:p w14:paraId="66B68970">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rPr>
              <w:t>应急预案和保障措施</w:t>
            </w:r>
          </w:p>
        </w:tc>
        <w:tc>
          <w:tcPr>
            <w:tcW w:w="3692" w:type="pct"/>
            <w:tcBorders>
              <w:top w:val="single" w:color="auto" w:sz="4" w:space="0"/>
              <w:left w:val="single" w:color="auto" w:sz="4" w:space="0"/>
              <w:bottom w:val="single" w:color="auto" w:sz="4" w:space="0"/>
              <w:right w:val="single" w:color="auto" w:sz="4" w:space="0"/>
            </w:tcBorders>
            <w:vAlign w:val="center"/>
          </w:tcPr>
          <w:p w14:paraId="6CE3BF99">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根据投标人针对本项目制定的应急预案和保障措施（包括但不限于</w:t>
            </w:r>
            <w:r>
              <w:rPr>
                <w:rFonts w:hint="eastAsia" w:ascii="宋体" w:hAnsi="宋体" w:eastAsia="宋体" w:cs="宋体"/>
                <w:color w:val="auto"/>
                <w:szCs w:val="21"/>
                <w:highlight w:val="none"/>
              </w:rPr>
              <w:t>预案及措施切合实际的程度、详细具体的程度及承诺情况等</w:t>
            </w:r>
            <w:r>
              <w:rPr>
                <w:rFonts w:hint="eastAsia" w:ascii="宋体" w:hAnsi="宋体" w:eastAsia="宋体" w:cs="宋体"/>
                <w:color w:val="auto"/>
                <w:kern w:val="0"/>
                <w:szCs w:val="21"/>
                <w:highlight w:val="none"/>
                <w:lang w:val="zh-CN" w:eastAsia="zh-CN"/>
              </w:rPr>
              <w:t>）进行评审：</w:t>
            </w:r>
          </w:p>
          <w:p w14:paraId="3F3CC266">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优：内容详细完整，针对性强，服务承诺明确且有实际的措施，可行性强，得3分；</w:t>
            </w:r>
          </w:p>
          <w:p w14:paraId="48F9D286">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良：内容较完整，针对性较强，服务承诺较明确且有一定的措施，可行性较强，得</w:t>
            </w:r>
            <w:r>
              <w:rPr>
                <w:rFonts w:hint="eastAsia" w:ascii="宋体" w:hAnsi="宋体" w:eastAsia="宋体" w:cs="宋体"/>
                <w:color w:val="auto"/>
                <w:kern w:val="0"/>
                <w:szCs w:val="21"/>
                <w:highlight w:val="none"/>
                <w:lang w:val="en-US" w:eastAsia="zh-CN"/>
              </w:rPr>
              <w:t>2</w:t>
            </w:r>
            <w:r>
              <w:rPr>
                <w:rFonts w:hint="eastAsia" w:ascii="宋体" w:hAnsi="宋体" w:eastAsia="宋体" w:cs="宋体"/>
                <w:color w:val="auto"/>
                <w:kern w:val="0"/>
                <w:szCs w:val="21"/>
                <w:highlight w:val="none"/>
                <w:lang w:val="zh-CN" w:eastAsia="zh-CN"/>
              </w:rPr>
              <w:t>分；</w:t>
            </w:r>
          </w:p>
          <w:p w14:paraId="40FE6DB2">
            <w:pPr>
              <w:autoSpaceDE w:val="0"/>
              <w:autoSpaceDN w:val="0"/>
              <w:adjustRightInd w:val="0"/>
              <w:spacing w:line="360" w:lineRule="auto"/>
              <w:outlineLvl w:val="9"/>
              <w:rPr>
                <w:rFonts w:hint="eastAsia" w:ascii="宋体" w:hAnsi="宋体" w:eastAsia="宋体" w:cs="宋体"/>
                <w:color w:val="auto"/>
                <w:kern w:val="0"/>
                <w:szCs w:val="21"/>
                <w:highlight w:val="none"/>
                <w:lang w:val="zh-CN" w:eastAsia="zh-CN"/>
              </w:rPr>
            </w:pPr>
            <w:r>
              <w:rPr>
                <w:rFonts w:hint="eastAsia" w:ascii="宋体" w:hAnsi="宋体" w:eastAsia="宋体" w:cs="宋体"/>
                <w:color w:val="auto"/>
                <w:kern w:val="0"/>
                <w:szCs w:val="21"/>
                <w:highlight w:val="none"/>
                <w:lang w:val="zh-CN" w:eastAsia="zh-CN"/>
              </w:rPr>
              <w:t>中：内容简单，针对性一般，服务承诺或制度措施基本符合要求，可行性一般的，得1分；</w:t>
            </w:r>
          </w:p>
          <w:p w14:paraId="500A7488">
            <w:pPr>
              <w:autoSpaceDE w:val="0"/>
              <w:autoSpaceDN w:val="0"/>
              <w:adjustRightInd w:val="0"/>
              <w:spacing w:line="360" w:lineRule="auto"/>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zh-CN" w:eastAsia="zh-CN"/>
              </w:rPr>
              <w:t>差：内容简单，针对性差，服务承诺或制度措施不明确，不符合项目要求的，得0分。</w:t>
            </w:r>
          </w:p>
        </w:tc>
        <w:tc>
          <w:tcPr>
            <w:tcW w:w="437" w:type="pct"/>
            <w:tcBorders>
              <w:top w:val="single" w:color="auto" w:sz="4" w:space="0"/>
              <w:left w:val="single" w:color="auto" w:sz="4" w:space="0"/>
              <w:bottom w:val="single" w:color="auto" w:sz="4" w:space="0"/>
              <w:right w:val="single" w:color="auto" w:sz="4" w:space="0"/>
            </w:tcBorders>
            <w:vAlign w:val="center"/>
          </w:tcPr>
          <w:p w14:paraId="290507E7">
            <w:pPr>
              <w:autoSpaceDE w:val="0"/>
              <w:autoSpaceDN w:val="0"/>
              <w:adjustRightInd w:val="0"/>
              <w:spacing w:line="400" w:lineRule="exact"/>
              <w:jc w:val="center"/>
              <w:outlineLvl w:val="9"/>
              <w:rPr>
                <w:rFonts w:hint="eastAsia" w:ascii="宋体" w:hAnsi="宋体" w:eastAsia="宋体" w:cs="宋体"/>
                <w:color w:val="auto"/>
                <w:kern w:val="0"/>
                <w:szCs w:val="21"/>
                <w:highlight w:val="none"/>
              </w:rPr>
            </w:pP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p>
        </w:tc>
      </w:tr>
      <w:bookmarkEnd w:id="686"/>
    </w:tbl>
    <w:p w14:paraId="3508DABE">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备注：</w:t>
      </w:r>
    </w:p>
    <w:p w14:paraId="3FCC4844">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①表中“[”代表闭区间，“]”代表闭区间，如[0，1]代表该分数段范围为大于等于0且小于等于1。表中“（”代表开区间，“]”代表闭区间，如（1，2]代表该分数段范围为大于1且小于等于2。</w:t>
      </w:r>
    </w:p>
    <w:p w14:paraId="0800DC11">
      <w:pPr>
        <w:autoSpaceDE w:val="0"/>
        <w:autoSpaceDN w:val="0"/>
        <w:adjustRightInd w:val="0"/>
        <w:spacing w:line="360" w:lineRule="auto"/>
        <w:ind w:left="420" w:leftChars="200" w:firstLine="420" w:firstLineChars="200"/>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②分数出现小数点，保留小数点后2位，从小数点后第3位四舍五入。</w:t>
      </w:r>
    </w:p>
    <w:p w14:paraId="1F5A90B6">
      <w:pPr>
        <w:autoSpaceDE w:val="0"/>
        <w:autoSpaceDN w:val="0"/>
        <w:adjustRightInd w:val="0"/>
        <w:spacing w:line="360" w:lineRule="auto"/>
        <w:ind w:left="420" w:leftChars="200" w:firstLine="422" w:firstLineChars="200"/>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③上述“评分项目”中按“优、良、中、差”区间评审的，若低于该项满分分值60%时，评标专家需详细填写该项低分的充分理由，例如：该项目内容存在违反国家有关标准和规范或与项目实际不符等原则性问题。</w:t>
      </w:r>
    </w:p>
    <w:p w14:paraId="0F9B49B4">
      <w:pPr>
        <w:autoSpaceDE w:val="0"/>
        <w:autoSpaceDN w:val="0"/>
        <w:adjustRightInd w:val="0"/>
        <w:spacing w:line="360" w:lineRule="auto"/>
        <w:ind w:left="420" w:leftChars="200" w:firstLine="422" w:firstLineChars="200"/>
        <w:outlineLvl w:val="9"/>
        <w:rPr>
          <w:rFonts w:hint="eastAsia" w:ascii="宋体" w:hAnsi="宋体" w:eastAsia="宋体" w:cs="宋体"/>
          <w:color w:val="auto"/>
          <w:kern w:val="0"/>
          <w:szCs w:val="21"/>
          <w:highlight w:val="none"/>
        </w:rPr>
      </w:pPr>
      <w:r>
        <w:rPr>
          <w:rFonts w:hint="eastAsia" w:ascii="宋体" w:hAnsi="宋体" w:eastAsia="宋体" w:cs="宋体"/>
          <w:b/>
          <w:color w:val="auto"/>
          <w:szCs w:val="24"/>
          <w:highlight w:val="none"/>
          <w:lang w:val="en-US" w:eastAsia="zh-CN"/>
        </w:rPr>
        <w:t>④</w:t>
      </w:r>
      <w:r>
        <w:rPr>
          <w:rFonts w:hint="eastAsia" w:ascii="宋体" w:hAnsi="宋体" w:eastAsia="宋体" w:cs="宋体"/>
          <w:b/>
          <w:color w:val="auto"/>
          <w:kern w:val="0"/>
          <w:szCs w:val="21"/>
          <w:highlight w:val="none"/>
          <w:lang w:val="zh-CN"/>
        </w:rPr>
        <w:t>对</w:t>
      </w:r>
      <w:r>
        <w:rPr>
          <w:rFonts w:hint="eastAsia" w:ascii="宋体" w:hAnsi="宋体" w:eastAsia="宋体" w:cs="宋体"/>
          <w:b/>
          <w:color w:val="auto"/>
          <w:kern w:val="0"/>
          <w:szCs w:val="21"/>
          <w:highlight w:val="none"/>
          <w:lang w:val="en-US" w:eastAsia="zh-CN"/>
        </w:rPr>
        <w:t>于各</w:t>
      </w:r>
      <w:r>
        <w:rPr>
          <w:rFonts w:hint="eastAsia" w:ascii="宋体" w:hAnsi="宋体" w:eastAsia="宋体" w:cs="宋体"/>
          <w:b/>
          <w:color w:val="auto"/>
          <w:kern w:val="0"/>
          <w:szCs w:val="21"/>
          <w:highlight w:val="none"/>
          <w:lang w:val="zh-CN"/>
        </w:rPr>
        <w:t>评标委员会成员</w:t>
      </w:r>
      <w:r>
        <w:rPr>
          <w:rFonts w:hint="eastAsia" w:ascii="宋体" w:hAnsi="宋体" w:eastAsia="宋体" w:cs="宋体"/>
          <w:b/>
          <w:color w:val="auto"/>
          <w:kern w:val="0"/>
          <w:szCs w:val="21"/>
          <w:highlight w:val="none"/>
          <w:lang w:val="en-US" w:eastAsia="zh-CN"/>
        </w:rPr>
        <w:t>存在客观分打分不一致时</w:t>
      </w:r>
      <w:r>
        <w:rPr>
          <w:rFonts w:hint="eastAsia" w:ascii="宋体" w:hAnsi="宋体" w:eastAsia="宋体" w:cs="宋体"/>
          <w:b/>
          <w:color w:val="auto"/>
          <w:kern w:val="0"/>
          <w:szCs w:val="21"/>
          <w:highlight w:val="none"/>
          <w:lang w:val="zh-CN"/>
        </w:rPr>
        <w:t>,根据少数服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多数的原则，以记名方式表决</w:t>
      </w:r>
      <w:r>
        <w:rPr>
          <w:rFonts w:hint="eastAsia" w:ascii="宋体" w:hAnsi="宋体" w:eastAsia="宋体" w:cs="宋体"/>
          <w:b/>
          <w:color w:val="auto"/>
          <w:kern w:val="0"/>
          <w:szCs w:val="21"/>
          <w:highlight w:val="none"/>
          <w:lang w:val="en-US" w:eastAsia="zh-CN"/>
        </w:rPr>
        <w:t>确定该项的评分。</w:t>
      </w:r>
    </w:p>
    <w:p w14:paraId="59B60573">
      <w:pPr>
        <w:tabs>
          <w:tab w:val="left" w:pos="1701"/>
        </w:tabs>
        <w:autoSpaceDE w:val="0"/>
        <w:autoSpaceDN w:val="0"/>
        <w:adjustRightInd w:val="0"/>
        <w:spacing w:line="360" w:lineRule="auto"/>
        <w:outlineLvl w:val="9"/>
        <w:rPr>
          <w:rFonts w:hint="eastAsia" w:ascii="宋体" w:hAnsi="宋体" w:eastAsia="宋体" w:cs="宋体"/>
          <w:b/>
          <w:color w:val="auto"/>
          <w:szCs w:val="24"/>
          <w:highlight w:val="none"/>
          <w:lang w:val="zh-CN"/>
        </w:rPr>
      </w:pPr>
      <w:r>
        <w:rPr>
          <w:rFonts w:hint="eastAsia" w:ascii="宋体" w:hAnsi="宋体" w:eastAsia="宋体" w:cs="宋体"/>
          <w:b/>
          <w:color w:val="auto"/>
          <w:szCs w:val="24"/>
          <w:highlight w:val="none"/>
          <w:lang w:val="zh-CN"/>
        </w:rPr>
        <w:t>（3）价格评分方法</w:t>
      </w:r>
    </w:p>
    <w:p w14:paraId="0DC3FC81">
      <w:pPr>
        <w:spacing w:line="360" w:lineRule="auto"/>
        <w:ind w:left="480" w:firstLine="211" w:firstLineChars="100"/>
        <w:outlineLvl w:val="9"/>
        <w:rPr>
          <w:rFonts w:hint="eastAsia" w:ascii="宋体" w:hAnsi="宋体" w:eastAsia="宋体" w:cs="宋体"/>
          <w:b/>
          <w:bCs/>
          <w:color w:val="auto"/>
          <w:kern w:val="0"/>
          <w:szCs w:val="21"/>
          <w:highlight w:val="none"/>
          <w:lang w:val="zh-CN"/>
        </w:rPr>
      </w:pPr>
      <w:r>
        <w:rPr>
          <w:rFonts w:hint="eastAsia" w:ascii="宋体" w:hAnsi="宋体" w:eastAsia="宋体" w:cs="宋体"/>
          <w:b/>
          <w:bCs/>
          <w:color w:val="auto"/>
          <w:kern w:val="0"/>
          <w:szCs w:val="28"/>
          <w:highlight w:val="none"/>
          <w:lang w:val="zh-CN"/>
        </w:rPr>
        <w:t xml:space="preserve">1）经济文件的符合性审查 </w:t>
      </w:r>
    </w:p>
    <w:p w14:paraId="6DB3EF29">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r>
        <w:rPr>
          <w:rFonts w:hint="eastAsia" w:ascii="宋体" w:hAnsi="宋体" w:eastAsia="宋体" w:cs="宋体"/>
          <w:color w:val="auto"/>
          <w:kern w:val="0"/>
          <w:szCs w:val="21"/>
          <w:highlight w:val="none"/>
          <w:lang w:val="zh-CN"/>
        </w:rPr>
        <w:t>评标委员会对合格的投标人的投标报价，进行详细分析、核准，检查其是否存在计算错误。评标委员会将按照本评标大纲的规定修正计算错误的投标报价，经投标人代表确认后，调整后的价格对投标人具有约束力。</w:t>
      </w:r>
      <w:r>
        <w:rPr>
          <w:rFonts w:hint="eastAsia" w:ascii="宋体" w:hAnsi="宋体" w:eastAsia="宋体" w:cs="宋体"/>
          <w:b/>
          <w:color w:val="auto"/>
          <w:kern w:val="0"/>
          <w:szCs w:val="21"/>
          <w:highlight w:val="none"/>
          <w:u w:val="single"/>
          <w:lang w:val="zh-CN"/>
        </w:rPr>
        <w:t>如果投标人不接受修正后的报价，则其投标将被拒绝，作为无效投标处理</w:t>
      </w:r>
      <w:r>
        <w:rPr>
          <w:rFonts w:hint="eastAsia" w:ascii="宋体" w:hAnsi="宋体" w:eastAsia="宋体" w:cs="宋体"/>
          <w:b/>
          <w:color w:val="auto"/>
          <w:kern w:val="0"/>
          <w:szCs w:val="21"/>
          <w:highlight w:val="none"/>
          <w:lang w:val="zh-CN"/>
        </w:rPr>
        <w:t>。</w:t>
      </w:r>
    </w:p>
    <w:p w14:paraId="6917E946">
      <w:pPr>
        <w:autoSpaceDE w:val="0"/>
        <w:autoSpaceDN w:val="0"/>
        <w:adjustRightInd w:val="0"/>
        <w:spacing w:line="360" w:lineRule="auto"/>
        <w:ind w:left="420" w:leftChars="200" w:firstLine="420" w:firstLineChars="200"/>
        <w:outlineLvl w:val="9"/>
        <w:rPr>
          <w:rFonts w:hint="eastAsia" w:ascii="宋体" w:hAnsi="宋体" w:eastAsia="宋体" w:cs="宋体"/>
          <w:b/>
          <w:color w:val="auto"/>
          <w:szCs w:val="24"/>
          <w:highlight w:val="none"/>
          <w:u w:val="single"/>
          <w:lang w:val="zh-CN"/>
        </w:rPr>
      </w:pPr>
      <w:r>
        <w:rPr>
          <w:rFonts w:hint="eastAsia" w:ascii="宋体" w:hAnsi="宋体" w:eastAsia="宋体" w:cs="宋体"/>
          <w:color w:val="auto"/>
          <w:szCs w:val="24"/>
          <w:highlight w:val="none"/>
          <w:lang w:val="zh-CN"/>
        </w:rPr>
        <w:t>若投标人出现超低报价，</w:t>
      </w:r>
      <w:r>
        <w:rPr>
          <w:rFonts w:hint="eastAsia" w:ascii="宋体" w:hAnsi="宋体" w:eastAsia="宋体" w:cs="宋体"/>
          <w:color w:val="auto"/>
          <w:kern w:val="0"/>
          <w:szCs w:val="21"/>
          <w:highlight w:val="none"/>
        </w:rPr>
        <w:t>有可能影响服务质量和不能诚信履约的，</w:t>
      </w:r>
      <w:r>
        <w:rPr>
          <w:rFonts w:hint="eastAsia" w:ascii="宋体" w:hAnsi="宋体" w:eastAsia="宋体" w:cs="宋体"/>
          <w:color w:val="auto"/>
          <w:szCs w:val="24"/>
          <w:highlight w:val="none"/>
          <w:lang w:val="zh-CN"/>
        </w:rPr>
        <w:t>评标委员会</w:t>
      </w:r>
      <w:r>
        <w:rPr>
          <w:rFonts w:hint="eastAsia" w:ascii="宋体" w:hAnsi="宋体" w:eastAsia="宋体" w:cs="宋体"/>
          <w:color w:val="auto"/>
          <w:kern w:val="0"/>
          <w:szCs w:val="21"/>
          <w:highlight w:val="none"/>
          <w:lang w:val="zh-CN"/>
        </w:rPr>
        <w:t>将要求该投标人作出书面说明并提供相关证明材料，</w:t>
      </w:r>
      <w:r>
        <w:rPr>
          <w:rFonts w:hint="eastAsia" w:ascii="宋体" w:hAnsi="宋体" w:eastAsia="宋体" w:cs="宋体"/>
          <w:color w:val="auto"/>
          <w:szCs w:val="24"/>
          <w:highlight w:val="none"/>
          <w:lang w:val="zh-CN"/>
        </w:rPr>
        <w:t>以确定投标人是否以低于企业成本价报价。</w:t>
      </w:r>
      <w:r>
        <w:rPr>
          <w:rFonts w:hint="eastAsia" w:ascii="宋体" w:hAnsi="宋体" w:eastAsia="宋体" w:cs="宋体"/>
          <w:b/>
          <w:color w:val="auto"/>
          <w:szCs w:val="24"/>
          <w:highlight w:val="none"/>
          <w:u w:val="single"/>
          <w:lang w:val="zh-CN"/>
        </w:rPr>
        <w:t>若投标人不能合理说明或不能提供相关证明材料的，评标委员会将认定其投标报价低于成本，同时否决其投标。</w:t>
      </w:r>
    </w:p>
    <w:p w14:paraId="28BF6796">
      <w:pPr>
        <w:spacing w:line="360" w:lineRule="auto"/>
        <w:ind w:left="420" w:leftChars="200" w:firstLine="422" w:firstLineChars="200"/>
        <w:outlineLvl w:val="9"/>
        <w:rPr>
          <w:rFonts w:hint="eastAsia" w:ascii="宋体" w:hAnsi="宋体" w:eastAsia="宋体" w:cs="宋体"/>
          <w:b/>
          <w:color w:val="auto"/>
          <w:kern w:val="0"/>
          <w:szCs w:val="21"/>
          <w:highlight w:val="none"/>
          <w:lang w:val="zh-CN"/>
        </w:rPr>
      </w:pPr>
      <w:r>
        <w:rPr>
          <w:rFonts w:hint="eastAsia" w:ascii="宋体" w:hAnsi="宋体" w:eastAsia="宋体" w:cs="宋体"/>
          <w:b/>
          <w:color w:val="auto"/>
          <w:kern w:val="0"/>
          <w:szCs w:val="21"/>
          <w:highlight w:val="none"/>
          <w:lang w:val="zh-CN"/>
        </w:rPr>
        <w:t>对是否低于企业成本价报价的事宜有争议的投标文件,评标委员会成员将以记名方式表决,根据少数服</w:t>
      </w:r>
      <w:r>
        <w:rPr>
          <w:rFonts w:hint="eastAsia" w:ascii="宋体" w:hAnsi="宋体" w:eastAsia="宋体" w:cs="宋体"/>
          <w:b/>
          <w:color w:val="auto"/>
          <w:kern w:val="0"/>
          <w:szCs w:val="21"/>
          <w:highlight w:val="none"/>
          <w:lang w:val="en-US" w:eastAsia="zh-CN"/>
        </w:rPr>
        <w:t>从</w:t>
      </w:r>
      <w:r>
        <w:rPr>
          <w:rFonts w:hint="eastAsia" w:ascii="宋体" w:hAnsi="宋体" w:eastAsia="宋体" w:cs="宋体"/>
          <w:b/>
          <w:color w:val="auto"/>
          <w:kern w:val="0"/>
          <w:szCs w:val="21"/>
          <w:highlight w:val="none"/>
          <w:lang w:val="zh-CN"/>
        </w:rPr>
        <w:t>多数的原则，获多数表决通过的投标人才有资格进入下一阶段的评审,否则将按无效投标处理。</w:t>
      </w:r>
    </w:p>
    <w:p w14:paraId="0BA6524A">
      <w:pPr>
        <w:spacing w:line="360" w:lineRule="auto"/>
        <w:ind w:left="420" w:leftChars="200" w:firstLine="420" w:firstLineChars="200"/>
        <w:outlineLvl w:val="9"/>
        <w:rPr>
          <w:rFonts w:hint="eastAsia" w:ascii="宋体" w:hAnsi="宋体" w:eastAsia="宋体" w:cs="宋体"/>
          <w:color w:val="auto"/>
          <w:kern w:val="0"/>
          <w:szCs w:val="21"/>
          <w:highlight w:val="none"/>
          <w:lang w:val="zh-CN"/>
        </w:rPr>
      </w:pPr>
    </w:p>
    <w:p w14:paraId="034FD078">
      <w:pPr>
        <w:spacing w:line="360" w:lineRule="auto"/>
        <w:ind w:left="480" w:firstLine="211" w:firstLineChars="100"/>
        <w:outlineLvl w:val="9"/>
        <w:rPr>
          <w:rFonts w:hint="eastAsia" w:ascii="宋体" w:hAnsi="宋体" w:eastAsia="宋体" w:cs="宋体"/>
          <w:b/>
          <w:bCs/>
          <w:color w:val="auto"/>
          <w:kern w:val="0"/>
          <w:szCs w:val="21"/>
          <w:highlight w:val="none"/>
        </w:rPr>
      </w:pPr>
      <w:r>
        <w:rPr>
          <w:rFonts w:hint="eastAsia" w:ascii="宋体" w:hAnsi="宋体" w:eastAsia="宋体" w:cs="宋体"/>
          <w:b/>
          <w:bCs/>
          <w:color w:val="auto"/>
          <w:kern w:val="0"/>
          <w:szCs w:val="21"/>
          <w:highlight w:val="none"/>
          <w:lang w:val="zh-CN"/>
        </w:rPr>
        <w:t>2）</w:t>
      </w:r>
      <w:r>
        <w:rPr>
          <w:rFonts w:hint="eastAsia" w:ascii="宋体" w:hAnsi="宋体" w:eastAsia="宋体" w:cs="宋体"/>
          <w:b/>
          <w:bCs/>
          <w:color w:val="auto"/>
          <w:kern w:val="0"/>
          <w:szCs w:val="28"/>
          <w:highlight w:val="none"/>
          <w:lang w:val="zh-CN"/>
        </w:rPr>
        <w:t>价格评分</w:t>
      </w:r>
      <w:r>
        <w:rPr>
          <w:rFonts w:hint="eastAsia" w:ascii="宋体" w:hAnsi="宋体" w:eastAsia="宋体" w:cs="宋体"/>
          <w:b/>
          <w:bCs/>
          <w:color w:val="auto"/>
          <w:kern w:val="0"/>
          <w:szCs w:val="21"/>
          <w:highlight w:val="none"/>
        </w:rPr>
        <w:t>：</w:t>
      </w:r>
      <w:r>
        <w:rPr>
          <w:rFonts w:hint="eastAsia" w:ascii="宋体" w:hAnsi="宋体" w:eastAsia="宋体" w:cs="宋体"/>
          <w:b/>
          <w:bCs/>
          <w:color w:val="auto"/>
          <w:kern w:val="0"/>
          <w:szCs w:val="21"/>
          <w:highlight w:val="none"/>
          <w:lang w:val="zh-CN"/>
        </w:rPr>
        <w:t>总分</w:t>
      </w:r>
      <w:r>
        <w:rPr>
          <w:rFonts w:hint="eastAsia" w:ascii="宋体" w:hAnsi="宋体" w:eastAsia="宋体" w:cs="宋体"/>
          <w:b/>
          <w:bCs/>
          <w:color w:val="auto"/>
          <w:kern w:val="0"/>
          <w:szCs w:val="21"/>
          <w:highlight w:val="none"/>
          <w:lang w:val="en-US" w:eastAsia="zh-CN"/>
        </w:rPr>
        <w:t>40</w:t>
      </w:r>
      <w:r>
        <w:rPr>
          <w:rFonts w:hint="eastAsia" w:ascii="宋体" w:hAnsi="宋体" w:eastAsia="宋体" w:cs="宋体"/>
          <w:b/>
          <w:bCs/>
          <w:color w:val="auto"/>
          <w:kern w:val="0"/>
          <w:szCs w:val="21"/>
          <w:highlight w:val="none"/>
          <w:lang w:val="zh-CN"/>
        </w:rPr>
        <w:t>分</w:t>
      </w:r>
    </w:p>
    <w:p w14:paraId="19B509A0">
      <w:pPr>
        <w:autoSpaceDN w:val="0"/>
        <w:adjustRightInd w:val="0"/>
        <w:snapToGrid w:val="0"/>
        <w:spacing w:line="360" w:lineRule="auto"/>
        <w:ind w:left="420" w:leftChars="100" w:hanging="210" w:hangingChars="100"/>
        <w:outlineLvl w:val="9"/>
        <w:rPr>
          <w:rFonts w:hint="default" w:ascii="宋体" w:hAnsi="宋体" w:eastAsia="宋体" w:cs="宋体"/>
          <w:color w:val="auto"/>
          <w:kern w:val="0"/>
          <w:szCs w:val="21"/>
          <w:highlight w:val="none"/>
          <w:lang w:val="en-US" w:eastAsia="zh-CN"/>
        </w:rPr>
      </w:pPr>
      <w:r>
        <w:rPr>
          <w:rFonts w:hint="eastAsia" w:ascii="宋体" w:hAnsi="宋体" w:eastAsia="宋体" w:cs="宋体"/>
          <w:color w:val="auto"/>
          <w:kern w:val="0"/>
          <w:szCs w:val="21"/>
          <w:highlight w:val="none"/>
        </w:rPr>
        <w:t>A、根据有效投标人的投标报价，最低价作为基准价（Y）。投标人报价（X）等于基准价的得满分</w:t>
      </w:r>
      <w:r>
        <w:rPr>
          <w:rFonts w:hint="eastAsia" w:ascii="宋体" w:hAnsi="宋体" w:eastAsia="宋体" w:cs="宋体"/>
          <w:color w:val="auto"/>
          <w:kern w:val="0"/>
          <w:szCs w:val="21"/>
          <w:highlight w:val="none"/>
          <w:lang w:val="en-US" w:eastAsia="zh-CN"/>
        </w:rPr>
        <w:t>40</w:t>
      </w:r>
      <w:r>
        <w:rPr>
          <w:rFonts w:hint="eastAsia" w:ascii="宋体" w:hAnsi="宋体" w:eastAsia="宋体" w:cs="宋体"/>
          <w:color w:val="auto"/>
          <w:kern w:val="0"/>
          <w:szCs w:val="21"/>
          <w:highlight w:val="none"/>
        </w:rPr>
        <w:t>分，其他投标人的价格得分统一按照下列公式计算：</w:t>
      </w:r>
      <w:r>
        <w:rPr>
          <w:rFonts w:hint="eastAsia" w:ascii="宋体" w:hAnsi="宋体" w:eastAsia="宋体" w:cs="宋体"/>
          <w:color w:val="auto"/>
          <w:kern w:val="0"/>
          <w:szCs w:val="21"/>
          <w:highlight w:val="none"/>
        </w:rPr>
        <w:br w:type="textWrapping"/>
      </w:r>
      <w:r>
        <w:rPr>
          <w:rFonts w:hint="eastAsia" w:ascii="宋体" w:hAnsi="宋体" w:eastAsia="宋体" w:cs="宋体"/>
          <w:color w:val="auto"/>
          <w:kern w:val="0"/>
          <w:szCs w:val="21"/>
          <w:highlight w:val="none"/>
        </w:rPr>
        <w:t xml:space="preserve">    价格得分=(基准价／投标报价)×</w:t>
      </w:r>
      <w:r>
        <w:rPr>
          <w:rFonts w:hint="eastAsia" w:ascii="宋体" w:hAnsi="宋体" w:eastAsia="宋体" w:cs="宋体"/>
          <w:color w:val="auto"/>
          <w:kern w:val="0"/>
          <w:szCs w:val="21"/>
          <w:highlight w:val="none"/>
          <w:lang w:val="en-US" w:eastAsia="zh-CN"/>
        </w:rPr>
        <w:t>40</w:t>
      </w:r>
    </w:p>
    <w:p w14:paraId="42D1A785">
      <w:pPr>
        <w:autoSpaceDN w:val="0"/>
        <w:adjustRightInd w:val="0"/>
        <w:snapToGrid w:val="0"/>
        <w:spacing w:line="360" w:lineRule="auto"/>
        <w:ind w:firstLine="210" w:firstLineChars="100"/>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B、分数出现小数点，保留小数点后2位，从小数点后第3位四舍五入。</w:t>
      </w:r>
    </w:p>
    <w:p w14:paraId="4E891056">
      <w:pPr>
        <w:tabs>
          <w:tab w:val="left" w:pos="585"/>
        </w:tabs>
        <w:autoSpaceDE w:val="0"/>
        <w:autoSpaceDN w:val="0"/>
        <w:adjustRightInd w:val="0"/>
        <w:spacing w:line="400" w:lineRule="exact"/>
        <w:outlineLvl w:val="9"/>
        <w:rPr>
          <w:rFonts w:hint="eastAsia" w:ascii="宋体" w:hAnsi="宋体" w:eastAsia="宋体" w:cs="宋体"/>
          <w:b/>
          <w:color w:val="auto"/>
          <w:szCs w:val="21"/>
          <w:highlight w:val="none"/>
          <w:lang w:val="zh-CN"/>
        </w:rPr>
      </w:pPr>
      <w:r>
        <w:rPr>
          <w:rFonts w:hint="eastAsia" w:ascii="宋体" w:hAnsi="宋体" w:eastAsia="宋体" w:cs="宋体"/>
          <w:b/>
          <w:color w:val="auto"/>
          <w:szCs w:val="21"/>
          <w:highlight w:val="none"/>
          <w:lang w:val="zh-CN"/>
        </w:rPr>
        <w:t>（4）综合得分</w:t>
      </w:r>
    </w:p>
    <w:p w14:paraId="4CC4614A">
      <w:pPr>
        <w:spacing w:line="400" w:lineRule="exact"/>
        <w:ind w:firstLine="848" w:firstLineChars="404"/>
        <w:outlineLvl w:val="9"/>
        <w:rPr>
          <w:rFonts w:hint="eastAsia" w:ascii="宋体" w:hAnsi="宋体" w:eastAsia="宋体" w:cs="宋体"/>
          <w:color w:val="auto"/>
          <w:kern w:val="0"/>
          <w:szCs w:val="28"/>
          <w:highlight w:val="none"/>
          <w:lang w:val="zh-CN"/>
        </w:rPr>
      </w:pPr>
      <w:bookmarkStart w:id="687" w:name="_Toc31624_WPSOffice_Level2"/>
      <w:r>
        <w:rPr>
          <w:rFonts w:hint="eastAsia" w:ascii="宋体" w:hAnsi="宋体" w:eastAsia="宋体" w:cs="宋体"/>
          <w:color w:val="auto"/>
          <w:kern w:val="0"/>
          <w:szCs w:val="28"/>
          <w:highlight w:val="none"/>
          <w:lang w:val="zh-CN"/>
        </w:rPr>
        <w:t>评标总得分=F1＋F2＋……+Fn</w:t>
      </w:r>
      <w:bookmarkEnd w:id="687"/>
    </w:p>
    <w:p w14:paraId="0FFCEF19">
      <w:pPr>
        <w:widowControl/>
        <w:autoSpaceDE w:val="0"/>
        <w:autoSpaceDN w:val="0"/>
        <w:adjustRightInd w:val="0"/>
        <w:spacing w:line="400" w:lineRule="exact"/>
        <w:ind w:firstLine="840" w:firstLineChars="400"/>
        <w:jc w:val="left"/>
        <w:outlineLvl w:val="9"/>
        <w:rPr>
          <w:rFonts w:hint="eastAsia" w:ascii="宋体" w:hAnsi="宋体" w:eastAsia="宋体" w:cs="宋体"/>
          <w:color w:val="auto"/>
          <w:kern w:val="0"/>
          <w:szCs w:val="21"/>
          <w:highlight w:val="none"/>
        </w:rPr>
      </w:pPr>
      <w:bookmarkStart w:id="688" w:name="_Toc13236_WPSOffice_Level2"/>
      <w:r>
        <w:rPr>
          <w:rFonts w:hint="eastAsia" w:ascii="宋体" w:hAnsi="宋体" w:eastAsia="宋体" w:cs="宋体"/>
          <w:color w:val="auto"/>
          <w:kern w:val="0"/>
          <w:szCs w:val="21"/>
          <w:highlight w:val="none"/>
        </w:rPr>
        <w:t>F1、F2、……Fn分别为各项评分因素的得分</w:t>
      </w:r>
      <w:bookmarkEnd w:id="688"/>
      <w:r>
        <w:rPr>
          <w:rFonts w:hint="eastAsia" w:ascii="宋体" w:hAnsi="宋体" w:eastAsia="宋体" w:cs="宋体"/>
          <w:color w:val="auto"/>
          <w:kern w:val="0"/>
          <w:szCs w:val="21"/>
          <w:highlight w:val="none"/>
        </w:rPr>
        <w:t>。</w:t>
      </w:r>
    </w:p>
    <w:p w14:paraId="0CAE1CF6">
      <w:pPr>
        <w:autoSpaceDE w:val="0"/>
        <w:autoSpaceDN w:val="0"/>
        <w:adjustRightInd w:val="0"/>
        <w:spacing w:line="360" w:lineRule="auto"/>
        <w:ind w:left="564" w:leftChars="1" w:hanging="562" w:hangingChars="200"/>
        <w:outlineLvl w:val="9"/>
        <w:rPr>
          <w:rFonts w:hint="eastAsia" w:ascii="宋体" w:hAnsi="宋体" w:eastAsia="宋体" w:cs="宋体"/>
          <w:b/>
          <w:bCs/>
          <w:color w:val="auto"/>
          <w:sz w:val="28"/>
          <w:szCs w:val="28"/>
          <w:highlight w:val="none"/>
        </w:rPr>
      </w:pPr>
    </w:p>
    <w:p w14:paraId="379AD6FC">
      <w:pPr>
        <w:autoSpaceDE w:val="0"/>
        <w:autoSpaceDN w:val="0"/>
        <w:adjustRightInd w:val="0"/>
        <w:spacing w:line="360" w:lineRule="auto"/>
        <w:jc w:val="center"/>
        <w:outlineLvl w:val="1"/>
        <w:rPr>
          <w:rFonts w:hint="eastAsia" w:ascii="宋体" w:hAnsi="宋体" w:eastAsia="宋体" w:cs="宋体"/>
          <w:b/>
          <w:bCs/>
          <w:color w:val="auto"/>
          <w:sz w:val="28"/>
          <w:szCs w:val="28"/>
          <w:highlight w:val="none"/>
        </w:rPr>
      </w:pPr>
      <w:bookmarkStart w:id="689" w:name="_Toc518_WPSOffice_Level1"/>
      <w:r>
        <w:rPr>
          <w:rFonts w:hint="eastAsia" w:ascii="宋体" w:hAnsi="宋体" w:eastAsia="宋体" w:cs="宋体"/>
          <w:b/>
          <w:bCs/>
          <w:color w:val="auto"/>
          <w:sz w:val="28"/>
          <w:szCs w:val="28"/>
          <w:highlight w:val="none"/>
          <w:lang w:val="zh-CN"/>
        </w:rPr>
        <w:t>五、推荐中标人</w:t>
      </w:r>
      <w:bookmarkEnd w:id="689"/>
    </w:p>
    <w:p w14:paraId="1281960C">
      <w:pPr>
        <w:autoSpaceDE w:val="0"/>
        <w:autoSpaceDN w:val="0"/>
        <w:adjustRightInd w:val="0"/>
        <w:spacing w:line="360" w:lineRule="auto"/>
        <w:ind w:left="420" w:hanging="420" w:hangingChars="200"/>
        <w:jc w:val="left"/>
        <w:outlineLvl w:val="2"/>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13、</w:t>
      </w:r>
      <w:r>
        <w:rPr>
          <w:rFonts w:hint="eastAsia" w:ascii="宋体" w:hAnsi="宋体" w:eastAsia="宋体" w:cs="宋体"/>
          <w:color w:val="auto"/>
          <w:szCs w:val="24"/>
          <w:highlight w:val="none"/>
          <w:lang w:val="zh-CN"/>
        </w:rPr>
        <w:t>评标委员会按评审后得分由高到低顺序排列</w:t>
      </w:r>
      <w:r>
        <w:rPr>
          <w:rFonts w:hint="eastAsia" w:ascii="宋体" w:hAnsi="宋体" w:eastAsia="宋体" w:cs="宋体"/>
          <w:color w:val="auto"/>
          <w:kern w:val="0"/>
          <w:szCs w:val="21"/>
          <w:highlight w:val="none"/>
        </w:rPr>
        <w:t>，并向招标人推荐最后综合得分最高的前二名投标人为中标候选人（最后综合得分排名第一、第二的投标人分别为第一、第二中标候选人），招标人将确定第一中标候选人为中标人。</w:t>
      </w:r>
    </w:p>
    <w:p w14:paraId="6D0571BF">
      <w:pPr>
        <w:autoSpaceDE w:val="0"/>
        <w:autoSpaceDN w:val="0"/>
        <w:adjustRightInd w:val="0"/>
        <w:spacing w:line="360" w:lineRule="auto"/>
        <w:ind w:left="420" w:leftChars="200" w:firstLine="420" w:firstLineChars="200"/>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1"/>
          <w:highlight w:val="none"/>
        </w:rPr>
        <w:t>如果有两个或以上的投标人的最后综合得分相同，则在最后综合得分相同的投标人中按投标报价</w:t>
      </w:r>
      <w:r>
        <w:rPr>
          <w:rFonts w:hint="eastAsia" w:ascii="宋体" w:hAnsi="宋体" w:eastAsia="宋体" w:cs="宋体"/>
          <w:color w:val="auto"/>
          <w:kern w:val="0"/>
          <w:szCs w:val="21"/>
          <w:highlight w:val="none"/>
          <w:lang w:val="zh-CN"/>
        </w:rPr>
        <w:t>由低到高顺序排出次序，报价低的排前，报价高的排后。</w:t>
      </w:r>
      <w:r>
        <w:rPr>
          <w:rFonts w:hint="eastAsia" w:ascii="宋体" w:hAnsi="宋体" w:eastAsia="宋体" w:cs="宋体"/>
          <w:color w:val="auto"/>
          <w:kern w:val="0"/>
          <w:szCs w:val="21"/>
          <w:highlight w:val="none"/>
        </w:rPr>
        <w:t>如果出现投标人的最后综合得分及投标报价均相同时，则按技术标的评标得分高低排出次序，得分高的排前，得分低的排后。如果出现投标人的最后综合得分、投标报价及技术标得分均相同时，由评标委员会进行投票，得票多的排名在先。当第一轮投票结果为投标人得票数相同时，再次进行投票，如此类推，直到能确定排序次序为止。</w:t>
      </w:r>
    </w:p>
    <w:p w14:paraId="7641D4A0">
      <w:pPr>
        <w:widowControl/>
        <w:spacing w:line="360" w:lineRule="auto"/>
        <w:jc w:val="left"/>
        <w:outlineLvl w:val="9"/>
        <w:rPr>
          <w:rFonts w:hint="eastAsia" w:ascii="宋体" w:hAnsi="宋体" w:eastAsia="宋体" w:cs="宋体"/>
          <w:color w:val="auto"/>
          <w:kern w:val="0"/>
          <w:szCs w:val="21"/>
          <w:highlight w:val="none"/>
        </w:rPr>
      </w:pPr>
    </w:p>
    <w:p w14:paraId="4CBE93F2">
      <w:pPr>
        <w:autoSpaceDE w:val="0"/>
        <w:autoSpaceDN w:val="0"/>
        <w:adjustRightInd w:val="0"/>
        <w:spacing w:line="360" w:lineRule="auto"/>
        <w:ind w:left="185" w:leftChars="88" w:firstLine="3443" w:firstLineChars="1225"/>
        <w:outlineLvl w:val="1"/>
        <w:rPr>
          <w:rFonts w:hint="eastAsia" w:ascii="宋体" w:hAnsi="宋体" w:eastAsia="宋体" w:cs="宋体"/>
          <w:b/>
          <w:bCs/>
          <w:color w:val="auto"/>
          <w:sz w:val="28"/>
          <w:szCs w:val="28"/>
          <w:highlight w:val="none"/>
          <w:lang w:val="zh-CN"/>
        </w:rPr>
      </w:pPr>
      <w:bookmarkStart w:id="690" w:name="_Toc22724_WPSOffice_Level1"/>
      <w:r>
        <w:rPr>
          <w:rFonts w:hint="eastAsia" w:ascii="宋体" w:hAnsi="宋体" w:eastAsia="宋体" w:cs="宋体"/>
          <w:b/>
          <w:bCs/>
          <w:color w:val="auto"/>
          <w:sz w:val="28"/>
          <w:szCs w:val="28"/>
          <w:highlight w:val="none"/>
          <w:lang w:val="zh-CN"/>
        </w:rPr>
        <w:t>六、编写评标报告</w:t>
      </w:r>
      <w:bookmarkEnd w:id="690"/>
    </w:p>
    <w:p w14:paraId="4DD8CBA1">
      <w:pPr>
        <w:autoSpaceDE w:val="0"/>
        <w:autoSpaceDN w:val="0"/>
        <w:adjustRightInd w:val="0"/>
        <w:spacing w:line="360" w:lineRule="auto"/>
        <w:ind w:left="420" w:hanging="420" w:hangingChars="200"/>
        <w:jc w:val="left"/>
        <w:outlineLvl w:val="2"/>
        <w:rPr>
          <w:rFonts w:hint="eastAsia" w:ascii="宋体" w:hAnsi="宋体" w:eastAsia="宋体" w:cs="宋体"/>
          <w:b/>
          <w:bCs/>
          <w:color w:val="auto"/>
          <w:szCs w:val="32"/>
          <w:highlight w:val="none"/>
          <w:lang w:val="zh-CN"/>
        </w:rPr>
      </w:pPr>
      <w:r>
        <w:rPr>
          <w:rFonts w:hint="eastAsia" w:ascii="宋体" w:hAnsi="宋体" w:eastAsia="宋体" w:cs="宋体"/>
          <w:color w:val="auto"/>
          <w:szCs w:val="24"/>
          <w:highlight w:val="none"/>
          <w:lang w:val="zh-CN"/>
        </w:rPr>
        <w:t>14、评标委员会根据评审结果撰写评标报告。评标报告是评标委员会根据全体评标委员会成员签字的原始评审记录和评审结果编写的报告，其主要内容包括：</w:t>
      </w:r>
    </w:p>
    <w:p w14:paraId="2034485B">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（1）开标邀请时间、开标日期和地点；</w:t>
      </w:r>
    </w:p>
    <w:p w14:paraId="79F5E3AD">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（2）投标人名单和评标委员会成员名单；</w:t>
      </w:r>
    </w:p>
    <w:p w14:paraId="7AD4DC8A">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（3）开标评审方法和标准；</w:t>
      </w:r>
    </w:p>
    <w:p w14:paraId="60DA065F">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（4）开标评审记录和评审情况及说明，包括投标无效投标人名单及原因；</w:t>
      </w:r>
    </w:p>
    <w:p w14:paraId="3955995B">
      <w:pPr>
        <w:autoSpaceDE w:val="0"/>
        <w:autoSpaceDN w:val="0"/>
        <w:adjustRightInd w:val="0"/>
        <w:spacing w:line="360" w:lineRule="auto"/>
        <w:jc w:val="left"/>
        <w:outlineLvl w:val="9"/>
        <w:rPr>
          <w:rFonts w:hint="eastAsia" w:ascii="宋体" w:hAnsi="宋体" w:eastAsia="宋体" w:cs="宋体"/>
          <w:color w:val="auto"/>
          <w:kern w:val="0"/>
          <w:szCs w:val="24"/>
          <w:highlight w:val="none"/>
          <w:lang w:val="zh-CN"/>
        </w:rPr>
      </w:pPr>
      <w:r>
        <w:rPr>
          <w:rFonts w:hint="eastAsia" w:ascii="宋体" w:hAnsi="宋体" w:eastAsia="宋体" w:cs="宋体"/>
          <w:color w:val="auto"/>
          <w:kern w:val="0"/>
          <w:szCs w:val="24"/>
          <w:highlight w:val="none"/>
          <w:lang w:val="zh-CN"/>
        </w:rPr>
        <w:t>（5）评审结果和中标候选投标人排序表；</w:t>
      </w:r>
    </w:p>
    <w:p w14:paraId="0925D1BD">
      <w:pPr>
        <w:autoSpaceDE w:val="0"/>
        <w:autoSpaceDN w:val="0"/>
        <w:adjustRightInd w:val="0"/>
        <w:spacing w:line="360" w:lineRule="auto"/>
        <w:jc w:val="left"/>
        <w:outlineLvl w:val="9"/>
        <w:rPr>
          <w:rFonts w:hint="eastAsia" w:ascii="宋体" w:hAnsi="宋体" w:eastAsia="宋体" w:cs="宋体"/>
          <w:color w:val="auto"/>
          <w:szCs w:val="24"/>
          <w:highlight w:val="none"/>
          <w:lang w:val="zh-CN"/>
        </w:rPr>
      </w:pPr>
      <w:r>
        <w:rPr>
          <w:rFonts w:hint="eastAsia" w:ascii="宋体" w:hAnsi="宋体" w:eastAsia="宋体" w:cs="宋体"/>
          <w:color w:val="auto"/>
          <w:kern w:val="0"/>
          <w:szCs w:val="24"/>
          <w:highlight w:val="none"/>
          <w:lang w:val="zh-CN"/>
        </w:rPr>
        <w:t>（6）评标委员会的推荐</w:t>
      </w:r>
      <w:r>
        <w:rPr>
          <w:rFonts w:hint="eastAsia" w:ascii="宋体" w:hAnsi="宋体" w:eastAsia="宋体" w:cs="宋体"/>
          <w:color w:val="auto"/>
          <w:szCs w:val="24"/>
          <w:highlight w:val="none"/>
          <w:lang w:val="zh-CN"/>
        </w:rPr>
        <w:t>建议。</w:t>
      </w:r>
    </w:p>
    <w:p w14:paraId="57D2A9C3">
      <w:pPr>
        <w:autoSpaceDE w:val="0"/>
        <w:autoSpaceDN w:val="0"/>
        <w:adjustRightInd w:val="0"/>
        <w:spacing w:line="360" w:lineRule="auto"/>
        <w:jc w:val="center"/>
        <w:outlineLvl w:val="9"/>
        <w:rPr>
          <w:rFonts w:hint="eastAsia" w:ascii="宋体" w:hAnsi="宋体" w:eastAsia="宋体" w:cs="宋体"/>
          <w:b/>
          <w:bCs/>
          <w:color w:val="auto"/>
          <w:sz w:val="28"/>
          <w:szCs w:val="28"/>
          <w:highlight w:val="none"/>
          <w:lang w:val="zh-CN"/>
        </w:rPr>
      </w:pPr>
    </w:p>
    <w:p w14:paraId="6544F4ED">
      <w:pPr>
        <w:autoSpaceDE w:val="0"/>
        <w:autoSpaceDN w:val="0"/>
        <w:adjustRightInd w:val="0"/>
        <w:spacing w:line="360" w:lineRule="auto"/>
        <w:jc w:val="center"/>
        <w:outlineLvl w:val="1"/>
        <w:rPr>
          <w:rFonts w:hint="eastAsia" w:ascii="宋体" w:hAnsi="宋体" w:eastAsia="宋体" w:cs="宋体"/>
          <w:b/>
          <w:bCs/>
          <w:color w:val="auto"/>
          <w:sz w:val="30"/>
          <w:szCs w:val="30"/>
          <w:highlight w:val="none"/>
          <w:lang w:val="zh-CN"/>
        </w:rPr>
      </w:pPr>
      <w:bookmarkStart w:id="691" w:name="_Toc23773_WPSOffice_Level1"/>
      <w:r>
        <w:rPr>
          <w:rFonts w:hint="eastAsia" w:ascii="宋体" w:hAnsi="宋体" w:eastAsia="宋体" w:cs="宋体"/>
          <w:b/>
          <w:bCs/>
          <w:color w:val="auto"/>
          <w:sz w:val="28"/>
          <w:szCs w:val="28"/>
          <w:highlight w:val="none"/>
          <w:lang w:val="zh-CN"/>
        </w:rPr>
        <w:t>七、注意事项</w:t>
      </w:r>
      <w:bookmarkEnd w:id="691"/>
    </w:p>
    <w:p w14:paraId="7D247587">
      <w:pPr>
        <w:autoSpaceDE w:val="0"/>
        <w:autoSpaceDN w:val="0"/>
        <w:adjustRightInd w:val="0"/>
        <w:spacing w:line="360" w:lineRule="auto"/>
        <w:ind w:left="420" w:hanging="420" w:hangingChars="200"/>
        <w:outlineLvl w:val="2"/>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15、为确保评审工作的顺利进行，防止因泄密或其它意外而造成的不良后果及影响，凡参加评审工作的人员都必须认真执行本规定：</w:t>
      </w:r>
    </w:p>
    <w:p w14:paraId="29CFE90C">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（1）在评审工作期间，所有分发的投标文件、资料等仅限于在评审场所中使用，不得带往其它地方，所有的招标文件、投标文件、资料等一律编号登记；</w:t>
      </w:r>
    </w:p>
    <w:p w14:paraId="33CBFB88">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（2）评审人员及工作人员不得在公共场合谈论有关评审内容；</w:t>
      </w:r>
    </w:p>
    <w:p w14:paraId="6547F810">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3）评审人员及工作人员不得以书信、电讯、口述等方式将有关评审内容（如资料、投标文件、投标报价、评审方式、评标委员会的决定、评审组织机构、评审人员名单等）披露给未参加评审的任何无关人员，包括上级领导、同级和下级人员，任何与评审无关的人员（包括亲朋好友和同事）不得进入评审场所；</w:t>
      </w:r>
    </w:p>
    <w:p w14:paraId="7CDEB278">
      <w:pPr>
        <w:autoSpaceDE w:val="0"/>
        <w:autoSpaceDN w:val="0"/>
        <w:adjustRightInd w:val="0"/>
        <w:spacing w:line="360" w:lineRule="auto"/>
        <w:ind w:left="436" w:leftChars="-59" w:hanging="560" w:hangingChars="267"/>
        <w:outlineLvl w:val="9"/>
        <w:rPr>
          <w:rFonts w:hint="eastAsia" w:ascii="宋体" w:hAnsi="宋体" w:eastAsia="宋体" w:cs="宋体"/>
          <w:color w:val="auto"/>
          <w:szCs w:val="24"/>
          <w:highlight w:val="none"/>
          <w:lang w:val="zh-CN"/>
        </w:rPr>
      </w:pPr>
      <w:r>
        <w:rPr>
          <w:rFonts w:hint="eastAsia" w:ascii="宋体" w:hAnsi="宋体" w:eastAsia="宋体" w:cs="宋体"/>
          <w:color w:val="auto"/>
          <w:szCs w:val="24"/>
          <w:highlight w:val="none"/>
          <w:lang w:val="zh-CN"/>
        </w:rPr>
        <w:t>（4）</w:t>
      </w:r>
      <w:r>
        <w:rPr>
          <w:rFonts w:hint="eastAsia" w:ascii="宋体" w:hAnsi="宋体" w:eastAsia="宋体" w:cs="宋体"/>
          <w:color w:val="auto"/>
          <w:szCs w:val="24"/>
          <w:highlight w:val="none"/>
          <w:lang w:val="en-US" w:eastAsia="zh-CN"/>
        </w:rPr>
        <w:t>如有需要举行</w:t>
      </w:r>
      <w:r>
        <w:rPr>
          <w:rFonts w:hint="eastAsia" w:ascii="宋体" w:hAnsi="宋体" w:eastAsia="宋体" w:cs="宋体"/>
          <w:color w:val="auto"/>
          <w:szCs w:val="24"/>
          <w:highlight w:val="none"/>
          <w:lang w:val="zh-CN"/>
        </w:rPr>
        <w:t>澄清会，在举行与各投标人的澄清会之前评标委员会应明确参加会议的人员及主谈人。任何需要投标人在澄清会上澄清的问题必须经评标委员会成员签字并由主谈人提出。在澄清期间，对于涉及本规定保密范畴的所有内容，主谈人不得向投标人透露；</w:t>
      </w:r>
    </w:p>
    <w:p w14:paraId="52CD9F46">
      <w:pPr>
        <w:widowControl/>
        <w:autoSpaceDE w:val="0"/>
        <w:autoSpaceDN w:val="0"/>
        <w:adjustRightInd w:val="0"/>
        <w:spacing w:line="360" w:lineRule="auto"/>
        <w:ind w:left="436" w:leftChars="-59" w:hanging="560" w:hangingChars="267"/>
        <w:jc w:val="left"/>
        <w:outlineLvl w:val="9"/>
        <w:rPr>
          <w:rFonts w:hint="eastAsia" w:ascii="宋体" w:hAnsi="宋体" w:eastAsia="宋体" w:cs="宋体"/>
          <w:b w:val="0"/>
          <w:bCs w:val="0"/>
          <w:color w:val="auto"/>
          <w:kern w:val="2"/>
          <w:szCs w:val="24"/>
          <w:highlight w:val="none"/>
          <w:lang w:val="zh-CN"/>
        </w:rPr>
      </w:pPr>
      <w:r>
        <w:rPr>
          <w:rFonts w:hint="eastAsia" w:ascii="宋体" w:hAnsi="宋体" w:eastAsia="宋体" w:cs="宋体"/>
          <w:color w:val="auto"/>
          <w:szCs w:val="24"/>
          <w:highlight w:val="none"/>
          <w:lang w:val="zh-CN"/>
        </w:rPr>
        <w:t>（5）任何评审人员和工作人员不得对外公布评审的一切内容。</w:t>
      </w:r>
    </w:p>
    <w:bookmarkEnd w:id="656"/>
    <w:bookmarkEnd w:id="666"/>
    <w:bookmarkEnd w:id="667"/>
    <w:bookmarkEnd w:id="668"/>
    <w:p w14:paraId="3A0C8554">
      <w:pPr>
        <w:widowControl/>
        <w:jc w:val="left"/>
        <w:outlineLvl w:val="9"/>
        <w:rPr>
          <w:rFonts w:hint="eastAsia" w:ascii="宋体" w:hAnsi="宋体" w:eastAsia="宋体" w:cs="宋体"/>
          <w:color w:val="auto"/>
          <w:szCs w:val="24"/>
          <w:highlight w:val="none"/>
          <w:lang w:val="zh-CN"/>
        </w:rPr>
      </w:pPr>
    </w:p>
    <w:p w14:paraId="548E7CDA">
      <w:pPr>
        <w:rPr>
          <w:rFonts w:hint="eastAsia" w:ascii="宋体" w:hAnsi="宋体" w:eastAsia="宋体" w:cs="宋体"/>
          <w:color w:val="auto"/>
          <w:highlight w:val="none"/>
        </w:rPr>
      </w:pPr>
    </w:p>
    <w:p w14:paraId="7CCB4BA6">
      <w:pPr>
        <w:rPr>
          <w:rFonts w:hint="eastAsia" w:ascii="宋体" w:hAnsi="宋体" w:eastAsia="宋体" w:cs="宋体"/>
          <w:color w:val="auto"/>
          <w:highlight w:val="none"/>
        </w:rPr>
      </w:pPr>
    </w:p>
    <w:p w14:paraId="2A65B060">
      <w:pPr>
        <w:rPr>
          <w:rFonts w:hint="eastAsia" w:ascii="宋体" w:hAnsi="宋体" w:eastAsia="宋体" w:cs="宋体"/>
          <w:color w:val="auto"/>
          <w:highlight w:val="none"/>
        </w:rPr>
      </w:pPr>
    </w:p>
    <w:sectPr>
      <w:pgSz w:w="12240" w:h="15840"/>
      <w:pgMar w:top="1191" w:right="1043" w:bottom="1191" w:left="1043" w:header="720" w:footer="720" w:gutter="0"/>
      <w:cols w:space="720" w:num="1"/>
      <w:titlePg/>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Microsoft YaHei UI">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auto"/>
    <w:pitch w:val="default"/>
    <w:sig w:usb0="00000000" w:usb1="00000000" w:usb2="00000000" w:usb3="00000000" w:csb0="00040000" w:csb1="00000000"/>
  </w:font>
  <w:font w:name="ˎ̥">
    <w:altName w:val="Times New Roman"/>
    <w:panose1 w:val="00000000000000000000"/>
    <w:charset w:val="01"/>
    <w:family w:val="roman"/>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FrutigerNext LT Light">
    <w:altName w:val="宋体"/>
    <w:panose1 w:val="00000000000000000000"/>
    <w:charset w:val="86"/>
    <w:family w:val="swiss"/>
    <w:pitch w:val="default"/>
    <w:sig w:usb0="00000000" w:usb1="00000000" w:usb2="00000010"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5B8BCB">
    <w:pPr>
      <w:pStyle w:val="19"/>
      <w:spacing w:line="14" w:lineRule="auto"/>
    </w:pPr>
    <w:r>
      <mc:AlternateContent>
        <mc:Choice Requires="wps">
          <w:drawing>
            <wp:anchor distT="0" distB="0" distL="114300" distR="114300" simplePos="0" relativeHeight="251666432" behindDoc="0" locked="0" layoutInCell="1" allowOverlap="1">
              <wp:simplePos x="0" y="0"/>
              <wp:positionH relativeFrom="margin">
                <wp:posOffset>2132330</wp:posOffset>
              </wp:positionH>
              <wp:positionV relativeFrom="paragraph">
                <wp:posOffset>3175</wp:posOffset>
              </wp:positionV>
              <wp:extent cx="1180465"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8053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88F9BC2">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167.9pt;margin-top:0.25pt;height:144pt;width:92.95pt;mso-position-horizontal-relative:margin;z-index:251666432;mso-width-relative:page;mso-height-relative:page;" filled="f" stroked="f" coordsize="21600,21600" o:gfxdata="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G8OFn1wAAAAgBAAAPAAAAAAAAAAEAIAAAACIAAABkcnMvZG93bnJldi54bWxQ&#10;SwECFAAUAAAACACHTuJA6qeesDECAABXBAAADgAAAAAAAAABACAAAAAmAQAAZHJzL2Uyb0RvYy54&#10;bWxQSwUGAAAAAAYABgBZAQAAyQUAAAAA&#10;">
              <v:fill on="f" focussize="0,0"/>
              <v:stroke on="f" weight="0.5pt"/>
              <v:imagedata o:title=""/>
              <o:lock v:ext="edit" aspectratio="f"/>
              <v:textbox inset="0mm,0mm,0mm,0mm" style="mso-fit-shape-to-text:t;">
                <w:txbxContent>
                  <w:p w14:paraId="588F9BC2">
                    <w:pPr>
                      <w:pStyle w:val="26"/>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36</w:t>
                    </w:r>
                    <w:r>
                      <w:rPr>
                        <w:rFonts w:hint="eastAsia"/>
                      </w:rPr>
                      <w:fldChar w:fldCharType="end"/>
                    </w:r>
                    <w:r>
                      <w:rPr>
                        <w:rFonts w:hint="eastAsia"/>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8800F">
    <w:pPr>
      <w:pStyle w:val="26"/>
      <w:jc w:val="center"/>
    </w:pPr>
    <w:r>
      <w:rPr>
        <w:rFonts w:hint="eastAsia"/>
      </w:rPr>
      <w:t>第</w:t>
    </w:r>
    <w:r>
      <w:rPr>
        <w:bCs/>
      </w:rPr>
      <w:fldChar w:fldCharType="begin"/>
    </w:r>
    <w:r>
      <w:rPr>
        <w:bCs/>
      </w:rPr>
      <w:instrText xml:space="preserve">PAGE</w:instrText>
    </w:r>
    <w:r>
      <w:rPr>
        <w:bCs/>
      </w:rPr>
      <w:fldChar w:fldCharType="separate"/>
    </w:r>
    <w:r>
      <w:rPr>
        <w:bCs/>
      </w:rPr>
      <w:t>25</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DC3D1">
    <w:pPr>
      <w:pStyle w:val="26"/>
      <w:jc w:val="center"/>
    </w:pPr>
    <w:r>
      <w:rPr>
        <w:rFonts w:hint="eastAsia"/>
      </w:rPr>
      <w:t>第</w:t>
    </w:r>
    <w:r>
      <w:rPr>
        <w:bCs/>
      </w:rPr>
      <w:fldChar w:fldCharType="begin"/>
    </w:r>
    <w:r>
      <w:rPr>
        <w:bCs/>
      </w:rPr>
      <w:instrText xml:space="preserve">PAGE</w:instrText>
    </w:r>
    <w:r>
      <w:rPr>
        <w:bCs/>
      </w:rPr>
      <w:fldChar w:fldCharType="separate"/>
    </w:r>
    <w:r>
      <w:rPr>
        <w:bCs/>
      </w:rPr>
      <w:t>1</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69</w:t>
    </w:r>
    <w:r>
      <w:rPr>
        <w:bCs/>
      </w:rPr>
      <w:fldChar w:fldCharType="end"/>
    </w:r>
    <w:r>
      <w:rPr>
        <w:rFonts w:hint="eastAsia"/>
        <w:bCs/>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95C47D">
    <w:pPr>
      <w:pStyle w:val="26"/>
      <w:jc w:val="center"/>
    </w:pPr>
    <w:r>
      <w:rPr>
        <w:rFonts w:hint="eastAsia"/>
      </w:rPr>
      <w:t>第</w:t>
    </w:r>
    <w:r>
      <w:rPr>
        <w:bCs/>
      </w:rPr>
      <w:fldChar w:fldCharType="begin"/>
    </w:r>
    <w:r>
      <w:rPr>
        <w:bCs/>
      </w:rPr>
      <w:instrText xml:space="preserve">PAGE</w:instrText>
    </w:r>
    <w:r>
      <w:rPr>
        <w:bCs/>
      </w:rPr>
      <w:fldChar w:fldCharType="separate"/>
    </w:r>
    <w:r>
      <w:rPr>
        <w:bCs/>
      </w:rPr>
      <w:t>40</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40</w:t>
    </w:r>
    <w:r>
      <w:rPr>
        <w:bCs/>
      </w:rPr>
      <w:fldChar w:fldCharType="end"/>
    </w:r>
    <w:r>
      <w:rPr>
        <w:rFonts w:hint="eastAsia"/>
        <w:bCs/>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CFF1F">
    <w:pPr>
      <w:pStyle w:val="26"/>
      <w:jc w:val="center"/>
    </w:pPr>
    <w:r>
      <w:rPr>
        <w:rFonts w:hint="eastAsia"/>
      </w:rPr>
      <w:t>第</w:t>
    </w:r>
    <w:r>
      <w:rPr>
        <w:bCs/>
      </w:rPr>
      <w:fldChar w:fldCharType="begin"/>
    </w:r>
    <w:r>
      <w:rPr>
        <w:bCs/>
      </w:rPr>
      <w:instrText xml:space="preserve">PAGE</w:instrText>
    </w:r>
    <w:r>
      <w:rPr>
        <w:bCs/>
      </w:rPr>
      <w:fldChar w:fldCharType="separate"/>
    </w:r>
    <w:r>
      <w:rPr>
        <w:bCs/>
      </w:rPr>
      <w:t>49</w:t>
    </w:r>
    <w:r>
      <w:rPr>
        <w:bCs/>
      </w:rPr>
      <w:fldChar w:fldCharType="end"/>
    </w:r>
    <w:r>
      <w:rPr>
        <w:rFonts w:hint="eastAsia"/>
        <w:lang w:val="zh-CN"/>
      </w:rPr>
      <w:t>页 共</w:t>
    </w:r>
    <w:r>
      <w:rPr>
        <w:bCs/>
      </w:rPr>
      <w:fldChar w:fldCharType="begin"/>
    </w:r>
    <w:r>
      <w:rPr>
        <w:bCs/>
      </w:rPr>
      <w:instrText xml:space="preserve">NUMPAGES</w:instrText>
    </w:r>
    <w:r>
      <w:rPr>
        <w:bCs/>
      </w:rPr>
      <w:fldChar w:fldCharType="separate"/>
    </w:r>
    <w:r>
      <w:rPr>
        <w:bCs/>
      </w:rPr>
      <w:t>49</w:t>
    </w:r>
    <w:r>
      <w:rPr>
        <w:bCs/>
      </w:rPr>
      <w:fldChar w:fldCharType="end"/>
    </w:r>
    <w:r>
      <w:rPr>
        <w:rFonts w:hint="eastAsia"/>
        <w:bCs/>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2FAA1C">
    <w:pPr>
      <w:pStyle w:val="26"/>
      <w:jc w:val="center"/>
    </w:pPr>
    <w:r>
      <w:rPr>
        <w:rFonts w:hint="eastAsia"/>
      </w:rPr>
      <w:t>第</w:t>
    </w:r>
    <w:r>
      <w:rPr>
        <w:lang w:val="zh-CN"/>
      </w:rPr>
      <w:t xml:space="preserve"> </w:t>
    </w:r>
    <w:r>
      <w:rPr>
        <w:bCs/>
        <w:sz w:val="24"/>
        <w:szCs w:val="24"/>
      </w:rPr>
      <w:fldChar w:fldCharType="begin"/>
    </w:r>
    <w:r>
      <w:rPr>
        <w:bCs/>
      </w:rPr>
      <w:instrText xml:space="preserve">PAGE</w:instrText>
    </w:r>
    <w:r>
      <w:rPr>
        <w:bCs/>
        <w:sz w:val="24"/>
        <w:szCs w:val="24"/>
      </w:rPr>
      <w:fldChar w:fldCharType="separate"/>
    </w:r>
    <w:r>
      <w:rPr>
        <w:bCs/>
      </w:rPr>
      <w:t>66</w:t>
    </w:r>
    <w:r>
      <w:rPr>
        <w:bCs/>
        <w:sz w:val="24"/>
        <w:szCs w:val="24"/>
      </w:rPr>
      <w:fldChar w:fldCharType="end"/>
    </w:r>
    <w:r>
      <w:rPr>
        <w:lang w:val="zh-CN"/>
      </w:rPr>
      <w:t xml:space="preserve"> </w:t>
    </w:r>
    <w:r>
      <w:rPr>
        <w:rFonts w:hint="eastAsia"/>
        <w:lang w:val="zh-CN"/>
      </w:rPr>
      <w:t>页，共</w:t>
    </w:r>
    <w:r>
      <w:rPr>
        <w:lang w:val="zh-CN"/>
      </w:rPr>
      <w:t xml:space="preserve"> </w:t>
    </w:r>
    <w:r>
      <w:rPr>
        <w:bCs/>
        <w:sz w:val="24"/>
        <w:szCs w:val="24"/>
      </w:rPr>
      <w:fldChar w:fldCharType="begin"/>
    </w:r>
    <w:r>
      <w:rPr>
        <w:bCs/>
      </w:rPr>
      <w:instrText xml:space="preserve">NUMPAGES</w:instrText>
    </w:r>
    <w:r>
      <w:rPr>
        <w:bCs/>
        <w:sz w:val="24"/>
        <w:szCs w:val="24"/>
      </w:rPr>
      <w:fldChar w:fldCharType="separate"/>
    </w:r>
    <w:r>
      <w:rPr>
        <w:bCs/>
      </w:rPr>
      <w:t>68</w:t>
    </w:r>
    <w:r>
      <w:rPr>
        <w:bCs/>
        <w:sz w:val="24"/>
        <w:szCs w:val="24"/>
      </w:rPr>
      <w:fldChar w:fldCharType="end"/>
    </w:r>
    <w:r>
      <w:rPr>
        <w:b/>
        <w:bCs/>
        <w:sz w:val="24"/>
        <w:szCs w:val="24"/>
      </w:rPr>
      <w:t xml:space="preserve"> </w:t>
    </w:r>
    <w:r>
      <w:rPr>
        <w:rFonts w:hint="eastAsia"/>
      </w:rPr>
      <w:t>页</w:t>
    </w:r>
  </w:p>
  <w:p w14:paraId="74C6E491">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7677FB">
    <w:pPr>
      <w:pStyle w:val="27"/>
      <w:pBdr>
        <w:bottom w:val="none" w:color="auto" w:sz="0" w:space="1"/>
      </w:pBdr>
      <w:tabs>
        <w:tab w:val="left" w:pos="5182"/>
        <w:tab w:val="clear" w:pos="4153"/>
      </w:tabs>
      <w:jc w:val="left"/>
      <w:rPr>
        <w:rFonts w:hint="eastAsia" w:eastAsia="宋体"/>
        <w:lang w:eastAsia="zh-CN"/>
      </w:rPr>
    </w:pPr>
    <w:r>
      <w:rPr>
        <w:rFonts w:hint="eastAsia"/>
        <w:lang w:eastAsia="zh-CN"/>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9E52FE">
    <w:pPr>
      <w:pStyle w:val="27"/>
      <w:pBdr>
        <w:bottom w:val="none" w:color="auto" w:sz="0" w:space="1"/>
      </w:pBdr>
      <w:tabs>
        <w:tab w:val="left" w:pos="5182"/>
        <w:tab w:val="clear" w:pos="4153"/>
      </w:tabs>
      <w:jc w:val="left"/>
      <w:rPr>
        <w:rFonts w:hint="eastAsia" w:eastAsia="宋体"/>
        <w:lang w:eastAsia="zh-CN"/>
      </w:rPr>
    </w:pPr>
    <w:r>
      <w:rPr>
        <w:rFonts w:hint="eastAsia"/>
        <w:lang w:eastAsia="zh-CN"/>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1D5CE4">
    <w:pPr>
      <w:pStyle w:val="27"/>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1206F2"/>
    <w:multiLevelType w:val="singleLevel"/>
    <w:tmpl w:val="071206F2"/>
    <w:lvl w:ilvl="0" w:tentative="0">
      <w:start w:val="4"/>
      <w:numFmt w:val="chineseCounting"/>
      <w:suff w:val="nothing"/>
      <w:lvlText w:val="（%1）"/>
      <w:lvlJc w:val="left"/>
      <w:rPr>
        <w:rFonts w:hint="eastAsia"/>
      </w:rPr>
    </w:lvl>
  </w:abstractNum>
  <w:abstractNum w:abstractNumId="1">
    <w:nsid w:val="0DBEAF8D"/>
    <w:multiLevelType w:val="singleLevel"/>
    <w:tmpl w:val="0DBEAF8D"/>
    <w:lvl w:ilvl="0" w:tentative="0">
      <w:start w:val="1"/>
      <w:numFmt w:val="decimal"/>
      <w:suff w:val="nothing"/>
      <w:lvlText w:val="（%1）"/>
      <w:lvlJc w:val="left"/>
      <w:rPr>
        <w:rFonts w:hint="default"/>
        <w:sz w:val="21"/>
        <w:szCs w:val="21"/>
      </w:rPr>
    </w:lvl>
  </w:abstractNum>
  <w:abstractNum w:abstractNumId="2">
    <w:nsid w:val="112975A4"/>
    <w:multiLevelType w:val="multilevel"/>
    <w:tmpl w:val="112975A4"/>
    <w:lvl w:ilvl="0" w:tentative="0">
      <w:start w:val="1"/>
      <w:numFmt w:val="japaneseCounting"/>
      <w:lvlText w:val="（%1）"/>
      <w:lvlJc w:val="left"/>
      <w:pPr>
        <w:ind w:left="1700" w:hanging="1080"/>
      </w:pPr>
      <w:rPr>
        <w:rFonts w:hint="default"/>
      </w:rPr>
    </w:lvl>
    <w:lvl w:ilvl="1" w:tentative="0">
      <w:start w:val="1"/>
      <w:numFmt w:val="lowerLetter"/>
      <w:lvlText w:val="%2)"/>
      <w:lvlJc w:val="left"/>
      <w:pPr>
        <w:ind w:left="1460" w:hanging="420"/>
      </w:pPr>
    </w:lvl>
    <w:lvl w:ilvl="2" w:tentative="0">
      <w:start w:val="1"/>
      <w:numFmt w:val="lowerRoman"/>
      <w:lvlText w:val="%3."/>
      <w:lvlJc w:val="right"/>
      <w:pPr>
        <w:ind w:left="1880" w:hanging="420"/>
      </w:pPr>
    </w:lvl>
    <w:lvl w:ilvl="3" w:tentative="0">
      <w:start w:val="1"/>
      <w:numFmt w:val="decimal"/>
      <w:lvlText w:val="%4."/>
      <w:lvlJc w:val="left"/>
      <w:pPr>
        <w:ind w:left="2300" w:hanging="420"/>
      </w:pPr>
    </w:lvl>
    <w:lvl w:ilvl="4" w:tentative="0">
      <w:start w:val="1"/>
      <w:numFmt w:val="lowerLetter"/>
      <w:lvlText w:val="%5)"/>
      <w:lvlJc w:val="left"/>
      <w:pPr>
        <w:ind w:left="2720" w:hanging="420"/>
      </w:pPr>
    </w:lvl>
    <w:lvl w:ilvl="5" w:tentative="0">
      <w:start w:val="1"/>
      <w:numFmt w:val="lowerRoman"/>
      <w:lvlText w:val="%6."/>
      <w:lvlJc w:val="right"/>
      <w:pPr>
        <w:ind w:left="3140" w:hanging="420"/>
      </w:pPr>
    </w:lvl>
    <w:lvl w:ilvl="6" w:tentative="0">
      <w:start w:val="1"/>
      <w:numFmt w:val="decimal"/>
      <w:lvlText w:val="%7."/>
      <w:lvlJc w:val="left"/>
      <w:pPr>
        <w:ind w:left="3560" w:hanging="420"/>
      </w:pPr>
    </w:lvl>
    <w:lvl w:ilvl="7" w:tentative="0">
      <w:start w:val="1"/>
      <w:numFmt w:val="lowerLetter"/>
      <w:lvlText w:val="%8)"/>
      <w:lvlJc w:val="left"/>
      <w:pPr>
        <w:ind w:left="3980" w:hanging="420"/>
      </w:pPr>
    </w:lvl>
    <w:lvl w:ilvl="8" w:tentative="0">
      <w:start w:val="1"/>
      <w:numFmt w:val="lowerRoman"/>
      <w:lvlText w:val="%9."/>
      <w:lvlJc w:val="right"/>
      <w:pPr>
        <w:ind w:left="4400" w:hanging="420"/>
      </w:pPr>
    </w:lvl>
  </w:abstractNum>
  <w:abstractNum w:abstractNumId="3">
    <w:nsid w:val="2F8D6FBB"/>
    <w:multiLevelType w:val="multilevel"/>
    <w:tmpl w:val="2F8D6FBB"/>
    <w:lvl w:ilvl="0" w:tentative="0">
      <w:start w:val="1"/>
      <w:numFmt w:val="decimal"/>
      <w:lvlText w:val="%1."/>
      <w:legacy w:legacy="1" w:legacySpace="0" w:legacyIndent="360"/>
      <w:lvlJc w:val="left"/>
      <w:rPr>
        <w:rFonts w:hint="eastAsia" w:ascii="宋体" w:hAnsi="宋体" w:eastAsia="宋体"/>
      </w:rPr>
    </w:lvl>
    <w:lvl w:ilvl="1" w:tentative="0">
      <w:start w:val="5"/>
      <w:numFmt w:val="decimal"/>
      <w:isLgl/>
      <w:lvlText w:val="%1.%2"/>
      <w:lvlJc w:val="left"/>
      <w:pPr>
        <w:tabs>
          <w:tab w:val="left" w:pos="0"/>
        </w:tabs>
        <w:ind w:left="0" w:firstLine="0"/>
      </w:pPr>
      <w:rPr>
        <w:rFonts w:hint="default"/>
      </w:rPr>
    </w:lvl>
    <w:lvl w:ilvl="2" w:tentative="0">
      <w:start w:val="1"/>
      <w:numFmt w:val="decimal"/>
      <w:isLgl/>
      <w:lvlText w:val="%1.%2.%3"/>
      <w:lvlJc w:val="left"/>
      <w:pPr>
        <w:tabs>
          <w:tab w:val="left" w:pos="0"/>
        </w:tabs>
        <w:ind w:left="0" w:firstLine="0"/>
      </w:pPr>
      <w:rPr>
        <w:rFonts w:hint="default"/>
      </w:rPr>
    </w:lvl>
    <w:lvl w:ilvl="3" w:tentative="0">
      <w:start w:val="1"/>
      <w:numFmt w:val="decimal"/>
      <w:isLgl/>
      <w:lvlText w:val="%1.%2.%3.%4"/>
      <w:lvlJc w:val="left"/>
      <w:pPr>
        <w:tabs>
          <w:tab w:val="left" w:pos="0"/>
        </w:tabs>
        <w:ind w:left="0" w:firstLine="0"/>
      </w:pPr>
      <w:rPr>
        <w:rFonts w:hint="default"/>
      </w:rPr>
    </w:lvl>
    <w:lvl w:ilvl="4" w:tentative="0">
      <w:start w:val="1"/>
      <w:numFmt w:val="decimal"/>
      <w:isLgl/>
      <w:lvlText w:val="%1.%2.%3.%4.%5"/>
      <w:lvlJc w:val="left"/>
      <w:pPr>
        <w:tabs>
          <w:tab w:val="left" w:pos="0"/>
        </w:tabs>
        <w:ind w:left="0" w:firstLine="0"/>
      </w:pPr>
      <w:rPr>
        <w:rFonts w:hint="default"/>
      </w:rPr>
    </w:lvl>
    <w:lvl w:ilvl="5" w:tentative="0">
      <w:start w:val="1"/>
      <w:numFmt w:val="decimal"/>
      <w:isLgl/>
      <w:lvlText w:val="%1.%2.%3.%4.%5.%6"/>
      <w:lvlJc w:val="left"/>
      <w:pPr>
        <w:tabs>
          <w:tab w:val="left" w:pos="0"/>
        </w:tabs>
        <w:ind w:left="0" w:firstLine="0"/>
      </w:pPr>
      <w:rPr>
        <w:rFonts w:hint="default"/>
      </w:rPr>
    </w:lvl>
    <w:lvl w:ilvl="6" w:tentative="0">
      <w:start w:val="1"/>
      <w:numFmt w:val="decimal"/>
      <w:isLgl/>
      <w:lvlText w:val="%1.%2.%3.%4.%5.%6.%7"/>
      <w:lvlJc w:val="left"/>
      <w:pPr>
        <w:tabs>
          <w:tab w:val="left" w:pos="0"/>
        </w:tabs>
        <w:ind w:left="0" w:firstLine="0"/>
      </w:pPr>
      <w:rPr>
        <w:rFonts w:hint="default"/>
      </w:rPr>
    </w:lvl>
    <w:lvl w:ilvl="7" w:tentative="0">
      <w:start w:val="1"/>
      <w:numFmt w:val="decimal"/>
      <w:isLgl/>
      <w:lvlText w:val="%1.%2.%3.%4.%5.%6.%7.%8"/>
      <w:lvlJc w:val="left"/>
      <w:pPr>
        <w:tabs>
          <w:tab w:val="left" w:pos="0"/>
        </w:tabs>
        <w:ind w:left="0" w:firstLine="0"/>
      </w:pPr>
      <w:rPr>
        <w:rFonts w:hint="default"/>
      </w:rPr>
    </w:lvl>
    <w:lvl w:ilvl="8" w:tentative="0">
      <w:start w:val="1"/>
      <w:numFmt w:val="decimal"/>
      <w:isLgl/>
      <w:lvlText w:val="%1.%2.%3.%4.%5.%6.%7.%8.%9"/>
      <w:lvlJc w:val="left"/>
      <w:pPr>
        <w:tabs>
          <w:tab w:val="left" w:pos="0"/>
        </w:tabs>
        <w:ind w:left="0" w:firstLine="0"/>
      </w:pPr>
      <w:rPr>
        <w:rFonts w:hint="default"/>
      </w:rPr>
    </w:lvl>
  </w:abstractNum>
  <w:abstractNum w:abstractNumId="4">
    <w:nsid w:val="3C5D322F"/>
    <w:multiLevelType w:val="singleLevel"/>
    <w:tmpl w:val="3C5D322F"/>
    <w:lvl w:ilvl="0" w:tentative="0">
      <w:start w:val="1"/>
      <w:numFmt w:val="decimal"/>
      <w:suff w:val="nothing"/>
      <w:lvlText w:val="（%1）"/>
      <w:lvlJc w:val="left"/>
      <w:rPr>
        <w:rFonts w:hint="default"/>
        <w:sz w:val="21"/>
        <w:szCs w:val="21"/>
      </w:rPr>
    </w:lvl>
  </w:abstractNum>
  <w:abstractNum w:abstractNumId="5">
    <w:nsid w:val="442A3BA7"/>
    <w:multiLevelType w:val="multilevel"/>
    <w:tmpl w:val="442A3BA7"/>
    <w:lvl w:ilvl="0" w:tentative="0">
      <w:start w:val="1"/>
      <w:numFmt w:val="decimal"/>
      <w:lvlText w:val="%1"/>
      <w:lvlJc w:val="left"/>
      <w:pPr>
        <w:ind w:left="360" w:hanging="360"/>
      </w:pPr>
      <w:rPr>
        <w:rFonts w:hint="default"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860C59F"/>
    <w:multiLevelType w:val="singleLevel"/>
    <w:tmpl w:val="5860C59F"/>
    <w:lvl w:ilvl="0" w:tentative="0">
      <w:start w:val="3"/>
      <w:numFmt w:val="chineseCounting"/>
      <w:suff w:val="nothing"/>
      <w:lvlText w:val="%1、"/>
      <w:lvlJc w:val="left"/>
    </w:lvl>
  </w:abstractNum>
  <w:abstractNum w:abstractNumId="7">
    <w:nsid w:val="5860D940"/>
    <w:multiLevelType w:val="singleLevel"/>
    <w:tmpl w:val="5860D940"/>
    <w:lvl w:ilvl="0" w:tentative="0">
      <w:start w:val="1"/>
      <w:numFmt w:val="chineseCounting"/>
      <w:suff w:val="nothing"/>
      <w:lvlText w:val="%1、"/>
      <w:lvlJc w:val="left"/>
    </w:lvl>
  </w:abstractNum>
  <w:num w:numId="1">
    <w:abstractNumId w:val="5"/>
  </w:num>
  <w:num w:numId="2">
    <w:abstractNumId w:val="0"/>
  </w:num>
  <w:num w:numId="3">
    <w:abstractNumId w:val="7"/>
  </w:num>
  <w:num w:numId="4">
    <w:abstractNumId w:val="2"/>
  </w:num>
  <w:num w:numId="5">
    <w:abstractNumId w:val="6"/>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5ZjkyNmJlYmZlMjgwZjE5OWE3OWMxMjIwNGM4NjEifQ=="/>
  </w:docVars>
  <w:rsids>
    <w:rsidRoot w:val="001E63B6"/>
    <w:rsid w:val="000011AE"/>
    <w:rsid w:val="00004430"/>
    <w:rsid w:val="00006AEC"/>
    <w:rsid w:val="00015A2E"/>
    <w:rsid w:val="000245A6"/>
    <w:rsid w:val="0002570D"/>
    <w:rsid w:val="00027708"/>
    <w:rsid w:val="00035595"/>
    <w:rsid w:val="00040BE6"/>
    <w:rsid w:val="00040F92"/>
    <w:rsid w:val="00046C4B"/>
    <w:rsid w:val="00052FA1"/>
    <w:rsid w:val="00054A52"/>
    <w:rsid w:val="00054D9C"/>
    <w:rsid w:val="000622F9"/>
    <w:rsid w:val="000640CD"/>
    <w:rsid w:val="000768C6"/>
    <w:rsid w:val="000770B9"/>
    <w:rsid w:val="0008097F"/>
    <w:rsid w:val="00084D8D"/>
    <w:rsid w:val="000853A8"/>
    <w:rsid w:val="00086BE3"/>
    <w:rsid w:val="00094AF8"/>
    <w:rsid w:val="000A31BD"/>
    <w:rsid w:val="000A34F7"/>
    <w:rsid w:val="000A65CD"/>
    <w:rsid w:val="000A73D7"/>
    <w:rsid w:val="000B4B09"/>
    <w:rsid w:val="000C1661"/>
    <w:rsid w:val="000C18B7"/>
    <w:rsid w:val="000C5D06"/>
    <w:rsid w:val="000C6A11"/>
    <w:rsid w:val="000D0B5D"/>
    <w:rsid w:val="000D5537"/>
    <w:rsid w:val="000D75D3"/>
    <w:rsid w:val="000E244F"/>
    <w:rsid w:val="000E3ECA"/>
    <w:rsid w:val="000E4A4F"/>
    <w:rsid w:val="000E4D54"/>
    <w:rsid w:val="000F0A84"/>
    <w:rsid w:val="001059DC"/>
    <w:rsid w:val="0010738F"/>
    <w:rsid w:val="0011440A"/>
    <w:rsid w:val="00114519"/>
    <w:rsid w:val="001233ED"/>
    <w:rsid w:val="00127946"/>
    <w:rsid w:val="00131E91"/>
    <w:rsid w:val="001450A8"/>
    <w:rsid w:val="001523C0"/>
    <w:rsid w:val="00152F07"/>
    <w:rsid w:val="0015711A"/>
    <w:rsid w:val="001644BA"/>
    <w:rsid w:val="001647C7"/>
    <w:rsid w:val="00165203"/>
    <w:rsid w:val="00166309"/>
    <w:rsid w:val="00170004"/>
    <w:rsid w:val="00174AE6"/>
    <w:rsid w:val="001758D3"/>
    <w:rsid w:val="00177B51"/>
    <w:rsid w:val="0018078B"/>
    <w:rsid w:val="00183284"/>
    <w:rsid w:val="00183344"/>
    <w:rsid w:val="0019682B"/>
    <w:rsid w:val="001A1FCB"/>
    <w:rsid w:val="001B223C"/>
    <w:rsid w:val="001B74B3"/>
    <w:rsid w:val="001C2086"/>
    <w:rsid w:val="001C4AC2"/>
    <w:rsid w:val="001C6FAA"/>
    <w:rsid w:val="001D00B3"/>
    <w:rsid w:val="001D5A65"/>
    <w:rsid w:val="001D6B15"/>
    <w:rsid w:val="001E4158"/>
    <w:rsid w:val="001E6227"/>
    <w:rsid w:val="001E63B6"/>
    <w:rsid w:val="001E6DD8"/>
    <w:rsid w:val="001F0290"/>
    <w:rsid w:val="001F6A01"/>
    <w:rsid w:val="00202DB9"/>
    <w:rsid w:val="00215B7A"/>
    <w:rsid w:val="00223D5B"/>
    <w:rsid w:val="0022528C"/>
    <w:rsid w:val="002258BB"/>
    <w:rsid w:val="00225B7D"/>
    <w:rsid w:val="002260FC"/>
    <w:rsid w:val="002315B7"/>
    <w:rsid w:val="002347FE"/>
    <w:rsid w:val="0024360C"/>
    <w:rsid w:val="002451A7"/>
    <w:rsid w:val="00247373"/>
    <w:rsid w:val="00260C05"/>
    <w:rsid w:val="00261575"/>
    <w:rsid w:val="00262407"/>
    <w:rsid w:val="00275E0E"/>
    <w:rsid w:val="0028146F"/>
    <w:rsid w:val="002831F6"/>
    <w:rsid w:val="00290CBF"/>
    <w:rsid w:val="0029590E"/>
    <w:rsid w:val="002A3EB3"/>
    <w:rsid w:val="002B1734"/>
    <w:rsid w:val="002B5DBC"/>
    <w:rsid w:val="002B7423"/>
    <w:rsid w:val="002B7CA9"/>
    <w:rsid w:val="002C4A4A"/>
    <w:rsid w:val="002D0003"/>
    <w:rsid w:val="002D1442"/>
    <w:rsid w:val="002E4079"/>
    <w:rsid w:val="002F68EE"/>
    <w:rsid w:val="002F7DEF"/>
    <w:rsid w:val="003014E2"/>
    <w:rsid w:val="00302D85"/>
    <w:rsid w:val="0030753D"/>
    <w:rsid w:val="00311DA1"/>
    <w:rsid w:val="003121B1"/>
    <w:rsid w:val="0031709C"/>
    <w:rsid w:val="003223D5"/>
    <w:rsid w:val="00322AA4"/>
    <w:rsid w:val="00325EF0"/>
    <w:rsid w:val="00326230"/>
    <w:rsid w:val="00326290"/>
    <w:rsid w:val="00330DA7"/>
    <w:rsid w:val="00332C2D"/>
    <w:rsid w:val="00335872"/>
    <w:rsid w:val="003462FF"/>
    <w:rsid w:val="00347A73"/>
    <w:rsid w:val="00347CB0"/>
    <w:rsid w:val="00352495"/>
    <w:rsid w:val="00353707"/>
    <w:rsid w:val="00354BE6"/>
    <w:rsid w:val="0035524D"/>
    <w:rsid w:val="00357E51"/>
    <w:rsid w:val="003628C2"/>
    <w:rsid w:val="00364854"/>
    <w:rsid w:val="00366BB7"/>
    <w:rsid w:val="003721DF"/>
    <w:rsid w:val="003748D5"/>
    <w:rsid w:val="0037694B"/>
    <w:rsid w:val="00381E11"/>
    <w:rsid w:val="003824D1"/>
    <w:rsid w:val="00393CBD"/>
    <w:rsid w:val="00395C76"/>
    <w:rsid w:val="003A2B25"/>
    <w:rsid w:val="003A5520"/>
    <w:rsid w:val="003B077B"/>
    <w:rsid w:val="003B3342"/>
    <w:rsid w:val="003B5C9C"/>
    <w:rsid w:val="003C193B"/>
    <w:rsid w:val="003D0D72"/>
    <w:rsid w:val="003D17A4"/>
    <w:rsid w:val="003D39E2"/>
    <w:rsid w:val="003D3F68"/>
    <w:rsid w:val="003E006E"/>
    <w:rsid w:val="003E30F8"/>
    <w:rsid w:val="003E399E"/>
    <w:rsid w:val="003E6830"/>
    <w:rsid w:val="003F3875"/>
    <w:rsid w:val="003F42C0"/>
    <w:rsid w:val="003F51B0"/>
    <w:rsid w:val="004033E1"/>
    <w:rsid w:val="00405E84"/>
    <w:rsid w:val="0040607F"/>
    <w:rsid w:val="00417860"/>
    <w:rsid w:val="00420A7A"/>
    <w:rsid w:val="004235AF"/>
    <w:rsid w:val="0042558D"/>
    <w:rsid w:val="00427A89"/>
    <w:rsid w:val="0043107A"/>
    <w:rsid w:val="00432C43"/>
    <w:rsid w:val="004359C6"/>
    <w:rsid w:val="004360FC"/>
    <w:rsid w:val="004378C7"/>
    <w:rsid w:val="00437B9C"/>
    <w:rsid w:val="00437FC4"/>
    <w:rsid w:val="00441805"/>
    <w:rsid w:val="004551D1"/>
    <w:rsid w:val="0045753C"/>
    <w:rsid w:val="004577C3"/>
    <w:rsid w:val="0046038A"/>
    <w:rsid w:val="00460F3E"/>
    <w:rsid w:val="00464570"/>
    <w:rsid w:val="004761B2"/>
    <w:rsid w:val="00481AFA"/>
    <w:rsid w:val="0049337D"/>
    <w:rsid w:val="004B093D"/>
    <w:rsid w:val="004B604C"/>
    <w:rsid w:val="004E4ADE"/>
    <w:rsid w:val="004E5028"/>
    <w:rsid w:val="004E5F4E"/>
    <w:rsid w:val="004F2802"/>
    <w:rsid w:val="00500B9E"/>
    <w:rsid w:val="00503499"/>
    <w:rsid w:val="00506501"/>
    <w:rsid w:val="00507BC4"/>
    <w:rsid w:val="00513DB6"/>
    <w:rsid w:val="00524E92"/>
    <w:rsid w:val="00531E28"/>
    <w:rsid w:val="005344B1"/>
    <w:rsid w:val="005423E7"/>
    <w:rsid w:val="005572B4"/>
    <w:rsid w:val="0056010A"/>
    <w:rsid w:val="00563302"/>
    <w:rsid w:val="00571307"/>
    <w:rsid w:val="005743EA"/>
    <w:rsid w:val="00576F2E"/>
    <w:rsid w:val="00581210"/>
    <w:rsid w:val="00581FC3"/>
    <w:rsid w:val="005832B2"/>
    <w:rsid w:val="005851F1"/>
    <w:rsid w:val="005910B4"/>
    <w:rsid w:val="00596A23"/>
    <w:rsid w:val="005B735D"/>
    <w:rsid w:val="005C4A71"/>
    <w:rsid w:val="005C6F40"/>
    <w:rsid w:val="005D4119"/>
    <w:rsid w:val="005D66C2"/>
    <w:rsid w:val="005E2AC9"/>
    <w:rsid w:val="005E4D67"/>
    <w:rsid w:val="005F3D7C"/>
    <w:rsid w:val="00602D7E"/>
    <w:rsid w:val="00603BD0"/>
    <w:rsid w:val="0060555D"/>
    <w:rsid w:val="00606161"/>
    <w:rsid w:val="006062B3"/>
    <w:rsid w:val="00612EB1"/>
    <w:rsid w:val="0061352C"/>
    <w:rsid w:val="006165C8"/>
    <w:rsid w:val="006175B4"/>
    <w:rsid w:val="00617AAD"/>
    <w:rsid w:val="00621CDC"/>
    <w:rsid w:val="006229B2"/>
    <w:rsid w:val="00625E3D"/>
    <w:rsid w:val="00630B61"/>
    <w:rsid w:val="006402A6"/>
    <w:rsid w:val="00644B65"/>
    <w:rsid w:val="006530F8"/>
    <w:rsid w:val="006537BE"/>
    <w:rsid w:val="006654C0"/>
    <w:rsid w:val="00681997"/>
    <w:rsid w:val="0068405C"/>
    <w:rsid w:val="00691017"/>
    <w:rsid w:val="0069152C"/>
    <w:rsid w:val="006A29A5"/>
    <w:rsid w:val="006A2BD9"/>
    <w:rsid w:val="006A3C57"/>
    <w:rsid w:val="006A4F83"/>
    <w:rsid w:val="006A5072"/>
    <w:rsid w:val="006B5151"/>
    <w:rsid w:val="006C2D84"/>
    <w:rsid w:val="006C2F7D"/>
    <w:rsid w:val="006C3580"/>
    <w:rsid w:val="006C3F4D"/>
    <w:rsid w:val="006C6349"/>
    <w:rsid w:val="006D479F"/>
    <w:rsid w:val="006E2E51"/>
    <w:rsid w:val="006F6DB2"/>
    <w:rsid w:val="00704B3A"/>
    <w:rsid w:val="00710CF8"/>
    <w:rsid w:val="00711E08"/>
    <w:rsid w:val="007138FD"/>
    <w:rsid w:val="00716BB1"/>
    <w:rsid w:val="007172FD"/>
    <w:rsid w:val="007200C8"/>
    <w:rsid w:val="007215F6"/>
    <w:rsid w:val="00721BAA"/>
    <w:rsid w:val="00745968"/>
    <w:rsid w:val="00747A3E"/>
    <w:rsid w:val="007730C9"/>
    <w:rsid w:val="00775150"/>
    <w:rsid w:val="00776B48"/>
    <w:rsid w:val="0078099D"/>
    <w:rsid w:val="00787DE8"/>
    <w:rsid w:val="007942D8"/>
    <w:rsid w:val="00794983"/>
    <w:rsid w:val="00796ED7"/>
    <w:rsid w:val="007A7740"/>
    <w:rsid w:val="007B4F1D"/>
    <w:rsid w:val="007C002A"/>
    <w:rsid w:val="007C024B"/>
    <w:rsid w:val="007D408A"/>
    <w:rsid w:val="007D4A5A"/>
    <w:rsid w:val="007D6B20"/>
    <w:rsid w:val="007E0673"/>
    <w:rsid w:val="007E32FC"/>
    <w:rsid w:val="007F01A2"/>
    <w:rsid w:val="007F0378"/>
    <w:rsid w:val="007F2ABC"/>
    <w:rsid w:val="007F7FEC"/>
    <w:rsid w:val="0081027D"/>
    <w:rsid w:val="00817B3D"/>
    <w:rsid w:val="00822299"/>
    <w:rsid w:val="008270D5"/>
    <w:rsid w:val="008279A7"/>
    <w:rsid w:val="00831B7F"/>
    <w:rsid w:val="0085250F"/>
    <w:rsid w:val="008525D6"/>
    <w:rsid w:val="0085388E"/>
    <w:rsid w:val="00856F5E"/>
    <w:rsid w:val="008604D1"/>
    <w:rsid w:val="008659E9"/>
    <w:rsid w:val="0087095D"/>
    <w:rsid w:val="00871835"/>
    <w:rsid w:val="00871F12"/>
    <w:rsid w:val="00875420"/>
    <w:rsid w:val="00876184"/>
    <w:rsid w:val="00880A50"/>
    <w:rsid w:val="00884732"/>
    <w:rsid w:val="0089007C"/>
    <w:rsid w:val="008928AE"/>
    <w:rsid w:val="00893092"/>
    <w:rsid w:val="00894583"/>
    <w:rsid w:val="008A4C9B"/>
    <w:rsid w:val="008B08C5"/>
    <w:rsid w:val="008B6384"/>
    <w:rsid w:val="008B6557"/>
    <w:rsid w:val="008B74A7"/>
    <w:rsid w:val="008C02C2"/>
    <w:rsid w:val="008C1CB3"/>
    <w:rsid w:val="008C7F21"/>
    <w:rsid w:val="008D1795"/>
    <w:rsid w:val="008D4357"/>
    <w:rsid w:val="008D565D"/>
    <w:rsid w:val="008D6357"/>
    <w:rsid w:val="008E5EA1"/>
    <w:rsid w:val="008E6AB7"/>
    <w:rsid w:val="008F13C0"/>
    <w:rsid w:val="008F38EE"/>
    <w:rsid w:val="009001CB"/>
    <w:rsid w:val="009004F6"/>
    <w:rsid w:val="009077A0"/>
    <w:rsid w:val="009113DE"/>
    <w:rsid w:val="00913121"/>
    <w:rsid w:val="009171D5"/>
    <w:rsid w:val="00917709"/>
    <w:rsid w:val="00917C84"/>
    <w:rsid w:val="009220F2"/>
    <w:rsid w:val="009227C1"/>
    <w:rsid w:val="00923EDB"/>
    <w:rsid w:val="00925D9A"/>
    <w:rsid w:val="00926978"/>
    <w:rsid w:val="00932BD9"/>
    <w:rsid w:val="0094670F"/>
    <w:rsid w:val="009479D0"/>
    <w:rsid w:val="00961BA9"/>
    <w:rsid w:val="00967923"/>
    <w:rsid w:val="009701D2"/>
    <w:rsid w:val="00970774"/>
    <w:rsid w:val="00972FAE"/>
    <w:rsid w:val="0097462A"/>
    <w:rsid w:val="00986292"/>
    <w:rsid w:val="00987779"/>
    <w:rsid w:val="009A2AA5"/>
    <w:rsid w:val="009A63FB"/>
    <w:rsid w:val="009B55D4"/>
    <w:rsid w:val="009B787A"/>
    <w:rsid w:val="009B7A49"/>
    <w:rsid w:val="009B7AD9"/>
    <w:rsid w:val="009C387D"/>
    <w:rsid w:val="009C571F"/>
    <w:rsid w:val="009D0461"/>
    <w:rsid w:val="009D4188"/>
    <w:rsid w:val="009D4EFC"/>
    <w:rsid w:val="009D7FA3"/>
    <w:rsid w:val="009E216D"/>
    <w:rsid w:val="009E6283"/>
    <w:rsid w:val="009E63CA"/>
    <w:rsid w:val="009F34CB"/>
    <w:rsid w:val="009F7460"/>
    <w:rsid w:val="00A03E44"/>
    <w:rsid w:val="00A075A8"/>
    <w:rsid w:val="00A10A7B"/>
    <w:rsid w:val="00A15F6A"/>
    <w:rsid w:val="00A311C2"/>
    <w:rsid w:val="00A32233"/>
    <w:rsid w:val="00A36A24"/>
    <w:rsid w:val="00A376FB"/>
    <w:rsid w:val="00A45306"/>
    <w:rsid w:val="00A45D73"/>
    <w:rsid w:val="00A62F8C"/>
    <w:rsid w:val="00A64725"/>
    <w:rsid w:val="00A6666A"/>
    <w:rsid w:val="00A73490"/>
    <w:rsid w:val="00A819B6"/>
    <w:rsid w:val="00A91C8B"/>
    <w:rsid w:val="00A95824"/>
    <w:rsid w:val="00AB2EDC"/>
    <w:rsid w:val="00AB47F4"/>
    <w:rsid w:val="00AC136E"/>
    <w:rsid w:val="00AC1F6A"/>
    <w:rsid w:val="00AC413D"/>
    <w:rsid w:val="00AD3A9D"/>
    <w:rsid w:val="00AD79D3"/>
    <w:rsid w:val="00AE5434"/>
    <w:rsid w:val="00AE6DBF"/>
    <w:rsid w:val="00AE75DB"/>
    <w:rsid w:val="00B0092D"/>
    <w:rsid w:val="00B01C60"/>
    <w:rsid w:val="00B01D22"/>
    <w:rsid w:val="00B03A00"/>
    <w:rsid w:val="00B0445D"/>
    <w:rsid w:val="00B0447C"/>
    <w:rsid w:val="00B05E53"/>
    <w:rsid w:val="00B072AA"/>
    <w:rsid w:val="00B10650"/>
    <w:rsid w:val="00B10E08"/>
    <w:rsid w:val="00B11436"/>
    <w:rsid w:val="00B12341"/>
    <w:rsid w:val="00B25D19"/>
    <w:rsid w:val="00B359D9"/>
    <w:rsid w:val="00B35BC7"/>
    <w:rsid w:val="00B40B8B"/>
    <w:rsid w:val="00B4404D"/>
    <w:rsid w:val="00B50993"/>
    <w:rsid w:val="00B63168"/>
    <w:rsid w:val="00B63E9B"/>
    <w:rsid w:val="00B64963"/>
    <w:rsid w:val="00B70085"/>
    <w:rsid w:val="00B7099F"/>
    <w:rsid w:val="00B71873"/>
    <w:rsid w:val="00B72A5D"/>
    <w:rsid w:val="00B736B7"/>
    <w:rsid w:val="00B73C45"/>
    <w:rsid w:val="00B82E01"/>
    <w:rsid w:val="00B84DD7"/>
    <w:rsid w:val="00B91811"/>
    <w:rsid w:val="00B94460"/>
    <w:rsid w:val="00B9561A"/>
    <w:rsid w:val="00BA437F"/>
    <w:rsid w:val="00BA5C29"/>
    <w:rsid w:val="00BB6C9A"/>
    <w:rsid w:val="00BC0594"/>
    <w:rsid w:val="00BC11FC"/>
    <w:rsid w:val="00BC1F54"/>
    <w:rsid w:val="00BC4C9D"/>
    <w:rsid w:val="00BC54FC"/>
    <w:rsid w:val="00BD2118"/>
    <w:rsid w:val="00BD5092"/>
    <w:rsid w:val="00BD5997"/>
    <w:rsid w:val="00BE6F50"/>
    <w:rsid w:val="00BF1BA3"/>
    <w:rsid w:val="00BF588D"/>
    <w:rsid w:val="00C03447"/>
    <w:rsid w:val="00C07EF5"/>
    <w:rsid w:val="00C128FE"/>
    <w:rsid w:val="00C13304"/>
    <w:rsid w:val="00C1777A"/>
    <w:rsid w:val="00C212E3"/>
    <w:rsid w:val="00C22FAE"/>
    <w:rsid w:val="00C24C44"/>
    <w:rsid w:val="00C26B0C"/>
    <w:rsid w:val="00C30F18"/>
    <w:rsid w:val="00C331D1"/>
    <w:rsid w:val="00C35958"/>
    <w:rsid w:val="00C372A8"/>
    <w:rsid w:val="00C375FF"/>
    <w:rsid w:val="00C40848"/>
    <w:rsid w:val="00C50E47"/>
    <w:rsid w:val="00C562AA"/>
    <w:rsid w:val="00C574F4"/>
    <w:rsid w:val="00C747C6"/>
    <w:rsid w:val="00C756C3"/>
    <w:rsid w:val="00C80F66"/>
    <w:rsid w:val="00C84AE8"/>
    <w:rsid w:val="00C85D1B"/>
    <w:rsid w:val="00C96DDA"/>
    <w:rsid w:val="00CA7F1F"/>
    <w:rsid w:val="00CB5D3E"/>
    <w:rsid w:val="00CC4C46"/>
    <w:rsid w:val="00CC6AAB"/>
    <w:rsid w:val="00CC77FF"/>
    <w:rsid w:val="00CC7CF5"/>
    <w:rsid w:val="00CE3C5A"/>
    <w:rsid w:val="00CE59C6"/>
    <w:rsid w:val="00CE7586"/>
    <w:rsid w:val="00D03659"/>
    <w:rsid w:val="00D03EDF"/>
    <w:rsid w:val="00D10DC0"/>
    <w:rsid w:val="00D11555"/>
    <w:rsid w:val="00D13D6D"/>
    <w:rsid w:val="00D20C74"/>
    <w:rsid w:val="00D24FD7"/>
    <w:rsid w:val="00D25647"/>
    <w:rsid w:val="00D34FE4"/>
    <w:rsid w:val="00D377A7"/>
    <w:rsid w:val="00D44C95"/>
    <w:rsid w:val="00D452A7"/>
    <w:rsid w:val="00D4584F"/>
    <w:rsid w:val="00D54725"/>
    <w:rsid w:val="00D559FF"/>
    <w:rsid w:val="00D62B8C"/>
    <w:rsid w:val="00D63276"/>
    <w:rsid w:val="00D66F39"/>
    <w:rsid w:val="00D84B36"/>
    <w:rsid w:val="00D85853"/>
    <w:rsid w:val="00D936A0"/>
    <w:rsid w:val="00D97162"/>
    <w:rsid w:val="00D97CE9"/>
    <w:rsid w:val="00DA36E7"/>
    <w:rsid w:val="00DA4FC7"/>
    <w:rsid w:val="00DA550D"/>
    <w:rsid w:val="00DA7017"/>
    <w:rsid w:val="00DB13DD"/>
    <w:rsid w:val="00DB1B31"/>
    <w:rsid w:val="00DB1C27"/>
    <w:rsid w:val="00DB38EE"/>
    <w:rsid w:val="00DB7973"/>
    <w:rsid w:val="00DC13AB"/>
    <w:rsid w:val="00DC5EF2"/>
    <w:rsid w:val="00DC7EF7"/>
    <w:rsid w:val="00DD6B5E"/>
    <w:rsid w:val="00DD6BD4"/>
    <w:rsid w:val="00DE5E58"/>
    <w:rsid w:val="00DE7B46"/>
    <w:rsid w:val="00E0162C"/>
    <w:rsid w:val="00E11487"/>
    <w:rsid w:val="00E14ACC"/>
    <w:rsid w:val="00E15A8C"/>
    <w:rsid w:val="00E4144C"/>
    <w:rsid w:val="00E4212B"/>
    <w:rsid w:val="00E44F84"/>
    <w:rsid w:val="00E463C6"/>
    <w:rsid w:val="00E53121"/>
    <w:rsid w:val="00E5318E"/>
    <w:rsid w:val="00E53532"/>
    <w:rsid w:val="00E6034D"/>
    <w:rsid w:val="00E71967"/>
    <w:rsid w:val="00E754B1"/>
    <w:rsid w:val="00E801B5"/>
    <w:rsid w:val="00E905E8"/>
    <w:rsid w:val="00E93F56"/>
    <w:rsid w:val="00E952D9"/>
    <w:rsid w:val="00E96773"/>
    <w:rsid w:val="00E97CB9"/>
    <w:rsid w:val="00EB27E9"/>
    <w:rsid w:val="00EB37C9"/>
    <w:rsid w:val="00EC134E"/>
    <w:rsid w:val="00ED0445"/>
    <w:rsid w:val="00ED3C3B"/>
    <w:rsid w:val="00EE48C3"/>
    <w:rsid w:val="00EF199D"/>
    <w:rsid w:val="00EF4E12"/>
    <w:rsid w:val="00EF5326"/>
    <w:rsid w:val="00EF65F3"/>
    <w:rsid w:val="00F01510"/>
    <w:rsid w:val="00F02A6D"/>
    <w:rsid w:val="00F0424C"/>
    <w:rsid w:val="00F10495"/>
    <w:rsid w:val="00F10DA8"/>
    <w:rsid w:val="00F1168A"/>
    <w:rsid w:val="00F12A10"/>
    <w:rsid w:val="00F2391C"/>
    <w:rsid w:val="00F31E30"/>
    <w:rsid w:val="00F3326F"/>
    <w:rsid w:val="00F34781"/>
    <w:rsid w:val="00F41A5D"/>
    <w:rsid w:val="00F470A2"/>
    <w:rsid w:val="00F51F93"/>
    <w:rsid w:val="00F552E5"/>
    <w:rsid w:val="00F56AA8"/>
    <w:rsid w:val="00F67C91"/>
    <w:rsid w:val="00F723F9"/>
    <w:rsid w:val="00F82315"/>
    <w:rsid w:val="00F83D3C"/>
    <w:rsid w:val="00F840D6"/>
    <w:rsid w:val="00F8691C"/>
    <w:rsid w:val="00F900BE"/>
    <w:rsid w:val="00F97392"/>
    <w:rsid w:val="00F97DF6"/>
    <w:rsid w:val="00FA4EEC"/>
    <w:rsid w:val="00FB335B"/>
    <w:rsid w:val="00FB4EAA"/>
    <w:rsid w:val="00FC5512"/>
    <w:rsid w:val="00FC6366"/>
    <w:rsid w:val="00FD0CD9"/>
    <w:rsid w:val="00FD4970"/>
    <w:rsid w:val="00FD6927"/>
    <w:rsid w:val="00FE02D9"/>
    <w:rsid w:val="00FE14F9"/>
    <w:rsid w:val="00FF2EFF"/>
    <w:rsid w:val="00FF4843"/>
    <w:rsid w:val="00FF5EEA"/>
    <w:rsid w:val="010823CE"/>
    <w:rsid w:val="01BD7A4F"/>
    <w:rsid w:val="02235B22"/>
    <w:rsid w:val="04026EEE"/>
    <w:rsid w:val="040B05A1"/>
    <w:rsid w:val="058F7720"/>
    <w:rsid w:val="06A75D00"/>
    <w:rsid w:val="06E3704E"/>
    <w:rsid w:val="06FC30FD"/>
    <w:rsid w:val="07D20527"/>
    <w:rsid w:val="08C77405"/>
    <w:rsid w:val="09594501"/>
    <w:rsid w:val="0B5C4158"/>
    <w:rsid w:val="0DE9184E"/>
    <w:rsid w:val="0DFE11D3"/>
    <w:rsid w:val="0EB04129"/>
    <w:rsid w:val="0F241091"/>
    <w:rsid w:val="0F475394"/>
    <w:rsid w:val="0F81175D"/>
    <w:rsid w:val="10AA73F0"/>
    <w:rsid w:val="10BC03C7"/>
    <w:rsid w:val="10D25BB7"/>
    <w:rsid w:val="117143B2"/>
    <w:rsid w:val="11733438"/>
    <w:rsid w:val="11A12724"/>
    <w:rsid w:val="11CC3396"/>
    <w:rsid w:val="130F4A87"/>
    <w:rsid w:val="14237C67"/>
    <w:rsid w:val="1571672E"/>
    <w:rsid w:val="15A13C38"/>
    <w:rsid w:val="16B60189"/>
    <w:rsid w:val="17FD24FB"/>
    <w:rsid w:val="18860743"/>
    <w:rsid w:val="188A6953"/>
    <w:rsid w:val="193E101D"/>
    <w:rsid w:val="1A491A28"/>
    <w:rsid w:val="1B0940FF"/>
    <w:rsid w:val="1B617245"/>
    <w:rsid w:val="1BAA0588"/>
    <w:rsid w:val="1D044C20"/>
    <w:rsid w:val="1D593CE5"/>
    <w:rsid w:val="1D6152DA"/>
    <w:rsid w:val="1EB509C1"/>
    <w:rsid w:val="207A1985"/>
    <w:rsid w:val="209239FD"/>
    <w:rsid w:val="22C62CF4"/>
    <w:rsid w:val="23362B71"/>
    <w:rsid w:val="23A06120"/>
    <w:rsid w:val="23A6317C"/>
    <w:rsid w:val="24140A51"/>
    <w:rsid w:val="2442422D"/>
    <w:rsid w:val="244452B1"/>
    <w:rsid w:val="247E1F52"/>
    <w:rsid w:val="26430DD2"/>
    <w:rsid w:val="26AE1E50"/>
    <w:rsid w:val="27424704"/>
    <w:rsid w:val="286E02B3"/>
    <w:rsid w:val="28972D0B"/>
    <w:rsid w:val="28AC24C6"/>
    <w:rsid w:val="28CD7B64"/>
    <w:rsid w:val="28DA73F5"/>
    <w:rsid w:val="292152D3"/>
    <w:rsid w:val="29AE6B2F"/>
    <w:rsid w:val="2A141CA3"/>
    <w:rsid w:val="2A9E4307"/>
    <w:rsid w:val="2AED60B5"/>
    <w:rsid w:val="2B9027E3"/>
    <w:rsid w:val="2C310CD0"/>
    <w:rsid w:val="2CFC2BFE"/>
    <w:rsid w:val="2DA134D1"/>
    <w:rsid w:val="2E146E96"/>
    <w:rsid w:val="2F1D4949"/>
    <w:rsid w:val="2F8A0EA1"/>
    <w:rsid w:val="30FD0D95"/>
    <w:rsid w:val="314D028A"/>
    <w:rsid w:val="32FB5910"/>
    <w:rsid w:val="33206B75"/>
    <w:rsid w:val="35523A2F"/>
    <w:rsid w:val="355530AA"/>
    <w:rsid w:val="35CF489F"/>
    <w:rsid w:val="35D501BC"/>
    <w:rsid w:val="364631D7"/>
    <w:rsid w:val="36764179"/>
    <w:rsid w:val="368928C2"/>
    <w:rsid w:val="37850378"/>
    <w:rsid w:val="38743D8A"/>
    <w:rsid w:val="38E832F3"/>
    <w:rsid w:val="38F00B77"/>
    <w:rsid w:val="3A4B1E1E"/>
    <w:rsid w:val="3AB62D01"/>
    <w:rsid w:val="3B1F29B6"/>
    <w:rsid w:val="3B5B68DB"/>
    <w:rsid w:val="3BB63F77"/>
    <w:rsid w:val="3D2F1203"/>
    <w:rsid w:val="3F5B255F"/>
    <w:rsid w:val="3FA80121"/>
    <w:rsid w:val="40747040"/>
    <w:rsid w:val="40DC5A18"/>
    <w:rsid w:val="41B248B6"/>
    <w:rsid w:val="41DB1E37"/>
    <w:rsid w:val="437D49ED"/>
    <w:rsid w:val="437D6F5F"/>
    <w:rsid w:val="43B50E83"/>
    <w:rsid w:val="4469414C"/>
    <w:rsid w:val="4493196E"/>
    <w:rsid w:val="44D7748B"/>
    <w:rsid w:val="4541586E"/>
    <w:rsid w:val="45670769"/>
    <w:rsid w:val="45A73058"/>
    <w:rsid w:val="46764FC3"/>
    <w:rsid w:val="48BA2316"/>
    <w:rsid w:val="496620C1"/>
    <w:rsid w:val="49A11F60"/>
    <w:rsid w:val="49DE3E7C"/>
    <w:rsid w:val="4A5B1F82"/>
    <w:rsid w:val="4B0C4C0E"/>
    <w:rsid w:val="4BC8467F"/>
    <w:rsid w:val="4CFE53E3"/>
    <w:rsid w:val="4D423EF5"/>
    <w:rsid w:val="4F0A4599"/>
    <w:rsid w:val="4FE63648"/>
    <w:rsid w:val="50774CEA"/>
    <w:rsid w:val="528F7BFB"/>
    <w:rsid w:val="54F06565"/>
    <w:rsid w:val="553079A4"/>
    <w:rsid w:val="55C951EF"/>
    <w:rsid w:val="56290384"/>
    <w:rsid w:val="56B37004"/>
    <w:rsid w:val="57D56C62"/>
    <w:rsid w:val="58921C75"/>
    <w:rsid w:val="59633BAD"/>
    <w:rsid w:val="59FB128F"/>
    <w:rsid w:val="5BE12FA3"/>
    <w:rsid w:val="5C21584E"/>
    <w:rsid w:val="5C455206"/>
    <w:rsid w:val="5C493983"/>
    <w:rsid w:val="5C4D6613"/>
    <w:rsid w:val="5D6A6AF6"/>
    <w:rsid w:val="5D8866EC"/>
    <w:rsid w:val="5E2152FD"/>
    <w:rsid w:val="5E712626"/>
    <w:rsid w:val="5E9A77F3"/>
    <w:rsid w:val="5EBF421E"/>
    <w:rsid w:val="62B13874"/>
    <w:rsid w:val="634357E7"/>
    <w:rsid w:val="63672753"/>
    <w:rsid w:val="637013A0"/>
    <w:rsid w:val="63D613E4"/>
    <w:rsid w:val="65E62E7A"/>
    <w:rsid w:val="661E3335"/>
    <w:rsid w:val="66EC7F6C"/>
    <w:rsid w:val="66EF643E"/>
    <w:rsid w:val="67287B59"/>
    <w:rsid w:val="67BB5990"/>
    <w:rsid w:val="69B55D5F"/>
    <w:rsid w:val="69F452BC"/>
    <w:rsid w:val="6AAB7D2A"/>
    <w:rsid w:val="6AAD178D"/>
    <w:rsid w:val="6AB77403"/>
    <w:rsid w:val="6AC97E87"/>
    <w:rsid w:val="6BF16DF6"/>
    <w:rsid w:val="6CC649E7"/>
    <w:rsid w:val="6DDA5CDD"/>
    <w:rsid w:val="6E4930AF"/>
    <w:rsid w:val="6E981DCB"/>
    <w:rsid w:val="6F20011E"/>
    <w:rsid w:val="6F5F71DE"/>
    <w:rsid w:val="71665B90"/>
    <w:rsid w:val="71E5092C"/>
    <w:rsid w:val="7379604F"/>
    <w:rsid w:val="751D3132"/>
    <w:rsid w:val="76F1414E"/>
    <w:rsid w:val="77012846"/>
    <w:rsid w:val="77281627"/>
    <w:rsid w:val="778046DE"/>
    <w:rsid w:val="790D22C6"/>
    <w:rsid w:val="7B191F9A"/>
    <w:rsid w:val="7B524AB7"/>
    <w:rsid w:val="7C6158D2"/>
    <w:rsid w:val="7C8A4E29"/>
    <w:rsid w:val="7D630A43"/>
    <w:rsid w:val="7D6457E7"/>
    <w:rsid w:val="7E40518F"/>
    <w:rsid w:val="7F2332E7"/>
    <w:rsid w:val="7F484B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qFormat="1" w:unhideWhenUsed="0"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51"/>
    <w:autoRedefine/>
    <w:qFormat/>
    <w:uiPriority w:val="9"/>
    <w:pPr>
      <w:autoSpaceDE w:val="0"/>
      <w:autoSpaceDN w:val="0"/>
      <w:adjustRightInd w:val="0"/>
      <w:jc w:val="left"/>
      <w:outlineLvl w:val="0"/>
    </w:pPr>
    <w:rPr>
      <w:rFonts w:ascii="宋体" w:hAnsi="Calibri" w:eastAsia="宋体" w:cs="Times New Roman"/>
      <w:kern w:val="0"/>
      <w:sz w:val="24"/>
      <w:szCs w:val="24"/>
    </w:rPr>
  </w:style>
  <w:style w:type="paragraph" w:styleId="4">
    <w:name w:val="heading 2"/>
    <w:basedOn w:val="1"/>
    <w:next w:val="1"/>
    <w:link w:val="49"/>
    <w:autoRedefine/>
    <w:qFormat/>
    <w:uiPriority w:val="0"/>
    <w:pPr>
      <w:autoSpaceDE w:val="0"/>
      <w:autoSpaceDN w:val="0"/>
      <w:adjustRightInd w:val="0"/>
      <w:jc w:val="left"/>
      <w:outlineLvl w:val="1"/>
    </w:pPr>
    <w:rPr>
      <w:rFonts w:ascii="宋体" w:hAnsi="Calibri" w:eastAsia="宋体" w:cs="Times New Roman"/>
      <w:kern w:val="0"/>
      <w:sz w:val="24"/>
      <w:szCs w:val="24"/>
    </w:rPr>
  </w:style>
  <w:style w:type="paragraph" w:styleId="5">
    <w:name w:val="heading 3"/>
    <w:basedOn w:val="1"/>
    <w:next w:val="1"/>
    <w:link w:val="145"/>
    <w:autoRedefine/>
    <w:qFormat/>
    <w:uiPriority w:val="0"/>
    <w:pPr>
      <w:autoSpaceDE w:val="0"/>
      <w:autoSpaceDN w:val="0"/>
      <w:adjustRightInd w:val="0"/>
      <w:jc w:val="left"/>
      <w:outlineLvl w:val="2"/>
    </w:pPr>
    <w:rPr>
      <w:rFonts w:ascii="宋体" w:hAnsi="Calibri" w:eastAsia="宋体" w:cs="Times New Roman"/>
      <w:kern w:val="0"/>
      <w:sz w:val="24"/>
      <w:szCs w:val="24"/>
    </w:rPr>
  </w:style>
  <w:style w:type="paragraph" w:styleId="6">
    <w:name w:val="heading 4"/>
    <w:basedOn w:val="1"/>
    <w:next w:val="1"/>
    <w:link w:val="51"/>
    <w:autoRedefine/>
    <w:qFormat/>
    <w:uiPriority w:val="9"/>
    <w:pPr>
      <w:keepNext/>
      <w:keepLines/>
      <w:autoSpaceDE w:val="0"/>
      <w:autoSpaceDN w:val="0"/>
      <w:adjustRightInd w:val="0"/>
      <w:spacing w:before="280" w:after="290" w:line="376" w:lineRule="auto"/>
      <w:jc w:val="left"/>
      <w:outlineLvl w:val="3"/>
    </w:pPr>
    <w:rPr>
      <w:rFonts w:ascii="Arial" w:hAnsi="Arial" w:eastAsia="黑体" w:cs="Times New Roman"/>
      <w:b/>
      <w:bCs/>
      <w:kern w:val="0"/>
      <w:sz w:val="28"/>
      <w:szCs w:val="28"/>
    </w:rPr>
  </w:style>
  <w:style w:type="paragraph" w:styleId="7">
    <w:name w:val="heading 5"/>
    <w:basedOn w:val="1"/>
    <w:next w:val="1"/>
    <w:link w:val="133"/>
    <w:autoRedefine/>
    <w:qFormat/>
    <w:uiPriority w:val="9"/>
    <w:pPr>
      <w:keepNext/>
      <w:keepLines/>
      <w:autoSpaceDE w:val="0"/>
      <w:autoSpaceDN w:val="0"/>
      <w:adjustRightInd w:val="0"/>
      <w:spacing w:before="280" w:after="290" w:line="376" w:lineRule="auto"/>
      <w:jc w:val="left"/>
      <w:outlineLvl w:val="4"/>
    </w:pPr>
    <w:rPr>
      <w:rFonts w:ascii="宋体" w:hAnsi="Calibri" w:eastAsia="宋体" w:cs="Times New Roman"/>
      <w:b/>
      <w:bCs/>
      <w:kern w:val="0"/>
      <w:sz w:val="28"/>
      <w:szCs w:val="28"/>
    </w:rPr>
  </w:style>
  <w:style w:type="paragraph" w:styleId="8">
    <w:name w:val="heading 6"/>
    <w:basedOn w:val="1"/>
    <w:next w:val="9"/>
    <w:link w:val="143"/>
    <w:autoRedefine/>
    <w:qFormat/>
    <w:uiPriority w:val="9"/>
    <w:pPr>
      <w:keepLines/>
      <w:tabs>
        <w:tab w:val="left" w:pos="1152"/>
      </w:tabs>
      <w:adjustRightInd w:val="0"/>
      <w:snapToGrid w:val="0"/>
      <w:spacing w:beforeLines="50" w:line="360" w:lineRule="auto"/>
      <w:ind w:left="1152" w:hanging="1152"/>
      <w:jc w:val="left"/>
      <w:textAlignment w:val="baseline"/>
      <w:outlineLvl w:val="5"/>
    </w:pPr>
    <w:rPr>
      <w:rFonts w:ascii="Times New Roman" w:hAnsi="Calibri" w:eastAsia="黑体" w:cs="Times New Roman"/>
      <w:b/>
      <w:bCs/>
      <w:kern w:val="0"/>
      <w:sz w:val="28"/>
      <w:szCs w:val="24"/>
    </w:rPr>
  </w:style>
  <w:style w:type="paragraph" w:styleId="10">
    <w:name w:val="heading 7"/>
    <w:basedOn w:val="1"/>
    <w:next w:val="9"/>
    <w:link w:val="54"/>
    <w:autoRedefine/>
    <w:qFormat/>
    <w:uiPriority w:val="9"/>
    <w:pPr>
      <w:keepNext/>
      <w:keepLines/>
      <w:tabs>
        <w:tab w:val="left" w:pos="1296"/>
      </w:tabs>
      <w:adjustRightInd w:val="0"/>
      <w:snapToGrid w:val="0"/>
      <w:spacing w:before="240" w:after="120"/>
      <w:ind w:left="1296" w:hanging="1296"/>
      <w:textAlignment w:val="baseline"/>
      <w:outlineLvl w:val="6"/>
    </w:pPr>
    <w:rPr>
      <w:rFonts w:ascii="Times New Roman" w:hAnsi="Calibri" w:eastAsia="黑体" w:cs="Times New Roman"/>
      <w:b/>
      <w:bCs/>
      <w:kern w:val="0"/>
      <w:sz w:val="28"/>
      <w:szCs w:val="24"/>
    </w:rPr>
  </w:style>
  <w:style w:type="paragraph" w:styleId="11">
    <w:name w:val="heading 8"/>
    <w:basedOn w:val="1"/>
    <w:next w:val="9"/>
    <w:link w:val="55"/>
    <w:autoRedefine/>
    <w:qFormat/>
    <w:uiPriority w:val="9"/>
    <w:pPr>
      <w:keepNext/>
      <w:keepLines/>
      <w:tabs>
        <w:tab w:val="left" w:pos="1440"/>
      </w:tabs>
      <w:snapToGrid w:val="0"/>
      <w:spacing w:before="240" w:after="120"/>
      <w:ind w:left="1440" w:hanging="1440"/>
      <w:outlineLvl w:val="7"/>
    </w:pPr>
    <w:rPr>
      <w:rFonts w:ascii="Times New Roman" w:hAnsi="Calibri" w:eastAsia="黑体" w:cs="Times New Roman"/>
      <w:b/>
      <w:kern w:val="0"/>
      <w:sz w:val="28"/>
      <w:szCs w:val="24"/>
    </w:rPr>
  </w:style>
  <w:style w:type="paragraph" w:styleId="12">
    <w:name w:val="heading 9"/>
    <w:basedOn w:val="1"/>
    <w:next w:val="9"/>
    <w:link w:val="56"/>
    <w:autoRedefine/>
    <w:qFormat/>
    <w:uiPriority w:val="9"/>
    <w:pPr>
      <w:keepNext/>
      <w:keepLines/>
      <w:tabs>
        <w:tab w:val="left" w:pos="1584"/>
      </w:tabs>
      <w:snapToGrid w:val="0"/>
      <w:spacing w:before="240" w:after="120"/>
      <w:ind w:left="1584" w:hanging="1584"/>
      <w:outlineLvl w:val="8"/>
    </w:pPr>
    <w:rPr>
      <w:rFonts w:ascii="Times New Roman" w:hAnsi="Calibri" w:eastAsia="黑体" w:cs="Times New Roman"/>
      <w:b/>
      <w:kern w:val="0"/>
      <w:sz w:val="28"/>
      <w:szCs w:val="24"/>
    </w:rPr>
  </w:style>
  <w:style w:type="character" w:default="1" w:styleId="41">
    <w:name w:val="Default Paragraph Font"/>
    <w:autoRedefine/>
    <w:semiHidden/>
    <w:unhideWhenUsed/>
    <w:qFormat/>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customStyle="1" w:styleId="2">
    <w:name w:val="文档正文"/>
    <w:basedOn w:val="1"/>
    <w:autoRedefine/>
    <w:qFormat/>
    <w:uiPriority w:val="0"/>
    <w:pPr>
      <w:spacing w:line="360" w:lineRule="auto"/>
    </w:pPr>
    <w:rPr>
      <w:rFonts w:ascii="宋体" w:cs="Arial"/>
      <w:bCs/>
    </w:rPr>
  </w:style>
  <w:style w:type="paragraph" w:customStyle="1" w:styleId="9">
    <w:name w:val="模板正文"/>
    <w:basedOn w:val="1"/>
    <w:link w:val="95"/>
    <w:autoRedefine/>
    <w:qFormat/>
    <w:uiPriority w:val="0"/>
    <w:pPr>
      <w:wordWrap w:val="0"/>
      <w:autoSpaceDE w:val="0"/>
      <w:autoSpaceDN w:val="0"/>
      <w:adjustRightInd w:val="0"/>
      <w:spacing w:beforeLines="50" w:line="360" w:lineRule="auto"/>
      <w:ind w:firstLine="200" w:firstLineChars="200"/>
      <w:jc w:val="left"/>
    </w:pPr>
    <w:rPr>
      <w:rFonts w:ascii="宋体" w:eastAsia="仿宋"/>
      <w:sz w:val="24"/>
      <w:szCs w:val="21"/>
    </w:rPr>
  </w:style>
  <w:style w:type="paragraph" w:styleId="13">
    <w:name w:val="Normal Indent"/>
    <w:basedOn w:val="1"/>
    <w:autoRedefine/>
    <w:qFormat/>
    <w:uiPriority w:val="0"/>
    <w:pPr>
      <w:widowControl/>
      <w:autoSpaceDE w:val="0"/>
      <w:autoSpaceDN w:val="0"/>
      <w:adjustRightInd w:val="0"/>
      <w:ind w:firstLine="420" w:firstLineChars="200"/>
      <w:jc w:val="left"/>
    </w:pPr>
    <w:rPr>
      <w:rFonts w:ascii="宋体" w:hAnsi="Calibri" w:eastAsia="宋体" w:cs="Times New Roman"/>
      <w:kern w:val="0"/>
      <w:sz w:val="20"/>
      <w:szCs w:val="20"/>
    </w:rPr>
  </w:style>
  <w:style w:type="paragraph" w:styleId="14">
    <w:name w:val="caption"/>
    <w:basedOn w:val="1"/>
    <w:next w:val="1"/>
    <w:link w:val="84"/>
    <w:autoRedefine/>
    <w:qFormat/>
    <w:uiPriority w:val="0"/>
    <w:pPr>
      <w:autoSpaceDE w:val="0"/>
      <w:autoSpaceDN w:val="0"/>
      <w:adjustRightInd w:val="0"/>
      <w:spacing w:before="152" w:after="160"/>
      <w:jc w:val="left"/>
    </w:pPr>
    <w:rPr>
      <w:rFonts w:ascii="Arial" w:hAnsi="Arial" w:eastAsia="黑体" w:cs="Arial"/>
    </w:rPr>
  </w:style>
  <w:style w:type="paragraph" w:styleId="15">
    <w:name w:val="Document Map"/>
    <w:basedOn w:val="1"/>
    <w:link w:val="117"/>
    <w:autoRedefine/>
    <w:semiHidden/>
    <w:qFormat/>
    <w:uiPriority w:val="99"/>
    <w:pPr>
      <w:shd w:val="clear" w:color="auto" w:fill="000080"/>
      <w:autoSpaceDE w:val="0"/>
      <w:autoSpaceDN w:val="0"/>
      <w:adjustRightInd w:val="0"/>
      <w:jc w:val="left"/>
    </w:pPr>
    <w:rPr>
      <w:rFonts w:ascii="宋体" w:hAnsi="Times New Roman" w:eastAsia="宋体" w:cs="Times New Roman"/>
      <w:kern w:val="0"/>
      <w:sz w:val="24"/>
      <w:szCs w:val="24"/>
    </w:rPr>
  </w:style>
  <w:style w:type="paragraph" w:styleId="16">
    <w:name w:val="toa heading"/>
    <w:basedOn w:val="1"/>
    <w:next w:val="1"/>
    <w:autoRedefine/>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17">
    <w:name w:val="annotation text"/>
    <w:basedOn w:val="1"/>
    <w:link w:val="164"/>
    <w:autoRedefine/>
    <w:unhideWhenUsed/>
    <w:qFormat/>
    <w:uiPriority w:val="99"/>
    <w:pPr>
      <w:jc w:val="left"/>
    </w:pPr>
  </w:style>
  <w:style w:type="paragraph" w:styleId="18">
    <w:name w:val="Body Text 3"/>
    <w:basedOn w:val="1"/>
    <w:link w:val="157"/>
    <w:autoRedefine/>
    <w:qFormat/>
    <w:uiPriority w:val="0"/>
    <w:pPr>
      <w:autoSpaceDE w:val="0"/>
      <w:autoSpaceDN w:val="0"/>
      <w:adjustRightInd w:val="0"/>
      <w:ind w:right="-26"/>
      <w:jc w:val="center"/>
    </w:pPr>
    <w:rPr>
      <w:rFonts w:ascii="宋体" w:hAnsi="Times New Roman" w:eastAsia="宋体" w:cs="Times New Roman"/>
      <w:b/>
      <w:bCs/>
      <w:color w:val="3366FF"/>
      <w:sz w:val="52"/>
      <w:szCs w:val="52"/>
      <w:lang w:val="zh-CN"/>
    </w:rPr>
  </w:style>
  <w:style w:type="paragraph" w:styleId="19">
    <w:name w:val="Body Text"/>
    <w:basedOn w:val="1"/>
    <w:next w:val="1"/>
    <w:link w:val="119"/>
    <w:autoRedefine/>
    <w:qFormat/>
    <w:uiPriority w:val="99"/>
    <w:pPr>
      <w:autoSpaceDE w:val="0"/>
      <w:autoSpaceDN w:val="0"/>
      <w:adjustRightInd w:val="0"/>
      <w:ind w:right="-26"/>
      <w:jc w:val="center"/>
    </w:pPr>
    <w:rPr>
      <w:rFonts w:ascii="宋体" w:eastAsia="宋体"/>
      <w:b/>
      <w:bCs/>
      <w:sz w:val="84"/>
      <w:szCs w:val="84"/>
      <w:lang w:val="zh-CN"/>
    </w:rPr>
  </w:style>
  <w:style w:type="paragraph" w:styleId="20">
    <w:name w:val="Body Text Indent"/>
    <w:basedOn w:val="1"/>
    <w:link w:val="93"/>
    <w:autoRedefine/>
    <w:qFormat/>
    <w:uiPriority w:val="0"/>
    <w:pPr>
      <w:ind w:left="567" w:leftChars="270"/>
    </w:pPr>
    <w:rPr>
      <w:rFonts w:ascii="Times New Roman" w:hAnsi="Times New Roman" w:eastAsia="宋体" w:cs="Times New Roman"/>
      <w:szCs w:val="20"/>
    </w:rPr>
  </w:style>
  <w:style w:type="paragraph" w:styleId="21">
    <w:name w:val="toc 3"/>
    <w:basedOn w:val="1"/>
    <w:next w:val="1"/>
    <w:autoRedefine/>
    <w:unhideWhenUsed/>
    <w:qFormat/>
    <w:uiPriority w:val="39"/>
    <w:pPr>
      <w:tabs>
        <w:tab w:val="right" w:leader="dot" w:pos="10144"/>
      </w:tabs>
      <w:ind w:left="840" w:leftChars="400"/>
    </w:pPr>
  </w:style>
  <w:style w:type="paragraph" w:styleId="22">
    <w:name w:val="Plain Text"/>
    <w:basedOn w:val="1"/>
    <w:link w:val="101"/>
    <w:autoRedefine/>
    <w:qFormat/>
    <w:uiPriority w:val="0"/>
    <w:rPr>
      <w:rFonts w:ascii="宋体" w:hAnsi="Courier New" w:eastAsia="宋体"/>
    </w:rPr>
  </w:style>
  <w:style w:type="paragraph" w:styleId="23">
    <w:name w:val="Date"/>
    <w:basedOn w:val="1"/>
    <w:next w:val="1"/>
    <w:link w:val="109"/>
    <w:autoRedefine/>
    <w:qFormat/>
    <w:uiPriority w:val="99"/>
    <w:pPr>
      <w:autoSpaceDE w:val="0"/>
      <w:autoSpaceDN w:val="0"/>
      <w:adjustRightInd w:val="0"/>
      <w:ind w:left="100" w:leftChars="2500"/>
      <w:jc w:val="left"/>
    </w:pPr>
    <w:rPr>
      <w:rFonts w:ascii="宋体" w:hAnsi="Times New Roman" w:eastAsia="宋体" w:cs="Times New Roman"/>
      <w:b/>
      <w:bCs/>
      <w:szCs w:val="21"/>
      <w:lang w:val="zh-CN"/>
    </w:rPr>
  </w:style>
  <w:style w:type="paragraph" w:styleId="24">
    <w:name w:val="Body Text Indent 2"/>
    <w:basedOn w:val="1"/>
    <w:link w:val="102"/>
    <w:autoRedefine/>
    <w:qFormat/>
    <w:uiPriority w:val="0"/>
    <w:pPr>
      <w:tabs>
        <w:tab w:val="left" w:pos="8640"/>
      </w:tabs>
      <w:ind w:left="1260"/>
    </w:pPr>
    <w:rPr>
      <w:rFonts w:ascii="宋体" w:hAnsi="Times New Roman" w:eastAsia="宋体" w:cs="Times New Roman"/>
      <w:szCs w:val="20"/>
    </w:rPr>
  </w:style>
  <w:style w:type="paragraph" w:styleId="25">
    <w:name w:val="Balloon Text"/>
    <w:basedOn w:val="1"/>
    <w:link w:val="75"/>
    <w:autoRedefine/>
    <w:qFormat/>
    <w:uiPriority w:val="0"/>
    <w:rPr>
      <w:rFonts w:ascii="Times New Roman" w:hAnsi="Times New Roman" w:eastAsia="宋体" w:cs="Times New Roman"/>
      <w:sz w:val="18"/>
      <w:szCs w:val="18"/>
    </w:rPr>
  </w:style>
  <w:style w:type="paragraph" w:styleId="26">
    <w:name w:val="footer"/>
    <w:basedOn w:val="1"/>
    <w:link w:val="79"/>
    <w:autoRedefine/>
    <w:qFormat/>
    <w:uiPriority w:val="99"/>
    <w:pPr>
      <w:tabs>
        <w:tab w:val="center" w:pos="4153"/>
        <w:tab w:val="right" w:pos="8306"/>
      </w:tabs>
      <w:autoSpaceDE w:val="0"/>
      <w:autoSpaceDN w:val="0"/>
      <w:adjustRightInd w:val="0"/>
      <w:snapToGrid w:val="0"/>
      <w:jc w:val="left"/>
    </w:pPr>
    <w:rPr>
      <w:rFonts w:ascii="宋体" w:eastAsia="宋体"/>
      <w:sz w:val="18"/>
      <w:szCs w:val="18"/>
    </w:rPr>
  </w:style>
  <w:style w:type="paragraph" w:styleId="27">
    <w:name w:val="header"/>
    <w:basedOn w:val="1"/>
    <w:link w:val="121"/>
    <w:autoRedefine/>
    <w:qFormat/>
    <w:uiPriority w:val="99"/>
    <w:pPr>
      <w:pBdr>
        <w:bottom w:val="single" w:color="auto" w:sz="6" w:space="1"/>
      </w:pBdr>
      <w:tabs>
        <w:tab w:val="center" w:pos="4153"/>
        <w:tab w:val="right" w:pos="8306"/>
      </w:tabs>
      <w:autoSpaceDE w:val="0"/>
      <w:autoSpaceDN w:val="0"/>
      <w:adjustRightInd w:val="0"/>
      <w:snapToGrid w:val="0"/>
      <w:jc w:val="center"/>
    </w:pPr>
    <w:rPr>
      <w:rFonts w:ascii="宋体" w:eastAsia="宋体"/>
      <w:sz w:val="18"/>
      <w:szCs w:val="18"/>
    </w:rPr>
  </w:style>
  <w:style w:type="paragraph" w:styleId="28">
    <w:name w:val="toc 1"/>
    <w:basedOn w:val="1"/>
    <w:next w:val="1"/>
    <w:autoRedefine/>
    <w:unhideWhenUsed/>
    <w:qFormat/>
    <w:uiPriority w:val="39"/>
  </w:style>
  <w:style w:type="paragraph" w:styleId="29">
    <w:name w:val="List"/>
    <w:basedOn w:val="1"/>
    <w:autoRedefine/>
    <w:unhideWhenUsed/>
    <w:qFormat/>
    <w:uiPriority w:val="0"/>
    <w:pPr>
      <w:autoSpaceDE w:val="0"/>
      <w:autoSpaceDN w:val="0"/>
      <w:adjustRightInd w:val="0"/>
      <w:ind w:left="200" w:hanging="200" w:hangingChars="200"/>
      <w:contextualSpacing/>
      <w:jc w:val="left"/>
    </w:pPr>
    <w:rPr>
      <w:rFonts w:ascii="宋体" w:hAnsi="Calibri" w:eastAsia="宋体" w:cs="Times New Roman"/>
      <w:kern w:val="0"/>
      <w:sz w:val="24"/>
      <w:szCs w:val="24"/>
    </w:rPr>
  </w:style>
  <w:style w:type="paragraph" w:styleId="30">
    <w:name w:val="Body Text Indent 3"/>
    <w:basedOn w:val="1"/>
    <w:link w:val="155"/>
    <w:autoRedefine/>
    <w:qFormat/>
    <w:uiPriority w:val="0"/>
    <w:pPr>
      <w:autoSpaceDE w:val="0"/>
      <w:autoSpaceDN w:val="0"/>
      <w:adjustRightInd w:val="0"/>
      <w:spacing w:line="360" w:lineRule="auto"/>
      <w:ind w:firstLine="480" w:firstLineChars="200"/>
      <w:jc w:val="left"/>
    </w:pPr>
    <w:rPr>
      <w:rFonts w:ascii="宋体" w:hAnsi="Times New Roman" w:eastAsia="宋体" w:cs="Times New Roman"/>
      <w:kern w:val="0"/>
      <w:sz w:val="24"/>
      <w:szCs w:val="24"/>
    </w:rPr>
  </w:style>
  <w:style w:type="paragraph" w:styleId="31">
    <w:name w:val="toc 2"/>
    <w:basedOn w:val="1"/>
    <w:next w:val="1"/>
    <w:autoRedefine/>
    <w:semiHidden/>
    <w:unhideWhenUsed/>
    <w:qFormat/>
    <w:uiPriority w:val="39"/>
    <w:pPr>
      <w:ind w:left="420" w:leftChars="200"/>
    </w:pPr>
  </w:style>
  <w:style w:type="paragraph" w:styleId="32">
    <w:name w:val="Body Text 2"/>
    <w:basedOn w:val="1"/>
    <w:link w:val="144"/>
    <w:autoRedefine/>
    <w:qFormat/>
    <w:uiPriority w:val="0"/>
    <w:pPr>
      <w:tabs>
        <w:tab w:val="left" w:pos="0"/>
      </w:tabs>
      <w:spacing w:line="400" w:lineRule="atLeast"/>
    </w:pPr>
    <w:rPr>
      <w:rFonts w:ascii="Arial" w:hAnsi="Arial" w:eastAsia="宋体" w:cs="Times New Roman"/>
      <w:color w:val="000000"/>
      <w:szCs w:val="24"/>
    </w:rPr>
  </w:style>
  <w:style w:type="paragraph" w:styleId="33">
    <w:name w:val="HTML Preformatted"/>
    <w:basedOn w:val="1"/>
    <w:link w:val="87"/>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eastAsia="宋体" w:cs="Arial"/>
      <w:szCs w:val="21"/>
    </w:rPr>
  </w:style>
  <w:style w:type="paragraph" w:styleId="34">
    <w:name w:val="Normal (Web)"/>
    <w:basedOn w:val="1"/>
    <w:link w:val="94"/>
    <w:autoRedefine/>
    <w:qFormat/>
    <w:uiPriority w:val="0"/>
    <w:pPr>
      <w:widowControl/>
      <w:spacing w:before="100" w:beforeAutospacing="1" w:after="100" w:afterAutospacing="1"/>
      <w:jc w:val="left"/>
    </w:pPr>
    <w:rPr>
      <w:rFonts w:ascii="宋体" w:hAnsi="宋体"/>
      <w:sz w:val="15"/>
      <w:szCs w:val="15"/>
    </w:rPr>
  </w:style>
  <w:style w:type="paragraph" w:styleId="35">
    <w:name w:val="Title"/>
    <w:basedOn w:val="1"/>
    <w:next w:val="1"/>
    <w:link w:val="59"/>
    <w:autoRedefine/>
    <w:qFormat/>
    <w:uiPriority w:val="10"/>
    <w:pPr>
      <w:spacing w:before="120" w:after="60" w:line="300" w:lineRule="auto"/>
      <w:jc w:val="left"/>
      <w:outlineLvl w:val="0"/>
    </w:pPr>
    <w:rPr>
      <w:rFonts w:ascii="等线 Light" w:hAnsi="等线 Light" w:eastAsia="仿宋"/>
      <w:b/>
      <w:bCs/>
      <w:sz w:val="28"/>
      <w:szCs w:val="32"/>
    </w:rPr>
  </w:style>
  <w:style w:type="paragraph" w:styleId="36">
    <w:name w:val="annotation subject"/>
    <w:basedOn w:val="17"/>
    <w:next w:val="17"/>
    <w:link w:val="111"/>
    <w:autoRedefine/>
    <w:qFormat/>
    <w:uiPriority w:val="99"/>
    <w:pPr>
      <w:autoSpaceDE w:val="0"/>
      <w:autoSpaceDN w:val="0"/>
      <w:adjustRightInd w:val="0"/>
    </w:pPr>
    <w:rPr>
      <w:rFonts w:ascii="宋体" w:hAnsi="Times New Roman" w:eastAsia="宋体" w:cs="Times New Roman"/>
      <w:b/>
      <w:bCs/>
      <w:kern w:val="0"/>
      <w:sz w:val="24"/>
      <w:szCs w:val="24"/>
    </w:rPr>
  </w:style>
  <w:style w:type="paragraph" w:styleId="37">
    <w:name w:val="Body Text First Indent"/>
    <w:basedOn w:val="19"/>
    <w:link w:val="202"/>
    <w:autoRedefine/>
    <w:semiHidden/>
    <w:unhideWhenUsed/>
    <w:qFormat/>
    <w:uiPriority w:val="99"/>
    <w:pPr>
      <w:autoSpaceDE/>
      <w:autoSpaceDN/>
      <w:adjustRightInd/>
      <w:spacing w:after="120"/>
      <w:ind w:right="0" w:firstLine="420" w:firstLineChars="100"/>
      <w:jc w:val="both"/>
    </w:pPr>
    <w:rPr>
      <w:rFonts w:asciiTheme="minorHAnsi" w:eastAsiaTheme="minorEastAsia"/>
      <w:b w:val="0"/>
      <w:bCs w:val="0"/>
      <w:sz w:val="21"/>
      <w:szCs w:val="22"/>
      <w:lang w:val="en-US"/>
    </w:rPr>
  </w:style>
  <w:style w:type="paragraph" w:styleId="38">
    <w:name w:val="Body Text First Indent 2"/>
    <w:basedOn w:val="20"/>
    <w:next w:val="13"/>
    <w:autoRedefine/>
    <w:qFormat/>
    <w:uiPriority w:val="0"/>
    <w:pPr>
      <w:ind w:firstLine="420" w:firstLineChars="200"/>
    </w:pPr>
    <w:rPr>
      <w:szCs w:val="24"/>
    </w:rPr>
  </w:style>
  <w:style w:type="table" w:styleId="40">
    <w:name w:val="Table Grid"/>
    <w:basedOn w:val="39"/>
    <w:autoRedefine/>
    <w:qFormat/>
    <w:uiPriority w:val="0"/>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2">
    <w:name w:val="Strong"/>
    <w:autoRedefine/>
    <w:qFormat/>
    <w:uiPriority w:val="0"/>
    <w:rPr>
      <w:b/>
      <w:bCs/>
    </w:rPr>
  </w:style>
  <w:style w:type="character" w:styleId="43">
    <w:name w:val="FollowedHyperlink"/>
    <w:autoRedefine/>
    <w:unhideWhenUsed/>
    <w:qFormat/>
    <w:uiPriority w:val="99"/>
    <w:rPr>
      <w:color w:val="954F72"/>
      <w:u w:val="single"/>
    </w:rPr>
  </w:style>
  <w:style w:type="character" w:styleId="44">
    <w:name w:val="Emphasis"/>
    <w:autoRedefine/>
    <w:qFormat/>
    <w:uiPriority w:val="0"/>
    <w:rPr>
      <w:i/>
      <w:iCs/>
    </w:rPr>
  </w:style>
  <w:style w:type="character" w:styleId="45">
    <w:name w:val="Hyperlink"/>
    <w:autoRedefine/>
    <w:qFormat/>
    <w:uiPriority w:val="99"/>
    <w:rPr>
      <w:rFonts w:hint="default" w:ascii="Arial" w:hAnsi="Arial" w:cs="Arial"/>
      <w:color w:val="000000"/>
      <w:sz w:val="20"/>
      <w:szCs w:val="20"/>
      <w:u w:val="none"/>
    </w:rPr>
  </w:style>
  <w:style w:type="character" w:styleId="46">
    <w:name w:val="annotation reference"/>
    <w:autoRedefine/>
    <w:qFormat/>
    <w:uiPriority w:val="99"/>
    <w:rPr>
      <w:sz w:val="21"/>
      <w:szCs w:val="21"/>
    </w:rPr>
  </w:style>
  <w:style w:type="paragraph" w:customStyle="1" w:styleId="47">
    <w:name w:val="首行缩进"/>
    <w:basedOn w:val="1"/>
    <w:autoRedefine/>
    <w:qFormat/>
    <w:uiPriority w:val="0"/>
    <w:pPr>
      <w:ind w:firstLine="480" w:firstLineChars="200"/>
    </w:pPr>
    <w:rPr>
      <w:lang w:val="zh-CN"/>
    </w:rPr>
  </w:style>
  <w:style w:type="character" w:customStyle="1" w:styleId="48">
    <w:name w:val="标题 1 字符"/>
    <w:basedOn w:val="41"/>
    <w:autoRedefine/>
    <w:qFormat/>
    <w:uiPriority w:val="0"/>
    <w:rPr>
      <w:b/>
      <w:bCs/>
      <w:kern w:val="44"/>
      <w:sz w:val="44"/>
      <w:szCs w:val="44"/>
    </w:rPr>
  </w:style>
  <w:style w:type="character" w:customStyle="1" w:styleId="49">
    <w:name w:val="标题 2 Char"/>
    <w:basedOn w:val="41"/>
    <w:link w:val="4"/>
    <w:autoRedefine/>
    <w:qFormat/>
    <w:uiPriority w:val="0"/>
    <w:rPr>
      <w:rFonts w:ascii="宋体" w:hAnsi="Calibri" w:eastAsia="宋体" w:cs="Times New Roman"/>
      <w:kern w:val="0"/>
      <w:sz w:val="24"/>
      <w:szCs w:val="24"/>
    </w:rPr>
  </w:style>
  <w:style w:type="character" w:customStyle="1" w:styleId="50">
    <w:name w:val="标题 3 字符"/>
    <w:basedOn w:val="41"/>
    <w:autoRedefine/>
    <w:qFormat/>
    <w:uiPriority w:val="0"/>
    <w:rPr>
      <w:b/>
      <w:bCs/>
      <w:sz w:val="32"/>
      <w:szCs w:val="32"/>
    </w:rPr>
  </w:style>
  <w:style w:type="character" w:customStyle="1" w:styleId="51">
    <w:name w:val="标题 4 Char1"/>
    <w:basedOn w:val="41"/>
    <w:link w:val="6"/>
    <w:autoRedefine/>
    <w:qFormat/>
    <w:uiPriority w:val="9"/>
    <w:rPr>
      <w:rFonts w:ascii="Arial" w:hAnsi="Arial" w:eastAsia="黑体" w:cs="Times New Roman"/>
      <w:b/>
      <w:bCs/>
      <w:kern w:val="0"/>
      <w:sz w:val="28"/>
      <w:szCs w:val="28"/>
    </w:rPr>
  </w:style>
  <w:style w:type="character" w:customStyle="1" w:styleId="52">
    <w:name w:val="标题 5 字符"/>
    <w:basedOn w:val="41"/>
    <w:autoRedefine/>
    <w:qFormat/>
    <w:uiPriority w:val="9"/>
    <w:rPr>
      <w:b/>
      <w:bCs/>
      <w:sz w:val="28"/>
      <w:szCs w:val="28"/>
    </w:rPr>
  </w:style>
  <w:style w:type="character" w:customStyle="1" w:styleId="53">
    <w:name w:val="标题 6 字符"/>
    <w:basedOn w:val="41"/>
    <w:autoRedefine/>
    <w:qFormat/>
    <w:uiPriority w:val="0"/>
    <w:rPr>
      <w:rFonts w:asciiTheme="majorHAnsi" w:hAnsiTheme="majorHAnsi" w:eastAsiaTheme="majorEastAsia" w:cstheme="majorBidi"/>
      <w:b/>
      <w:bCs/>
      <w:sz w:val="24"/>
      <w:szCs w:val="24"/>
    </w:rPr>
  </w:style>
  <w:style w:type="character" w:customStyle="1" w:styleId="54">
    <w:name w:val="标题 7 Char"/>
    <w:basedOn w:val="41"/>
    <w:link w:val="10"/>
    <w:autoRedefine/>
    <w:qFormat/>
    <w:uiPriority w:val="9"/>
    <w:rPr>
      <w:rFonts w:ascii="Times New Roman" w:hAnsi="Calibri" w:eastAsia="黑体" w:cs="Times New Roman"/>
      <w:b/>
      <w:bCs/>
      <w:kern w:val="0"/>
      <w:sz w:val="28"/>
      <w:szCs w:val="24"/>
    </w:rPr>
  </w:style>
  <w:style w:type="character" w:customStyle="1" w:styleId="55">
    <w:name w:val="标题 8 Char"/>
    <w:basedOn w:val="41"/>
    <w:link w:val="11"/>
    <w:autoRedefine/>
    <w:qFormat/>
    <w:uiPriority w:val="9"/>
    <w:rPr>
      <w:rFonts w:ascii="Times New Roman" w:hAnsi="Calibri" w:eastAsia="黑体" w:cs="Times New Roman"/>
      <w:b/>
      <w:kern w:val="0"/>
      <w:sz w:val="28"/>
      <w:szCs w:val="24"/>
    </w:rPr>
  </w:style>
  <w:style w:type="character" w:customStyle="1" w:styleId="56">
    <w:name w:val="标题 9 Char"/>
    <w:basedOn w:val="41"/>
    <w:link w:val="12"/>
    <w:autoRedefine/>
    <w:qFormat/>
    <w:uiPriority w:val="9"/>
    <w:rPr>
      <w:rFonts w:ascii="Times New Roman" w:hAnsi="Calibri" w:eastAsia="黑体" w:cs="Times New Roman"/>
      <w:b/>
      <w:kern w:val="0"/>
      <w:sz w:val="28"/>
      <w:szCs w:val="24"/>
    </w:rPr>
  </w:style>
  <w:style w:type="character" w:customStyle="1" w:styleId="57">
    <w:name w:val="正文文本缩进 字符"/>
    <w:autoRedefine/>
    <w:qFormat/>
    <w:uiPriority w:val="0"/>
    <w:rPr>
      <w:rFonts w:ascii="Times New Roman" w:hAnsi="Times New Roman" w:eastAsia="宋体" w:cs="Times New Roman"/>
      <w:szCs w:val="20"/>
    </w:rPr>
  </w:style>
  <w:style w:type="character" w:customStyle="1" w:styleId="58">
    <w:name w:val="普通(网站) Char"/>
    <w:autoRedefine/>
    <w:qFormat/>
    <w:locked/>
    <w:uiPriority w:val="0"/>
    <w:rPr>
      <w:rFonts w:ascii="宋体" w:hAnsi="宋体"/>
      <w:sz w:val="15"/>
      <w:szCs w:val="15"/>
    </w:rPr>
  </w:style>
  <w:style w:type="character" w:customStyle="1" w:styleId="59">
    <w:name w:val="标题 Char"/>
    <w:link w:val="35"/>
    <w:autoRedefine/>
    <w:qFormat/>
    <w:uiPriority w:val="10"/>
    <w:rPr>
      <w:rFonts w:ascii="等线 Light" w:hAnsi="等线 Light" w:eastAsia="仿宋"/>
      <w:b/>
      <w:bCs/>
      <w:sz w:val="28"/>
      <w:szCs w:val="32"/>
    </w:rPr>
  </w:style>
  <w:style w:type="character" w:customStyle="1" w:styleId="60">
    <w:name w:val="日期 Char"/>
    <w:autoRedefine/>
    <w:semiHidden/>
    <w:qFormat/>
    <w:uiPriority w:val="99"/>
    <w:rPr>
      <w:kern w:val="2"/>
      <w:sz w:val="21"/>
    </w:rPr>
  </w:style>
  <w:style w:type="character" w:customStyle="1" w:styleId="61">
    <w:name w:val="文档结构图 字符1"/>
    <w:autoRedefine/>
    <w:semiHidden/>
    <w:qFormat/>
    <w:uiPriority w:val="99"/>
    <w:rPr>
      <w:rFonts w:ascii="Microsoft YaHei UI" w:hAnsi="Calibri" w:eastAsia="Microsoft YaHei UI" w:cs="Times New Roman"/>
      <w:kern w:val="0"/>
      <w:sz w:val="18"/>
      <w:szCs w:val="18"/>
    </w:rPr>
  </w:style>
  <w:style w:type="character" w:customStyle="1" w:styleId="62">
    <w:name w:val="批注文字 Char"/>
    <w:autoRedefine/>
    <w:semiHidden/>
    <w:qFormat/>
    <w:uiPriority w:val="99"/>
    <w:rPr>
      <w:kern w:val="2"/>
      <w:sz w:val="21"/>
    </w:rPr>
  </w:style>
  <w:style w:type="character" w:customStyle="1" w:styleId="63">
    <w:name w:val="正文缩进2格 Char"/>
    <w:link w:val="64"/>
    <w:autoRedefine/>
    <w:qFormat/>
    <w:uiPriority w:val="0"/>
    <w:rPr>
      <w:rFonts w:ascii="仿宋_GB2312" w:hAnsi="宋体" w:eastAsia="仿宋_GB2312"/>
      <w:sz w:val="31"/>
      <w:szCs w:val="28"/>
    </w:rPr>
  </w:style>
  <w:style w:type="paragraph" w:customStyle="1" w:styleId="64">
    <w:name w:val="正文缩进2格"/>
    <w:basedOn w:val="1"/>
    <w:link w:val="63"/>
    <w:autoRedefine/>
    <w:qFormat/>
    <w:uiPriority w:val="0"/>
    <w:pPr>
      <w:spacing w:line="600" w:lineRule="exact"/>
      <w:ind w:firstLine="639" w:firstLineChars="206"/>
    </w:pPr>
    <w:rPr>
      <w:rFonts w:ascii="仿宋_GB2312" w:hAnsi="宋体" w:eastAsia="仿宋_GB2312"/>
      <w:sz w:val="31"/>
      <w:szCs w:val="28"/>
    </w:rPr>
  </w:style>
  <w:style w:type="character" w:customStyle="1" w:styleId="65">
    <w:name w:val="批注文字 字符"/>
    <w:autoRedefine/>
    <w:semiHidden/>
    <w:qFormat/>
    <w:uiPriority w:val="99"/>
    <w:rPr>
      <w:rFonts w:ascii="Times New Roman" w:hAnsi="Times New Roman"/>
      <w:kern w:val="2"/>
      <w:sz w:val="24"/>
      <w:szCs w:val="24"/>
    </w:rPr>
  </w:style>
  <w:style w:type="character" w:customStyle="1" w:styleId="66">
    <w:name w:val="正文文本缩进 Char"/>
    <w:autoRedefine/>
    <w:qFormat/>
    <w:uiPriority w:val="0"/>
    <w:rPr>
      <w:rFonts w:ascii="Times New Roman" w:hAnsi="Times New Roman" w:eastAsia="宋体" w:cs="Times New Roman"/>
      <w:szCs w:val="20"/>
      <w:lang w:val="en-US" w:eastAsia="zh-CN"/>
    </w:rPr>
  </w:style>
  <w:style w:type="character" w:customStyle="1" w:styleId="67">
    <w:name w:val="批注框文本 字符1"/>
    <w:autoRedefine/>
    <w:semiHidden/>
    <w:qFormat/>
    <w:uiPriority w:val="99"/>
    <w:rPr>
      <w:rFonts w:ascii="宋体" w:hAnsi="Calibri" w:eastAsia="宋体" w:cs="Times New Roman"/>
      <w:kern w:val="0"/>
      <w:sz w:val="18"/>
      <w:szCs w:val="18"/>
    </w:rPr>
  </w:style>
  <w:style w:type="character" w:customStyle="1" w:styleId="68">
    <w:name w:val="List Paragraph Char"/>
    <w:link w:val="69"/>
    <w:autoRedefine/>
    <w:qFormat/>
    <w:uiPriority w:val="34"/>
    <w:rPr>
      <w:rFonts w:ascii="Calibri" w:hAnsi="Calibri"/>
    </w:rPr>
  </w:style>
  <w:style w:type="paragraph" w:customStyle="1" w:styleId="69">
    <w:name w:val="列出段落1"/>
    <w:basedOn w:val="1"/>
    <w:link w:val="68"/>
    <w:autoRedefine/>
    <w:qFormat/>
    <w:uiPriority w:val="34"/>
    <w:pPr>
      <w:ind w:firstLine="420" w:firstLineChars="200"/>
    </w:pPr>
    <w:rPr>
      <w:rFonts w:ascii="Calibri" w:hAnsi="Calibri"/>
    </w:rPr>
  </w:style>
  <w:style w:type="character" w:customStyle="1" w:styleId="70">
    <w:name w:val="标书正文 字符"/>
    <w:link w:val="71"/>
    <w:autoRedefine/>
    <w:qFormat/>
    <w:uiPriority w:val="0"/>
    <w:rPr>
      <w:rFonts w:ascii="Calibri" w:hAnsi="Calibri" w:eastAsia="仿宋"/>
      <w:sz w:val="24"/>
      <w:szCs w:val="21"/>
    </w:rPr>
  </w:style>
  <w:style w:type="paragraph" w:customStyle="1" w:styleId="71">
    <w:name w:val="标书正文"/>
    <w:basedOn w:val="1"/>
    <w:link w:val="70"/>
    <w:autoRedefine/>
    <w:qFormat/>
    <w:uiPriority w:val="0"/>
    <w:pPr>
      <w:adjustRightInd w:val="0"/>
      <w:snapToGrid w:val="0"/>
      <w:spacing w:beforeLines="50" w:line="360" w:lineRule="auto"/>
      <w:ind w:firstLine="200" w:firstLineChars="200"/>
    </w:pPr>
    <w:rPr>
      <w:rFonts w:ascii="Calibri" w:hAnsi="Calibri" w:eastAsia="仿宋"/>
      <w:sz w:val="24"/>
      <w:szCs w:val="21"/>
    </w:rPr>
  </w:style>
  <w:style w:type="character" w:customStyle="1" w:styleId="72">
    <w:name w:val="正文文本 字符"/>
    <w:autoRedefine/>
    <w:semiHidden/>
    <w:qFormat/>
    <w:uiPriority w:val="99"/>
    <w:rPr>
      <w:rFonts w:ascii="Times New Roman" w:hAnsi="Times New Roman"/>
      <w:kern w:val="2"/>
      <w:sz w:val="24"/>
      <w:szCs w:val="24"/>
    </w:rPr>
  </w:style>
  <w:style w:type="character" w:customStyle="1" w:styleId="73">
    <w:name w:val="页脚 Char"/>
    <w:autoRedefine/>
    <w:qFormat/>
    <w:uiPriority w:val="0"/>
    <w:rPr>
      <w:kern w:val="2"/>
      <w:sz w:val="18"/>
      <w:szCs w:val="18"/>
    </w:rPr>
  </w:style>
  <w:style w:type="character" w:customStyle="1" w:styleId="74">
    <w:name w:val="neir1"/>
    <w:autoRedefine/>
    <w:qFormat/>
    <w:uiPriority w:val="0"/>
    <w:rPr>
      <w:rFonts w:hint="default" w:ascii="ˎ̥" w:hAnsi="ˎ̥"/>
      <w:color w:val="333333"/>
      <w:sz w:val="21"/>
      <w:szCs w:val="21"/>
      <w:u w:val="none"/>
    </w:rPr>
  </w:style>
  <w:style w:type="character" w:customStyle="1" w:styleId="75">
    <w:name w:val="批注框文本 Char1"/>
    <w:link w:val="25"/>
    <w:autoRedefine/>
    <w:qFormat/>
    <w:uiPriority w:val="0"/>
    <w:rPr>
      <w:rFonts w:ascii="Times New Roman" w:hAnsi="Times New Roman" w:eastAsia="宋体" w:cs="Times New Roman"/>
      <w:sz w:val="18"/>
      <w:szCs w:val="18"/>
    </w:rPr>
  </w:style>
  <w:style w:type="character" w:customStyle="1" w:styleId="76">
    <w:name w:val="正文文本 3 字符1"/>
    <w:autoRedefine/>
    <w:semiHidden/>
    <w:qFormat/>
    <w:uiPriority w:val="99"/>
    <w:rPr>
      <w:rFonts w:ascii="宋体" w:hAnsi="Calibri" w:eastAsia="宋体" w:cs="Times New Roman"/>
      <w:kern w:val="0"/>
      <w:sz w:val="16"/>
      <w:szCs w:val="16"/>
    </w:rPr>
  </w:style>
  <w:style w:type="character" w:customStyle="1" w:styleId="77">
    <w:name w:val="正文文本 字符3"/>
    <w:autoRedefine/>
    <w:semiHidden/>
    <w:qFormat/>
    <w:uiPriority w:val="99"/>
    <w:rPr>
      <w:rFonts w:ascii="宋体" w:hAnsi="Calibri" w:eastAsia="宋体" w:cs="Times New Roman"/>
      <w:kern w:val="0"/>
      <w:sz w:val="24"/>
      <w:szCs w:val="24"/>
    </w:rPr>
  </w:style>
  <w:style w:type="character" w:customStyle="1" w:styleId="78">
    <w:name w:val="日期 字符1"/>
    <w:autoRedefine/>
    <w:semiHidden/>
    <w:qFormat/>
    <w:uiPriority w:val="99"/>
    <w:rPr>
      <w:rFonts w:ascii="宋体" w:hAnsi="Calibri" w:eastAsia="宋体" w:cs="Times New Roman"/>
      <w:kern w:val="0"/>
      <w:sz w:val="24"/>
      <w:szCs w:val="24"/>
    </w:rPr>
  </w:style>
  <w:style w:type="character" w:customStyle="1" w:styleId="79">
    <w:name w:val="页脚 Char2"/>
    <w:link w:val="26"/>
    <w:autoRedefine/>
    <w:qFormat/>
    <w:uiPriority w:val="99"/>
    <w:rPr>
      <w:rFonts w:ascii="宋体" w:eastAsia="宋体"/>
      <w:sz w:val="18"/>
      <w:szCs w:val="18"/>
    </w:rPr>
  </w:style>
  <w:style w:type="character" w:customStyle="1" w:styleId="80">
    <w:name w:val="吉奥正文 Char"/>
    <w:link w:val="81"/>
    <w:autoRedefine/>
    <w:qFormat/>
    <w:locked/>
    <w:uiPriority w:val="0"/>
    <w:rPr>
      <w:rFonts w:eastAsia="仿宋_GB2312"/>
      <w:sz w:val="28"/>
    </w:rPr>
  </w:style>
  <w:style w:type="paragraph" w:customStyle="1" w:styleId="81">
    <w:name w:val="吉奥正文"/>
    <w:basedOn w:val="1"/>
    <w:link w:val="80"/>
    <w:autoRedefine/>
    <w:qFormat/>
    <w:uiPriority w:val="0"/>
    <w:pPr>
      <w:adjustRightInd w:val="0"/>
      <w:snapToGrid w:val="0"/>
      <w:spacing w:before="120" w:line="360" w:lineRule="auto"/>
      <w:ind w:firstLine="200" w:firstLineChars="200"/>
      <w:textAlignment w:val="baseline"/>
    </w:pPr>
    <w:rPr>
      <w:rFonts w:eastAsia="仿宋_GB2312"/>
      <w:sz w:val="28"/>
    </w:rPr>
  </w:style>
  <w:style w:type="character" w:customStyle="1" w:styleId="82">
    <w:name w:val="页脚 Char1"/>
    <w:autoRedefine/>
    <w:qFormat/>
    <w:uiPriority w:val="99"/>
    <w:rPr>
      <w:rFonts w:ascii="宋体" w:hAnsi="Times New Roman" w:eastAsia="宋体" w:cs="Times New Roman"/>
      <w:kern w:val="0"/>
      <w:sz w:val="18"/>
      <w:szCs w:val="18"/>
    </w:rPr>
  </w:style>
  <w:style w:type="character" w:customStyle="1" w:styleId="83">
    <w:name w:val="标题 字符"/>
    <w:autoRedefine/>
    <w:qFormat/>
    <w:uiPriority w:val="10"/>
    <w:rPr>
      <w:rFonts w:ascii="Cambria" w:hAnsi="Cambria" w:eastAsia="宋体" w:cs="Times New Roman"/>
      <w:b/>
      <w:bCs/>
      <w:kern w:val="0"/>
      <w:sz w:val="32"/>
      <w:szCs w:val="32"/>
      <w:lang w:val="en-US" w:eastAsia="zh-CN"/>
    </w:rPr>
  </w:style>
  <w:style w:type="character" w:customStyle="1" w:styleId="84">
    <w:name w:val="题注 Char"/>
    <w:link w:val="14"/>
    <w:autoRedefine/>
    <w:qFormat/>
    <w:uiPriority w:val="0"/>
    <w:rPr>
      <w:rFonts w:ascii="Arial" w:hAnsi="Arial" w:eastAsia="黑体" w:cs="Arial"/>
    </w:rPr>
  </w:style>
  <w:style w:type="character" w:customStyle="1" w:styleId="85">
    <w:name w:val="批注文字 字符2"/>
    <w:autoRedefine/>
    <w:qFormat/>
    <w:uiPriority w:val="99"/>
    <w:rPr>
      <w:rFonts w:ascii="宋体" w:hAnsi="Times New Roman" w:eastAsia="宋体" w:cs="Times New Roman"/>
      <w:kern w:val="0"/>
      <w:sz w:val="24"/>
      <w:szCs w:val="24"/>
    </w:rPr>
  </w:style>
  <w:style w:type="character" w:customStyle="1" w:styleId="86">
    <w:name w:val="批注主题 字符1"/>
    <w:autoRedefine/>
    <w:semiHidden/>
    <w:qFormat/>
    <w:uiPriority w:val="99"/>
    <w:rPr>
      <w:rFonts w:ascii="宋体" w:hAnsi="Calibri" w:eastAsia="宋体" w:cs="Times New Roman"/>
      <w:b/>
      <w:bCs/>
      <w:kern w:val="0"/>
      <w:sz w:val="24"/>
      <w:szCs w:val="24"/>
    </w:rPr>
  </w:style>
  <w:style w:type="character" w:customStyle="1" w:styleId="87">
    <w:name w:val="HTML 预设格式 Char"/>
    <w:link w:val="33"/>
    <w:autoRedefine/>
    <w:qFormat/>
    <w:uiPriority w:val="99"/>
    <w:rPr>
      <w:rFonts w:ascii="Arial" w:hAnsi="Arial" w:eastAsia="宋体" w:cs="Arial"/>
      <w:szCs w:val="21"/>
    </w:rPr>
  </w:style>
  <w:style w:type="character" w:customStyle="1" w:styleId="88">
    <w:name w:val="标题 3.1 Char"/>
    <w:link w:val="89"/>
    <w:autoRedefine/>
    <w:qFormat/>
    <w:uiPriority w:val="0"/>
    <w:rPr>
      <w:rFonts w:ascii="宋体" w:hAnsi="宋体"/>
      <w:b/>
      <w:bCs/>
      <w:sz w:val="32"/>
      <w:szCs w:val="32"/>
    </w:rPr>
  </w:style>
  <w:style w:type="paragraph" w:customStyle="1" w:styleId="89">
    <w:name w:val="标题 3.1"/>
    <w:basedOn w:val="5"/>
    <w:link w:val="88"/>
    <w:autoRedefine/>
    <w:qFormat/>
    <w:uiPriority w:val="0"/>
    <w:pPr>
      <w:keepNext/>
      <w:keepLines/>
      <w:pageBreakBefore/>
      <w:tabs>
        <w:tab w:val="left" w:pos="1440"/>
        <w:tab w:val="left" w:pos="1620"/>
      </w:tabs>
      <w:autoSpaceDE/>
      <w:autoSpaceDN/>
      <w:adjustRightInd/>
      <w:spacing w:before="260" w:after="260" w:line="600" w:lineRule="exact"/>
      <w:jc w:val="both"/>
    </w:pPr>
    <w:rPr>
      <w:rFonts w:hAnsi="宋体" w:eastAsiaTheme="minorEastAsia" w:cstheme="minorBidi"/>
      <w:b/>
      <w:bCs/>
      <w:kern w:val="2"/>
      <w:sz w:val="32"/>
      <w:szCs w:val="32"/>
    </w:rPr>
  </w:style>
  <w:style w:type="character" w:customStyle="1" w:styleId="90">
    <w:name w:val="HTML 预设格式 Char1"/>
    <w:autoRedefine/>
    <w:semiHidden/>
    <w:qFormat/>
    <w:uiPriority w:val="99"/>
    <w:rPr>
      <w:rFonts w:ascii="Courier New" w:hAnsi="Courier New" w:eastAsia="宋体" w:cs="Courier New"/>
      <w:kern w:val="0"/>
      <w:sz w:val="20"/>
      <w:szCs w:val="20"/>
    </w:rPr>
  </w:style>
  <w:style w:type="character" w:customStyle="1" w:styleId="91">
    <w:name w:val="批注文字 字符1"/>
    <w:autoRedefine/>
    <w:qFormat/>
    <w:uiPriority w:val="0"/>
    <w:rPr>
      <w:rFonts w:eastAsia="宋体"/>
      <w:kern w:val="2"/>
      <w:sz w:val="24"/>
      <w:szCs w:val="24"/>
      <w:lang w:val="en-US" w:eastAsia="zh-CN" w:bidi="ar-SA"/>
    </w:rPr>
  </w:style>
  <w:style w:type="character" w:customStyle="1" w:styleId="92">
    <w:name w:val="正文文本缩进 字符2"/>
    <w:autoRedefine/>
    <w:semiHidden/>
    <w:qFormat/>
    <w:uiPriority w:val="99"/>
    <w:rPr>
      <w:rFonts w:ascii="宋体" w:hAnsi="Calibri" w:eastAsia="宋体" w:cs="Times New Roman"/>
      <w:kern w:val="0"/>
      <w:sz w:val="24"/>
      <w:szCs w:val="24"/>
    </w:rPr>
  </w:style>
  <w:style w:type="character" w:customStyle="1" w:styleId="93">
    <w:name w:val="正文文本缩进 Char1"/>
    <w:link w:val="20"/>
    <w:autoRedefine/>
    <w:qFormat/>
    <w:uiPriority w:val="0"/>
    <w:rPr>
      <w:rFonts w:ascii="Times New Roman" w:hAnsi="Times New Roman" w:eastAsia="宋体" w:cs="Times New Roman"/>
      <w:szCs w:val="20"/>
    </w:rPr>
  </w:style>
  <w:style w:type="character" w:customStyle="1" w:styleId="94">
    <w:name w:val="普通(网站) Char1"/>
    <w:link w:val="34"/>
    <w:autoRedefine/>
    <w:qFormat/>
    <w:locked/>
    <w:uiPriority w:val="0"/>
    <w:rPr>
      <w:rFonts w:ascii="宋体" w:hAnsi="宋体"/>
      <w:sz w:val="15"/>
      <w:szCs w:val="15"/>
    </w:rPr>
  </w:style>
  <w:style w:type="character" w:customStyle="1" w:styleId="95">
    <w:name w:val="模板正文 Char"/>
    <w:link w:val="9"/>
    <w:autoRedefine/>
    <w:qFormat/>
    <w:uiPriority w:val="0"/>
    <w:rPr>
      <w:rFonts w:ascii="宋体" w:eastAsia="仿宋"/>
      <w:sz w:val="24"/>
      <w:szCs w:val="21"/>
    </w:rPr>
  </w:style>
  <w:style w:type="character" w:customStyle="1" w:styleId="96">
    <w:name w:val="批注主题 Char"/>
    <w:autoRedefine/>
    <w:semiHidden/>
    <w:qFormat/>
    <w:uiPriority w:val="99"/>
    <w:rPr>
      <w:b/>
      <w:bCs/>
      <w:kern w:val="2"/>
      <w:sz w:val="21"/>
    </w:rPr>
  </w:style>
  <w:style w:type="character" w:customStyle="1" w:styleId="97">
    <w:name w:val="正文文本 Char1"/>
    <w:autoRedefine/>
    <w:qFormat/>
    <w:uiPriority w:val="0"/>
    <w:rPr>
      <w:rFonts w:ascii="宋体" w:hAnsi="Times New Roman" w:eastAsia="宋体" w:cs="Times New Roman"/>
      <w:kern w:val="0"/>
      <w:sz w:val="24"/>
      <w:szCs w:val="24"/>
    </w:rPr>
  </w:style>
  <w:style w:type="character" w:customStyle="1" w:styleId="98">
    <w:name w:val="正文文本 字符1"/>
    <w:autoRedefine/>
    <w:qFormat/>
    <w:uiPriority w:val="99"/>
    <w:rPr>
      <w:rFonts w:ascii="宋体" w:eastAsia="宋体"/>
      <w:b/>
      <w:bCs/>
      <w:sz w:val="84"/>
      <w:szCs w:val="84"/>
      <w:lang w:val="zh-CN"/>
    </w:rPr>
  </w:style>
  <w:style w:type="character" w:customStyle="1" w:styleId="99">
    <w:name w:val="标题 1 Char"/>
    <w:autoRedefine/>
    <w:qFormat/>
    <w:uiPriority w:val="9"/>
    <w:rPr>
      <w:rFonts w:ascii="宋体" w:hAnsi="Times New Roman" w:eastAsia="宋体" w:cs="Times New Roman"/>
      <w:kern w:val="0"/>
      <w:sz w:val="24"/>
      <w:szCs w:val="24"/>
    </w:rPr>
  </w:style>
  <w:style w:type="character" w:customStyle="1" w:styleId="100">
    <w:name w:val="正文文本 Char2"/>
    <w:autoRedefine/>
    <w:qFormat/>
    <w:uiPriority w:val="99"/>
    <w:rPr>
      <w:rFonts w:ascii="宋体" w:eastAsia="宋体"/>
      <w:b/>
      <w:bCs/>
      <w:sz w:val="84"/>
      <w:szCs w:val="84"/>
      <w:lang w:val="zh-CN"/>
    </w:rPr>
  </w:style>
  <w:style w:type="character" w:customStyle="1" w:styleId="101">
    <w:name w:val="纯文本 Char2"/>
    <w:link w:val="22"/>
    <w:autoRedefine/>
    <w:qFormat/>
    <w:uiPriority w:val="0"/>
    <w:rPr>
      <w:rFonts w:ascii="宋体" w:hAnsi="Courier New" w:eastAsia="宋体"/>
    </w:rPr>
  </w:style>
  <w:style w:type="character" w:customStyle="1" w:styleId="102">
    <w:name w:val="正文文本缩进 2 Char"/>
    <w:link w:val="24"/>
    <w:autoRedefine/>
    <w:qFormat/>
    <w:uiPriority w:val="0"/>
    <w:rPr>
      <w:rFonts w:ascii="宋体" w:hAnsi="Times New Roman" w:eastAsia="宋体" w:cs="Times New Roman"/>
      <w:szCs w:val="20"/>
    </w:rPr>
  </w:style>
  <w:style w:type="character" w:customStyle="1" w:styleId="103">
    <w:name w:val="HTML Markup"/>
    <w:autoRedefine/>
    <w:qFormat/>
    <w:uiPriority w:val="0"/>
    <w:rPr>
      <w:vanish/>
      <w:color w:val="FF0000"/>
    </w:rPr>
  </w:style>
  <w:style w:type="character" w:customStyle="1" w:styleId="104">
    <w:name w:val="页眉 Char1"/>
    <w:autoRedefine/>
    <w:qFormat/>
    <w:uiPriority w:val="0"/>
    <w:rPr>
      <w:rFonts w:ascii="宋体" w:hAnsi="Times New Roman" w:eastAsia="宋体" w:cs="Times New Roman"/>
      <w:kern w:val="0"/>
      <w:sz w:val="18"/>
      <w:szCs w:val="18"/>
    </w:rPr>
  </w:style>
  <w:style w:type="character" w:customStyle="1" w:styleId="105">
    <w:name w:val="font11"/>
    <w:autoRedefine/>
    <w:qFormat/>
    <w:uiPriority w:val="0"/>
    <w:rPr>
      <w:rFonts w:hint="eastAsia" w:ascii="宋体" w:hAnsi="宋体" w:eastAsia="宋体" w:cs="宋体"/>
      <w:color w:val="FF0000"/>
      <w:sz w:val="22"/>
      <w:szCs w:val="22"/>
      <w:u w:val="none"/>
    </w:rPr>
  </w:style>
  <w:style w:type="character" w:customStyle="1" w:styleId="106">
    <w:name w:val="style61"/>
    <w:autoRedefine/>
    <w:qFormat/>
    <w:uiPriority w:val="0"/>
    <w:rPr>
      <w:b/>
      <w:bCs/>
    </w:rPr>
  </w:style>
  <w:style w:type="character" w:customStyle="1" w:styleId="107">
    <w:name w:val="表头文字 Char"/>
    <w:link w:val="108"/>
    <w:autoRedefine/>
    <w:qFormat/>
    <w:uiPriority w:val="0"/>
    <w:rPr>
      <w:rFonts w:eastAsia="仿宋_GB2312"/>
      <w:b/>
      <w:sz w:val="28"/>
      <w:szCs w:val="21"/>
    </w:rPr>
  </w:style>
  <w:style w:type="paragraph" w:customStyle="1" w:styleId="108">
    <w:name w:val="表头文字"/>
    <w:basedOn w:val="1"/>
    <w:link w:val="107"/>
    <w:autoRedefine/>
    <w:qFormat/>
    <w:uiPriority w:val="0"/>
    <w:pPr>
      <w:adjustRightInd w:val="0"/>
      <w:snapToGrid w:val="0"/>
      <w:spacing w:before="120" w:line="360" w:lineRule="auto"/>
      <w:jc w:val="center"/>
      <w:textAlignment w:val="baseline"/>
    </w:pPr>
    <w:rPr>
      <w:rFonts w:eastAsia="仿宋_GB2312"/>
      <w:b/>
      <w:sz w:val="28"/>
      <w:szCs w:val="21"/>
    </w:rPr>
  </w:style>
  <w:style w:type="character" w:customStyle="1" w:styleId="109">
    <w:name w:val="日期 Char1"/>
    <w:link w:val="23"/>
    <w:autoRedefine/>
    <w:qFormat/>
    <w:uiPriority w:val="99"/>
    <w:rPr>
      <w:rFonts w:ascii="宋体" w:hAnsi="Times New Roman" w:eastAsia="宋体" w:cs="Times New Roman"/>
      <w:b/>
      <w:bCs/>
      <w:szCs w:val="21"/>
      <w:lang w:val="zh-CN"/>
    </w:rPr>
  </w:style>
  <w:style w:type="character" w:customStyle="1" w:styleId="110">
    <w:name w:val="纯文本 Char1"/>
    <w:autoRedefine/>
    <w:qFormat/>
    <w:uiPriority w:val="0"/>
    <w:rPr>
      <w:rFonts w:ascii="宋体" w:hAnsi="Courier New" w:eastAsia="宋体" w:cs="Courier New"/>
      <w:kern w:val="0"/>
      <w:szCs w:val="21"/>
    </w:rPr>
  </w:style>
  <w:style w:type="character" w:customStyle="1" w:styleId="111">
    <w:name w:val="批注主题 Char1"/>
    <w:link w:val="36"/>
    <w:autoRedefine/>
    <w:qFormat/>
    <w:uiPriority w:val="99"/>
    <w:rPr>
      <w:rFonts w:ascii="宋体" w:hAnsi="Times New Roman" w:eastAsia="宋体" w:cs="Times New Roman"/>
      <w:b/>
      <w:bCs/>
      <w:kern w:val="0"/>
      <w:sz w:val="24"/>
      <w:szCs w:val="24"/>
    </w:rPr>
  </w:style>
  <w:style w:type="character" w:customStyle="1" w:styleId="112">
    <w:name w:val="纯文本 字符"/>
    <w:autoRedefine/>
    <w:qFormat/>
    <w:uiPriority w:val="99"/>
    <w:rPr>
      <w:rFonts w:ascii="宋体" w:hAnsi="Courier New" w:eastAsia="宋体" w:cs="Times New Roman"/>
      <w:szCs w:val="20"/>
      <w:lang w:val="en-US" w:eastAsia="zh-CN"/>
    </w:rPr>
  </w:style>
  <w:style w:type="character" w:customStyle="1" w:styleId="113">
    <w:name w:val="font71"/>
    <w:autoRedefine/>
    <w:qFormat/>
    <w:uiPriority w:val="0"/>
    <w:rPr>
      <w:rFonts w:hint="eastAsia" w:ascii="宋体" w:hAnsi="宋体" w:eastAsia="宋体" w:cs="宋体"/>
      <w:color w:val="FF0000"/>
      <w:sz w:val="18"/>
      <w:szCs w:val="18"/>
      <w:u w:val="none"/>
    </w:rPr>
  </w:style>
  <w:style w:type="character" w:customStyle="1" w:styleId="114">
    <w:name w:val="font21"/>
    <w:autoRedefine/>
    <w:qFormat/>
    <w:uiPriority w:val="0"/>
    <w:rPr>
      <w:rFonts w:hint="eastAsia" w:ascii="宋体" w:hAnsi="宋体" w:eastAsia="宋体" w:cs="宋体"/>
      <w:b/>
      <w:color w:val="000000"/>
      <w:sz w:val="21"/>
      <w:szCs w:val="21"/>
      <w:u w:val="none"/>
    </w:rPr>
  </w:style>
  <w:style w:type="character" w:customStyle="1" w:styleId="115">
    <w:name w:val="纯文本 字符3"/>
    <w:autoRedefine/>
    <w:semiHidden/>
    <w:qFormat/>
    <w:uiPriority w:val="99"/>
    <w:rPr>
      <w:rFonts w:ascii="等线" w:hAnsi="Courier New" w:cs="Courier New"/>
      <w:kern w:val="0"/>
      <w:sz w:val="24"/>
      <w:szCs w:val="24"/>
    </w:rPr>
  </w:style>
  <w:style w:type="character" w:customStyle="1" w:styleId="116">
    <w:name w:val="font31"/>
    <w:autoRedefine/>
    <w:qFormat/>
    <w:uiPriority w:val="0"/>
    <w:rPr>
      <w:rFonts w:hint="eastAsia" w:ascii="宋体" w:hAnsi="宋体" w:eastAsia="宋体" w:cs="宋体"/>
      <w:color w:val="000000"/>
      <w:sz w:val="18"/>
      <w:szCs w:val="18"/>
      <w:u w:val="none"/>
    </w:rPr>
  </w:style>
  <w:style w:type="character" w:customStyle="1" w:styleId="117">
    <w:name w:val="文档结构图 Char"/>
    <w:link w:val="15"/>
    <w:autoRedefine/>
    <w:semiHidden/>
    <w:qFormat/>
    <w:uiPriority w:val="99"/>
    <w:rPr>
      <w:rFonts w:ascii="宋体" w:hAnsi="Times New Roman" w:eastAsia="宋体" w:cs="Times New Roman"/>
      <w:kern w:val="0"/>
      <w:sz w:val="24"/>
      <w:szCs w:val="24"/>
      <w:shd w:val="clear" w:color="auto" w:fill="000080"/>
    </w:rPr>
  </w:style>
  <w:style w:type="character" w:customStyle="1" w:styleId="118">
    <w:name w:val="普通(网站) 字符1"/>
    <w:autoRedefine/>
    <w:qFormat/>
    <w:locked/>
    <w:uiPriority w:val="0"/>
    <w:rPr>
      <w:rFonts w:ascii="宋体" w:hAnsi="宋体"/>
      <w:sz w:val="15"/>
      <w:szCs w:val="15"/>
    </w:rPr>
  </w:style>
  <w:style w:type="character" w:customStyle="1" w:styleId="119">
    <w:name w:val="正文文本 Char3"/>
    <w:link w:val="19"/>
    <w:autoRedefine/>
    <w:qFormat/>
    <w:uiPriority w:val="99"/>
    <w:rPr>
      <w:rFonts w:ascii="宋体" w:eastAsia="宋体"/>
      <w:b/>
      <w:bCs/>
      <w:sz w:val="84"/>
      <w:szCs w:val="84"/>
      <w:lang w:val="zh-CN"/>
    </w:rPr>
  </w:style>
  <w:style w:type="character" w:customStyle="1" w:styleId="120">
    <w:name w:val="标题 5 Char"/>
    <w:autoRedefine/>
    <w:semiHidden/>
    <w:qFormat/>
    <w:uiPriority w:val="9"/>
    <w:rPr>
      <w:b/>
      <w:bCs/>
      <w:kern w:val="2"/>
      <w:sz w:val="28"/>
      <w:szCs w:val="28"/>
    </w:rPr>
  </w:style>
  <w:style w:type="character" w:customStyle="1" w:styleId="121">
    <w:name w:val="页眉 Char2"/>
    <w:link w:val="27"/>
    <w:autoRedefine/>
    <w:qFormat/>
    <w:uiPriority w:val="99"/>
    <w:rPr>
      <w:rFonts w:ascii="宋体" w:eastAsia="宋体"/>
      <w:sz w:val="18"/>
      <w:szCs w:val="18"/>
    </w:rPr>
  </w:style>
  <w:style w:type="character" w:customStyle="1" w:styleId="122">
    <w:name w:val="表格文字 Char"/>
    <w:link w:val="123"/>
    <w:autoRedefine/>
    <w:qFormat/>
    <w:uiPriority w:val="0"/>
    <w:rPr>
      <w:rFonts w:eastAsia="仿宋_GB2312"/>
      <w:sz w:val="28"/>
      <w:szCs w:val="24"/>
    </w:rPr>
  </w:style>
  <w:style w:type="paragraph" w:customStyle="1" w:styleId="123">
    <w:name w:val="表格文字"/>
    <w:basedOn w:val="1"/>
    <w:link w:val="122"/>
    <w:autoRedefine/>
    <w:qFormat/>
    <w:uiPriority w:val="0"/>
    <w:rPr>
      <w:rFonts w:eastAsia="仿宋_GB2312"/>
      <w:sz w:val="28"/>
      <w:szCs w:val="24"/>
    </w:rPr>
  </w:style>
  <w:style w:type="character" w:customStyle="1" w:styleId="124">
    <w:name w:val="标题 字符2"/>
    <w:autoRedefine/>
    <w:qFormat/>
    <w:uiPriority w:val="10"/>
    <w:rPr>
      <w:rFonts w:ascii="等线 Light" w:hAnsi="等线 Light" w:eastAsia="等线 Light" w:cs="Times New Roman"/>
      <w:b/>
      <w:bCs/>
      <w:kern w:val="0"/>
      <w:sz w:val="32"/>
      <w:szCs w:val="32"/>
    </w:rPr>
  </w:style>
  <w:style w:type="character" w:customStyle="1" w:styleId="125">
    <w:name w:val="正文缩进2格 Char Char"/>
    <w:autoRedefine/>
    <w:qFormat/>
    <w:uiPriority w:val="0"/>
    <w:rPr>
      <w:rFonts w:ascii="仿宋_GB2312" w:hAnsi="宋体" w:eastAsia="仿宋_GB2312"/>
      <w:kern w:val="2"/>
      <w:sz w:val="31"/>
      <w:szCs w:val="28"/>
      <w:lang w:val="en-US" w:eastAsia="zh-CN" w:bidi="ar-SA"/>
    </w:rPr>
  </w:style>
  <w:style w:type="character" w:customStyle="1" w:styleId="126">
    <w:name w:val="小 Char"/>
    <w:autoRedefine/>
    <w:qFormat/>
    <w:uiPriority w:val="0"/>
    <w:rPr>
      <w:rFonts w:ascii="宋体" w:hAnsi="Courier New" w:eastAsia="宋体"/>
      <w:kern w:val="2"/>
      <w:sz w:val="21"/>
      <w:lang w:val="en-US" w:eastAsia="zh-CN" w:bidi="ar-SA"/>
    </w:rPr>
  </w:style>
  <w:style w:type="character" w:customStyle="1" w:styleId="127">
    <w:name w:val="themebody1"/>
    <w:autoRedefine/>
    <w:qFormat/>
    <w:uiPriority w:val="0"/>
    <w:rPr>
      <w:color w:val="FFFFFF"/>
    </w:rPr>
  </w:style>
  <w:style w:type="character" w:customStyle="1" w:styleId="128">
    <w:name w:val="页脚 字符1"/>
    <w:autoRedefine/>
    <w:semiHidden/>
    <w:qFormat/>
    <w:uiPriority w:val="99"/>
    <w:rPr>
      <w:rFonts w:ascii="宋体" w:hAnsi="Calibri" w:eastAsia="宋体" w:cs="Times New Roman"/>
      <w:kern w:val="0"/>
      <w:sz w:val="18"/>
      <w:szCs w:val="18"/>
    </w:rPr>
  </w:style>
  <w:style w:type="character" w:customStyle="1" w:styleId="129">
    <w:name w:val="列出段落 Char"/>
    <w:link w:val="130"/>
    <w:autoRedefine/>
    <w:qFormat/>
    <w:uiPriority w:val="34"/>
    <w:rPr>
      <w:kern w:val="2"/>
      <w:sz w:val="21"/>
      <w:szCs w:val="22"/>
    </w:rPr>
  </w:style>
  <w:style w:type="paragraph" w:styleId="130">
    <w:name w:val="List Paragraph"/>
    <w:basedOn w:val="1"/>
    <w:link w:val="129"/>
    <w:autoRedefine/>
    <w:qFormat/>
    <w:uiPriority w:val="34"/>
    <w:pPr>
      <w:ind w:firstLine="420" w:firstLineChars="200"/>
    </w:pPr>
  </w:style>
  <w:style w:type="character" w:customStyle="1" w:styleId="131">
    <w:name w:val="正文文本 Char"/>
    <w:autoRedefine/>
    <w:qFormat/>
    <w:uiPriority w:val="99"/>
    <w:rPr>
      <w:rFonts w:ascii="宋体" w:eastAsia="宋体"/>
      <w:b/>
      <w:bCs/>
      <w:sz w:val="84"/>
      <w:szCs w:val="84"/>
      <w:lang w:val="zh-CN"/>
    </w:rPr>
  </w:style>
  <w:style w:type="character" w:customStyle="1" w:styleId="132">
    <w:name w:val="页眉 字符1"/>
    <w:autoRedefine/>
    <w:semiHidden/>
    <w:qFormat/>
    <w:uiPriority w:val="99"/>
    <w:rPr>
      <w:rFonts w:ascii="宋体" w:hAnsi="Calibri" w:eastAsia="宋体" w:cs="Times New Roman"/>
      <w:kern w:val="0"/>
      <w:sz w:val="18"/>
      <w:szCs w:val="18"/>
    </w:rPr>
  </w:style>
  <w:style w:type="character" w:customStyle="1" w:styleId="133">
    <w:name w:val="标题 5 Char1"/>
    <w:link w:val="7"/>
    <w:autoRedefine/>
    <w:qFormat/>
    <w:uiPriority w:val="9"/>
    <w:rPr>
      <w:rFonts w:ascii="宋体" w:hAnsi="Calibri" w:eastAsia="宋体" w:cs="Times New Roman"/>
      <w:b/>
      <w:bCs/>
      <w:kern w:val="0"/>
      <w:sz w:val="28"/>
      <w:szCs w:val="28"/>
    </w:rPr>
  </w:style>
  <w:style w:type="character" w:customStyle="1" w:styleId="134">
    <w:name w:val="keyfeatures1"/>
    <w:autoRedefine/>
    <w:qFormat/>
    <w:uiPriority w:val="0"/>
    <w:rPr>
      <w:rFonts w:hint="default" w:ascii="Arial" w:hAnsi="Arial" w:cs="Arial"/>
      <w:color w:val="003366"/>
      <w:sz w:val="17"/>
      <w:szCs w:val="17"/>
      <w:u w:val="none"/>
    </w:rPr>
  </w:style>
  <w:style w:type="character" w:customStyle="1" w:styleId="135">
    <w:name w:val="题注 字符"/>
    <w:autoRedefine/>
    <w:qFormat/>
    <w:uiPriority w:val="0"/>
    <w:rPr>
      <w:rFonts w:ascii="宋体" w:hAnsi="宋体" w:eastAsia="黑体" w:cs="Times New Roman"/>
      <w:b/>
      <w:szCs w:val="21"/>
    </w:rPr>
  </w:style>
  <w:style w:type="character" w:customStyle="1" w:styleId="136">
    <w:name w:val="标题 4 Char"/>
    <w:autoRedefine/>
    <w:qFormat/>
    <w:uiPriority w:val="0"/>
    <w:rPr>
      <w:rFonts w:ascii="宋体" w:hAnsi="宋体" w:eastAsia="宋体"/>
      <w:b/>
      <w:kern w:val="2"/>
      <w:sz w:val="21"/>
      <w:szCs w:val="24"/>
      <w:lang w:val="en-US" w:eastAsia="zh-CN" w:bidi="ar-SA"/>
    </w:rPr>
  </w:style>
  <w:style w:type="character" w:customStyle="1" w:styleId="137">
    <w:name w:val="批注文字 字符3"/>
    <w:autoRedefine/>
    <w:semiHidden/>
    <w:qFormat/>
    <w:uiPriority w:val="99"/>
    <w:rPr>
      <w:rFonts w:ascii="宋体" w:hAnsi="Calibri" w:eastAsia="宋体" w:cs="Times New Roman"/>
      <w:kern w:val="0"/>
      <w:sz w:val="24"/>
      <w:szCs w:val="24"/>
    </w:rPr>
  </w:style>
  <w:style w:type="character" w:customStyle="1" w:styleId="138">
    <w:name w:val="纯文本 字符1"/>
    <w:autoRedefine/>
    <w:qFormat/>
    <w:uiPriority w:val="0"/>
    <w:rPr>
      <w:rFonts w:ascii="宋体" w:hAnsi="Courier New" w:eastAsia="宋体"/>
      <w:kern w:val="2"/>
      <w:sz w:val="21"/>
      <w:szCs w:val="24"/>
      <w:lang w:val="en-US" w:eastAsia="zh-CN" w:bidi="ar-SA"/>
    </w:rPr>
  </w:style>
  <w:style w:type="character" w:customStyle="1" w:styleId="139">
    <w:name w:val="列出段落 Char1"/>
    <w:autoRedefine/>
    <w:qFormat/>
    <w:uiPriority w:val="34"/>
    <w:rPr>
      <w:rFonts w:ascii="宋体"/>
      <w:sz w:val="24"/>
      <w:szCs w:val="24"/>
    </w:rPr>
  </w:style>
  <w:style w:type="character" w:customStyle="1" w:styleId="140">
    <w:name w:val="彩色列表 - 着色 1 字符"/>
    <w:link w:val="141"/>
    <w:autoRedefine/>
    <w:qFormat/>
    <w:uiPriority w:val="0"/>
    <w:rPr>
      <w:rFonts w:ascii="Calibri" w:hAnsi="Calibri"/>
    </w:rPr>
  </w:style>
  <w:style w:type="paragraph" w:customStyle="1" w:styleId="141">
    <w:name w:val="彩色列表 - 着色 11"/>
    <w:basedOn w:val="1"/>
    <w:link w:val="140"/>
    <w:autoRedefine/>
    <w:qFormat/>
    <w:uiPriority w:val="0"/>
    <w:pPr>
      <w:ind w:firstLine="420" w:firstLineChars="200"/>
    </w:pPr>
    <w:rPr>
      <w:rFonts w:ascii="Calibri" w:hAnsi="Calibri"/>
    </w:rPr>
  </w:style>
  <w:style w:type="character" w:customStyle="1" w:styleId="142">
    <w:name w:val="纯文本 Char"/>
    <w:autoRedefine/>
    <w:qFormat/>
    <w:uiPriority w:val="0"/>
    <w:rPr>
      <w:rFonts w:ascii="宋体" w:hAnsi="Courier New" w:eastAsia="宋体" w:cs="Times New Roman"/>
      <w:szCs w:val="20"/>
    </w:rPr>
  </w:style>
  <w:style w:type="character" w:customStyle="1" w:styleId="143">
    <w:name w:val="标题 6 Char"/>
    <w:link w:val="8"/>
    <w:autoRedefine/>
    <w:qFormat/>
    <w:uiPriority w:val="9"/>
    <w:rPr>
      <w:rFonts w:ascii="Times New Roman" w:hAnsi="Calibri" w:eastAsia="黑体" w:cs="Times New Roman"/>
      <w:b/>
      <w:bCs/>
      <w:kern w:val="0"/>
      <w:sz w:val="28"/>
      <w:szCs w:val="24"/>
    </w:rPr>
  </w:style>
  <w:style w:type="character" w:customStyle="1" w:styleId="144">
    <w:name w:val="正文文本 2 Char"/>
    <w:link w:val="32"/>
    <w:autoRedefine/>
    <w:qFormat/>
    <w:uiPriority w:val="0"/>
    <w:rPr>
      <w:rFonts w:ascii="Arial" w:hAnsi="Arial" w:eastAsia="宋体" w:cs="Times New Roman"/>
      <w:color w:val="000000"/>
      <w:szCs w:val="24"/>
    </w:rPr>
  </w:style>
  <w:style w:type="character" w:customStyle="1" w:styleId="145">
    <w:name w:val="标题 3 Char"/>
    <w:link w:val="5"/>
    <w:autoRedefine/>
    <w:qFormat/>
    <w:uiPriority w:val="0"/>
    <w:rPr>
      <w:rFonts w:ascii="宋体" w:hAnsi="Calibri" w:eastAsia="宋体" w:cs="Times New Roman"/>
      <w:kern w:val="0"/>
      <w:sz w:val="24"/>
      <w:szCs w:val="24"/>
    </w:rPr>
  </w:style>
  <w:style w:type="character" w:customStyle="1" w:styleId="146">
    <w:name w:val="正文文本缩进 2 字符1"/>
    <w:autoRedefine/>
    <w:semiHidden/>
    <w:qFormat/>
    <w:uiPriority w:val="99"/>
    <w:rPr>
      <w:rFonts w:ascii="宋体" w:hAnsi="Calibri" w:eastAsia="宋体" w:cs="Times New Roman"/>
      <w:kern w:val="0"/>
      <w:sz w:val="24"/>
      <w:szCs w:val="24"/>
    </w:rPr>
  </w:style>
  <w:style w:type="character" w:customStyle="1" w:styleId="147">
    <w:name w:val="正文文本缩进 3 字符1"/>
    <w:autoRedefine/>
    <w:semiHidden/>
    <w:qFormat/>
    <w:uiPriority w:val="99"/>
    <w:rPr>
      <w:rFonts w:ascii="宋体" w:hAnsi="Calibri" w:eastAsia="宋体" w:cs="Times New Roman"/>
      <w:kern w:val="0"/>
      <w:sz w:val="16"/>
      <w:szCs w:val="16"/>
    </w:rPr>
  </w:style>
  <w:style w:type="character" w:customStyle="1" w:styleId="148">
    <w:name w:val="正文文本 2 字符1"/>
    <w:autoRedefine/>
    <w:semiHidden/>
    <w:qFormat/>
    <w:uiPriority w:val="99"/>
    <w:rPr>
      <w:rFonts w:ascii="宋体" w:hAnsi="Calibri" w:eastAsia="宋体" w:cs="Times New Roman"/>
      <w:kern w:val="0"/>
      <w:sz w:val="24"/>
      <w:szCs w:val="24"/>
    </w:rPr>
  </w:style>
  <w:style w:type="character" w:customStyle="1" w:styleId="149">
    <w:name w:val="eschoolnr"/>
    <w:autoRedefine/>
    <w:qFormat/>
    <w:uiPriority w:val="0"/>
    <w:rPr>
      <w:sz w:val="23"/>
      <w:szCs w:val="23"/>
    </w:rPr>
  </w:style>
  <w:style w:type="character" w:customStyle="1" w:styleId="150">
    <w:name w:val="访问过的超链接1"/>
    <w:autoRedefine/>
    <w:qFormat/>
    <w:uiPriority w:val="0"/>
    <w:rPr>
      <w:rFonts w:ascii="Arial" w:hAnsi="Arial" w:cs="Arial"/>
      <w:color w:val="000000"/>
      <w:sz w:val="20"/>
      <w:szCs w:val="20"/>
      <w:u w:val="none"/>
    </w:rPr>
  </w:style>
  <w:style w:type="character" w:customStyle="1" w:styleId="151">
    <w:name w:val="标题 1 Char1"/>
    <w:link w:val="3"/>
    <w:autoRedefine/>
    <w:qFormat/>
    <w:uiPriority w:val="0"/>
    <w:rPr>
      <w:rFonts w:ascii="宋体" w:hAnsi="Calibri" w:eastAsia="宋体" w:cs="Times New Roman"/>
      <w:kern w:val="0"/>
      <w:sz w:val="24"/>
      <w:szCs w:val="24"/>
    </w:rPr>
  </w:style>
  <w:style w:type="character" w:customStyle="1" w:styleId="152">
    <w:name w:val="批注文字 Char1"/>
    <w:autoRedefine/>
    <w:qFormat/>
    <w:uiPriority w:val="0"/>
    <w:rPr>
      <w:kern w:val="2"/>
      <w:sz w:val="21"/>
      <w:szCs w:val="24"/>
    </w:rPr>
  </w:style>
  <w:style w:type="character" w:customStyle="1" w:styleId="153">
    <w:name w:val="批注框文本 Char"/>
    <w:autoRedefine/>
    <w:semiHidden/>
    <w:qFormat/>
    <w:uiPriority w:val="99"/>
    <w:rPr>
      <w:kern w:val="2"/>
      <w:sz w:val="18"/>
      <w:szCs w:val="18"/>
    </w:rPr>
  </w:style>
  <w:style w:type="character" w:customStyle="1" w:styleId="154">
    <w:name w:val="DAS正文 Char"/>
    <w:autoRedefine/>
    <w:qFormat/>
    <w:uiPriority w:val="0"/>
    <w:rPr>
      <w:rFonts w:ascii="Verdana" w:hAnsi="Verdana" w:eastAsia="宋体"/>
      <w:kern w:val="2"/>
      <w:sz w:val="21"/>
      <w:szCs w:val="21"/>
      <w:lang w:val="en-US" w:eastAsia="zh-CN" w:bidi="ar-SA"/>
    </w:rPr>
  </w:style>
  <w:style w:type="character" w:customStyle="1" w:styleId="155">
    <w:name w:val="正文文本缩进 3 Char"/>
    <w:link w:val="30"/>
    <w:autoRedefine/>
    <w:qFormat/>
    <w:uiPriority w:val="0"/>
    <w:rPr>
      <w:rFonts w:ascii="宋体" w:hAnsi="Times New Roman" w:eastAsia="宋体" w:cs="Times New Roman"/>
      <w:kern w:val="0"/>
      <w:sz w:val="24"/>
      <w:szCs w:val="24"/>
    </w:rPr>
  </w:style>
  <w:style w:type="character" w:customStyle="1" w:styleId="156">
    <w:name w:val="页眉 Char"/>
    <w:autoRedefine/>
    <w:qFormat/>
    <w:uiPriority w:val="99"/>
    <w:rPr>
      <w:kern w:val="2"/>
      <w:sz w:val="18"/>
      <w:szCs w:val="18"/>
    </w:rPr>
  </w:style>
  <w:style w:type="character" w:customStyle="1" w:styleId="157">
    <w:name w:val="正文文本 3 Char"/>
    <w:link w:val="18"/>
    <w:autoRedefine/>
    <w:qFormat/>
    <w:uiPriority w:val="0"/>
    <w:rPr>
      <w:rFonts w:ascii="宋体" w:hAnsi="Times New Roman" w:eastAsia="宋体" w:cs="Times New Roman"/>
      <w:b/>
      <w:bCs/>
      <w:color w:val="3366FF"/>
      <w:sz w:val="52"/>
      <w:szCs w:val="52"/>
      <w:lang w:val="zh-CN"/>
    </w:rPr>
  </w:style>
  <w:style w:type="character" w:customStyle="1" w:styleId="158">
    <w:name w:val="HTML 预设格式 字符1"/>
    <w:autoRedefine/>
    <w:semiHidden/>
    <w:qFormat/>
    <w:uiPriority w:val="99"/>
    <w:rPr>
      <w:rFonts w:ascii="Courier New" w:hAnsi="Courier New" w:eastAsia="宋体" w:cs="Courier New"/>
      <w:kern w:val="0"/>
      <w:sz w:val="20"/>
      <w:szCs w:val="20"/>
    </w:rPr>
  </w:style>
  <w:style w:type="character" w:customStyle="1" w:styleId="159">
    <w:name w:val="彩色列表 - 强调文字颜色 1 Char"/>
    <w:link w:val="160"/>
    <w:autoRedefine/>
    <w:qFormat/>
    <w:uiPriority w:val="0"/>
    <w:rPr>
      <w:rFonts w:ascii="宋体"/>
      <w:sz w:val="24"/>
      <w:szCs w:val="24"/>
    </w:rPr>
  </w:style>
  <w:style w:type="paragraph" w:customStyle="1" w:styleId="160">
    <w:name w:val="彩色列表 - 强调文字颜色 11"/>
    <w:basedOn w:val="1"/>
    <w:link w:val="159"/>
    <w:autoRedefine/>
    <w:qFormat/>
    <w:uiPriority w:val="0"/>
    <w:pPr>
      <w:autoSpaceDE w:val="0"/>
      <w:autoSpaceDN w:val="0"/>
      <w:adjustRightInd w:val="0"/>
      <w:ind w:firstLine="420" w:firstLineChars="200"/>
      <w:jc w:val="left"/>
    </w:pPr>
    <w:rPr>
      <w:rFonts w:ascii="宋体"/>
      <w:sz w:val="24"/>
      <w:szCs w:val="24"/>
    </w:rPr>
  </w:style>
  <w:style w:type="character" w:customStyle="1" w:styleId="161">
    <w:name w:val="普通(网站) 字符"/>
    <w:autoRedefine/>
    <w:qFormat/>
    <w:locked/>
    <w:uiPriority w:val="99"/>
    <w:rPr>
      <w:rFonts w:ascii="宋体" w:hAnsi="宋体" w:eastAsia="宋体" w:cs="Times New Roman"/>
      <w:kern w:val="0"/>
      <w:sz w:val="15"/>
      <w:szCs w:val="15"/>
      <w:lang w:val="en-US" w:eastAsia="zh-CN"/>
    </w:rPr>
  </w:style>
  <w:style w:type="paragraph" w:customStyle="1" w:styleId="162">
    <w:name w:val="_Style 123"/>
    <w:basedOn w:val="1"/>
    <w:next w:val="130"/>
    <w:autoRedefine/>
    <w:qFormat/>
    <w:uiPriority w:val="34"/>
    <w:pPr>
      <w:spacing w:line="360" w:lineRule="auto"/>
      <w:ind w:firstLine="420" w:firstLineChars="200"/>
    </w:pPr>
    <w:rPr>
      <w:rFonts w:ascii="Calibri" w:hAnsi="Calibri" w:eastAsia="宋体" w:cs="Times New Roman"/>
    </w:rPr>
  </w:style>
  <w:style w:type="character" w:customStyle="1" w:styleId="163">
    <w:name w:val="纯文本 字符4"/>
    <w:basedOn w:val="41"/>
    <w:autoRedefine/>
    <w:semiHidden/>
    <w:qFormat/>
    <w:uiPriority w:val="99"/>
    <w:rPr>
      <w:rFonts w:hAnsi="Courier New" w:cs="Courier New" w:asciiTheme="minorEastAsia"/>
    </w:rPr>
  </w:style>
  <w:style w:type="character" w:customStyle="1" w:styleId="164">
    <w:name w:val="批注文字 Char2"/>
    <w:basedOn w:val="41"/>
    <w:link w:val="17"/>
    <w:autoRedefine/>
    <w:semiHidden/>
    <w:qFormat/>
    <w:uiPriority w:val="99"/>
  </w:style>
  <w:style w:type="character" w:customStyle="1" w:styleId="165">
    <w:name w:val="批注主题 字符2"/>
    <w:basedOn w:val="164"/>
    <w:autoRedefine/>
    <w:semiHidden/>
    <w:qFormat/>
    <w:uiPriority w:val="99"/>
    <w:rPr>
      <w:b/>
      <w:bCs/>
    </w:rPr>
  </w:style>
  <w:style w:type="character" w:customStyle="1" w:styleId="166">
    <w:name w:val="标题 字符3"/>
    <w:basedOn w:val="41"/>
    <w:autoRedefine/>
    <w:qFormat/>
    <w:uiPriority w:val="10"/>
    <w:rPr>
      <w:rFonts w:asciiTheme="majorHAnsi" w:hAnsiTheme="majorHAnsi" w:eastAsiaTheme="majorEastAsia" w:cstheme="majorBidi"/>
      <w:b/>
      <w:bCs/>
      <w:sz w:val="32"/>
      <w:szCs w:val="32"/>
    </w:rPr>
  </w:style>
  <w:style w:type="character" w:customStyle="1" w:styleId="167">
    <w:name w:val="正文文本缩进 字符3"/>
    <w:basedOn w:val="41"/>
    <w:autoRedefine/>
    <w:semiHidden/>
    <w:qFormat/>
    <w:uiPriority w:val="99"/>
  </w:style>
  <w:style w:type="character" w:customStyle="1" w:styleId="168">
    <w:name w:val="正文文本 字符4"/>
    <w:basedOn w:val="41"/>
    <w:autoRedefine/>
    <w:semiHidden/>
    <w:qFormat/>
    <w:uiPriority w:val="99"/>
  </w:style>
  <w:style w:type="character" w:customStyle="1" w:styleId="169">
    <w:name w:val="正文文本缩进 3 字符2"/>
    <w:basedOn w:val="41"/>
    <w:autoRedefine/>
    <w:semiHidden/>
    <w:qFormat/>
    <w:uiPriority w:val="99"/>
    <w:rPr>
      <w:sz w:val="16"/>
      <w:szCs w:val="16"/>
    </w:rPr>
  </w:style>
  <w:style w:type="character" w:customStyle="1" w:styleId="170">
    <w:name w:val="页眉 字符2"/>
    <w:basedOn w:val="41"/>
    <w:autoRedefine/>
    <w:semiHidden/>
    <w:qFormat/>
    <w:uiPriority w:val="99"/>
    <w:rPr>
      <w:sz w:val="18"/>
      <w:szCs w:val="18"/>
    </w:rPr>
  </w:style>
  <w:style w:type="character" w:customStyle="1" w:styleId="171">
    <w:name w:val="批注框文本 字符2"/>
    <w:basedOn w:val="41"/>
    <w:autoRedefine/>
    <w:semiHidden/>
    <w:qFormat/>
    <w:uiPriority w:val="99"/>
    <w:rPr>
      <w:sz w:val="18"/>
      <w:szCs w:val="18"/>
    </w:rPr>
  </w:style>
  <w:style w:type="character" w:customStyle="1" w:styleId="172">
    <w:name w:val="HTML 预设格式 字符2"/>
    <w:basedOn w:val="41"/>
    <w:autoRedefine/>
    <w:semiHidden/>
    <w:qFormat/>
    <w:uiPriority w:val="99"/>
    <w:rPr>
      <w:rFonts w:ascii="Courier New" w:hAnsi="Courier New" w:cs="Courier New"/>
      <w:sz w:val="20"/>
      <w:szCs w:val="20"/>
    </w:rPr>
  </w:style>
  <w:style w:type="character" w:customStyle="1" w:styleId="173">
    <w:name w:val="页脚 字符2"/>
    <w:basedOn w:val="41"/>
    <w:autoRedefine/>
    <w:semiHidden/>
    <w:qFormat/>
    <w:uiPriority w:val="99"/>
    <w:rPr>
      <w:sz w:val="18"/>
      <w:szCs w:val="18"/>
    </w:rPr>
  </w:style>
  <w:style w:type="character" w:customStyle="1" w:styleId="174">
    <w:name w:val="正文文本缩进 2 字符2"/>
    <w:basedOn w:val="41"/>
    <w:autoRedefine/>
    <w:semiHidden/>
    <w:qFormat/>
    <w:uiPriority w:val="99"/>
  </w:style>
  <w:style w:type="character" w:customStyle="1" w:styleId="175">
    <w:name w:val="正文文本 3 字符2"/>
    <w:basedOn w:val="41"/>
    <w:autoRedefine/>
    <w:semiHidden/>
    <w:qFormat/>
    <w:uiPriority w:val="99"/>
    <w:rPr>
      <w:sz w:val="16"/>
      <w:szCs w:val="16"/>
    </w:rPr>
  </w:style>
  <w:style w:type="character" w:customStyle="1" w:styleId="176">
    <w:name w:val="正文文本 2 字符2"/>
    <w:basedOn w:val="41"/>
    <w:autoRedefine/>
    <w:semiHidden/>
    <w:qFormat/>
    <w:uiPriority w:val="99"/>
  </w:style>
  <w:style w:type="paragraph" w:customStyle="1" w:styleId="177">
    <w:name w:val="WPSOffice手动目录 3"/>
    <w:autoRedefine/>
    <w:qFormat/>
    <w:uiPriority w:val="0"/>
    <w:pPr>
      <w:ind w:left="400" w:leftChars="400"/>
    </w:pPr>
    <w:rPr>
      <w:rFonts w:ascii="Calibri" w:hAnsi="Calibri" w:eastAsia="宋体" w:cs="Times New Roman"/>
      <w:lang w:val="en-US" w:eastAsia="zh-CN" w:bidi="ar-SA"/>
    </w:rPr>
  </w:style>
  <w:style w:type="paragraph" w:customStyle="1" w:styleId="178">
    <w:name w:val="列表段落1"/>
    <w:basedOn w:val="1"/>
    <w:autoRedefine/>
    <w:qFormat/>
    <w:uiPriority w:val="0"/>
    <w:pPr>
      <w:ind w:firstLine="420" w:firstLineChars="200"/>
    </w:pPr>
    <w:rPr>
      <w:rFonts w:ascii="Times New Roman" w:hAnsi="Times New Roman" w:eastAsia="宋体" w:cs="Times New Roman"/>
      <w:szCs w:val="20"/>
    </w:rPr>
  </w:style>
  <w:style w:type="character" w:customStyle="1" w:styleId="179">
    <w:name w:val="文档结构图 字符2"/>
    <w:basedOn w:val="41"/>
    <w:autoRedefine/>
    <w:semiHidden/>
    <w:qFormat/>
    <w:uiPriority w:val="99"/>
    <w:rPr>
      <w:rFonts w:ascii="Microsoft YaHei UI" w:eastAsia="Microsoft YaHei UI"/>
      <w:sz w:val="18"/>
      <w:szCs w:val="18"/>
    </w:rPr>
  </w:style>
  <w:style w:type="character" w:customStyle="1" w:styleId="180">
    <w:name w:val="日期 字符2"/>
    <w:basedOn w:val="41"/>
    <w:autoRedefine/>
    <w:semiHidden/>
    <w:qFormat/>
    <w:uiPriority w:val="99"/>
  </w:style>
  <w:style w:type="paragraph" w:customStyle="1" w:styleId="181">
    <w:name w:val="彩色底纹 - 强调文字颜色 11"/>
    <w:autoRedefine/>
    <w:semiHidden/>
    <w:qFormat/>
    <w:uiPriority w:val="99"/>
    <w:rPr>
      <w:rFonts w:ascii="宋体" w:hAnsi="Calibri" w:eastAsia="宋体" w:cs="Times New Roman"/>
      <w:sz w:val="24"/>
      <w:szCs w:val="24"/>
      <w:lang w:val="en-US" w:eastAsia="zh-CN" w:bidi="ar-SA"/>
    </w:rPr>
  </w:style>
  <w:style w:type="paragraph" w:customStyle="1" w:styleId="182">
    <w:name w:val="d"/>
    <w:basedOn w:val="1"/>
    <w:autoRedefine/>
    <w:qFormat/>
    <w:uiPriority w:val="0"/>
    <w:pPr>
      <w:overflowPunct w:val="0"/>
      <w:autoSpaceDE w:val="0"/>
      <w:autoSpaceDN w:val="0"/>
      <w:adjustRightInd w:val="0"/>
      <w:snapToGrid w:val="0"/>
      <w:spacing w:line="360" w:lineRule="auto"/>
      <w:ind w:firstLine="480" w:firstLineChars="200"/>
    </w:pPr>
    <w:rPr>
      <w:rFonts w:ascii="宋体" w:hAnsi="宋体" w:eastAsia="宋体" w:cs="Arial"/>
      <w:snapToGrid w:val="0"/>
      <w:kern w:val="0"/>
      <w:sz w:val="24"/>
      <w:szCs w:val="21"/>
    </w:rPr>
  </w:style>
  <w:style w:type="paragraph" w:customStyle="1" w:styleId="183">
    <w:name w:val="修订1"/>
    <w:autoRedefine/>
    <w:semiHidden/>
    <w:qFormat/>
    <w:uiPriority w:val="99"/>
    <w:rPr>
      <w:rFonts w:ascii="宋体" w:hAnsi="Calibri" w:eastAsia="宋体" w:cs="Times New Roman"/>
      <w:sz w:val="24"/>
      <w:szCs w:val="24"/>
      <w:lang w:val="en-US" w:eastAsia="zh-CN" w:bidi="ar-SA"/>
    </w:rPr>
  </w:style>
  <w:style w:type="paragraph" w:customStyle="1" w:styleId="184">
    <w:name w:val="图/图注"/>
    <w:basedOn w:val="9"/>
    <w:autoRedefine/>
    <w:qFormat/>
    <w:uiPriority w:val="0"/>
    <w:pPr>
      <w:wordWrap/>
      <w:autoSpaceDE/>
      <w:autoSpaceDN/>
      <w:adjustRightInd/>
      <w:spacing w:before="50"/>
      <w:ind w:firstLine="0" w:firstLineChars="0"/>
      <w:jc w:val="center"/>
    </w:pPr>
    <w:rPr>
      <w:rFonts w:ascii="Times New Roman" w:eastAsia="黑体"/>
      <w:b/>
      <w:sz w:val="21"/>
      <w:szCs w:val="22"/>
    </w:rPr>
  </w:style>
  <w:style w:type="paragraph" w:customStyle="1" w:styleId="185">
    <w:name w:val="Default"/>
    <w:autoRedefine/>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186">
    <w:name w:val="A."/>
    <w:basedOn w:val="1"/>
    <w:autoRedefine/>
    <w:qFormat/>
    <w:uiPriority w:val="0"/>
    <w:pPr>
      <w:widowControl/>
      <w:tabs>
        <w:tab w:val="left" w:pos="859"/>
        <w:tab w:val="left" w:pos="1200"/>
      </w:tabs>
      <w:spacing w:before="240" w:line="240" w:lineRule="atLeast"/>
      <w:ind w:left="859" w:hanging="453"/>
    </w:pPr>
    <w:rPr>
      <w:rFonts w:ascii="Times New Roman" w:hAnsi="Times New Roman" w:eastAsia="宋体" w:cs="Times New Roman"/>
      <w:sz w:val="24"/>
      <w:szCs w:val="24"/>
    </w:rPr>
  </w:style>
  <w:style w:type="paragraph" w:customStyle="1" w:styleId="187">
    <w:name w:val="Pa8"/>
    <w:basedOn w:val="1"/>
    <w:next w:val="1"/>
    <w:autoRedefine/>
    <w:qFormat/>
    <w:uiPriority w:val="99"/>
    <w:pPr>
      <w:autoSpaceDE w:val="0"/>
      <w:autoSpaceDN w:val="0"/>
      <w:adjustRightInd w:val="0"/>
      <w:spacing w:line="181" w:lineRule="atLeast"/>
      <w:jc w:val="left"/>
    </w:pPr>
    <w:rPr>
      <w:rFonts w:ascii="FrutigerNext LT Light" w:hAnsi="Calibri" w:eastAsia="FrutigerNext LT Light" w:cs="Times New Roman"/>
      <w:kern w:val="0"/>
      <w:sz w:val="24"/>
      <w:szCs w:val="24"/>
    </w:rPr>
  </w:style>
  <w:style w:type="paragraph" w:customStyle="1" w:styleId="188">
    <w:name w:val="p0"/>
    <w:basedOn w:val="1"/>
    <w:autoRedefine/>
    <w:qFormat/>
    <w:uiPriority w:val="0"/>
    <w:pPr>
      <w:widowControl/>
    </w:pPr>
    <w:rPr>
      <w:rFonts w:ascii="Times New Roman" w:hAnsi="Calibri" w:eastAsia="宋体" w:cs="Times New Roman"/>
      <w:kern w:val="0"/>
      <w:szCs w:val="20"/>
    </w:rPr>
  </w:style>
  <w:style w:type="paragraph" w:customStyle="1" w:styleId="189">
    <w:name w:val="Char Char Char Char Char Char"/>
    <w:basedOn w:val="1"/>
    <w:autoRedefine/>
    <w:qFormat/>
    <w:uiPriority w:val="0"/>
    <w:pPr>
      <w:widowControl/>
      <w:spacing w:after="160" w:line="240" w:lineRule="exact"/>
      <w:jc w:val="left"/>
    </w:pPr>
    <w:rPr>
      <w:rFonts w:ascii="Times New Roman" w:hAnsi="Times New Roman" w:eastAsia="宋体" w:cs="Times New Roman"/>
      <w:szCs w:val="24"/>
    </w:rPr>
  </w:style>
  <w:style w:type="paragraph" w:customStyle="1" w:styleId="190">
    <w:name w:val="Char"/>
    <w:basedOn w:val="1"/>
    <w:autoRedefine/>
    <w:qFormat/>
    <w:uiPriority w:val="0"/>
    <w:pPr>
      <w:widowControl/>
      <w:spacing w:after="160" w:line="240" w:lineRule="exact"/>
      <w:jc w:val="center"/>
    </w:pPr>
    <w:rPr>
      <w:rFonts w:ascii="Times New Roman" w:hAnsi="Times New Roman" w:eastAsia="宋体" w:cs="Times New Roman"/>
      <w:szCs w:val="24"/>
    </w:rPr>
  </w:style>
  <w:style w:type="paragraph" w:customStyle="1" w:styleId="191">
    <w:name w:val="网格表 32"/>
    <w:basedOn w:val="3"/>
    <w:next w:val="1"/>
    <w:autoRedefine/>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2">
    <w:name w:val="WPSOffice手动目录 1"/>
    <w:autoRedefine/>
    <w:qFormat/>
    <w:uiPriority w:val="0"/>
    <w:rPr>
      <w:rFonts w:ascii="Calibri" w:hAnsi="Calibri" w:eastAsia="宋体" w:cs="Times New Roman"/>
      <w:lang w:val="en-US" w:eastAsia="zh-CN" w:bidi="ar-SA"/>
    </w:rPr>
  </w:style>
  <w:style w:type="paragraph" w:customStyle="1" w:styleId="193">
    <w:name w:val="_Style 69"/>
    <w:basedOn w:val="1"/>
    <w:next w:val="130"/>
    <w:autoRedefine/>
    <w:qFormat/>
    <w:uiPriority w:val="34"/>
    <w:pPr>
      <w:spacing w:line="360" w:lineRule="auto"/>
      <w:ind w:firstLine="420" w:firstLineChars="200"/>
    </w:pPr>
    <w:rPr>
      <w:rFonts w:ascii="Calibri" w:hAnsi="Calibri" w:eastAsia="宋体" w:cs="Times New Roman"/>
    </w:rPr>
  </w:style>
  <w:style w:type="paragraph" w:customStyle="1" w:styleId="194">
    <w:name w:val="中等深浅网格 21"/>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195">
    <w:name w:val="保留正文"/>
    <w:basedOn w:val="19"/>
    <w:autoRedefine/>
    <w:qFormat/>
    <w:uiPriority w:val="0"/>
    <w:pPr>
      <w:keepNext/>
      <w:autoSpaceDE/>
      <w:autoSpaceDN/>
      <w:adjustRightInd/>
      <w:spacing w:after="160"/>
      <w:ind w:right="0"/>
      <w:jc w:val="both"/>
    </w:pPr>
    <w:rPr>
      <w:rFonts w:ascii="Times New Roman"/>
      <w:b w:val="0"/>
      <w:bCs w:val="0"/>
      <w:sz w:val="21"/>
      <w:szCs w:val="24"/>
      <w:lang w:val="en-US"/>
    </w:rPr>
  </w:style>
  <w:style w:type="paragraph" w:customStyle="1" w:styleId="196">
    <w:name w:val="彩色底纹 - 着色 11"/>
    <w:autoRedefine/>
    <w:semiHidden/>
    <w:qFormat/>
    <w:uiPriority w:val="99"/>
    <w:rPr>
      <w:rFonts w:ascii="宋体" w:hAnsi="Calibri" w:eastAsia="宋体" w:cs="Times New Roman"/>
      <w:sz w:val="24"/>
      <w:szCs w:val="24"/>
      <w:lang w:val="en-US" w:eastAsia="zh-CN" w:bidi="ar-SA"/>
    </w:rPr>
  </w:style>
  <w:style w:type="paragraph" w:customStyle="1" w:styleId="197">
    <w:name w:val="WPSOffice手动目录 2"/>
    <w:autoRedefine/>
    <w:qFormat/>
    <w:uiPriority w:val="0"/>
    <w:pPr>
      <w:ind w:left="200" w:leftChars="200"/>
    </w:pPr>
    <w:rPr>
      <w:rFonts w:ascii="Calibri" w:hAnsi="Calibri" w:eastAsia="宋体" w:cs="Times New Roman"/>
      <w:lang w:val="en-US" w:eastAsia="zh-CN" w:bidi="ar-SA"/>
    </w:rPr>
  </w:style>
  <w:style w:type="paragraph" w:customStyle="1" w:styleId="198">
    <w:name w:val="网格表 31"/>
    <w:basedOn w:val="3"/>
    <w:next w:val="1"/>
    <w:autoRedefine/>
    <w:unhideWhenUsed/>
    <w:qFormat/>
    <w:uiPriority w:val="39"/>
    <w:pPr>
      <w:keepNext/>
      <w:keepLines/>
      <w:widowControl/>
      <w:autoSpaceDE/>
      <w:autoSpaceDN/>
      <w:adjustRightInd/>
      <w:spacing w:before="480" w:line="276" w:lineRule="auto"/>
      <w:outlineLvl w:val="9"/>
    </w:pPr>
    <w:rPr>
      <w:rFonts w:ascii="Cambria" w:hAnsi="Cambria"/>
      <w:b/>
      <w:bCs/>
      <w:color w:val="365F91"/>
      <w:sz w:val="28"/>
      <w:szCs w:val="28"/>
    </w:rPr>
  </w:style>
  <w:style w:type="paragraph" w:customStyle="1" w:styleId="199">
    <w:name w:val="表格文字居中"/>
    <w:basedOn w:val="123"/>
    <w:autoRedefine/>
    <w:qFormat/>
    <w:uiPriority w:val="0"/>
    <w:pPr>
      <w:jc w:val="center"/>
    </w:pPr>
    <w:rPr>
      <w:rFonts w:cs="宋体"/>
      <w:szCs w:val="20"/>
    </w:rPr>
  </w:style>
  <w:style w:type="paragraph" w:customStyle="1" w:styleId="200">
    <w:name w:val="正文缩进4格"/>
    <w:basedOn w:val="64"/>
    <w:autoRedefine/>
    <w:qFormat/>
    <w:uiPriority w:val="0"/>
    <w:pPr>
      <w:spacing w:line="360" w:lineRule="auto"/>
      <w:ind w:left="964" w:leftChars="314" w:hanging="210" w:hangingChars="100"/>
    </w:pPr>
    <w:rPr>
      <w:rFonts w:ascii="宋体" w:eastAsia="宋体"/>
      <w:sz w:val="21"/>
      <w:szCs w:val="21"/>
      <w:lang w:val="zh-CN"/>
    </w:rPr>
  </w:style>
  <w:style w:type="paragraph" w:customStyle="1" w:styleId="201">
    <w:name w:val="版本说明标题"/>
    <w:basedOn w:val="1"/>
    <w:autoRedefine/>
    <w:qFormat/>
    <w:uiPriority w:val="0"/>
    <w:pPr>
      <w:adjustRightInd w:val="0"/>
      <w:snapToGrid w:val="0"/>
      <w:spacing w:beforeLines="50" w:afterLines="50"/>
      <w:ind w:firstLine="560"/>
      <w:jc w:val="center"/>
      <w:textAlignment w:val="baseline"/>
    </w:pPr>
    <w:rPr>
      <w:rFonts w:ascii="Times New Roman" w:hAnsi="Calibri" w:eastAsia="仿宋_GB2312" w:cs="Times New Roman"/>
      <w:b/>
      <w:color w:val="000000"/>
      <w:sz w:val="28"/>
      <w:szCs w:val="28"/>
    </w:rPr>
  </w:style>
  <w:style w:type="character" w:customStyle="1" w:styleId="202">
    <w:name w:val="正文首行缩进 Char"/>
    <w:basedOn w:val="119"/>
    <w:link w:val="37"/>
    <w:autoRedefine/>
    <w:semiHidden/>
    <w:qFormat/>
    <w:uiPriority w:val="99"/>
    <w:rPr>
      <w:rFonts w:ascii="宋体" w:eastAsia="宋体"/>
      <w:b w:val="0"/>
      <w:bCs w:val="0"/>
      <w:sz w:val="84"/>
      <w:szCs w:val="84"/>
      <w:lang w:val="zh-CN"/>
    </w:rPr>
  </w:style>
  <w:style w:type="paragraph" w:customStyle="1" w:styleId="203">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4">
    <w:name w:val="_Style 200"/>
    <w:basedOn w:val="1"/>
    <w:next w:val="130"/>
    <w:autoRedefine/>
    <w:qFormat/>
    <w:uiPriority w:val="34"/>
    <w:pPr>
      <w:ind w:firstLine="420" w:firstLineChars="200"/>
    </w:pPr>
    <w:rPr>
      <w:rFonts w:ascii="Calibri" w:hAnsi="Calibri" w:eastAsia="宋体" w:cs="Times New Roman"/>
    </w:rPr>
  </w:style>
  <w:style w:type="paragraph" w:customStyle="1" w:styleId="205">
    <w:name w:val="正文_0"/>
    <w:autoRedefine/>
    <w:qFormat/>
    <w:uiPriority w:val="0"/>
    <w:rPr>
      <w:rFonts w:ascii="Times New Roman"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127</Pages>
  <Words>17779</Words>
  <Characters>18695</Characters>
  <Lines>314</Lines>
  <Paragraphs>88</Paragraphs>
  <TotalTime>0</TotalTime>
  <ScaleCrop>false</ScaleCrop>
  <LinksUpToDate>false</LinksUpToDate>
  <CharactersWithSpaces>19179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2023-07-19T02:55:00Z</dcterms:created>
  <dc:creator>HS</dc:creator>
  <cp:lastModifiedBy>YD-ho</cp:lastModifiedBy>
  <dcterms:modified xsi:type="dcterms:W3CDTF">2025-03-28T03:28:59Z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5EAEB9B361B44B89BC5908663CAAB25A_13</vt:lpwstr>
  </property>
  <property fmtid="{D5CDD505-2E9C-101B-9397-08002B2CF9AE}" pid="4" name="KSOTemplateDocerSaveRecord">
    <vt:lpwstr>eyJoZGlkIjoiZGIwNDZhMTMxM2EyYzUxY2RmNGE4YzgzZTdiOWQwYWQiLCJ1c2VySWQiOiI0MTQ1MDg4MDkifQ==</vt:lpwstr>
  </property>
</Properties>
</file>