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15EF5">
      <w:pPr>
        <w:autoSpaceDE w:val="0"/>
        <w:autoSpaceDN w:val="0"/>
        <w:adjustRightInd w:val="0"/>
        <w:spacing w:line="276" w:lineRule="auto"/>
        <w:ind w:left="357" w:leftChars="170" w:right="-23" w:rightChars="-11"/>
        <w:jc w:val="center"/>
        <w:rPr>
          <w:rFonts w:ascii="宋体" w:hAnsi="宋体" w:eastAsia="宋体" w:cs="宋体"/>
          <w:b/>
          <w:bCs/>
          <w:color w:val="auto"/>
          <w:kern w:val="0"/>
          <w:sz w:val="52"/>
          <w:szCs w:val="52"/>
          <w:highlight w:val="none"/>
          <w:lang w:val="zh-CN"/>
        </w:rPr>
      </w:pPr>
    </w:p>
    <w:p w14:paraId="68D8FC67">
      <w:pPr>
        <w:autoSpaceDE w:val="0"/>
        <w:autoSpaceDN w:val="0"/>
        <w:adjustRightInd w:val="0"/>
        <w:spacing w:line="276" w:lineRule="auto"/>
        <w:ind w:left="357" w:leftChars="170" w:right="-23" w:rightChars="-11"/>
        <w:jc w:val="center"/>
        <w:outlineLvl w:val="0"/>
        <w:rPr>
          <w:rFonts w:ascii="宋体" w:hAnsi="宋体" w:eastAsia="宋体" w:cs="宋体"/>
          <w:b/>
          <w:bCs/>
          <w:color w:val="auto"/>
          <w:kern w:val="0"/>
          <w:sz w:val="44"/>
          <w:szCs w:val="44"/>
          <w:highlight w:val="none"/>
          <w:lang w:val="zh-CN"/>
        </w:rPr>
      </w:pPr>
      <w:bookmarkStart w:id="0" w:name="_Toc2619"/>
      <w:r>
        <w:rPr>
          <w:rFonts w:hint="eastAsia" w:ascii="宋体" w:hAnsi="宋体" w:eastAsia="宋体" w:cs="宋体"/>
          <w:b/>
          <w:bCs/>
          <w:color w:val="auto"/>
          <w:kern w:val="0"/>
          <w:sz w:val="60"/>
          <w:szCs w:val="60"/>
          <w:highlight w:val="none"/>
          <w:lang w:val="zh-CN"/>
        </w:rPr>
        <w:t>东莞市水务集团管网有限公司2025年保安服务采购项目</w:t>
      </w:r>
      <w:bookmarkEnd w:id="0"/>
    </w:p>
    <w:p w14:paraId="291B6657">
      <w:pPr>
        <w:autoSpaceDE w:val="0"/>
        <w:autoSpaceDN w:val="0"/>
        <w:adjustRightInd w:val="0"/>
        <w:ind w:right="-23" w:rightChars="-11"/>
        <w:jc w:val="left"/>
        <w:rPr>
          <w:rFonts w:ascii="宋体" w:hAnsi="宋体" w:eastAsia="宋体" w:cs="宋体"/>
          <w:b/>
          <w:bCs/>
          <w:color w:val="auto"/>
          <w:sz w:val="44"/>
          <w:szCs w:val="44"/>
          <w:highlight w:val="none"/>
          <w:lang w:val="zh-CN"/>
        </w:rPr>
      </w:pPr>
    </w:p>
    <w:p w14:paraId="61B7E36C">
      <w:pPr>
        <w:autoSpaceDE w:val="0"/>
        <w:autoSpaceDN w:val="0"/>
        <w:adjustRightInd w:val="0"/>
        <w:ind w:right="-23" w:rightChars="-11"/>
        <w:jc w:val="center"/>
        <w:rPr>
          <w:rFonts w:ascii="宋体" w:hAnsi="宋体" w:eastAsia="宋体" w:cs="Times New Roman"/>
          <w:b/>
          <w:bCs/>
          <w:color w:val="auto"/>
          <w:sz w:val="72"/>
          <w:szCs w:val="72"/>
          <w:highlight w:val="none"/>
          <w:lang w:val="zh-CN"/>
        </w:rPr>
      </w:pPr>
    </w:p>
    <w:p w14:paraId="52916A43">
      <w:pPr>
        <w:autoSpaceDE w:val="0"/>
        <w:autoSpaceDN w:val="0"/>
        <w:adjustRightInd w:val="0"/>
        <w:ind w:right="-23" w:rightChars="-11"/>
        <w:jc w:val="center"/>
        <w:rPr>
          <w:rFonts w:ascii="宋体" w:hAnsi="宋体" w:eastAsia="宋体" w:cs="Times New Roman"/>
          <w:b/>
          <w:bCs/>
          <w:color w:val="auto"/>
          <w:sz w:val="72"/>
          <w:szCs w:val="72"/>
          <w:highlight w:val="none"/>
          <w:lang w:val="zh-CN"/>
        </w:rPr>
      </w:pPr>
      <w:r>
        <w:rPr>
          <w:rFonts w:hint="eastAsia" w:ascii="宋体" w:hAnsi="宋体" w:eastAsia="宋体" w:cs="Times New Roman"/>
          <w:b/>
          <w:bCs/>
          <w:color w:val="auto"/>
          <w:sz w:val="72"/>
          <w:szCs w:val="72"/>
          <w:highlight w:val="none"/>
          <w:lang w:val="zh-CN"/>
        </w:rPr>
        <w:t>招</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件</w:t>
      </w:r>
    </w:p>
    <w:p w14:paraId="75053207">
      <w:pPr>
        <w:autoSpaceDE w:val="0"/>
        <w:autoSpaceDN w:val="0"/>
        <w:adjustRightInd w:val="0"/>
        <w:ind w:right="-23" w:rightChars="-11"/>
        <w:jc w:val="center"/>
        <w:rPr>
          <w:rFonts w:ascii="宋体" w:hAnsi="宋体" w:eastAsia="宋体" w:cs="宋体"/>
          <w:b/>
          <w:bCs/>
          <w:color w:val="auto"/>
          <w:sz w:val="32"/>
          <w:szCs w:val="32"/>
          <w:highlight w:val="none"/>
          <w:lang w:val="zh-CN"/>
        </w:rPr>
      </w:pPr>
    </w:p>
    <w:p w14:paraId="267442F7">
      <w:pPr>
        <w:autoSpaceDE w:val="0"/>
        <w:autoSpaceDN w:val="0"/>
        <w:adjustRightInd w:val="0"/>
        <w:ind w:right="-23" w:rightChars="-11"/>
        <w:jc w:val="center"/>
        <w:rPr>
          <w:rFonts w:ascii="宋体" w:hAnsi="宋体" w:eastAsia="宋体" w:cs="宋体"/>
          <w:b/>
          <w:bCs/>
          <w:color w:val="auto"/>
          <w:sz w:val="44"/>
          <w:szCs w:val="44"/>
          <w:highlight w:val="none"/>
          <w:lang w:val="zh-CN"/>
        </w:rPr>
      </w:pPr>
    </w:p>
    <w:p w14:paraId="0D7E21AB">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14:paraId="7C7BD349">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highlight w:val="none"/>
          <w:lang w:val="zh-CN"/>
        </w:rPr>
      </w:pPr>
    </w:p>
    <w:p w14:paraId="082575F4">
      <w:pPr>
        <w:autoSpaceDE w:val="0"/>
        <w:autoSpaceDN w:val="0"/>
        <w:adjustRightInd w:val="0"/>
        <w:spacing w:line="480" w:lineRule="auto"/>
        <w:ind w:left="1842" w:leftChars="877" w:firstLine="19" w:firstLineChars="6"/>
        <w:jc w:val="left"/>
        <w:outlineLvl w:val="0"/>
        <w:rPr>
          <w:rFonts w:ascii="宋体" w:hAnsi="宋体" w:eastAsia="宋体" w:cs="Times New Roman"/>
          <w:b/>
          <w:bCs/>
          <w:color w:val="auto"/>
          <w:sz w:val="32"/>
          <w:szCs w:val="32"/>
          <w:highlight w:val="none"/>
          <w:lang w:val="zh-CN"/>
        </w:rPr>
      </w:pPr>
      <w:bookmarkStart w:id="1" w:name="_Toc15754"/>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编</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号：YDZB24DGQY0200</w:t>
      </w:r>
      <w:bookmarkEnd w:id="1"/>
    </w:p>
    <w:p w14:paraId="104BB275">
      <w:pPr>
        <w:autoSpaceDE w:val="0"/>
        <w:autoSpaceDN w:val="0"/>
        <w:adjustRightInd w:val="0"/>
        <w:spacing w:line="480" w:lineRule="auto"/>
        <w:ind w:left="1842" w:leftChars="877" w:firstLine="19" w:firstLineChars="6"/>
        <w:jc w:val="left"/>
        <w:outlineLvl w:val="0"/>
        <w:rPr>
          <w:rFonts w:ascii="宋体" w:hAnsi="宋体" w:eastAsia="宋体" w:cs="Times New Roman"/>
          <w:b/>
          <w:bCs/>
          <w:color w:val="auto"/>
          <w:sz w:val="32"/>
          <w:szCs w:val="32"/>
          <w:highlight w:val="none"/>
          <w:lang w:val="zh-CN"/>
        </w:rPr>
      </w:pPr>
      <w:bookmarkStart w:id="2" w:name="_Toc12039"/>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人：东莞市水务集团管网有限公司</w:t>
      </w:r>
      <w:bookmarkEnd w:id="2"/>
    </w:p>
    <w:p w14:paraId="19AD63CE">
      <w:pPr>
        <w:autoSpaceDE w:val="0"/>
        <w:autoSpaceDN w:val="0"/>
        <w:adjustRightInd w:val="0"/>
        <w:spacing w:line="480" w:lineRule="auto"/>
        <w:ind w:left="1842" w:leftChars="877" w:firstLine="19" w:firstLineChars="6"/>
        <w:jc w:val="left"/>
        <w:outlineLvl w:val="0"/>
        <w:rPr>
          <w:rFonts w:ascii="宋体" w:hAnsi="宋体" w:eastAsia="宋体" w:cs="Times New Roman"/>
          <w:b/>
          <w:bCs/>
          <w:color w:val="auto"/>
          <w:sz w:val="32"/>
          <w:szCs w:val="32"/>
          <w:highlight w:val="none"/>
          <w:lang w:val="zh-CN"/>
        </w:rPr>
      </w:pPr>
      <w:bookmarkStart w:id="3" w:name="_Toc27974"/>
      <w:r>
        <w:rPr>
          <w:rFonts w:hint="eastAsia" w:ascii="宋体" w:hAnsi="宋体" w:eastAsia="宋体" w:cs="Times New Roman"/>
          <w:b/>
          <w:bCs/>
          <w:color w:val="auto"/>
          <w:sz w:val="32"/>
          <w:szCs w:val="32"/>
          <w:highlight w:val="none"/>
          <w:lang w:val="zh-CN"/>
        </w:rPr>
        <w:t>招标代理机构：广东有德招标采购有限公司</w:t>
      </w:r>
      <w:bookmarkEnd w:id="3"/>
    </w:p>
    <w:p w14:paraId="41ED4C30">
      <w:pPr>
        <w:keepNext/>
        <w:keepLines/>
        <w:pageBreakBefore w:val="0"/>
        <w:widowControl w:val="0"/>
        <w:tabs>
          <w:tab w:val="left" w:pos="1080"/>
        </w:tabs>
        <w:kinsoku/>
        <w:wordWrap/>
        <w:overflowPunct/>
        <w:topLinePunct w:val="0"/>
        <w:autoSpaceDE w:val="0"/>
        <w:autoSpaceDN w:val="0"/>
        <w:bidi w:val="0"/>
        <w:adjustRightInd w:val="0"/>
        <w:snapToGrid/>
        <w:spacing w:line="360" w:lineRule="auto"/>
        <w:ind w:left="357" w:leftChars="-100" w:hanging="567"/>
        <w:jc w:val="center"/>
        <w:textAlignment w:val="auto"/>
        <w:outlineLvl w:val="0"/>
        <w:rPr>
          <w:rFonts w:hint="eastAsia" w:ascii="宋体" w:hAnsi="宋体" w:eastAsia="宋体" w:cs="宋体"/>
          <w:b/>
          <w:bCs/>
          <w:color w:val="auto"/>
          <w:sz w:val="32"/>
          <w:szCs w:val="32"/>
          <w:highlight w:val="none"/>
          <w:lang w:val="zh-CN"/>
        </w:rPr>
      </w:pPr>
      <w:bookmarkStart w:id="4" w:name="_Toc7062"/>
      <w:r>
        <w:rPr>
          <w:rFonts w:hint="eastAsia" w:ascii="宋体" w:hAnsi="宋体" w:eastAsia="宋体" w:cs="宋体"/>
          <w:b/>
          <w:bCs/>
          <w:color w:val="auto"/>
          <w:sz w:val="32"/>
          <w:szCs w:val="32"/>
          <w:highlight w:val="none"/>
          <w:lang w:val="en-US" w:eastAsia="zh-CN"/>
        </w:rPr>
        <w:t>2025</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3</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13</w:t>
      </w:r>
      <w:r>
        <w:rPr>
          <w:rFonts w:hint="eastAsia" w:ascii="宋体" w:hAnsi="宋体" w:eastAsia="宋体" w:cs="宋体"/>
          <w:b/>
          <w:bCs/>
          <w:color w:val="auto"/>
          <w:sz w:val="32"/>
          <w:szCs w:val="32"/>
          <w:highlight w:val="none"/>
          <w:lang w:val="zh-CN"/>
        </w:rPr>
        <w:t>日</w:t>
      </w:r>
      <w:bookmarkEnd w:id="4"/>
    </w:p>
    <w:sdt>
      <w:sdtPr>
        <w:rPr>
          <w:rFonts w:ascii="宋体" w:hAnsi="宋体" w:eastAsia="宋体" w:cstheme="minorBidi"/>
          <w:b/>
          <w:bCs/>
          <w:color w:val="auto"/>
          <w:kern w:val="2"/>
          <w:sz w:val="21"/>
          <w:szCs w:val="22"/>
          <w:lang w:val="en-US" w:eastAsia="zh-CN" w:bidi="ar-SA"/>
        </w:rPr>
        <w:id w:val="147475731"/>
        <w15:color w:val="DBDBDB"/>
        <w:docPartObj>
          <w:docPartGallery w:val="Table of Contents"/>
          <w:docPartUnique/>
        </w:docPartObj>
      </w:sdtPr>
      <w:sdtEndPr>
        <w:rPr>
          <w:rFonts w:ascii="宋体" w:hAnsi="Calibri" w:eastAsia="宋体" w:cs="Times New Roman"/>
          <w:b/>
          <w:bCs/>
          <w:color w:val="auto"/>
          <w:kern w:val="0"/>
          <w:sz w:val="24"/>
          <w:szCs w:val="24"/>
          <w:lang w:val="zh-CN" w:eastAsia="zh-CN" w:bidi="ar-SA"/>
        </w:rPr>
      </w:sdtEndPr>
      <w:sdtContent>
        <w:p w14:paraId="573278C7">
          <w:pPr>
            <w:keepNext w:val="0"/>
            <w:keepLines w:val="0"/>
            <w:pageBreakBefore/>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b/>
              <w:bCs/>
              <w:color w:val="auto"/>
            </w:rPr>
          </w:pPr>
          <w:r>
            <w:rPr>
              <w:rFonts w:ascii="宋体" w:hAnsi="宋体" w:eastAsia="宋体"/>
              <w:b/>
              <w:bCs/>
              <w:color w:val="auto"/>
              <w:sz w:val="21"/>
            </w:rPr>
            <w:t>目录</w:t>
          </w:r>
        </w:p>
        <w:p w14:paraId="32361FCD">
          <w:pPr>
            <w:pStyle w:val="27"/>
            <w:tabs>
              <w:tab w:val="right" w:leader="dot" w:pos="10154"/>
            </w:tabs>
            <w:rPr>
              <w:color w:val="auto"/>
            </w:rPr>
          </w:pPr>
          <w:r>
            <w:rPr>
              <w:color w:val="auto"/>
              <w:lang w:val="zh-CN"/>
            </w:rPr>
            <w:fldChar w:fldCharType="begin"/>
          </w:r>
          <w:r>
            <w:rPr>
              <w:color w:val="auto"/>
              <w:lang w:val="zh-CN"/>
            </w:rPr>
            <w:instrText xml:space="preserve">TOC \o "1-3" \h \u </w:instrText>
          </w:r>
          <w:r>
            <w:rPr>
              <w:color w:val="auto"/>
              <w:lang w:val="zh-CN"/>
            </w:rPr>
            <w:fldChar w:fldCharType="separate"/>
          </w:r>
        </w:p>
        <w:p w14:paraId="54E245EB">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rPr>
          </w:pPr>
          <w:r>
            <w:rPr>
              <w:rFonts w:hint="eastAsia" w:ascii="宋体" w:hAnsi="宋体" w:eastAsia="宋体" w:cs="宋体"/>
              <w:b/>
              <w:bCs/>
              <w:color w:val="auto"/>
              <w:lang w:val="zh-CN"/>
            </w:rPr>
            <w:fldChar w:fldCharType="begin"/>
          </w:r>
          <w:r>
            <w:rPr>
              <w:rFonts w:hint="eastAsia" w:ascii="宋体" w:hAnsi="宋体" w:eastAsia="宋体" w:cs="宋体"/>
              <w:b/>
              <w:bCs/>
              <w:color w:val="auto"/>
              <w:lang w:val="zh-CN"/>
            </w:rPr>
            <w:instrText xml:space="preserve"> HYPERLINK \l _Toc12784 </w:instrText>
          </w:r>
          <w:r>
            <w:rPr>
              <w:rFonts w:hint="eastAsia" w:ascii="宋体" w:hAnsi="宋体" w:eastAsia="宋体" w:cs="宋体"/>
              <w:b/>
              <w:bCs/>
              <w:color w:val="auto"/>
              <w:lang w:val="zh-CN"/>
            </w:rPr>
            <w:fldChar w:fldCharType="separate"/>
          </w:r>
          <w:r>
            <w:rPr>
              <w:rFonts w:hint="eastAsia" w:ascii="宋体" w:hAnsi="宋体" w:eastAsia="宋体" w:cs="宋体"/>
              <w:b/>
              <w:bCs/>
              <w:color w:val="auto"/>
              <w:kern w:val="44"/>
              <w:szCs w:val="32"/>
              <w:lang w:val="zh-CN"/>
            </w:rPr>
            <w:t>第一篇 招标公告</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_Toc12784 \h </w:instrText>
          </w:r>
          <w:r>
            <w:rPr>
              <w:rFonts w:hint="eastAsia" w:ascii="宋体" w:hAnsi="宋体" w:eastAsia="宋体" w:cs="宋体"/>
              <w:b/>
              <w:bCs/>
              <w:color w:val="auto"/>
            </w:rPr>
            <w:fldChar w:fldCharType="separate"/>
          </w:r>
          <w:r>
            <w:rPr>
              <w:rFonts w:hint="eastAsia" w:ascii="宋体" w:hAnsi="宋体" w:eastAsia="宋体" w:cs="宋体"/>
              <w:b/>
              <w:bCs/>
              <w:color w:val="auto"/>
            </w:rPr>
            <w:t>4</w:t>
          </w:r>
          <w:r>
            <w:rPr>
              <w:rFonts w:hint="eastAsia" w:ascii="宋体" w:hAnsi="宋体" w:eastAsia="宋体" w:cs="宋体"/>
              <w:b/>
              <w:bCs/>
              <w:color w:val="auto"/>
            </w:rPr>
            <w:fldChar w:fldCharType="end"/>
          </w:r>
          <w:r>
            <w:rPr>
              <w:rFonts w:hint="eastAsia" w:ascii="宋体" w:hAnsi="宋体" w:eastAsia="宋体" w:cs="宋体"/>
              <w:b/>
              <w:bCs/>
              <w:color w:val="auto"/>
              <w:lang w:val="zh-CN"/>
            </w:rPr>
            <w:fldChar w:fldCharType="end"/>
          </w:r>
        </w:p>
        <w:p w14:paraId="2E4A4F2D">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rPr>
          </w:pPr>
          <w:r>
            <w:rPr>
              <w:rFonts w:hint="eastAsia" w:ascii="宋体" w:hAnsi="宋体" w:eastAsia="宋体" w:cs="宋体"/>
              <w:b/>
              <w:bCs/>
              <w:color w:val="auto"/>
              <w:lang w:val="zh-CN"/>
            </w:rPr>
            <w:fldChar w:fldCharType="begin"/>
          </w:r>
          <w:r>
            <w:rPr>
              <w:rFonts w:hint="eastAsia" w:ascii="宋体" w:hAnsi="宋体" w:eastAsia="宋体" w:cs="宋体"/>
              <w:b/>
              <w:bCs/>
              <w:color w:val="auto"/>
              <w:lang w:val="zh-CN"/>
            </w:rPr>
            <w:instrText xml:space="preserve"> HYPERLINK \l _Toc5413 </w:instrText>
          </w:r>
          <w:r>
            <w:rPr>
              <w:rFonts w:hint="eastAsia" w:ascii="宋体" w:hAnsi="宋体" w:eastAsia="宋体" w:cs="宋体"/>
              <w:b/>
              <w:bCs/>
              <w:color w:val="auto"/>
              <w:lang w:val="zh-CN"/>
            </w:rPr>
            <w:fldChar w:fldCharType="separate"/>
          </w:r>
          <w:r>
            <w:rPr>
              <w:rFonts w:hint="eastAsia" w:ascii="宋体" w:hAnsi="宋体" w:eastAsia="宋体" w:cs="宋体"/>
              <w:b/>
              <w:bCs/>
              <w:color w:val="auto"/>
              <w:kern w:val="44"/>
              <w:szCs w:val="32"/>
              <w:highlight w:val="none"/>
              <w:lang w:val="zh-CN"/>
            </w:rPr>
            <w:t>第二篇</w:t>
          </w:r>
          <w:r>
            <w:rPr>
              <w:rFonts w:hint="eastAsia" w:ascii="宋体" w:hAnsi="宋体" w:eastAsia="宋体" w:cs="宋体"/>
              <w:b/>
              <w:bCs/>
              <w:color w:val="auto"/>
              <w:kern w:val="44"/>
              <w:szCs w:val="32"/>
              <w:highlight w:val="none"/>
            </w:rPr>
            <w:t xml:space="preserve"> </w:t>
          </w:r>
          <w:r>
            <w:rPr>
              <w:rFonts w:hint="eastAsia" w:ascii="宋体" w:hAnsi="宋体" w:eastAsia="宋体" w:cs="宋体"/>
              <w:b/>
              <w:bCs/>
              <w:color w:val="auto"/>
              <w:kern w:val="44"/>
              <w:szCs w:val="32"/>
              <w:highlight w:val="none"/>
              <w:lang w:val="zh-CN"/>
            </w:rPr>
            <w:t>投标人须知</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_Toc5413 \h </w:instrText>
          </w:r>
          <w:r>
            <w:rPr>
              <w:rFonts w:hint="eastAsia" w:ascii="宋体" w:hAnsi="宋体" w:eastAsia="宋体" w:cs="宋体"/>
              <w:b/>
              <w:bCs/>
              <w:color w:val="auto"/>
            </w:rPr>
            <w:fldChar w:fldCharType="separate"/>
          </w:r>
          <w:r>
            <w:rPr>
              <w:rFonts w:hint="eastAsia" w:ascii="宋体" w:hAnsi="宋体" w:eastAsia="宋体" w:cs="宋体"/>
              <w:b/>
              <w:bCs/>
              <w:color w:val="auto"/>
            </w:rPr>
            <w:t>6</w:t>
          </w:r>
          <w:r>
            <w:rPr>
              <w:rFonts w:hint="eastAsia" w:ascii="宋体" w:hAnsi="宋体" w:eastAsia="宋体" w:cs="宋体"/>
              <w:b/>
              <w:bCs/>
              <w:color w:val="auto"/>
            </w:rPr>
            <w:fldChar w:fldCharType="end"/>
          </w:r>
          <w:r>
            <w:rPr>
              <w:rFonts w:hint="eastAsia" w:ascii="宋体" w:hAnsi="宋体" w:eastAsia="宋体" w:cs="宋体"/>
              <w:b/>
              <w:bCs/>
              <w:color w:val="auto"/>
              <w:lang w:val="zh-CN"/>
            </w:rPr>
            <w:fldChar w:fldCharType="end"/>
          </w:r>
        </w:p>
        <w:p w14:paraId="33D1BB7A">
          <w:pPr>
            <w:pStyle w:val="27"/>
            <w:tabs>
              <w:tab w:val="right" w:leader="dot" w:pos="10144"/>
            </w:tabs>
            <w:spacing w:line="360" w:lineRule="auto"/>
            <w:ind w:firstLine="211" w:firstLineChars="100"/>
            <w:rPr>
              <w:rFonts w:hint="eastAsia" w:ascii="宋体" w:hAnsi="宋体" w:eastAsia="宋体" w:cs="宋体"/>
              <w:b/>
              <w:bCs/>
              <w:color w:val="auto"/>
            </w:rPr>
          </w:pPr>
          <w:r>
            <w:rPr>
              <w:rFonts w:hint="eastAsia" w:ascii="宋体" w:hAnsi="宋体" w:eastAsia="宋体" w:cs="宋体"/>
              <w:b/>
              <w:bCs/>
              <w:color w:val="auto"/>
              <w:lang w:val="zh-CN"/>
            </w:rPr>
            <w:fldChar w:fldCharType="begin"/>
          </w:r>
          <w:r>
            <w:rPr>
              <w:rFonts w:hint="eastAsia" w:ascii="宋体" w:hAnsi="宋体" w:eastAsia="宋体" w:cs="宋体"/>
              <w:b/>
              <w:bCs/>
              <w:color w:val="auto"/>
              <w:lang w:val="zh-CN"/>
            </w:rPr>
            <w:instrText xml:space="preserve"> HYPERLINK \l _Toc22848 </w:instrText>
          </w:r>
          <w:r>
            <w:rPr>
              <w:rFonts w:hint="eastAsia" w:ascii="宋体" w:hAnsi="宋体" w:eastAsia="宋体" w:cs="宋体"/>
              <w:b/>
              <w:bCs/>
              <w:color w:val="auto"/>
              <w:lang w:val="zh-CN"/>
            </w:rPr>
            <w:fldChar w:fldCharType="separate"/>
          </w:r>
          <w:r>
            <w:rPr>
              <w:rFonts w:hint="eastAsia" w:ascii="宋体" w:hAnsi="宋体" w:eastAsia="宋体" w:cs="宋体"/>
              <w:b/>
              <w:bCs/>
              <w:color w:val="auto"/>
              <w:kern w:val="44"/>
              <w:szCs w:val="21"/>
              <w:highlight w:val="none"/>
              <w:lang w:val="zh-CN"/>
            </w:rPr>
            <w:t>一、</w:t>
          </w:r>
          <w:r>
            <w:rPr>
              <w:rStyle w:val="43"/>
              <w:rFonts w:hint="eastAsia" w:ascii="宋体" w:hAnsi="宋体" w:eastAsia="宋体" w:cs="宋体"/>
              <w:b/>
              <w:bCs/>
              <w:color w:val="auto"/>
              <w:kern w:val="44"/>
              <w:lang w:val="zh-CN"/>
            </w:rPr>
            <w:t>总则</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_Toc22848 \h </w:instrText>
          </w:r>
          <w:r>
            <w:rPr>
              <w:rFonts w:hint="eastAsia" w:ascii="宋体" w:hAnsi="宋体" w:eastAsia="宋体" w:cs="宋体"/>
              <w:b/>
              <w:bCs/>
              <w:color w:val="auto"/>
            </w:rPr>
            <w:fldChar w:fldCharType="separate"/>
          </w:r>
          <w:r>
            <w:rPr>
              <w:rFonts w:hint="eastAsia" w:ascii="宋体" w:hAnsi="宋体" w:eastAsia="宋体" w:cs="宋体"/>
              <w:b/>
              <w:bCs/>
              <w:color w:val="auto"/>
            </w:rPr>
            <w:t>6</w:t>
          </w:r>
          <w:r>
            <w:rPr>
              <w:rFonts w:hint="eastAsia" w:ascii="宋体" w:hAnsi="宋体" w:eastAsia="宋体" w:cs="宋体"/>
              <w:b/>
              <w:bCs/>
              <w:color w:val="auto"/>
            </w:rPr>
            <w:fldChar w:fldCharType="end"/>
          </w:r>
          <w:r>
            <w:rPr>
              <w:rFonts w:hint="eastAsia" w:ascii="宋体" w:hAnsi="宋体" w:eastAsia="宋体" w:cs="宋体"/>
              <w:b/>
              <w:bCs/>
              <w:color w:val="auto"/>
              <w:lang w:val="zh-CN"/>
            </w:rPr>
            <w:fldChar w:fldCharType="end"/>
          </w:r>
        </w:p>
        <w:p w14:paraId="14663A38">
          <w:pPr>
            <w:pStyle w:val="20"/>
            <w:spacing w:line="360" w:lineRule="auto"/>
            <w:ind w:left="424" w:leftChars="202" w:firstLine="2" w:firstLineChars="1"/>
            <w:rPr>
              <w:rStyle w:val="43"/>
              <w:rFonts w:hint="eastAsia" w:ascii="宋体" w:hAnsi="宋体" w:eastAsia="宋体" w:cs="宋体"/>
              <w:color w:val="auto"/>
              <w:sz w:val="21"/>
              <w:szCs w:val="21"/>
              <w:lang w:val="zh-CN"/>
            </w:rPr>
          </w:pPr>
          <w:r>
            <w:rPr>
              <w:rStyle w:val="43"/>
              <w:rFonts w:hint="eastAsia" w:ascii="宋体" w:hAnsi="宋体" w:eastAsia="宋体" w:cs="宋体"/>
              <w:color w:val="auto"/>
              <w:sz w:val="21"/>
              <w:szCs w:val="21"/>
              <w:lang w:val="zh-CN"/>
            </w:rPr>
            <w:fldChar w:fldCharType="begin"/>
          </w:r>
          <w:r>
            <w:rPr>
              <w:rStyle w:val="43"/>
              <w:rFonts w:hint="eastAsia" w:ascii="宋体" w:hAnsi="宋体" w:eastAsia="宋体" w:cs="宋体"/>
              <w:color w:val="auto"/>
              <w:sz w:val="21"/>
              <w:szCs w:val="21"/>
              <w:lang w:val="zh-CN"/>
            </w:rPr>
            <w:instrText xml:space="preserve"> HYPERLINK \l _Toc24987 </w:instrText>
          </w:r>
          <w:r>
            <w:rPr>
              <w:rStyle w:val="43"/>
              <w:rFonts w:hint="eastAsia" w:ascii="宋体" w:hAnsi="宋体" w:eastAsia="宋体" w:cs="宋体"/>
              <w:color w:val="auto"/>
              <w:sz w:val="21"/>
              <w:szCs w:val="21"/>
              <w:lang w:val="zh-CN"/>
            </w:rPr>
            <w:fldChar w:fldCharType="separate"/>
          </w:r>
          <w:r>
            <w:rPr>
              <w:rStyle w:val="43"/>
              <w:rFonts w:hint="eastAsia" w:ascii="宋体" w:hAnsi="宋体" w:eastAsia="宋体" w:cs="宋体"/>
              <w:color w:val="auto"/>
              <w:sz w:val="21"/>
              <w:szCs w:val="21"/>
              <w:lang w:val="zh-CN"/>
            </w:rPr>
            <w:t>1 资金来源：企业自筹资金。</w:t>
          </w:r>
          <w:r>
            <w:rPr>
              <w:rStyle w:val="43"/>
              <w:rFonts w:hint="eastAsia" w:ascii="宋体" w:hAnsi="宋体" w:eastAsia="宋体" w:cs="宋体"/>
              <w:color w:val="auto"/>
              <w:sz w:val="21"/>
              <w:szCs w:val="21"/>
              <w:lang w:val="zh-CN"/>
            </w:rPr>
            <w:tab/>
          </w:r>
          <w:r>
            <w:rPr>
              <w:rStyle w:val="43"/>
              <w:rFonts w:hint="eastAsia" w:ascii="宋体" w:hAnsi="宋体" w:eastAsia="宋体" w:cs="宋体"/>
              <w:color w:val="auto"/>
              <w:sz w:val="21"/>
              <w:szCs w:val="21"/>
              <w:lang w:val="zh-CN"/>
            </w:rPr>
            <w:fldChar w:fldCharType="begin"/>
          </w:r>
          <w:r>
            <w:rPr>
              <w:rStyle w:val="43"/>
              <w:rFonts w:hint="eastAsia" w:ascii="宋体" w:hAnsi="宋体" w:eastAsia="宋体" w:cs="宋体"/>
              <w:color w:val="auto"/>
              <w:sz w:val="21"/>
              <w:szCs w:val="21"/>
              <w:lang w:val="zh-CN"/>
            </w:rPr>
            <w:instrText xml:space="preserve"> PAGEREF _Toc24987 \h </w:instrText>
          </w:r>
          <w:r>
            <w:rPr>
              <w:rStyle w:val="43"/>
              <w:rFonts w:hint="eastAsia" w:ascii="宋体" w:hAnsi="宋体" w:eastAsia="宋体" w:cs="宋体"/>
              <w:color w:val="auto"/>
              <w:sz w:val="21"/>
              <w:szCs w:val="21"/>
              <w:lang w:val="zh-CN"/>
            </w:rPr>
            <w:fldChar w:fldCharType="separate"/>
          </w:r>
          <w:r>
            <w:rPr>
              <w:rStyle w:val="43"/>
              <w:rFonts w:hint="eastAsia" w:ascii="宋体" w:hAnsi="宋体" w:eastAsia="宋体" w:cs="宋体"/>
              <w:color w:val="auto"/>
              <w:sz w:val="21"/>
              <w:szCs w:val="21"/>
              <w:lang w:val="zh-CN"/>
            </w:rPr>
            <w:t>6</w:t>
          </w:r>
          <w:r>
            <w:rPr>
              <w:rStyle w:val="43"/>
              <w:rFonts w:hint="eastAsia" w:ascii="宋体" w:hAnsi="宋体" w:eastAsia="宋体" w:cs="宋体"/>
              <w:color w:val="auto"/>
              <w:sz w:val="21"/>
              <w:szCs w:val="21"/>
              <w:lang w:val="zh-CN"/>
            </w:rPr>
            <w:fldChar w:fldCharType="end"/>
          </w:r>
          <w:r>
            <w:rPr>
              <w:rStyle w:val="43"/>
              <w:rFonts w:hint="eastAsia" w:ascii="宋体" w:hAnsi="宋体" w:eastAsia="宋体" w:cs="宋体"/>
              <w:color w:val="auto"/>
              <w:sz w:val="21"/>
              <w:szCs w:val="21"/>
              <w:lang w:val="zh-CN"/>
            </w:rPr>
            <w:fldChar w:fldCharType="end"/>
          </w:r>
        </w:p>
        <w:p w14:paraId="34566DDC">
          <w:pPr>
            <w:pStyle w:val="20"/>
            <w:spacing w:line="360" w:lineRule="auto"/>
            <w:ind w:left="424" w:leftChars="202" w:firstLine="2" w:firstLineChars="1"/>
            <w:rPr>
              <w:rStyle w:val="43"/>
              <w:rFonts w:hint="eastAsia" w:ascii="宋体" w:hAnsi="宋体" w:eastAsia="宋体" w:cs="宋体"/>
              <w:color w:val="auto"/>
              <w:sz w:val="21"/>
              <w:szCs w:val="21"/>
              <w:lang w:val="zh-CN"/>
            </w:rPr>
          </w:pPr>
          <w:r>
            <w:rPr>
              <w:rStyle w:val="43"/>
              <w:rFonts w:hint="eastAsia" w:ascii="宋体" w:hAnsi="宋体" w:eastAsia="宋体" w:cs="宋体"/>
              <w:color w:val="auto"/>
              <w:sz w:val="21"/>
              <w:szCs w:val="21"/>
              <w:lang w:val="zh-CN"/>
            </w:rPr>
            <w:fldChar w:fldCharType="begin"/>
          </w:r>
          <w:r>
            <w:rPr>
              <w:rStyle w:val="43"/>
              <w:rFonts w:hint="eastAsia" w:ascii="宋体" w:hAnsi="宋体" w:eastAsia="宋体" w:cs="宋体"/>
              <w:color w:val="auto"/>
              <w:sz w:val="21"/>
              <w:szCs w:val="21"/>
              <w:lang w:val="zh-CN"/>
            </w:rPr>
            <w:instrText xml:space="preserve"> HYPERLINK \l _Toc21306 </w:instrText>
          </w:r>
          <w:r>
            <w:rPr>
              <w:rStyle w:val="43"/>
              <w:rFonts w:hint="eastAsia" w:ascii="宋体" w:hAnsi="宋体" w:eastAsia="宋体" w:cs="宋体"/>
              <w:color w:val="auto"/>
              <w:sz w:val="21"/>
              <w:szCs w:val="21"/>
              <w:lang w:val="zh-CN"/>
            </w:rPr>
            <w:fldChar w:fldCharType="separate"/>
          </w:r>
          <w:r>
            <w:rPr>
              <w:rStyle w:val="43"/>
              <w:rFonts w:hint="eastAsia" w:ascii="宋体" w:hAnsi="宋体" w:eastAsia="宋体" w:cs="宋体"/>
              <w:color w:val="auto"/>
              <w:sz w:val="21"/>
              <w:szCs w:val="21"/>
              <w:lang w:val="zh-CN"/>
            </w:rPr>
            <w:t>2 合格的投标人</w:t>
          </w:r>
          <w:r>
            <w:rPr>
              <w:rStyle w:val="43"/>
              <w:rFonts w:hint="eastAsia" w:ascii="宋体" w:hAnsi="宋体" w:eastAsia="宋体" w:cs="宋体"/>
              <w:color w:val="auto"/>
              <w:sz w:val="21"/>
              <w:szCs w:val="21"/>
              <w:lang w:val="zh-CN"/>
            </w:rPr>
            <w:tab/>
          </w:r>
          <w:r>
            <w:rPr>
              <w:rStyle w:val="43"/>
              <w:rFonts w:hint="eastAsia" w:ascii="宋体" w:hAnsi="宋体" w:eastAsia="宋体" w:cs="宋体"/>
              <w:color w:val="auto"/>
              <w:sz w:val="21"/>
              <w:szCs w:val="21"/>
              <w:lang w:val="zh-CN"/>
            </w:rPr>
            <w:fldChar w:fldCharType="begin"/>
          </w:r>
          <w:r>
            <w:rPr>
              <w:rStyle w:val="43"/>
              <w:rFonts w:hint="eastAsia" w:ascii="宋体" w:hAnsi="宋体" w:eastAsia="宋体" w:cs="宋体"/>
              <w:color w:val="auto"/>
              <w:sz w:val="21"/>
              <w:szCs w:val="21"/>
              <w:lang w:val="zh-CN"/>
            </w:rPr>
            <w:instrText xml:space="preserve"> PAGEREF _Toc21306 \h </w:instrText>
          </w:r>
          <w:r>
            <w:rPr>
              <w:rStyle w:val="43"/>
              <w:rFonts w:hint="eastAsia" w:ascii="宋体" w:hAnsi="宋体" w:eastAsia="宋体" w:cs="宋体"/>
              <w:color w:val="auto"/>
              <w:sz w:val="21"/>
              <w:szCs w:val="21"/>
              <w:lang w:val="zh-CN"/>
            </w:rPr>
            <w:fldChar w:fldCharType="separate"/>
          </w:r>
          <w:r>
            <w:rPr>
              <w:rStyle w:val="43"/>
              <w:rFonts w:hint="eastAsia" w:ascii="宋体" w:hAnsi="宋体" w:eastAsia="宋体" w:cs="宋体"/>
              <w:color w:val="auto"/>
              <w:sz w:val="21"/>
              <w:szCs w:val="21"/>
              <w:lang w:val="zh-CN"/>
            </w:rPr>
            <w:t>6</w:t>
          </w:r>
          <w:r>
            <w:rPr>
              <w:rStyle w:val="43"/>
              <w:rFonts w:hint="eastAsia" w:ascii="宋体" w:hAnsi="宋体" w:eastAsia="宋体" w:cs="宋体"/>
              <w:color w:val="auto"/>
              <w:sz w:val="21"/>
              <w:szCs w:val="21"/>
              <w:lang w:val="zh-CN"/>
            </w:rPr>
            <w:fldChar w:fldCharType="end"/>
          </w:r>
          <w:r>
            <w:rPr>
              <w:rStyle w:val="43"/>
              <w:rFonts w:hint="eastAsia" w:ascii="宋体" w:hAnsi="宋体" w:eastAsia="宋体" w:cs="宋体"/>
              <w:color w:val="auto"/>
              <w:sz w:val="21"/>
              <w:szCs w:val="21"/>
              <w:lang w:val="zh-CN"/>
            </w:rPr>
            <w:fldChar w:fldCharType="end"/>
          </w:r>
        </w:p>
        <w:p w14:paraId="2C4E0D56">
          <w:pPr>
            <w:pStyle w:val="20"/>
            <w:spacing w:line="360" w:lineRule="auto"/>
            <w:ind w:left="424" w:leftChars="202" w:firstLine="2" w:firstLineChars="1"/>
            <w:rPr>
              <w:rStyle w:val="43"/>
              <w:rFonts w:hint="eastAsia" w:ascii="宋体" w:hAnsi="宋体" w:eastAsia="宋体" w:cs="宋体"/>
              <w:color w:val="auto"/>
              <w:sz w:val="21"/>
              <w:szCs w:val="21"/>
              <w:lang w:val="zh-CN"/>
            </w:rPr>
          </w:pPr>
          <w:r>
            <w:rPr>
              <w:rStyle w:val="43"/>
              <w:rFonts w:hint="eastAsia" w:ascii="宋体" w:hAnsi="宋体" w:eastAsia="宋体" w:cs="宋体"/>
              <w:color w:val="auto"/>
              <w:sz w:val="21"/>
              <w:szCs w:val="21"/>
              <w:lang w:val="zh-CN"/>
            </w:rPr>
            <w:fldChar w:fldCharType="begin"/>
          </w:r>
          <w:r>
            <w:rPr>
              <w:rStyle w:val="43"/>
              <w:rFonts w:hint="eastAsia" w:ascii="宋体" w:hAnsi="宋体" w:eastAsia="宋体" w:cs="宋体"/>
              <w:color w:val="auto"/>
              <w:sz w:val="21"/>
              <w:szCs w:val="21"/>
              <w:lang w:val="zh-CN"/>
            </w:rPr>
            <w:instrText xml:space="preserve"> HYPERLINK \l _Toc1082 </w:instrText>
          </w:r>
          <w:r>
            <w:rPr>
              <w:rStyle w:val="43"/>
              <w:rFonts w:hint="eastAsia" w:ascii="宋体" w:hAnsi="宋体" w:eastAsia="宋体" w:cs="宋体"/>
              <w:color w:val="auto"/>
              <w:sz w:val="21"/>
              <w:szCs w:val="21"/>
              <w:lang w:val="zh-CN"/>
            </w:rPr>
            <w:fldChar w:fldCharType="separate"/>
          </w:r>
          <w:r>
            <w:rPr>
              <w:rStyle w:val="43"/>
              <w:rFonts w:hint="eastAsia" w:ascii="宋体" w:hAnsi="宋体" w:eastAsia="宋体" w:cs="宋体"/>
              <w:color w:val="auto"/>
              <w:sz w:val="21"/>
              <w:szCs w:val="21"/>
              <w:lang w:val="zh-CN"/>
            </w:rPr>
            <w:t>3 合格的</w:t>
          </w:r>
          <w:r>
            <w:rPr>
              <w:rStyle w:val="43"/>
              <w:rFonts w:hint="eastAsia" w:ascii="宋体" w:hAnsi="宋体" w:eastAsia="宋体" w:cs="宋体"/>
              <w:color w:val="auto"/>
              <w:sz w:val="21"/>
              <w:szCs w:val="21"/>
              <w:lang w:val="en-US" w:eastAsia="zh-CN"/>
            </w:rPr>
            <w:t>服务</w:t>
          </w:r>
          <w:r>
            <w:rPr>
              <w:rStyle w:val="43"/>
              <w:rFonts w:hint="eastAsia" w:ascii="宋体" w:hAnsi="宋体" w:eastAsia="宋体" w:cs="宋体"/>
              <w:color w:val="auto"/>
              <w:sz w:val="21"/>
              <w:szCs w:val="21"/>
              <w:lang w:val="zh-CN"/>
            </w:rPr>
            <w:tab/>
          </w:r>
          <w:r>
            <w:rPr>
              <w:rStyle w:val="43"/>
              <w:rFonts w:hint="eastAsia" w:ascii="宋体" w:hAnsi="宋体" w:eastAsia="宋体" w:cs="宋体"/>
              <w:color w:val="auto"/>
              <w:sz w:val="21"/>
              <w:szCs w:val="21"/>
              <w:lang w:val="zh-CN"/>
            </w:rPr>
            <w:fldChar w:fldCharType="begin"/>
          </w:r>
          <w:r>
            <w:rPr>
              <w:rStyle w:val="43"/>
              <w:rFonts w:hint="eastAsia" w:ascii="宋体" w:hAnsi="宋体" w:eastAsia="宋体" w:cs="宋体"/>
              <w:color w:val="auto"/>
              <w:sz w:val="21"/>
              <w:szCs w:val="21"/>
              <w:lang w:val="zh-CN"/>
            </w:rPr>
            <w:instrText xml:space="preserve"> PAGEREF _Toc1082 \h </w:instrText>
          </w:r>
          <w:r>
            <w:rPr>
              <w:rStyle w:val="43"/>
              <w:rFonts w:hint="eastAsia" w:ascii="宋体" w:hAnsi="宋体" w:eastAsia="宋体" w:cs="宋体"/>
              <w:color w:val="auto"/>
              <w:sz w:val="21"/>
              <w:szCs w:val="21"/>
              <w:lang w:val="zh-CN"/>
            </w:rPr>
            <w:fldChar w:fldCharType="separate"/>
          </w:r>
          <w:r>
            <w:rPr>
              <w:rStyle w:val="43"/>
              <w:rFonts w:hint="eastAsia" w:ascii="宋体" w:hAnsi="宋体" w:eastAsia="宋体" w:cs="宋体"/>
              <w:color w:val="auto"/>
              <w:sz w:val="21"/>
              <w:szCs w:val="21"/>
              <w:lang w:val="zh-CN"/>
            </w:rPr>
            <w:t>6</w:t>
          </w:r>
          <w:r>
            <w:rPr>
              <w:rStyle w:val="43"/>
              <w:rFonts w:hint="eastAsia" w:ascii="宋体" w:hAnsi="宋体" w:eastAsia="宋体" w:cs="宋体"/>
              <w:color w:val="auto"/>
              <w:sz w:val="21"/>
              <w:szCs w:val="21"/>
              <w:lang w:val="zh-CN"/>
            </w:rPr>
            <w:fldChar w:fldCharType="end"/>
          </w:r>
          <w:r>
            <w:rPr>
              <w:rStyle w:val="43"/>
              <w:rFonts w:hint="eastAsia" w:ascii="宋体" w:hAnsi="宋体" w:eastAsia="宋体" w:cs="宋体"/>
              <w:color w:val="auto"/>
              <w:sz w:val="21"/>
              <w:szCs w:val="21"/>
              <w:lang w:val="zh-CN"/>
            </w:rPr>
            <w:fldChar w:fldCharType="end"/>
          </w:r>
        </w:p>
        <w:p w14:paraId="6C3FA218">
          <w:pPr>
            <w:pStyle w:val="20"/>
            <w:spacing w:line="360" w:lineRule="auto"/>
            <w:ind w:left="424" w:leftChars="202" w:firstLine="2" w:firstLineChars="1"/>
            <w:rPr>
              <w:rFonts w:hint="eastAsia" w:ascii="宋体" w:hAnsi="宋体" w:eastAsia="宋体" w:cs="宋体"/>
              <w:color w:val="auto"/>
            </w:rPr>
          </w:pPr>
          <w:r>
            <w:rPr>
              <w:rStyle w:val="43"/>
              <w:rFonts w:hint="eastAsia" w:ascii="宋体" w:hAnsi="宋体" w:eastAsia="宋体" w:cs="宋体"/>
              <w:color w:val="auto"/>
              <w:sz w:val="21"/>
              <w:szCs w:val="21"/>
              <w:lang w:val="zh-CN"/>
            </w:rPr>
            <w:fldChar w:fldCharType="begin"/>
          </w:r>
          <w:r>
            <w:rPr>
              <w:rStyle w:val="43"/>
              <w:rFonts w:hint="eastAsia" w:ascii="宋体" w:hAnsi="宋体" w:eastAsia="宋体" w:cs="宋体"/>
              <w:color w:val="auto"/>
              <w:sz w:val="21"/>
              <w:szCs w:val="21"/>
              <w:lang w:val="zh-CN"/>
            </w:rPr>
            <w:instrText xml:space="preserve"> HYPERLINK \l _Toc11730 </w:instrText>
          </w:r>
          <w:r>
            <w:rPr>
              <w:rStyle w:val="43"/>
              <w:rFonts w:hint="eastAsia" w:ascii="宋体" w:hAnsi="宋体" w:eastAsia="宋体" w:cs="宋体"/>
              <w:color w:val="auto"/>
              <w:sz w:val="21"/>
              <w:szCs w:val="21"/>
              <w:lang w:val="zh-CN"/>
            </w:rPr>
            <w:fldChar w:fldCharType="separate"/>
          </w:r>
          <w:r>
            <w:rPr>
              <w:rStyle w:val="43"/>
              <w:rFonts w:hint="eastAsia" w:ascii="宋体" w:hAnsi="宋体" w:eastAsia="宋体" w:cs="宋体"/>
              <w:color w:val="auto"/>
              <w:sz w:val="21"/>
              <w:szCs w:val="21"/>
              <w:lang w:val="zh-CN"/>
            </w:rPr>
            <w:t>4 其它说明</w:t>
          </w:r>
          <w:r>
            <w:rPr>
              <w:rStyle w:val="43"/>
              <w:rFonts w:hint="eastAsia" w:ascii="宋体" w:hAnsi="宋体" w:eastAsia="宋体" w:cs="宋体"/>
              <w:color w:val="auto"/>
              <w:sz w:val="21"/>
              <w:szCs w:val="21"/>
              <w:lang w:val="zh-CN"/>
            </w:rPr>
            <w:tab/>
          </w:r>
          <w:r>
            <w:rPr>
              <w:rStyle w:val="43"/>
              <w:rFonts w:hint="eastAsia" w:ascii="宋体" w:hAnsi="宋体" w:eastAsia="宋体" w:cs="宋体"/>
              <w:color w:val="auto"/>
              <w:sz w:val="21"/>
              <w:szCs w:val="21"/>
              <w:lang w:val="zh-CN"/>
            </w:rPr>
            <w:fldChar w:fldCharType="begin"/>
          </w:r>
          <w:r>
            <w:rPr>
              <w:rStyle w:val="43"/>
              <w:rFonts w:hint="eastAsia" w:ascii="宋体" w:hAnsi="宋体" w:eastAsia="宋体" w:cs="宋体"/>
              <w:color w:val="auto"/>
              <w:sz w:val="21"/>
              <w:szCs w:val="21"/>
              <w:lang w:val="zh-CN"/>
            </w:rPr>
            <w:instrText xml:space="preserve"> PAGEREF _Toc11730 \h </w:instrText>
          </w:r>
          <w:r>
            <w:rPr>
              <w:rStyle w:val="43"/>
              <w:rFonts w:hint="eastAsia" w:ascii="宋体" w:hAnsi="宋体" w:eastAsia="宋体" w:cs="宋体"/>
              <w:color w:val="auto"/>
              <w:sz w:val="21"/>
              <w:szCs w:val="21"/>
              <w:lang w:val="zh-CN"/>
            </w:rPr>
            <w:fldChar w:fldCharType="separate"/>
          </w:r>
          <w:r>
            <w:rPr>
              <w:rStyle w:val="43"/>
              <w:rFonts w:hint="eastAsia" w:ascii="宋体" w:hAnsi="宋体" w:eastAsia="宋体" w:cs="宋体"/>
              <w:color w:val="auto"/>
              <w:sz w:val="21"/>
              <w:szCs w:val="21"/>
              <w:lang w:val="zh-CN"/>
            </w:rPr>
            <w:t>7</w:t>
          </w:r>
          <w:r>
            <w:rPr>
              <w:rStyle w:val="43"/>
              <w:rFonts w:hint="eastAsia" w:ascii="宋体" w:hAnsi="宋体" w:eastAsia="宋体" w:cs="宋体"/>
              <w:color w:val="auto"/>
              <w:sz w:val="21"/>
              <w:szCs w:val="21"/>
              <w:lang w:val="zh-CN"/>
            </w:rPr>
            <w:fldChar w:fldCharType="end"/>
          </w:r>
          <w:r>
            <w:rPr>
              <w:rStyle w:val="43"/>
              <w:rFonts w:hint="eastAsia" w:ascii="宋体" w:hAnsi="宋体" w:eastAsia="宋体" w:cs="宋体"/>
              <w:color w:val="auto"/>
              <w:sz w:val="21"/>
              <w:szCs w:val="21"/>
              <w:lang w:val="zh-CN"/>
            </w:rPr>
            <w:fldChar w:fldCharType="end"/>
          </w:r>
        </w:p>
        <w:p w14:paraId="475D84A9">
          <w:pPr>
            <w:pStyle w:val="27"/>
            <w:tabs>
              <w:tab w:val="right" w:leader="dot" w:pos="10144"/>
            </w:tabs>
            <w:spacing w:line="360" w:lineRule="auto"/>
            <w:ind w:firstLine="211" w:firstLineChars="100"/>
            <w:rPr>
              <w:rFonts w:hint="eastAsia" w:ascii="宋体" w:hAnsi="宋体" w:eastAsia="宋体" w:cs="宋体"/>
              <w:color w:val="auto"/>
            </w:rPr>
          </w:pPr>
          <w:r>
            <w:rPr>
              <w:rFonts w:hint="eastAsia" w:ascii="宋体" w:hAnsi="宋体" w:eastAsia="宋体" w:cs="宋体"/>
              <w:b/>
              <w:bCs/>
              <w:color w:val="auto"/>
              <w:lang w:val="zh-CN"/>
            </w:rPr>
            <w:fldChar w:fldCharType="begin"/>
          </w:r>
          <w:r>
            <w:rPr>
              <w:rFonts w:hint="eastAsia" w:ascii="宋体" w:hAnsi="宋体" w:eastAsia="宋体" w:cs="宋体"/>
              <w:b/>
              <w:bCs/>
              <w:color w:val="auto"/>
              <w:lang w:val="zh-CN"/>
            </w:rPr>
            <w:instrText xml:space="preserve"> HYPERLINK \l _Toc28638 </w:instrText>
          </w:r>
          <w:r>
            <w:rPr>
              <w:rFonts w:hint="eastAsia" w:ascii="宋体" w:hAnsi="宋体" w:eastAsia="宋体" w:cs="宋体"/>
              <w:b/>
              <w:bCs/>
              <w:color w:val="auto"/>
              <w:lang w:val="zh-CN"/>
            </w:rPr>
            <w:fldChar w:fldCharType="separate"/>
          </w:r>
          <w:r>
            <w:rPr>
              <w:rFonts w:hint="eastAsia" w:ascii="宋体" w:hAnsi="宋体" w:eastAsia="宋体" w:cs="宋体"/>
              <w:b/>
              <w:bCs/>
              <w:color w:val="auto"/>
              <w:kern w:val="44"/>
              <w:szCs w:val="21"/>
              <w:highlight w:val="none"/>
              <w:lang w:val="zh-CN"/>
            </w:rPr>
            <w:t>二、</w:t>
          </w:r>
          <w:r>
            <w:rPr>
              <w:rStyle w:val="43"/>
              <w:rFonts w:hint="eastAsia" w:ascii="宋体" w:hAnsi="宋体" w:eastAsia="宋体" w:cs="宋体"/>
              <w:b/>
              <w:bCs/>
              <w:color w:val="auto"/>
              <w:kern w:val="44"/>
              <w:lang w:val="zh-CN"/>
            </w:rPr>
            <w:t>招标</w:t>
          </w:r>
          <w:r>
            <w:rPr>
              <w:rFonts w:hint="eastAsia" w:ascii="宋体" w:hAnsi="宋体" w:eastAsia="宋体" w:cs="宋体"/>
              <w:b/>
              <w:bCs/>
              <w:color w:val="auto"/>
              <w:kern w:val="44"/>
              <w:szCs w:val="21"/>
              <w:highlight w:val="none"/>
              <w:lang w:val="zh-CN"/>
            </w:rPr>
            <w:t>文件</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_Toc28638 \h </w:instrText>
          </w:r>
          <w:r>
            <w:rPr>
              <w:rFonts w:hint="eastAsia" w:ascii="宋体" w:hAnsi="宋体" w:eastAsia="宋体" w:cs="宋体"/>
              <w:b/>
              <w:bCs/>
              <w:color w:val="auto"/>
            </w:rPr>
            <w:fldChar w:fldCharType="separate"/>
          </w:r>
          <w:r>
            <w:rPr>
              <w:rFonts w:hint="eastAsia" w:ascii="宋体" w:hAnsi="宋体" w:eastAsia="宋体" w:cs="宋体"/>
              <w:b/>
              <w:bCs/>
              <w:color w:val="auto"/>
            </w:rPr>
            <w:t>7</w:t>
          </w:r>
          <w:r>
            <w:rPr>
              <w:rFonts w:hint="eastAsia" w:ascii="宋体" w:hAnsi="宋体" w:eastAsia="宋体" w:cs="宋体"/>
              <w:b/>
              <w:bCs/>
              <w:color w:val="auto"/>
            </w:rPr>
            <w:fldChar w:fldCharType="end"/>
          </w:r>
          <w:r>
            <w:rPr>
              <w:rFonts w:hint="eastAsia" w:ascii="宋体" w:hAnsi="宋体" w:eastAsia="宋体" w:cs="宋体"/>
              <w:b/>
              <w:bCs/>
              <w:color w:val="auto"/>
              <w:lang w:val="zh-CN"/>
            </w:rPr>
            <w:fldChar w:fldCharType="end"/>
          </w:r>
        </w:p>
        <w:p w14:paraId="0EC974D5">
          <w:pPr>
            <w:pStyle w:val="20"/>
            <w:spacing w:line="360" w:lineRule="auto"/>
            <w:ind w:left="424" w:leftChars="202" w:firstLine="2" w:firstLineChars="1"/>
            <w:rPr>
              <w:rFonts w:hint="eastAsia" w:ascii="宋体" w:hAnsi="宋体" w:eastAsia="宋体" w:cs="宋体"/>
              <w:color w:val="auto"/>
            </w:rPr>
          </w:pP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HYPERLINK \l _Toc17100 </w:instrText>
          </w:r>
          <w:r>
            <w:rPr>
              <w:rFonts w:hint="eastAsia" w:ascii="宋体" w:hAnsi="宋体" w:eastAsia="宋体" w:cs="宋体"/>
              <w:color w:val="auto"/>
              <w:lang w:val="zh-CN"/>
            </w:rPr>
            <w:fldChar w:fldCharType="separate"/>
          </w:r>
          <w:r>
            <w:rPr>
              <w:rFonts w:hint="eastAsia" w:ascii="宋体" w:hAnsi="宋体" w:eastAsia="宋体" w:cs="宋体"/>
              <w:color w:val="auto"/>
              <w:szCs w:val="21"/>
              <w:highlight w:val="none"/>
              <w:lang w:val="zh-CN"/>
            </w:rPr>
            <w:t>5 招标文件的构成</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_Toc17100 \h </w:instrText>
          </w:r>
          <w:r>
            <w:rPr>
              <w:rFonts w:hint="eastAsia" w:ascii="宋体" w:hAnsi="宋体" w:eastAsia="宋体" w:cs="宋体"/>
              <w:color w:val="auto"/>
            </w:rPr>
            <w:fldChar w:fldCharType="separate"/>
          </w:r>
          <w:r>
            <w:rPr>
              <w:rFonts w:hint="eastAsia" w:ascii="宋体" w:hAnsi="宋体" w:eastAsia="宋体" w:cs="宋体"/>
              <w:color w:val="auto"/>
            </w:rPr>
            <w:t>7</w:t>
          </w:r>
          <w:r>
            <w:rPr>
              <w:rFonts w:hint="eastAsia" w:ascii="宋体" w:hAnsi="宋体" w:eastAsia="宋体" w:cs="宋体"/>
              <w:color w:val="auto"/>
            </w:rPr>
            <w:fldChar w:fldCharType="end"/>
          </w:r>
          <w:r>
            <w:rPr>
              <w:rFonts w:hint="eastAsia" w:ascii="宋体" w:hAnsi="宋体" w:eastAsia="宋体" w:cs="宋体"/>
              <w:color w:val="auto"/>
              <w:lang w:val="zh-CN"/>
            </w:rPr>
            <w:fldChar w:fldCharType="end"/>
          </w:r>
        </w:p>
        <w:p w14:paraId="40C88306">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lang w:val="zh-CN"/>
            </w:rPr>
          </w:pPr>
          <w:r>
            <w:rPr>
              <w:rFonts w:hint="eastAsia" w:ascii="宋体" w:hAnsi="宋体" w:eastAsia="宋体" w:cs="宋体"/>
              <w:b/>
              <w:bCs/>
              <w:color w:val="auto"/>
              <w:lang w:val="zh-CN"/>
            </w:rPr>
            <w:fldChar w:fldCharType="begin"/>
          </w:r>
          <w:r>
            <w:rPr>
              <w:rFonts w:hint="eastAsia" w:ascii="宋体" w:hAnsi="宋体" w:eastAsia="宋体" w:cs="宋体"/>
              <w:b/>
              <w:bCs/>
              <w:color w:val="auto"/>
              <w:lang w:val="zh-CN"/>
            </w:rPr>
            <w:instrText xml:space="preserve"> HYPERLINK \l _Toc29696 </w:instrText>
          </w:r>
          <w:r>
            <w:rPr>
              <w:rFonts w:hint="eastAsia" w:ascii="宋体" w:hAnsi="宋体" w:eastAsia="宋体" w:cs="宋体"/>
              <w:b/>
              <w:bCs/>
              <w:color w:val="auto"/>
              <w:lang w:val="zh-CN"/>
            </w:rPr>
            <w:fldChar w:fldCharType="separate"/>
          </w:r>
          <w:r>
            <w:rPr>
              <w:rFonts w:hint="eastAsia" w:ascii="宋体" w:hAnsi="宋体" w:eastAsia="宋体" w:cs="宋体"/>
              <w:b/>
              <w:bCs/>
              <w:color w:val="auto"/>
              <w:lang w:val="zh-CN"/>
            </w:rPr>
            <w:t>第二篇 投标人须知</w:t>
          </w:r>
          <w:r>
            <w:rPr>
              <w:rFonts w:hint="eastAsia" w:ascii="宋体" w:hAnsi="宋体" w:eastAsia="宋体" w:cs="宋体"/>
              <w:b/>
              <w:bCs/>
              <w:color w:val="auto"/>
              <w:lang w:val="zh-CN"/>
            </w:rPr>
            <w:tab/>
          </w:r>
          <w:r>
            <w:rPr>
              <w:rFonts w:hint="eastAsia" w:ascii="宋体" w:hAnsi="宋体" w:eastAsia="宋体" w:cs="宋体"/>
              <w:b/>
              <w:bCs/>
              <w:color w:val="auto"/>
              <w:lang w:val="zh-CN"/>
            </w:rPr>
            <w:fldChar w:fldCharType="begin"/>
          </w:r>
          <w:r>
            <w:rPr>
              <w:rFonts w:hint="eastAsia" w:ascii="宋体" w:hAnsi="宋体" w:eastAsia="宋体" w:cs="宋体"/>
              <w:b/>
              <w:bCs/>
              <w:color w:val="auto"/>
              <w:lang w:val="zh-CN"/>
            </w:rPr>
            <w:instrText xml:space="preserve"> PAGEREF _Toc29696 \h </w:instrText>
          </w:r>
          <w:r>
            <w:rPr>
              <w:rFonts w:hint="eastAsia" w:ascii="宋体" w:hAnsi="宋体" w:eastAsia="宋体" w:cs="宋体"/>
              <w:b/>
              <w:bCs/>
              <w:color w:val="auto"/>
              <w:lang w:val="zh-CN"/>
            </w:rPr>
            <w:fldChar w:fldCharType="separate"/>
          </w:r>
          <w:r>
            <w:rPr>
              <w:rFonts w:hint="eastAsia" w:ascii="宋体" w:hAnsi="宋体" w:eastAsia="宋体" w:cs="宋体"/>
              <w:b/>
              <w:bCs/>
              <w:color w:val="auto"/>
              <w:lang w:val="zh-CN"/>
            </w:rPr>
            <w:t>7</w:t>
          </w:r>
          <w:r>
            <w:rPr>
              <w:rFonts w:hint="eastAsia" w:ascii="宋体" w:hAnsi="宋体" w:eastAsia="宋体" w:cs="宋体"/>
              <w:b/>
              <w:bCs/>
              <w:color w:val="auto"/>
              <w:lang w:val="zh-CN"/>
            </w:rPr>
            <w:fldChar w:fldCharType="end"/>
          </w:r>
          <w:r>
            <w:rPr>
              <w:rFonts w:hint="eastAsia" w:ascii="宋体" w:hAnsi="宋体" w:eastAsia="宋体" w:cs="宋体"/>
              <w:b/>
              <w:bCs/>
              <w:color w:val="auto"/>
              <w:lang w:val="zh-CN"/>
            </w:rPr>
            <w:fldChar w:fldCharType="end"/>
          </w:r>
        </w:p>
        <w:p w14:paraId="54B9B7A8">
          <w:pPr>
            <w:pStyle w:val="20"/>
            <w:spacing w:line="360" w:lineRule="auto"/>
            <w:ind w:left="424" w:leftChars="202" w:firstLine="2" w:firstLineChars="1"/>
            <w:rPr>
              <w:rFonts w:hint="eastAsia" w:ascii="宋体" w:hAnsi="宋体" w:eastAsia="宋体" w:cs="宋体"/>
              <w:color w:val="auto"/>
              <w:lang w:val="zh-CN"/>
            </w:rPr>
          </w:pP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HYPERLINK \l _Toc25794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6 招标文件的异议</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_Toc25794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8</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46325F43">
          <w:pPr>
            <w:pStyle w:val="20"/>
            <w:spacing w:line="360" w:lineRule="auto"/>
            <w:ind w:left="424" w:leftChars="202" w:firstLine="2" w:firstLineChars="1"/>
            <w:rPr>
              <w:rFonts w:hint="eastAsia" w:ascii="宋体" w:hAnsi="宋体" w:eastAsia="宋体" w:cs="宋体"/>
              <w:color w:val="auto"/>
              <w:lang w:val="zh-CN"/>
            </w:rPr>
          </w:pP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HYPERLINK \l _Toc31640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7 招标文件的澄清及修改</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_Toc31640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8</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4FA31FCA">
          <w:pPr>
            <w:pStyle w:val="27"/>
            <w:tabs>
              <w:tab w:val="right" w:leader="dot" w:pos="10144"/>
            </w:tabs>
            <w:spacing w:line="360" w:lineRule="auto"/>
            <w:ind w:firstLine="211" w:firstLineChars="100"/>
            <w:rPr>
              <w:rFonts w:hint="eastAsia" w:ascii="宋体" w:hAnsi="宋体" w:eastAsia="宋体" w:cs="宋体"/>
              <w:color w:val="auto"/>
            </w:rPr>
          </w:pPr>
          <w:r>
            <w:rPr>
              <w:rFonts w:hint="eastAsia" w:ascii="宋体" w:hAnsi="宋体" w:eastAsia="宋体" w:cs="宋体"/>
              <w:b/>
              <w:bCs/>
              <w:color w:val="auto"/>
              <w:lang w:val="zh-CN"/>
            </w:rPr>
            <w:fldChar w:fldCharType="begin"/>
          </w:r>
          <w:r>
            <w:rPr>
              <w:rFonts w:hint="eastAsia" w:ascii="宋体" w:hAnsi="宋体" w:eastAsia="宋体" w:cs="宋体"/>
              <w:b/>
              <w:bCs/>
              <w:color w:val="auto"/>
              <w:lang w:val="zh-CN"/>
            </w:rPr>
            <w:instrText xml:space="preserve"> HYPERLINK \l _Toc2452 </w:instrText>
          </w:r>
          <w:r>
            <w:rPr>
              <w:rFonts w:hint="eastAsia" w:ascii="宋体" w:hAnsi="宋体" w:eastAsia="宋体" w:cs="宋体"/>
              <w:b/>
              <w:bCs/>
              <w:color w:val="auto"/>
              <w:lang w:val="zh-CN"/>
            </w:rPr>
            <w:fldChar w:fldCharType="separate"/>
          </w:r>
          <w:r>
            <w:rPr>
              <w:rFonts w:hint="eastAsia" w:ascii="宋体" w:hAnsi="宋体" w:eastAsia="宋体" w:cs="宋体"/>
              <w:b/>
              <w:bCs/>
              <w:color w:val="auto"/>
              <w:kern w:val="44"/>
              <w:szCs w:val="21"/>
              <w:highlight w:val="none"/>
              <w:lang w:val="zh-CN"/>
            </w:rPr>
            <w:t>三、投标文件的编制</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_Toc2452 \h </w:instrText>
          </w:r>
          <w:r>
            <w:rPr>
              <w:rFonts w:hint="eastAsia" w:ascii="宋体" w:hAnsi="宋体" w:eastAsia="宋体" w:cs="宋体"/>
              <w:b/>
              <w:bCs/>
              <w:color w:val="auto"/>
            </w:rPr>
            <w:fldChar w:fldCharType="separate"/>
          </w:r>
          <w:r>
            <w:rPr>
              <w:rFonts w:hint="eastAsia" w:ascii="宋体" w:hAnsi="宋体" w:eastAsia="宋体" w:cs="宋体"/>
              <w:b/>
              <w:bCs/>
              <w:color w:val="auto"/>
            </w:rPr>
            <w:t>9</w:t>
          </w:r>
          <w:r>
            <w:rPr>
              <w:rFonts w:hint="eastAsia" w:ascii="宋体" w:hAnsi="宋体" w:eastAsia="宋体" w:cs="宋体"/>
              <w:b/>
              <w:bCs/>
              <w:color w:val="auto"/>
            </w:rPr>
            <w:fldChar w:fldCharType="end"/>
          </w:r>
          <w:r>
            <w:rPr>
              <w:rFonts w:hint="eastAsia" w:ascii="宋体" w:hAnsi="宋体" w:eastAsia="宋体" w:cs="宋体"/>
              <w:b/>
              <w:bCs/>
              <w:color w:val="auto"/>
              <w:lang w:val="zh-CN"/>
            </w:rPr>
            <w:fldChar w:fldCharType="end"/>
          </w:r>
        </w:p>
        <w:p w14:paraId="6895C3AF">
          <w:pPr>
            <w:pStyle w:val="20"/>
            <w:spacing w:line="360" w:lineRule="auto"/>
            <w:ind w:left="424" w:leftChars="202" w:firstLine="2" w:firstLineChars="1"/>
            <w:rPr>
              <w:rFonts w:hint="eastAsia" w:ascii="宋体" w:hAnsi="宋体" w:eastAsia="宋体" w:cs="宋体"/>
              <w:color w:val="auto"/>
              <w:lang w:val="zh-CN"/>
            </w:rPr>
          </w:pP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HYPERLINK \l _Toc9880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8 投标使用的文字及度量衡单位</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_Toc9880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9</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167C9BB7">
          <w:pPr>
            <w:pStyle w:val="20"/>
            <w:spacing w:line="360" w:lineRule="auto"/>
            <w:ind w:left="424" w:leftChars="202" w:firstLine="2" w:firstLineChars="1"/>
            <w:rPr>
              <w:rFonts w:hint="eastAsia" w:ascii="宋体" w:hAnsi="宋体" w:eastAsia="宋体" w:cs="宋体"/>
              <w:color w:val="auto"/>
              <w:lang w:val="zh-CN"/>
            </w:rPr>
          </w:pP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HYPERLINK \l _Toc32594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9 投标文件的组成</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_Toc32594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9</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78E133FC">
          <w:pPr>
            <w:pStyle w:val="20"/>
            <w:spacing w:line="360" w:lineRule="auto"/>
            <w:ind w:left="424" w:leftChars="202" w:firstLine="2" w:firstLineChars="1"/>
            <w:rPr>
              <w:rFonts w:hint="eastAsia" w:ascii="宋体" w:hAnsi="宋体" w:eastAsia="宋体" w:cs="宋体"/>
              <w:color w:val="auto"/>
              <w:lang w:val="zh-CN"/>
            </w:rPr>
          </w:pP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HYPERLINK \l _Toc7578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10 投标函</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_Toc7578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11</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0837067D">
          <w:pPr>
            <w:pStyle w:val="20"/>
            <w:spacing w:line="360" w:lineRule="auto"/>
            <w:ind w:left="424" w:leftChars="202" w:firstLine="2" w:firstLineChars="1"/>
            <w:rPr>
              <w:rFonts w:hint="eastAsia" w:ascii="宋体" w:hAnsi="宋体" w:eastAsia="宋体" w:cs="宋体"/>
              <w:color w:val="auto"/>
              <w:lang w:val="zh-CN"/>
            </w:rPr>
          </w:pP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HYPERLINK \l _Toc2784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11 投标报价</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_Toc2784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11</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41B22714">
          <w:pPr>
            <w:pStyle w:val="20"/>
            <w:spacing w:line="360" w:lineRule="auto"/>
            <w:ind w:left="424" w:leftChars="202" w:firstLine="2" w:firstLineChars="1"/>
            <w:rPr>
              <w:rFonts w:hint="eastAsia" w:ascii="宋体" w:hAnsi="宋体" w:eastAsia="宋体" w:cs="宋体"/>
              <w:color w:val="auto"/>
              <w:lang w:val="zh-CN"/>
            </w:rPr>
          </w:pP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HYPERLINK \l _Toc2294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12 投标报价货币</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_Toc2294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12</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192E7730">
          <w:pPr>
            <w:pStyle w:val="20"/>
            <w:spacing w:line="360" w:lineRule="auto"/>
            <w:ind w:left="424" w:leftChars="202" w:firstLine="2" w:firstLineChars="1"/>
            <w:rPr>
              <w:rFonts w:hint="eastAsia" w:ascii="宋体" w:hAnsi="宋体" w:eastAsia="宋体" w:cs="宋体"/>
              <w:color w:val="auto"/>
              <w:lang w:val="zh-CN"/>
            </w:rPr>
          </w:pP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HYPERLINK \l _Toc26262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13 证明投标人的合格性和资格的声明文件</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_Toc26262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12</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2739A1FE">
          <w:pPr>
            <w:pStyle w:val="20"/>
            <w:spacing w:line="360" w:lineRule="auto"/>
            <w:ind w:left="424" w:leftChars="202" w:firstLine="2" w:firstLineChars="1"/>
            <w:rPr>
              <w:rFonts w:hint="eastAsia" w:ascii="宋体" w:hAnsi="宋体" w:eastAsia="宋体" w:cs="宋体"/>
              <w:color w:val="auto"/>
              <w:lang w:val="zh-CN"/>
            </w:rPr>
          </w:pP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HYPERLINK \l _Toc5632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14 证明服务的合格性并符合招标文件规定的声明文件</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_Toc5632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12</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68803194">
          <w:pPr>
            <w:pStyle w:val="20"/>
            <w:spacing w:line="360" w:lineRule="auto"/>
            <w:ind w:left="424" w:leftChars="202" w:firstLine="2" w:firstLineChars="1"/>
            <w:rPr>
              <w:rFonts w:hint="eastAsia" w:ascii="宋体" w:hAnsi="宋体" w:eastAsia="宋体" w:cs="宋体"/>
              <w:color w:val="auto"/>
              <w:lang w:val="zh-CN"/>
            </w:rPr>
          </w:pP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HYPERLINK \l _Toc26847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15 投标保证金</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_Toc26847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12</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075479E5">
          <w:pPr>
            <w:pStyle w:val="20"/>
            <w:spacing w:line="360" w:lineRule="auto"/>
            <w:ind w:left="424" w:leftChars="202" w:firstLine="2" w:firstLineChars="1"/>
            <w:rPr>
              <w:rFonts w:hint="eastAsia" w:ascii="宋体" w:hAnsi="宋体" w:eastAsia="宋体" w:cs="宋体"/>
              <w:color w:val="auto"/>
              <w:lang w:val="zh-CN"/>
            </w:rPr>
          </w:pP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HYPERLINK \l _Toc11787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16 投标有效期</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_Toc11787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13</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7C24EB0B">
          <w:pPr>
            <w:pStyle w:val="20"/>
            <w:spacing w:line="360" w:lineRule="auto"/>
            <w:ind w:left="424" w:leftChars="202" w:firstLine="2" w:firstLineChars="1"/>
            <w:rPr>
              <w:rFonts w:hint="eastAsia" w:ascii="宋体" w:hAnsi="宋体" w:eastAsia="宋体" w:cs="宋体"/>
              <w:color w:val="auto"/>
            </w:rPr>
          </w:pP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HYPERLINK \l _Toc10082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17 投标文件的式样和签署</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_Toc10082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13</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6682763D">
          <w:pPr>
            <w:pStyle w:val="27"/>
            <w:tabs>
              <w:tab w:val="right" w:leader="dot" w:pos="10144"/>
            </w:tabs>
            <w:spacing w:line="360" w:lineRule="auto"/>
            <w:ind w:firstLine="211" w:firstLineChars="100"/>
            <w:rPr>
              <w:rFonts w:hint="eastAsia" w:ascii="宋体" w:hAnsi="宋体" w:eastAsia="宋体" w:cs="宋体"/>
              <w:b/>
              <w:bCs/>
              <w:color w:val="auto"/>
            </w:rPr>
          </w:pPr>
          <w:r>
            <w:rPr>
              <w:rFonts w:hint="eastAsia" w:ascii="宋体" w:hAnsi="宋体" w:eastAsia="宋体" w:cs="宋体"/>
              <w:b/>
              <w:bCs/>
              <w:color w:val="auto"/>
              <w:lang w:val="zh-CN"/>
            </w:rPr>
            <w:fldChar w:fldCharType="begin"/>
          </w:r>
          <w:r>
            <w:rPr>
              <w:rFonts w:hint="eastAsia" w:ascii="宋体" w:hAnsi="宋体" w:eastAsia="宋体" w:cs="宋体"/>
              <w:b/>
              <w:bCs/>
              <w:color w:val="auto"/>
              <w:lang w:val="zh-CN"/>
            </w:rPr>
            <w:instrText xml:space="preserve"> HYPERLINK \l _Toc14662 </w:instrText>
          </w:r>
          <w:r>
            <w:rPr>
              <w:rFonts w:hint="eastAsia" w:ascii="宋体" w:hAnsi="宋体" w:eastAsia="宋体" w:cs="宋体"/>
              <w:b/>
              <w:bCs/>
              <w:color w:val="auto"/>
              <w:lang w:val="zh-CN"/>
            </w:rPr>
            <w:fldChar w:fldCharType="separate"/>
          </w:r>
          <w:r>
            <w:rPr>
              <w:rFonts w:hint="eastAsia" w:ascii="宋体" w:hAnsi="宋体" w:eastAsia="宋体" w:cs="宋体"/>
              <w:b/>
              <w:bCs/>
              <w:color w:val="auto"/>
              <w:kern w:val="44"/>
              <w:szCs w:val="21"/>
              <w:highlight w:val="none"/>
              <w:lang w:val="zh-CN"/>
            </w:rPr>
            <w:t>四、投标文件的递交</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_Toc14662 \h </w:instrText>
          </w:r>
          <w:r>
            <w:rPr>
              <w:rFonts w:hint="eastAsia" w:ascii="宋体" w:hAnsi="宋体" w:eastAsia="宋体" w:cs="宋体"/>
              <w:b/>
              <w:bCs/>
              <w:color w:val="auto"/>
            </w:rPr>
            <w:fldChar w:fldCharType="separate"/>
          </w:r>
          <w:r>
            <w:rPr>
              <w:rFonts w:hint="eastAsia" w:ascii="宋体" w:hAnsi="宋体" w:eastAsia="宋体" w:cs="宋体"/>
              <w:b/>
              <w:bCs/>
              <w:color w:val="auto"/>
            </w:rPr>
            <w:t>14</w:t>
          </w:r>
          <w:r>
            <w:rPr>
              <w:rFonts w:hint="eastAsia" w:ascii="宋体" w:hAnsi="宋体" w:eastAsia="宋体" w:cs="宋体"/>
              <w:b/>
              <w:bCs/>
              <w:color w:val="auto"/>
            </w:rPr>
            <w:fldChar w:fldCharType="end"/>
          </w:r>
          <w:r>
            <w:rPr>
              <w:rFonts w:hint="eastAsia" w:ascii="宋体" w:hAnsi="宋体" w:eastAsia="宋体" w:cs="宋体"/>
              <w:b/>
              <w:bCs/>
              <w:color w:val="auto"/>
              <w:lang w:val="zh-CN"/>
            </w:rPr>
            <w:fldChar w:fldCharType="end"/>
          </w:r>
        </w:p>
        <w:p w14:paraId="487B2116">
          <w:pPr>
            <w:pStyle w:val="20"/>
            <w:spacing w:line="360" w:lineRule="auto"/>
            <w:ind w:left="424" w:leftChars="202" w:firstLine="2" w:firstLineChars="1"/>
            <w:rPr>
              <w:rFonts w:hint="eastAsia" w:ascii="宋体" w:hAnsi="宋体" w:eastAsia="宋体" w:cs="宋体"/>
              <w:color w:val="auto"/>
              <w:lang w:val="zh-CN"/>
            </w:rPr>
          </w:pP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HYPERLINK \l _Toc6570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18 投标文件的密封和标记</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_Toc6570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14</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6335322B">
          <w:pPr>
            <w:pStyle w:val="20"/>
            <w:spacing w:line="360" w:lineRule="auto"/>
            <w:ind w:left="424" w:leftChars="202" w:firstLine="2" w:firstLineChars="1"/>
            <w:rPr>
              <w:rFonts w:hint="eastAsia" w:ascii="宋体" w:hAnsi="宋体" w:eastAsia="宋体" w:cs="宋体"/>
              <w:color w:val="auto"/>
              <w:lang w:val="zh-CN"/>
            </w:rPr>
          </w:pP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HYPERLINK \l _Toc15015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19 递交投标文件的截止日期</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_Toc15015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14</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63F750FA">
          <w:pPr>
            <w:pStyle w:val="20"/>
            <w:spacing w:line="360" w:lineRule="auto"/>
            <w:ind w:left="424" w:leftChars="202" w:firstLine="2" w:firstLineChars="1"/>
            <w:rPr>
              <w:rFonts w:hint="eastAsia" w:ascii="宋体" w:hAnsi="宋体" w:eastAsia="宋体" w:cs="宋体"/>
              <w:color w:val="auto"/>
              <w:lang w:val="zh-CN"/>
            </w:rPr>
          </w:pP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HYPERLINK \l _Toc7281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20 迟交的投标文件</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_Toc7281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14</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109D5E64">
          <w:pPr>
            <w:pStyle w:val="20"/>
            <w:spacing w:line="360" w:lineRule="auto"/>
            <w:ind w:left="424" w:leftChars="202" w:firstLine="2" w:firstLineChars="1"/>
            <w:rPr>
              <w:rFonts w:hint="eastAsia" w:ascii="宋体" w:hAnsi="宋体" w:eastAsia="宋体" w:cs="宋体"/>
              <w:color w:val="auto"/>
            </w:rPr>
          </w:pP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HYPERLINK \l _Toc29092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21 投标文件的修改和撤回</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_Toc29092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14</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2DF304E0">
          <w:pPr>
            <w:pStyle w:val="27"/>
            <w:tabs>
              <w:tab w:val="right" w:leader="dot" w:pos="10144"/>
            </w:tabs>
            <w:spacing w:line="360" w:lineRule="auto"/>
            <w:ind w:firstLine="211" w:firstLineChars="100"/>
            <w:rPr>
              <w:rFonts w:hint="eastAsia" w:ascii="宋体" w:hAnsi="宋体" w:eastAsia="宋体" w:cs="宋体"/>
              <w:color w:val="auto"/>
            </w:rPr>
          </w:pPr>
          <w:r>
            <w:rPr>
              <w:rFonts w:hint="eastAsia" w:ascii="宋体" w:hAnsi="宋体" w:eastAsia="宋体" w:cs="宋体"/>
              <w:b/>
              <w:bCs/>
              <w:color w:val="auto"/>
              <w:lang w:val="zh-CN"/>
            </w:rPr>
            <w:fldChar w:fldCharType="begin"/>
          </w:r>
          <w:r>
            <w:rPr>
              <w:rFonts w:hint="eastAsia" w:ascii="宋体" w:hAnsi="宋体" w:eastAsia="宋体" w:cs="宋体"/>
              <w:b/>
              <w:bCs/>
              <w:color w:val="auto"/>
              <w:lang w:val="zh-CN"/>
            </w:rPr>
            <w:instrText xml:space="preserve"> HYPERLINK \l _Toc12767 </w:instrText>
          </w:r>
          <w:r>
            <w:rPr>
              <w:rFonts w:hint="eastAsia" w:ascii="宋体" w:hAnsi="宋体" w:eastAsia="宋体" w:cs="宋体"/>
              <w:b/>
              <w:bCs/>
              <w:color w:val="auto"/>
              <w:lang w:val="zh-CN"/>
            </w:rPr>
            <w:fldChar w:fldCharType="separate"/>
          </w:r>
          <w:r>
            <w:rPr>
              <w:rFonts w:hint="eastAsia" w:ascii="宋体" w:hAnsi="宋体" w:eastAsia="宋体" w:cs="宋体"/>
              <w:b/>
              <w:bCs/>
              <w:color w:val="auto"/>
              <w:kern w:val="44"/>
              <w:szCs w:val="21"/>
              <w:highlight w:val="none"/>
              <w:lang w:val="zh-CN"/>
            </w:rPr>
            <w:t>五、开标与评标</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_Toc12767 \h </w:instrText>
          </w:r>
          <w:r>
            <w:rPr>
              <w:rFonts w:hint="eastAsia" w:ascii="宋体" w:hAnsi="宋体" w:eastAsia="宋体" w:cs="宋体"/>
              <w:b/>
              <w:bCs/>
              <w:color w:val="auto"/>
            </w:rPr>
            <w:fldChar w:fldCharType="separate"/>
          </w:r>
          <w:r>
            <w:rPr>
              <w:rFonts w:hint="eastAsia" w:ascii="宋体" w:hAnsi="宋体" w:eastAsia="宋体" w:cs="宋体"/>
              <w:b/>
              <w:bCs/>
              <w:color w:val="auto"/>
            </w:rPr>
            <w:t>15</w:t>
          </w:r>
          <w:r>
            <w:rPr>
              <w:rFonts w:hint="eastAsia" w:ascii="宋体" w:hAnsi="宋体" w:eastAsia="宋体" w:cs="宋体"/>
              <w:b/>
              <w:bCs/>
              <w:color w:val="auto"/>
            </w:rPr>
            <w:fldChar w:fldCharType="end"/>
          </w:r>
          <w:r>
            <w:rPr>
              <w:rFonts w:hint="eastAsia" w:ascii="宋体" w:hAnsi="宋体" w:eastAsia="宋体" w:cs="宋体"/>
              <w:b/>
              <w:bCs/>
              <w:color w:val="auto"/>
              <w:lang w:val="zh-CN"/>
            </w:rPr>
            <w:fldChar w:fldCharType="end"/>
          </w:r>
        </w:p>
        <w:p w14:paraId="78DAAAC3">
          <w:pPr>
            <w:pStyle w:val="20"/>
            <w:spacing w:line="360" w:lineRule="auto"/>
            <w:ind w:left="424" w:leftChars="202" w:firstLine="2" w:firstLineChars="1"/>
            <w:rPr>
              <w:rFonts w:hint="eastAsia" w:ascii="宋体" w:hAnsi="宋体" w:eastAsia="宋体" w:cs="宋体"/>
              <w:color w:val="auto"/>
              <w:lang w:val="zh-CN"/>
            </w:rPr>
          </w:pP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HYPERLINK \l _Toc16520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22 开标</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_Toc16520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15</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3738799E">
          <w:pPr>
            <w:pStyle w:val="20"/>
            <w:spacing w:line="360" w:lineRule="auto"/>
            <w:ind w:left="424" w:leftChars="202" w:firstLine="2" w:firstLineChars="1"/>
            <w:rPr>
              <w:rFonts w:hint="eastAsia" w:ascii="宋体" w:hAnsi="宋体" w:eastAsia="宋体" w:cs="宋体"/>
              <w:color w:val="auto"/>
              <w:lang w:val="zh-CN"/>
            </w:rPr>
          </w:pP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HYPERLINK \l _Toc13922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23 评标过程的保密性</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_Toc13922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15</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1BC5090B">
          <w:pPr>
            <w:pStyle w:val="20"/>
            <w:spacing w:line="360" w:lineRule="auto"/>
            <w:ind w:left="424" w:leftChars="202" w:firstLine="2" w:firstLineChars="1"/>
            <w:rPr>
              <w:rFonts w:hint="eastAsia" w:ascii="宋体" w:hAnsi="宋体" w:eastAsia="宋体" w:cs="宋体"/>
              <w:color w:val="auto"/>
              <w:lang w:val="zh-CN"/>
            </w:rPr>
          </w:pP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HYPERLINK \l _Toc27646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24 评标委员会</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_Toc27646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15</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145ED775">
          <w:pPr>
            <w:pStyle w:val="20"/>
            <w:spacing w:line="360" w:lineRule="auto"/>
            <w:ind w:left="424" w:leftChars="202" w:firstLine="2" w:firstLineChars="1"/>
            <w:rPr>
              <w:rFonts w:hint="eastAsia" w:ascii="宋体" w:hAnsi="宋体" w:eastAsia="宋体" w:cs="宋体"/>
              <w:color w:val="auto"/>
              <w:lang w:val="zh-CN"/>
            </w:rPr>
          </w:pP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HYPERLINK \l _Toc20381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25 投标文件的初审</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_Toc20381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15</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0F44D5B3">
          <w:pPr>
            <w:pStyle w:val="20"/>
            <w:spacing w:line="360" w:lineRule="auto"/>
            <w:ind w:left="424" w:leftChars="202" w:firstLine="2" w:firstLineChars="1"/>
            <w:rPr>
              <w:rFonts w:hint="eastAsia" w:ascii="宋体" w:hAnsi="宋体" w:eastAsia="宋体" w:cs="宋体"/>
              <w:color w:val="auto"/>
              <w:lang w:val="zh-CN"/>
            </w:rPr>
          </w:pP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HYPERLINK \l _Toc31128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26 投标文件的澄清</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_Toc31128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16</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06B6DDBE">
          <w:pPr>
            <w:pStyle w:val="20"/>
            <w:spacing w:line="360" w:lineRule="auto"/>
            <w:ind w:left="424" w:leftChars="202" w:firstLine="2" w:firstLineChars="1"/>
            <w:rPr>
              <w:rFonts w:hint="eastAsia" w:ascii="宋体" w:hAnsi="宋体" w:eastAsia="宋体" w:cs="宋体"/>
              <w:color w:val="auto"/>
              <w:lang w:val="zh-CN"/>
            </w:rPr>
          </w:pP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HYPERLINK \l _Toc5775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27 对投标文件的比较和评价</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_Toc5775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16</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363724A9">
          <w:pPr>
            <w:pStyle w:val="20"/>
            <w:spacing w:line="360" w:lineRule="auto"/>
            <w:ind w:left="424" w:leftChars="202" w:firstLine="2" w:firstLineChars="1"/>
            <w:rPr>
              <w:rFonts w:hint="eastAsia" w:ascii="宋体" w:hAnsi="宋体" w:eastAsia="宋体" w:cs="宋体"/>
              <w:color w:val="auto"/>
              <w:lang w:val="zh-CN"/>
            </w:rPr>
          </w:pP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HYPERLINK \l _Toc25247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28 评标原则及方法</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_Toc25247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16</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2C2EA77B">
          <w:pPr>
            <w:pStyle w:val="20"/>
            <w:spacing w:line="360" w:lineRule="auto"/>
            <w:ind w:left="424" w:leftChars="202" w:firstLine="2" w:firstLineChars="1"/>
            <w:rPr>
              <w:rFonts w:hint="eastAsia" w:ascii="宋体" w:hAnsi="宋体" w:eastAsia="宋体" w:cs="宋体"/>
              <w:color w:val="auto"/>
              <w:lang w:val="zh-CN"/>
            </w:rPr>
          </w:pP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HYPERLINK \l _Toc20434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29 评标结果公示及异议、投诉</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_Toc20434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16</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46B65841">
          <w:pPr>
            <w:pStyle w:val="20"/>
            <w:spacing w:line="360" w:lineRule="auto"/>
            <w:ind w:left="424" w:leftChars="202" w:firstLine="2" w:firstLineChars="1"/>
            <w:rPr>
              <w:rFonts w:hint="eastAsia" w:ascii="宋体" w:hAnsi="宋体" w:eastAsia="宋体" w:cs="宋体"/>
              <w:color w:val="auto"/>
              <w:lang w:val="zh-CN"/>
            </w:rPr>
          </w:pP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HYPERLINK \l _Toc1385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30 真实性审查</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_Toc1385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17</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06F16FB6">
          <w:pPr>
            <w:pStyle w:val="20"/>
            <w:spacing w:line="360" w:lineRule="auto"/>
            <w:ind w:left="424" w:leftChars="202" w:firstLine="2" w:firstLineChars="1"/>
            <w:rPr>
              <w:rFonts w:hint="eastAsia" w:ascii="宋体" w:hAnsi="宋体" w:eastAsia="宋体" w:cs="宋体"/>
              <w:color w:val="auto"/>
            </w:rPr>
          </w:pP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HYPERLINK \l _Toc24255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31 评标委员会和招标人接受或拒绝任何投标或所有投标的权利</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_Toc24255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18</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09C5542F">
          <w:pPr>
            <w:pStyle w:val="27"/>
            <w:tabs>
              <w:tab w:val="right" w:leader="dot" w:pos="10144"/>
            </w:tabs>
            <w:spacing w:line="360" w:lineRule="auto"/>
            <w:ind w:firstLine="211" w:firstLineChars="100"/>
            <w:rPr>
              <w:rFonts w:hint="eastAsia" w:ascii="宋体" w:hAnsi="宋体" w:eastAsia="宋体" w:cs="宋体"/>
              <w:b/>
              <w:bCs/>
              <w:color w:val="auto"/>
            </w:rPr>
          </w:pPr>
          <w:r>
            <w:rPr>
              <w:rFonts w:hint="eastAsia" w:ascii="宋体" w:hAnsi="宋体" w:eastAsia="宋体" w:cs="宋体"/>
              <w:b/>
              <w:bCs/>
              <w:color w:val="auto"/>
              <w:lang w:val="zh-CN"/>
            </w:rPr>
            <w:fldChar w:fldCharType="begin"/>
          </w:r>
          <w:r>
            <w:rPr>
              <w:rFonts w:hint="eastAsia" w:ascii="宋体" w:hAnsi="宋体" w:eastAsia="宋体" w:cs="宋体"/>
              <w:b/>
              <w:bCs/>
              <w:color w:val="auto"/>
              <w:lang w:val="zh-CN"/>
            </w:rPr>
            <w:instrText xml:space="preserve"> HYPERLINK \l _Toc21595 </w:instrText>
          </w:r>
          <w:r>
            <w:rPr>
              <w:rFonts w:hint="eastAsia" w:ascii="宋体" w:hAnsi="宋体" w:eastAsia="宋体" w:cs="宋体"/>
              <w:b/>
              <w:bCs/>
              <w:color w:val="auto"/>
              <w:lang w:val="zh-CN"/>
            </w:rPr>
            <w:fldChar w:fldCharType="separate"/>
          </w:r>
          <w:r>
            <w:rPr>
              <w:rFonts w:hint="eastAsia" w:ascii="宋体" w:hAnsi="宋体" w:eastAsia="宋体" w:cs="宋体"/>
              <w:b/>
              <w:bCs/>
              <w:color w:val="auto"/>
              <w:kern w:val="44"/>
              <w:szCs w:val="21"/>
              <w:highlight w:val="none"/>
              <w:lang w:val="zh-CN"/>
            </w:rPr>
            <w:t>六、授予合同</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_Toc21595 \h </w:instrText>
          </w:r>
          <w:r>
            <w:rPr>
              <w:rFonts w:hint="eastAsia" w:ascii="宋体" w:hAnsi="宋体" w:eastAsia="宋体" w:cs="宋体"/>
              <w:b/>
              <w:bCs/>
              <w:color w:val="auto"/>
            </w:rPr>
            <w:fldChar w:fldCharType="separate"/>
          </w:r>
          <w:r>
            <w:rPr>
              <w:rFonts w:hint="eastAsia" w:ascii="宋体" w:hAnsi="宋体" w:eastAsia="宋体" w:cs="宋体"/>
              <w:b/>
              <w:bCs/>
              <w:color w:val="auto"/>
            </w:rPr>
            <w:t>18</w:t>
          </w:r>
          <w:r>
            <w:rPr>
              <w:rFonts w:hint="eastAsia" w:ascii="宋体" w:hAnsi="宋体" w:eastAsia="宋体" w:cs="宋体"/>
              <w:b/>
              <w:bCs/>
              <w:color w:val="auto"/>
            </w:rPr>
            <w:fldChar w:fldCharType="end"/>
          </w:r>
          <w:r>
            <w:rPr>
              <w:rFonts w:hint="eastAsia" w:ascii="宋体" w:hAnsi="宋体" w:eastAsia="宋体" w:cs="宋体"/>
              <w:b/>
              <w:bCs/>
              <w:color w:val="auto"/>
              <w:lang w:val="zh-CN"/>
            </w:rPr>
            <w:fldChar w:fldCharType="end"/>
          </w:r>
        </w:p>
        <w:p w14:paraId="69E8FE37">
          <w:pPr>
            <w:pStyle w:val="20"/>
            <w:spacing w:line="360" w:lineRule="auto"/>
            <w:ind w:left="424" w:leftChars="202" w:firstLine="2" w:firstLineChars="1"/>
            <w:rPr>
              <w:rFonts w:hint="eastAsia" w:ascii="宋体" w:hAnsi="宋体" w:eastAsia="宋体" w:cs="宋体"/>
              <w:color w:val="auto"/>
              <w:lang w:val="zh-CN"/>
            </w:rPr>
          </w:pP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HYPERLINK \l _Toc24286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32 授予合同的准则</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_Toc24286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18</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59719F32">
          <w:pPr>
            <w:pStyle w:val="20"/>
            <w:spacing w:line="360" w:lineRule="auto"/>
            <w:ind w:left="424" w:leftChars="202" w:firstLine="2" w:firstLineChars="1"/>
            <w:rPr>
              <w:rFonts w:hint="eastAsia" w:ascii="宋体" w:hAnsi="宋体" w:eastAsia="宋体" w:cs="宋体"/>
              <w:color w:val="auto"/>
              <w:lang w:val="zh-CN"/>
            </w:rPr>
          </w:pP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HYPERLINK \l _Toc27844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33 中标通知</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_Toc27844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18</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13B666A9">
          <w:pPr>
            <w:pStyle w:val="20"/>
            <w:spacing w:line="360" w:lineRule="auto"/>
            <w:ind w:left="424" w:leftChars="202" w:firstLine="2" w:firstLineChars="1"/>
            <w:rPr>
              <w:rFonts w:hint="eastAsia" w:ascii="宋体" w:hAnsi="宋体" w:eastAsia="宋体" w:cs="宋体"/>
              <w:color w:val="auto"/>
              <w:lang w:val="zh-CN"/>
            </w:rPr>
          </w:pP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HYPERLINK \l _Toc11375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34 签署合同</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_Toc11375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18</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0C8A33CF">
          <w:pPr>
            <w:pStyle w:val="20"/>
            <w:spacing w:line="360" w:lineRule="auto"/>
            <w:ind w:left="424" w:leftChars="202" w:firstLine="2" w:firstLineChars="1"/>
            <w:rPr>
              <w:rFonts w:hint="eastAsia" w:ascii="宋体" w:hAnsi="宋体" w:eastAsia="宋体" w:cs="宋体"/>
              <w:color w:val="auto"/>
              <w:lang w:val="zh-CN"/>
            </w:rPr>
          </w:pP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HYPERLINK \l _Toc7237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35 履约担保</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_Toc7237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19</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1003CFB7">
          <w:pPr>
            <w:pStyle w:val="20"/>
            <w:spacing w:line="360" w:lineRule="auto"/>
            <w:ind w:left="424" w:leftChars="202" w:firstLine="2" w:firstLineChars="1"/>
            <w:rPr>
              <w:rFonts w:hint="eastAsia" w:ascii="宋体" w:hAnsi="宋体" w:eastAsia="宋体" w:cs="宋体"/>
              <w:color w:val="auto"/>
              <w:lang w:val="zh-CN"/>
            </w:rPr>
          </w:pP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HYPERLINK \l _Toc31765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36 在合同履行中变更采购范围的权利</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_Toc31765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21</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7DD263B3">
          <w:pPr>
            <w:pStyle w:val="20"/>
            <w:spacing w:line="360" w:lineRule="auto"/>
            <w:ind w:left="424" w:leftChars="202" w:firstLine="2" w:firstLineChars="1"/>
            <w:rPr>
              <w:rFonts w:hint="eastAsia" w:ascii="宋体" w:hAnsi="宋体" w:eastAsia="宋体" w:cs="宋体"/>
              <w:color w:val="auto"/>
              <w:lang w:val="zh-CN"/>
            </w:rPr>
          </w:pP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HYPERLINK \l _Toc12066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37 中标服务费</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_Toc12066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21</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397B732F">
          <w:pPr>
            <w:pStyle w:val="20"/>
            <w:spacing w:line="360" w:lineRule="auto"/>
            <w:ind w:left="424" w:leftChars="202" w:firstLine="2" w:firstLineChars="1"/>
            <w:rPr>
              <w:rFonts w:hint="eastAsia" w:ascii="宋体" w:hAnsi="宋体" w:eastAsia="宋体" w:cs="宋体"/>
              <w:color w:val="auto"/>
              <w:lang w:val="zh-CN"/>
            </w:rPr>
          </w:pP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HYPERLINK \l _Toc20572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38 发票</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_Toc20572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21</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67D992FF">
          <w:pPr>
            <w:pStyle w:val="20"/>
            <w:spacing w:line="360" w:lineRule="auto"/>
            <w:ind w:left="424" w:leftChars="202" w:firstLine="2" w:firstLineChars="1"/>
            <w:rPr>
              <w:rFonts w:hint="eastAsia" w:ascii="宋体" w:hAnsi="宋体" w:eastAsia="宋体" w:cs="宋体"/>
              <w:color w:val="auto"/>
              <w:lang w:val="zh-CN"/>
            </w:rPr>
          </w:pP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HYPERLINK \l _Toc17654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39 招标相关补充约定</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_Toc17654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21</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774FB1B7">
          <w:pPr>
            <w:pStyle w:val="20"/>
            <w:spacing w:line="360" w:lineRule="auto"/>
            <w:ind w:left="424" w:leftChars="202" w:firstLine="2" w:firstLineChars="1"/>
            <w:rPr>
              <w:rFonts w:hint="eastAsia" w:ascii="宋体" w:hAnsi="宋体" w:eastAsia="宋体" w:cs="宋体"/>
              <w:color w:val="auto"/>
            </w:rPr>
          </w:pP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HYPERLINK \l _Toc27258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40 本次招标活动的最终解释权归招标代理机构及招标人所有。</w:t>
          </w:r>
          <w:r>
            <w:rPr>
              <w:rFonts w:hint="eastAsia" w:ascii="宋体" w:hAnsi="宋体" w:eastAsia="宋体" w:cs="宋体"/>
              <w:color w:val="auto"/>
              <w:lang w:val="zh-CN"/>
            </w:rPr>
            <w:tab/>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PAGEREF _Toc27258 \h </w:instrText>
          </w:r>
          <w:r>
            <w:rPr>
              <w:rFonts w:hint="eastAsia" w:ascii="宋体" w:hAnsi="宋体" w:eastAsia="宋体" w:cs="宋体"/>
              <w:color w:val="auto"/>
              <w:lang w:val="zh-CN"/>
            </w:rPr>
            <w:fldChar w:fldCharType="separate"/>
          </w:r>
          <w:r>
            <w:rPr>
              <w:rFonts w:hint="eastAsia" w:ascii="宋体" w:hAnsi="宋体" w:eastAsia="宋体" w:cs="宋体"/>
              <w:color w:val="auto"/>
              <w:lang w:val="zh-CN"/>
            </w:rPr>
            <w:t>21</w:t>
          </w:r>
          <w:r>
            <w:rPr>
              <w:rFonts w:hint="eastAsia" w:ascii="宋体" w:hAnsi="宋体" w:eastAsia="宋体" w:cs="宋体"/>
              <w:color w:val="auto"/>
              <w:lang w:val="zh-CN"/>
            </w:rPr>
            <w:fldChar w:fldCharType="end"/>
          </w:r>
          <w:r>
            <w:rPr>
              <w:rFonts w:hint="eastAsia" w:ascii="宋体" w:hAnsi="宋体" w:eastAsia="宋体" w:cs="宋体"/>
              <w:color w:val="auto"/>
              <w:lang w:val="zh-CN"/>
            </w:rPr>
            <w:fldChar w:fldCharType="end"/>
          </w:r>
        </w:p>
        <w:p w14:paraId="5F559EC5">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lang w:val="zh-CN"/>
            </w:rPr>
          </w:pPr>
          <w:r>
            <w:rPr>
              <w:rFonts w:hint="eastAsia" w:ascii="宋体" w:hAnsi="宋体" w:eastAsia="宋体" w:cs="宋体"/>
              <w:b/>
              <w:bCs/>
              <w:color w:val="auto"/>
              <w:lang w:val="zh-CN"/>
            </w:rPr>
            <w:fldChar w:fldCharType="begin"/>
          </w:r>
          <w:r>
            <w:rPr>
              <w:rFonts w:hint="eastAsia" w:ascii="宋体" w:hAnsi="宋体" w:eastAsia="宋体" w:cs="宋体"/>
              <w:b/>
              <w:bCs/>
              <w:color w:val="auto"/>
              <w:lang w:val="zh-CN"/>
            </w:rPr>
            <w:instrText xml:space="preserve"> HYPERLINK \l _Toc10341 </w:instrText>
          </w:r>
          <w:r>
            <w:rPr>
              <w:rFonts w:hint="eastAsia" w:ascii="宋体" w:hAnsi="宋体" w:eastAsia="宋体" w:cs="宋体"/>
              <w:b/>
              <w:bCs/>
              <w:color w:val="auto"/>
              <w:lang w:val="zh-CN"/>
            </w:rPr>
            <w:fldChar w:fldCharType="separate"/>
          </w:r>
          <w:r>
            <w:rPr>
              <w:rFonts w:hint="eastAsia" w:ascii="宋体" w:hAnsi="宋体" w:eastAsia="宋体" w:cs="宋体"/>
              <w:b/>
              <w:bCs/>
              <w:color w:val="auto"/>
              <w:lang w:val="zh-CN"/>
            </w:rPr>
            <w:t>第三篇 用户需求书</w:t>
          </w:r>
          <w:r>
            <w:rPr>
              <w:rFonts w:hint="eastAsia" w:ascii="宋体" w:hAnsi="宋体" w:eastAsia="宋体" w:cs="宋体"/>
              <w:b/>
              <w:bCs/>
              <w:color w:val="auto"/>
              <w:lang w:val="zh-CN"/>
            </w:rPr>
            <w:tab/>
          </w:r>
          <w:r>
            <w:rPr>
              <w:rFonts w:hint="eastAsia" w:ascii="宋体" w:hAnsi="宋体" w:eastAsia="宋体" w:cs="宋体"/>
              <w:b/>
              <w:bCs/>
              <w:color w:val="auto"/>
              <w:lang w:val="zh-CN"/>
            </w:rPr>
            <w:fldChar w:fldCharType="begin"/>
          </w:r>
          <w:r>
            <w:rPr>
              <w:rFonts w:hint="eastAsia" w:ascii="宋体" w:hAnsi="宋体" w:eastAsia="宋体" w:cs="宋体"/>
              <w:b/>
              <w:bCs/>
              <w:color w:val="auto"/>
              <w:lang w:val="zh-CN"/>
            </w:rPr>
            <w:instrText xml:space="preserve"> PAGEREF _Toc10341 \h </w:instrText>
          </w:r>
          <w:r>
            <w:rPr>
              <w:rFonts w:hint="eastAsia" w:ascii="宋体" w:hAnsi="宋体" w:eastAsia="宋体" w:cs="宋体"/>
              <w:b/>
              <w:bCs/>
              <w:color w:val="auto"/>
              <w:lang w:val="zh-CN"/>
            </w:rPr>
            <w:fldChar w:fldCharType="separate"/>
          </w:r>
          <w:r>
            <w:rPr>
              <w:rFonts w:hint="eastAsia" w:ascii="宋体" w:hAnsi="宋体" w:eastAsia="宋体" w:cs="宋体"/>
              <w:b/>
              <w:bCs/>
              <w:color w:val="auto"/>
              <w:lang w:val="zh-CN"/>
            </w:rPr>
            <w:t>22</w:t>
          </w:r>
          <w:r>
            <w:rPr>
              <w:rFonts w:hint="eastAsia" w:ascii="宋体" w:hAnsi="宋体" w:eastAsia="宋体" w:cs="宋体"/>
              <w:b/>
              <w:bCs/>
              <w:color w:val="auto"/>
              <w:lang w:val="zh-CN"/>
            </w:rPr>
            <w:fldChar w:fldCharType="end"/>
          </w:r>
          <w:r>
            <w:rPr>
              <w:rFonts w:hint="eastAsia" w:ascii="宋体" w:hAnsi="宋体" w:eastAsia="宋体" w:cs="宋体"/>
              <w:b/>
              <w:bCs/>
              <w:color w:val="auto"/>
              <w:lang w:val="zh-CN"/>
            </w:rPr>
            <w:fldChar w:fldCharType="end"/>
          </w:r>
        </w:p>
        <w:p w14:paraId="3EC99344">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lang w:val="zh-CN"/>
            </w:rPr>
          </w:pPr>
          <w:r>
            <w:rPr>
              <w:rFonts w:hint="eastAsia" w:ascii="宋体" w:hAnsi="宋体" w:eastAsia="宋体" w:cs="宋体"/>
              <w:b/>
              <w:bCs/>
              <w:color w:val="auto"/>
              <w:lang w:val="zh-CN"/>
            </w:rPr>
            <w:fldChar w:fldCharType="begin"/>
          </w:r>
          <w:r>
            <w:rPr>
              <w:rFonts w:hint="eastAsia" w:ascii="宋体" w:hAnsi="宋体" w:eastAsia="宋体" w:cs="宋体"/>
              <w:b/>
              <w:bCs/>
              <w:color w:val="auto"/>
              <w:lang w:val="zh-CN"/>
            </w:rPr>
            <w:instrText xml:space="preserve"> HYPERLINK \l _Toc16928 </w:instrText>
          </w:r>
          <w:r>
            <w:rPr>
              <w:rFonts w:hint="eastAsia" w:ascii="宋体" w:hAnsi="宋体" w:eastAsia="宋体" w:cs="宋体"/>
              <w:b/>
              <w:bCs/>
              <w:color w:val="auto"/>
              <w:lang w:val="zh-CN"/>
            </w:rPr>
            <w:fldChar w:fldCharType="separate"/>
          </w:r>
          <w:r>
            <w:rPr>
              <w:rFonts w:hint="eastAsia" w:ascii="宋体" w:hAnsi="宋体" w:eastAsia="宋体" w:cs="宋体"/>
              <w:b/>
              <w:bCs/>
              <w:color w:val="auto"/>
              <w:lang w:val="zh-CN"/>
            </w:rPr>
            <w:t>第四篇 合同条款格式</w:t>
          </w:r>
          <w:r>
            <w:rPr>
              <w:rFonts w:hint="eastAsia" w:ascii="宋体" w:hAnsi="宋体" w:eastAsia="宋体" w:cs="宋体"/>
              <w:b/>
              <w:bCs/>
              <w:color w:val="auto"/>
              <w:lang w:val="zh-CN"/>
            </w:rPr>
            <w:tab/>
          </w:r>
          <w:r>
            <w:rPr>
              <w:rFonts w:hint="eastAsia" w:ascii="宋体" w:hAnsi="宋体" w:eastAsia="宋体" w:cs="宋体"/>
              <w:b/>
              <w:bCs/>
              <w:color w:val="auto"/>
              <w:lang w:val="zh-CN"/>
            </w:rPr>
            <w:fldChar w:fldCharType="begin"/>
          </w:r>
          <w:r>
            <w:rPr>
              <w:rFonts w:hint="eastAsia" w:ascii="宋体" w:hAnsi="宋体" w:eastAsia="宋体" w:cs="宋体"/>
              <w:b/>
              <w:bCs/>
              <w:color w:val="auto"/>
              <w:lang w:val="zh-CN"/>
            </w:rPr>
            <w:instrText xml:space="preserve"> PAGEREF _Toc16928 \h </w:instrText>
          </w:r>
          <w:r>
            <w:rPr>
              <w:rFonts w:hint="eastAsia" w:ascii="宋体" w:hAnsi="宋体" w:eastAsia="宋体" w:cs="宋体"/>
              <w:b/>
              <w:bCs/>
              <w:color w:val="auto"/>
              <w:lang w:val="zh-CN"/>
            </w:rPr>
            <w:fldChar w:fldCharType="separate"/>
          </w:r>
          <w:r>
            <w:rPr>
              <w:rFonts w:hint="eastAsia" w:ascii="宋体" w:hAnsi="宋体" w:eastAsia="宋体" w:cs="宋体"/>
              <w:b/>
              <w:bCs/>
              <w:color w:val="auto"/>
              <w:lang w:val="zh-CN"/>
            </w:rPr>
            <w:t>30</w:t>
          </w:r>
          <w:r>
            <w:rPr>
              <w:rFonts w:hint="eastAsia" w:ascii="宋体" w:hAnsi="宋体" w:eastAsia="宋体" w:cs="宋体"/>
              <w:b/>
              <w:bCs/>
              <w:color w:val="auto"/>
              <w:lang w:val="zh-CN"/>
            </w:rPr>
            <w:fldChar w:fldCharType="end"/>
          </w:r>
          <w:r>
            <w:rPr>
              <w:rFonts w:hint="eastAsia" w:ascii="宋体" w:hAnsi="宋体" w:eastAsia="宋体" w:cs="宋体"/>
              <w:b/>
              <w:bCs/>
              <w:color w:val="auto"/>
              <w:lang w:val="zh-CN"/>
            </w:rPr>
            <w:fldChar w:fldCharType="end"/>
          </w:r>
        </w:p>
        <w:p w14:paraId="5E5EE48D">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lang w:val="zh-CN"/>
            </w:rPr>
          </w:pPr>
          <w:r>
            <w:rPr>
              <w:rFonts w:hint="eastAsia" w:ascii="宋体" w:hAnsi="宋体" w:eastAsia="宋体" w:cs="宋体"/>
              <w:b/>
              <w:bCs/>
              <w:color w:val="auto"/>
              <w:lang w:val="zh-CN"/>
            </w:rPr>
            <w:fldChar w:fldCharType="begin"/>
          </w:r>
          <w:r>
            <w:rPr>
              <w:rFonts w:hint="eastAsia" w:ascii="宋体" w:hAnsi="宋体" w:eastAsia="宋体" w:cs="宋体"/>
              <w:b/>
              <w:bCs/>
              <w:color w:val="auto"/>
              <w:lang w:val="zh-CN"/>
            </w:rPr>
            <w:instrText xml:space="preserve"> HYPERLINK \l _Toc5856 </w:instrText>
          </w:r>
          <w:r>
            <w:rPr>
              <w:rFonts w:hint="eastAsia" w:ascii="宋体" w:hAnsi="宋体" w:eastAsia="宋体" w:cs="宋体"/>
              <w:b/>
              <w:bCs/>
              <w:color w:val="auto"/>
              <w:lang w:val="zh-CN"/>
            </w:rPr>
            <w:fldChar w:fldCharType="separate"/>
          </w:r>
          <w:r>
            <w:rPr>
              <w:rFonts w:hint="eastAsia" w:ascii="宋体" w:hAnsi="宋体" w:eastAsia="宋体" w:cs="宋体"/>
              <w:b/>
              <w:bCs/>
              <w:color w:val="auto"/>
              <w:lang w:val="zh-CN"/>
            </w:rPr>
            <w:t>第五篇 相关保函格式</w:t>
          </w:r>
          <w:r>
            <w:rPr>
              <w:rFonts w:hint="eastAsia" w:ascii="宋体" w:hAnsi="宋体" w:eastAsia="宋体" w:cs="宋体"/>
              <w:b/>
              <w:bCs/>
              <w:color w:val="auto"/>
              <w:lang w:val="zh-CN"/>
            </w:rPr>
            <w:tab/>
          </w:r>
          <w:r>
            <w:rPr>
              <w:rFonts w:hint="eastAsia" w:ascii="宋体" w:hAnsi="宋体" w:eastAsia="宋体" w:cs="宋体"/>
              <w:b/>
              <w:bCs/>
              <w:color w:val="auto"/>
              <w:lang w:val="zh-CN"/>
            </w:rPr>
            <w:fldChar w:fldCharType="begin"/>
          </w:r>
          <w:r>
            <w:rPr>
              <w:rFonts w:hint="eastAsia" w:ascii="宋体" w:hAnsi="宋体" w:eastAsia="宋体" w:cs="宋体"/>
              <w:b/>
              <w:bCs/>
              <w:color w:val="auto"/>
              <w:lang w:val="zh-CN"/>
            </w:rPr>
            <w:instrText xml:space="preserve"> PAGEREF _Toc5856 \h </w:instrText>
          </w:r>
          <w:r>
            <w:rPr>
              <w:rFonts w:hint="eastAsia" w:ascii="宋体" w:hAnsi="宋体" w:eastAsia="宋体" w:cs="宋体"/>
              <w:b/>
              <w:bCs/>
              <w:color w:val="auto"/>
              <w:lang w:val="zh-CN"/>
            </w:rPr>
            <w:fldChar w:fldCharType="separate"/>
          </w:r>
          <w:r>
            <w:rPr>
              <w:rFonts w:hint="eastAsia" w:ascii="宋体" w:hAnsi="宋体" w:eastAsia="宋体" w:cs="宋体"/>
              <w:b/>
              <w:bCs/>
              <w:color w:val="auto"/>
              <w:lang w:val="zh-CN"/>
            </w:rPr>
            <w:t>67</w:t>
          </w:r>
          <w:r>
            <w:rPr>
              <w:rFonts w:hint="eastAsia" w:ascii="宋体" w:hAnsi="宋体" w:eastAsia="宋体" w:cs="宋体"/>
              <w:b/>
              <w:bCs/>
              <w:color w:val="auto"/>
              <w:lang w:val="zh-CN"/>
            </w:rPr>
            <w:fldChar w:fldCharType="end"/>
          </w:r>
          <w:r>
            <w:rPr>
              <w:rFonts w:hint="eastAsia" w:ascii="宋体" w:hAnsi="宋体" w:eastAsia="宋体" w:cs="宋体"/>
              <w:b/>
              <w:bCs/>
              <w:color w:val="auto"/>
              <w:lang w:val="zh-CN"/>
            </w:rPr>
            <w:fldChar w:fldCharType="end"/>
          </w:r>
        </w:p>
        <w:p w14:paraId="149A8316">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lang w:val="zh-CN"/>
            </w:rPr>
          </w:pPr>
          <w:r>
            <w:rPr>
              <w:rFonts w:hint="eastAsia" w:ascii="宋体" w:hAnsi="宋体" w:eastAsia="宋体" w:cs="宋体"/>
              <w:b/>
              <w:bCs/>
              <w:color w:val="auto"/>
              <w:lang w:val="zh-CN"/>
            </w:rPr>
            <w:fldChar w:fldCharType="begin"/>
          </w:r>
          <w:r>
            <w:rPr>
              <w:rFonts w:hint="eastAsia" w:ascii="宋体" w:hAnsi="宋体" w:eastAsia="宋体" w:cs="宋体"/>
              <w:b/>
              <w:bCs/>
              <w:color w:val="auto"/>
              <w:lang w:val="zh-CN"/>
            </w:rPr>
            <w:instrText xml:space="preserve"> HYPERLINK \l _Toc21232 </w:instrText>
          </w:r>
          <w:r>
            <w:rPr>
              <w:rFonts w:hint="eastAsia" w:ascii="宋体" w:hAnsi="宋体" w:eastAsia="宋体" w:cs="宋体"/>
              <w:b/>
              <w:bCs/>
              <w:color w:val="auto"/>
              <w:lang w:val="zh-CN"/>
            </w:rPr>
            <w:fldChar w:fldCharType="separate"/>
          </w:r>
          <w:r>
            <w:rPr>
              <w:rFonts w:hint="eastAsia" w:ascii="宋体" w:hAnsi="宋体" w:eastAsia="宋体" w:cs="宋体"/>
              <w:b/>
              <w:bCs/>
              <w:color w:val="auto"/>
              <w:lang w:val="zh-CN"/>
            </w:rPr>
            <w:t>第六篇 投标文件格式</w:t>
          </w:r>
          <w:r>
            <w:rPr>
              <w:rFonts w:hint="eastAsia" w:ascii="宋体" w:hAnsi="宋体" w:eastAsia="宋体" w:cs="宋体"/>
              <w:b/>
              <w:bCs/>
              <w:color w:val="auto"/>
              <w:lang w:val="zh-CN"/>
            </w:rPr>
            <w:tab/>
          </w:r>
          <w:r>
            <w:rPr>
              <w:rFonts w:hint="eastAsia" w:ascii="宋体" w:hAnsi="宋体" w:eastAsia="宋体" w:cs="宋体"/>
              <w:b/>
              <w:bCs/>
              <w:color w:val="auto"/>
              <w:lang w:val="zh-CN"/>
            </w:rPr>
            <w:fldChar w:fldCharType="begin"/>
          </w:r>
          <w:r>
            <w:rPr>
              <w:rFonts w:hint="eastAsia" w:ascii="宋体" w:hAnsi="宋体" w:eastAsia="宋体" w:cs="宋体"/>
              <w:b/>
              <w:bCs/>
              <w:color w:val="auto"/>
              <w:lang w:val="zh-CN"/>
            </w:rPr>
            <w:instrText xml:space="preserve"> PAGEREF _Toc21232 \h </w:instrText>
          </w:r>
          <w:r>
            <w:rPr>
              <w:rFonts w:hint="eastAsia" w:ascii="宋体" w:hAnsi="宋体" w:eastAsia="宋体" w:cs="宋体"/>
              <w:b/>
              <w:bCs/>
              <w:color w:val="auto"/>
              <w:lang w:val="zh-CN"/>
            </w:rPr>
            <w:fldChar w:fldCharType="separate"/>
          </w:r>
          <w:r>
            <w:rPr>
              <w:rFonts w:hint="eastAsia" w:ascii="宋体" w:hAnsi="宋体" w:eastAsia="宋体" w:cs="宋体"/>
              <w:b/>
              <w:bCs/>
              <w:color w:val="auto"/>
              <w:lang w:val="zh-CN"/>
            </w:rPr>
            <w:t>70</w:t>
          </w:r>
          <w:r>
            <w:rPr>
              <w:rFonts w:hint="eastAsia" w:ascii="宋体" w:hAnsi="宋体" w:eastAsia="宋体" w:cs="宋体"/>
              <w:b/>
              <w:bCs/>
              <w:color w:val="auto"/>
              <w:lang w:val="zh-CN"/>
            </w:rPr>
            <w:fldChar w:fldCharType="end"/>
          </w:r>
          <w:r>
            <w:rPr>
              <w:rFonts w:hint="eastAsia" w:ascii="宋体" w:hAnsi="宋体" w:eastAsia="宋体" w:cs="宋体"/>
              <w:b/>
              <w:bCs/>
              <w:color w:val="auto"/>
              <w:lang w:val="zh-CN"/>
            </w:rPr>
            <w:fldChar w:fldCharType="end"/>
          </w:r>
        </w:p>
        <w:p w14:paraId="0F78917E">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b/>
              <w:bCs/>
              <w:color w:val="auto"/>
              <w:lang w:val="zh-CN"/>
            </w:rPr>
            <w:fldChar w:fldCharType="begin"/>
          </w:r>
          <w:r>
            <w:rPr>
              <w:rFonts w:hint="eastAsia" w:ascii="宋体" w:hAnsi="宋体" w:eastAsia="宋体" w:cs="宋体"/>
              <w:b/>
              <w:bCs/>
              <w:color w:val="auto"/>
              <w:lang w:val="zh-CN"/>
            </w:rPr>
            <w:instrText xml:space="preserve"> HYPERLINK \l _Toc29233 </w:instrText>
          </w:r>
          <w:r>
            <w:rPr>
              <w:rFonts w:hint="eastAsia" w:ascii="宋体" w:hAnsi="宋体" w:eastAsia="宋体" w:cs="宋体"/>
              <w:b/>
              <w:bCs/>
              <w:color w:val="auto"/>
              <w:lang w:val="zh-CN"/>
            </w:rPr>
            <w:fldChar w:fldCharType="separate"/>
          </w:r>
          <w:r>
            <w:rPr>
              <w:rFonts w:hint="eastAsia" w:ascii="宋体" w:hAnsi="宋体" w:eastAsia="宋体" w:cs="宋体"/>
              <w:b/>
              <w:bCs/>
              <w:color w:val="auto"/>
              <w:lang w:val="zh-CN"/>
            </w:rPr>
            <w:t>附件一：评标工作大纲</w:t>
          </w:r>
          <w:r>
            <w:rPr>
              <w:rFonts w:hint="eastAsia" w:ascii="宋体" w:hAnsi="宋体" w:eastAsia="宋体" w:cs="宋体"/>
              <w:b/>
              <w:bCs/>
              <w:color w:val="auto"/>
              <w:lang w:val="zh-CN"/>
            </w:rPr>
            <w:tab/>
          </w:r>
          <w:r>
            <w:rPr>
              <w:rFonts w:hint="eastAsia" w:ascii="宋体" w:hAnsi="宋体" w:eastAsia="宋体" w:cs="宋体"/>
              <w:b/>
              <w:bCs/>
              <w:color w:val="auto"/>
              <w:lang w:val="zh-CN"/>
            </w:rPr>
            <w:fldChar w:fldCharType="begin"/>
          </w:r>
          <w:r>
            <w:rPr>
              <w:rFonts w:hint="eastAsia" w:ascii="宋体" w:hAnsi="宋体" w:eastAsia="宋体" w:cs="宋体"/>
              <w:b/>
              <w:bCs/>
              <w:color w:val="auto"/>
              <w:lang w:val="zh-CN"/>
            </w:rPr>
            <w:instrText xml:space="preserve"> PAGEREF _Toc29233 \h </w:instrText>
          </w:r>
          <w:r>
            <w:rPr>
              <w:rFonts w:hint="eastAsia" w:ascii="宋体" w:hAnsi="宋体" w:eastAsia="宋体" w:cs="宋体"/>
              <w:b/>
              <w:bCs/>
              <w:color w:val="auto"/>
              <w:lang w:val="zh-CN"/>
            </w:rPr>
            <w:fldChar w:fldCharType="separate"/>
          </w:r>
          <w:r>
            <w:rPr>
              <w:rFonts w:hint="eastAsia" w:ascii="宋体" w:hAnsi="宋体" w:eastAsia="宋体" w:cs="宋体"/>
              <w:b/>
              <w:bCs/>
              <w:color w:val="auto"/>
              <w:lang w:val="zh-CN"/>
            </w:rPr>
            <w:t>111</w:t>
          </w:r>
          <w:r>
            <w:rPr>
              <w:rFonts w:hint="eastAsia" w:ascii="宋体" w:hAnsi="宋体" w:eastAsia="宋体" w:cs="宋体"/>
              <w:b/>
              <w:bCs/>
              <w:color w:val="auto"/>
              <w:lang w:val="zh-CN"/>
            </w:rPr>
            <w:fldChar w:fldCharType="end"/>
          </w:r>
          <w:r>
            <w:rPr>
              <w:rFonts w:hint="eastAsia" w:ascii="宋体" w:hAnsi="宋体" w:eastAsia="宋体" w:cs="宋体"/>
              <w:b/>
              <w:bCs/>
              <w:color w:val="auto"/>
              <w:lang w:val="zh-CN"/>
            </w:rPr>
            <w:fldChar w:fldCharType="end"/>
          </w:r>
        </w:p>
        <w:p w14:paraId="2E263979">
          <w:pPr>
            <w:pStyle w:val="30"/>
            <w:tabs>
              <w:tab w:val="right" w:leader="dot" w:pos="10154"/>
            </w:tabs>
            <w:ind w:left="0" w:leftChars="0" w:firstLine="0" w:firstLineChars="0"/>
            <w:rPr>
              <w:color w:val="auto"/>
            </w:rPr>
          </w:pPr>
        </w:p>
        <w:p w14:paraId="3C683063">
          <w:pPr>
            <w:pStyle w:val="5"/>
            <w:rPr>
              <w:rFonts w:ascii="宋体" w:hAnsi="Calibri" w:eastAsia="宋体" w:cs="Times New Roman"/>
              <w:color w:val="auto"/>
              <w:kern w:val="0"/>
              <w:sz w:val="24"/>
              <w:szCs w:val="24"/>
              <w:lang w:val="zh-CN" w:eastAsia="zh-CN" w:bidi="ar-SA"/>
            </w:rPr>
          </w:pPr>
          <w:r>
            <w:rPr>
              <w:color w:val="auto"/>
              <w:lang w:val="zh-CN"/>
            </w:rPr>
            <w:fldChar w:fldCharType="end"/>
          </w:r>
        </w:p>
      </w:sdtContent>
    </w:sdt>
    <w:p w14:paraId="28383BFA">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44"/>
          <w:szCs w:val="44"/>
          <w:lang w:val="zh-CN"/>
        </w:rPr>
      </w:pPr>
      <w:bookmarkStart w:id="5" w:name="_Toc486167660"/>
      <w:bookmarkStart w:id="6" w:name="_Toc168994591"/>
      <w:bookmarkStart w:id="7" w:name="_Toc12784"/>
      <w:bookmarkStart w:id="8" w:name="_Toc450662846"/>
      <w:bookmarkStart w:id="9" w:name="_Toc2723_WPSOffice_Level1"/>
      <w:bookmarkStart w:id="10" w:name="_Toc142508310"/>
      <w:bookmarkStart w:id="11" w:name="_Toc11638"/>
      <w:r>
        <w:rPr>
          <w:rFonts w:hint="eastAsia" w:ascii="宋体" w:hAnsi="宋体" w:eastAsia="宋体" w:cs="宋体"/>
          <w:b/>
          <w:bCs/>
          <w:color w:val="auto"/>
          <w:kern w:val="44"/>
          <w:sz w:val="32"/>
          <w:szCs w:val="32"/>
          <w:lang w:val="zh-CN"/>
        </w:rPr>
        <w:t>第一篇 招标公告</w:t>
      </w:r>
      <w:bookmarkEnd w:id="5"/>
      <w:bookmarkEnd w:id="6"/>
      <w:bookmarkEnd w:id="7"/>
      <w:bookmarkEnd w:id="8"/>
      <w:bookmarkEnd w:id="9"/>
      <w:bookmarkEnd w:id="10"/>
      <w:bookmarkEnd w:id="11"/>
    </w:p>
    <w:p w14:paraId="3C8D3A1F">
      <w:pPr>
        <w:rPr>
          <w:color w:val="auto"/>
          <w:lang w:val="zh-CN"/>
        </w:rPr>
      </w:pPr>
    </w:p>
    <w:p w14:paraId="3A4AADC3">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lang w:eastAsia="zh-CN"/>
        </w:rPr>
        <w:t>广东有德招标采购有限公司</w:t>
      </w:r>
      <w:r>
        <w:rPr>
          <w:rFonts w:ascii="宋体" w:hAnsi="宋体" w:eastAsia="宋体" w:cs="Times New Roman"/>
          <w:color w:val="auto"/>
          <w:szCs w:val="21"/>
          <w:highlight w:val="none"/>
          <w:lang w:val="zh-CN"/>
        </w:rPr>
        <w:t>（以下简称“招标代理机构”）受</w:t>
      </w:r>
      <w:r>
        <w:rPr>
          <w:rFonts w:hint="eastAsia" w:ascii="宋体" w:hAnsi="宋体" w:eastAsia="宋体" w:cs="Times New Roman"/>
          <w:color w:val="auto"/>
          <w:kern w:val="0"/>
          <w:szCs w:val="21"/>
          <w:highlight w:val="none"/>
          <w:lang w:eastAsia="zh-CN"/>
        </w:rPr>
        <w:t>东莞市水务集团管网有限公司</w:t>
      </w:r>
      <w:r>
        <w:rPr>
          <w:rFonts w:ascii="宋体" w:hAnsi="宋体" w:eastAsia="宋体" w:cs="Times New Roman"/>
          <w:color w:val="auto"/>
          <w:szCs w:val="21"/>
          <w:highlight w:val="none"/>
          <w:lang w:val="zh-CN"/>
        </w:rPr>
        <w:t>（以下简称“招标人”）的委托，对</w:t>
      </w:r>
      <w:bookmarkStart w:id="12" w:name="_Hlk41903390"/>
      <w:r>
        <w:rPr>
          <w:rFonts w:hint="eastAsia" w:ascii="宋体" w:hAnsi="宋体" w:eastAsia="宋体" w:cs="Times New Roman"/>
          <w:color w:val="auto"/>
          <w:kern w:val="0"/>
          <w:szCs w:val="21"/>
          <w:highlight w:val="none"/>
          <w:lang w:eastAsia="zh-CN"/>
        </w:rPr>
        <w:t>东莞市水务集团管网有限公司2025年保安服务采购项目</w:t>
      </w:r>
      <w:r>
        <w:rPr>
          <w:rFonts w:ascii="宋体" w:hAnsi="宋体" w:eastAsia="宋体" w:cs="Times New Roman"/>
          <w:color w:val="auto"/>
          <w:szCs w:val="21"/>
          <w:highlight w:val="none"/>
          <w:lang w:val="zh-CN"/>
        </w:rPr>
        <w:t>(招标编号：</w:t>
      </w:r>
      <w:r>
        <w:rPr>
          <w:rFonts w:hint="eastAsia" w:ascii="宋体" w:hAnsi="宋体" w:eastAsia="宋体" w:cs="Times New Roman"/>
          <w:color w:val="auto"/>
          <w:szCs w:val="21"/>
          <w:highlight w:val="none"/>
          <w:lang w:val="zh-CN"/>
        </w:rPr>
        <w:t>YDZB24DGQY0200</w:t>
      </w:r>
      <w:r>
        <w:rPr>
          <w:rFonts w:ascii="宋体" w:hAnsi="宋体" w:eastAsia="宋体" w:cs="Times New Roman"/>
          <w:color w:val="auto"/>
          <w:szCs w:val="21"/>
          <w:highlight w:val="none"/>
          <w:lang w:val="zh-CN"/>
        </w:rPr>
        <w:t>)</w:t>
      </w:r>
      <w:bookmarkEnd w:id="12"/>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14:paraId="08A392BC">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7B7C8DD9">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招标范围：根据</w:t>
      </w:r>
      <w:r>
        <w:rPr>
          <w:rFonts w:hint="eastAsia" w:ascii="宋体" w:hAnsi="宋体" w:eastAsia="宋体" w:cs="Times New Roman"/>
          <w:color w:val="auto"/>
          <w:szCs w:val="21"/>
          <w:highlight w:val="none"/>
          <w:lang w:val="zh-CN" w:eastAsia="zh-CN"/>
        </w:rPr>
        <w:t>管网公司</w:t>
      </w:r>
      <w:r>
        <w:rPr>
          <w:rFonts w:hint="eastAsia" w:ascii="宋体" w:hAnsi="宋体" w:eastAsia="宋体" w:cs="Times New Roman"/>
          <w:color w:val="auto"/>
          <w:szCs w:val="21"/>
          <w:highlight w:val="none"/>
          <w:lang w:val="zh-CN"/>
        </w:rPr>
        <w:t>经营情况，</w:t>
      </w:r>
      <w:r>
        <w:rPr>
          <w:rFonts w:hint="eastAsia" w:ascii="宋体" w:hAnsi="宋体" w:eastAsia="宋体" w:cs="Times New Roman"/>
          <w:color w:val="auto"/>
          <w:szCs w:val="21"/>
          <w:highlight w:val="none"/>
          <w:lang w:val="zh-CN" w:eastAsia="zh-CN"/>
        </w:rPr>
        <w:t>目前管网公司分公司本部办公场所及驻点存有大量公司固定资产、运维物资，</w:t>
      </w:r>
      <w:r>
        <w:rPr>
          <w:rFonts w:hint="eastAsia" w:ascii="宋体" w:hAnsi="宋体" w:eastAsia="宋体" w:cs="Times New Roman"/>
          <w:color w:val="auto"/>
          <w:szCs w:val="21"/>
          <w:highlight w:val="none"/>
          <w:lang w:val="zh-CN"/>
        </w:rPr>
        <w:t>需要保安人员值守。为保障</w:t>
      </w:r>
      <w:r>
        <w:rPr>
          <w:rFonts w:hint="eastAsia" w:ascii="宋体" w:hAnsi="宋体" w:eastAsia="宋体" w:cs="Times New Roman"/>
          <w:color w:val="auto"/>
          <w:szCs w:val="21"/>
          <w:highlight w:val="none"/>
          <w:lang w:val="zh-CN" w:eastAsia="zh-CN"/>
        </w:rPr>
        <w:t>管网公司分公司本部办公场所及驻点</w:t>
      </w:r>
      <w:r>
        <w:rPr>
          <w:rFonts w:hint="eastAsia" w:ascii="宋体" w:hAnsi="宋体" w:eastAsia="宋体" w:cs="Times New Roman"/>
          <w:color w:val="auto"/>
          <w:szCs w:val="21"/>
          <w:highlight w:val="none"/>
          <w:lang w:val="zh-CN"/>
        </w:rPr>
        <w:t>办公</w:t>
      </w:r>
      <w:r>
        <w:rPr>
          <w:rFonts w:hint="eastAsia" w:ascii="宋体" w:hAnsi="宋体" w:eastAsia="宋体" w:cs="Times New Roman"/>
          <w:color w:val="auto"/>
          <w:szCs w:val="21"/>
          <w:highlight w:val="none"/>
          <w:lang w:val="zh-CN" w:eastAsia="zh-CN"/>
        </w:rPr>
        <w:t>人员、</w:t>
      </w:r>
      <w:r>
        <w:rPr>
          <w:rFonts w:hint="eastAsia" w:ascii="宋体" w:hAnsi="宋体" w:eastAsia="宋体" w:cs="Times New Roman"/>
          <w:color w:val="auto"/>
          <w:szCs w:val="21"/>
          <w:highlight w:val="none"/>
          <w:lang w:val="zh-CN"/>
        </w:rPr>
        <w:t>财产安全，拟通过</w:t>
      </w:r>
      <w:r>
        <w:rPr>
          <w:rFonts w:hint="eastAsia" w:ascii="宋体" w:hAnsi="宋体" w:eastAsia="宋体" w:cs="Times New Roman"/>
          <w:color w:val="auto"/>
          <w:szCs w:val="21"/>
          <w:highlight w:val="none"/>
          <w:lang w:val="en-US" w:eastAsia="zh-CN"/>
        </w:rPr>
        <w:t>公开招标的方式确定</w:t>
      </w:r>
      <w:r>
        <w:rPr>
          <w:rFonts w:hint="eastAsia" w:ascii="宋体" w:hAnsi="宋体" w:eastAsia="宋体" w:cs="Times New Roman"/>
          <w:color w:val="auto"/>
          <w:szCs w:val="21"/>
          <w:highlight w:val="none"/>
          <w:lang w:val="zh-CN" w:eastAsia="zh-CN"/>
        </w:rPr>
        <w:t>一</w:t>
      </w:r>
      <w:r>
        <w:rPr>
          <w:rFonts w:hint="eastAsia" w:ascii="宋体" w:hAnsi="宋体" w:eastAsia="宋体" w:cs="Times New Roman"/>
          <w:color w:val="auto"/>
          <w:szCs w:val="21"/>
          <w:highlight w:val="none"/>
          <w:lang w:val="zh-CN"/>
        </w:rPr>
        <w:t>家专业的保安服务公司，为分公司</w:t>
      </w:r>
      <w:r>
        <w:rPr>
          <w:rFonts w:hint="eastAsia" w:ascii="宋体" w:hAnsi="宋体" w:eastAsia="宋体" w:cs="Times New Roman"/>
          <w:color w:val="auto"/>
          <w:szCs w:val="21"/>
          <w:highlight w:val="none"/>
          <w:lang w:val="zh-CN" w:eastAsia="zh-CN"/>
        </w:rPr>
        <w:t>及驻点</w:t>
      </w:r>
      <w:r>
        <w:rPr>
          <w:rFonts w:hint="eastAsia" w:ascii="宋体" w:hAnsi="宋体" w:eastAsia="宋体" w:cs="Times New Roman"/>
          <w:color w:val="auto"/>
          <w:szCs w:val="21"/>
          <w:highlight w:val="none"/>
          <w:lang w:val="zh-CN"/>
        </w:rPr>
        <w:t>提供专业的</w:t>
      </w:r>
      <w:r>
        <w:rPr>
          <w:rFonts w:hint="eastAsia" w:ascii="宋体" w:hAnsi="宋体" w:eastAsia="宋体" w:cs="Times New Roman"/>
          <w:color w:val="auto"/>
          <w:szCs w:val="21"/>
          <w:highlight w:val="none"/>
          <w:lang w:val="zh-CN" w:eastAsia="zh-CN"/>
        </w:rPr>
        <w:t>保安</w:t>
      </w:r>
      <w:r>
        <w:rPr>
          <w:rFonts w:hint="eastAsia" w:ascii="宋体" w:hAnsi="宋体" w:eastAsia="宋体" w:cs="Times New Roman"/>
          <w:color w:val="auto"/>
          <w:szCs w:val="21"/>
          <w:highlight w:val="none"/>
          <w:lang w:val="zh-CN"/>
        </w:rPr>
        <w:t>服务，合同期限为</w:t>
      </w:r>
      <w:r>
        <w:rPr>
          <w:rFonts w:hint="eastAsia" w:ascii="宋体" w:hAnsi="宋体" w:eastAsia="宋体" w:cs="Times New Roman"/>
          <w:color w:val="auto"/>
          <w:szCs w:val="21"/>
          <w:highlight w:val="none"/>
          <w:lang w:val="zh-CN" w:eastAsia="zh-CN"/>
        </w:rPr>
        <w:t>1年</w:t>
      </w:r>
      <w:r>
        <w:rPr>
          <w:rFonts w:hint="eastAsia" w:ascii="宋体" w:hAnsi="宋体" w:eastAsia="宋体" w:cs="Times New Roman"/>
          <w:color w:val="auto"/>
          <w:szCs w:val="21"/>
          <w:highlight w:val="none"/>
          <w:lang w:val="zh-CN"/>
        </w:rPr>
        <w:t>。（具体内容详见：第三篇用户需求书）。</w:t>
      </w:r>
    </w:p>
    <w:p w14:paraId="14BC8DCF">
      <w:pPr>
        <w:autoSpaceDE w:val="0"/>
        <w:autoSpaceDN w:val="0"/>
        <w:adjustRightInd w:val="0"/>
        <w:spacing w:line="360" w:lineRule="auto"/>
        <w:ind w:right="-29" w:rightChars="-14"/>
        <w:rPr>
          <w:rFonts w:ascii="宋体" w:hAnsi="宋体" w:eastAsia="宋体" w:cs="Times New Roman"/>
          <w:color w:val="auto"/>
          <w:szCs w:val="21"/>
          <w:highlight w:val="none"/>
          <w:lang w:val="zh-CN"/>
        </w:rPr>
      </w:pPr>
    </w:p>
    <w:p w14:paraId="7D086CC4">
      <w:pPr>
        <w:numPr>
          <w:ilvl w:val="0"/>
          <w:numId w:val="1"/>
        </w:numPr>
        <w:autoSpaceDE w:val="0"/>
        <w:autoSpaceDN w:val="0"/>
        <w:adjustRightInd w:val="0"/>
        <w:snapToGrid w:val="0"/>
        <w:spacing w:line="360" w:lineRule="auto"/>
        <w:ind w:right="-34"/>
        <w:jc w:val="left"/>
        <w:outlineLvl w:val="0"/>
        <w:rPr>
          <w:rFonts w:ascii="宋体" w:hAnsi="宋体" w:eastAsia="宋体" w:cs="Times New Roman"/>
          <w:b/>
          <w:color w:val="auto"/>
          <w:szCs w:val="21"/>
          <w:highlight w:val="none"/>
          <w:lang w:val="zh-CN"/>
        </w:rPr>
      </w:pPr>
      <w:bookmarkStart w:id="13" w:name="_Toc13744"/>
      <w:r>
        <w:rPr>
          <w:rFonts w:ascii="宋体" w:hAnsi="宋体" w:eastAsia="宋体" w:cs="Times New Roman"/>
          <w:b/>
          <w:color w:val="auto"/>
          <w:szCs w:val="21"/>
          <w:highlight w:val="none"/>
          <w:lang w:val="zh-CN"/>
        </w:rPr>
        <w:t>合格投标人</w:t>
      </w:r>
      <w:r>
        <w:rPr>
          <w:rFonts w:hint="eastAsia" w:ascii="宋体" w:hAnsi="宋体" w:eastAsia="宋体" w:cs="Times New Roman"/>
          <w:b/>
          <w:color w:val="auto"/>
          <w:szCs w:val="21"/>
          <w:highlight w:val="none"/>
          <w:lang w:val="zh-CN"/>
        </w:rPr>
        <w:t>资格要求</w:t>
      </w:r>
      <w:r>
        <w:rPr>
          <w:rFonts w:ascii="宋体" w:hAnsi="宋体" w:eastAsia="宋体" w:cs="Times New Roman"/>
          <w:b/>
          <w:color w:val="auto"/>
          <w:szCs w:val="21"/>
          <w:highlight w:val="none"/>
          <w:lang w:val="zh-CN"/>
        </w:rPr>
        <w:t>：</w:t>
      </w:r>
      <w:bookmarkEnd w:id="13"/>
    </w:p>
    <w:p w14:paraId="7523A7FA">
      <w:pPr>
        <w:pStyle w:val="158"/>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lang w:val="zh-CN"/>
        </w:rPr>
        <w:t>2</w:t>
      </w:r>
      <w:r>
        <w:rPr>
          <w:rFonts w:hAnsi="宋体" w:eastAsia="宋体"/>
          <w:b/>
          <w:color w:val="auto"/>
          <w:sz w:val="21"/>
          <w:szCs w:val="21"/>
          <w:highlight w:val="none"/>
          <w:lang w:val="zh-CN"/>
        </w:rPr>
        <w:t xml:space="preserve">.1 </w:t>
      </w:r>
      <w:r>
        <w:rPr>
          <w:rFonts w:hint="eastAsia" w:hAnsi="宋体" w:eastAsia="宋体"/>
          <w:b/>
          <w:color w:val="auto"/>
          <w:sz w:val="21"/>
          <w:szCs w:val="21"/>
          <w:highlight w:val="none"/>
          <w:lang w:val="zh-CN"/>
        </w:rPr>
        <w:t>在中华人民共和国境内登记注册、合法存续、正常经营且具有独立承担民事责任能力的法人或其他组织</w:t>
      </w:r>
      <w:r>
        <w:rPr>
          <w:rFonts w:hAnsi="宋体" w:eastAsia="宋体"/>
          <w:b/>
          <w:color w:val="auto"/>
          <w:sz w:val="21"/>
          <w:szCs w:val="21"/>
          <w:highlight w:val="none"/>
          <w:lang w:val="zh-CN"/>
        </w:rPr>
        <w:t>；</w:t>
      </w:r>
    </w:p>
    <w:p w14:paraId="01A6DABF">
      <w:pPr>
        <w:pStyle w:val="158"/>
        <w:spacing w:line="360" w:lineRule="auto"/>
        <w:ind w:left="422" w:leftChars="0" w:right="-29" w:rightChars="-14" w:hanging="422" w:hangingChars="200"/>
        <w:jc w:val="both"/>
        <w:rPr>
          <w:rFonts w:hint="eastAsia" w:hAnsi="宋体" w:eastAsia="宋体" w:cs="宋体"/>
          <w:b/>
          <w:color w:val="auto"/>
          <w:sz w:val="21"/>
          <w:szCs w:val="21"/>
        </w:rPr>
      </w:pPr>
      <w:bookmarkStart w:id="14" w:name="_Toc25819"/>
      <w:r>
        <w:rPr>
          <w:rFonts w:hint="eastAsia" w:hAnsi="宋体" w:eastAsia="宋体"/>
          <w:b/>
          <w:color w:val="auto"/>
          <w:sz w:val="21"/>
          <w:szCs w:val="21"/>
          <w:highlight w:val="none"/>
          <w:lang w:val="zh-CN"/>
        </w:rPr>
        <w:t xml:space="preserve">2.2 </w:t>
      </w:r>
      <w:r>
        <w:rPr>
          <w:rFonts w:hint="eastAsia" w:hAnsi="宋体" w:eastAsia="宋体" w:cs="宋体"/>
          <w:b/>
          <w:color w:val="auto"/>
          <w:sz w:val="21"/>
          <w:szCs w:val="21"/>
        </w:rPr>
        <w:t>具有公安机关核发的《保安服务许可证》（非广东省内注册的投标人在东莞市从事保安服务的还应提供东莞市公安局出具的保安从业单位备案回执单）</w:t>
      </w:r>
      <w:r>
        <w:rPr>
          <w:rFonts w:hint="eastAsia" w:hAnsi="宋体" w:eastAsia="宋体" w:cs="宋体"/>
          <w:b/>
          <w:color w:val="auto"/>
          <w:sz w:val="21"/>
          <w:szCs w:val="21"/>
          <w:lang w:eastAsia="zh-CN"/>
        </w:rPr>
        <w:t>；</w:t>
      </w:r>
    </w:p>
    <w:p w14:paraId="164A9D9F">
      <w:pPr>
        <w:pStyle w:val="158"/>
        <w:spacing w:line="360" w:lineRule="auto"/>
        <w:ind w:right="-29" w:rightChars="-14" w:firstLine="0" w:firstLineChars="0"/>
        <w:jc w:val="both"/>
        <w:rPr>
          <w:rFonts w:hint="eastAsia" w:hAnsi="宋体" w:eastAsia="宋体"/>
          <w:b/>
          <w:color w:val="auto"/>
          <w:sz w:val="21"/>
          <w:szCs w:val="21"/>
          <w:highlight w:val="none"/>
          <w:lang w:val="en-US" w:eastAsia="zh-CN"/>
        </w:rPr>
      </w:pPr>
      <w:r>
        <w:rPr>
          <w:rFonts w:hint="eastAsia" w:hAnsi="宋体" w:eastAsia="宋体" w:cs="宋体"/>
          <w:b/>
          <w:color w:val="auto"/>
          <w:sz w:val="21"/>
          <w:szCs w:val="21"/>
          <w:lang w:val="en-US" w:eastAsia="zh-CN"/>
        </w:rPr>
        <w:t xml:space="preserve">2.3 </w:t>
      </w:r>
      <w:r>
        <w:rPr>
          <w:rFonts w:hint="eastAsia" w:hAnsi="宋体" w:eastAsia="宋体"/>
          <w:b/>
          <w:color w:val="auto"/>
          <w:sz w:val="21"/>
          <w:szCs w:val="21"/>
          <w:highlight w:val="none"/>
          <w:lang w:val="zh-CN"/>
        </w:rPr>
        <w:t>投标人202</w:t>
      </w:r>
      <w:r>
        <w:rPr>
          <w:rFonts w:hint="eastAsia" w:hAnsi="宋体" w:eastAsia="宋体"/>
          <w:b/>
          <w:color w:val="auto"/>
          <w:sz w:val="21"/>
          <w:szCs w:val="21"/>
          <w:highlight w:val="none"/>
          <w:lang w:val="en-US" w:eastAsia="zh-CN"/>
        </w:rPr>
        <w:t>2</w:t>
      </w:r>
      <w:r>
        <w:rPr>
          <w:rFonts w:hint="eastAsia" w:hAnsi="宋体" w:eastAsia="宋体"/>
          <w:b/>
          <w:color w:val="auto"/>
          <w:sz w:val="21"/>
          <w:szCs w:val="21"/>
          <w:highlight w:val="none"/>
          <w:lang w:val="zh-CN"/>
        </w:rPr>
        <w:t>年1月1日以来具有一份</w:t>
      </w:r>
      <w:r>
        <w:rPr>
          <w:rFonts w:hint="eastAsia" w:hAnsi="宋体" w:eastAsia="宋体"/>
          <w:b/>
          <w:color w:val="auto"/>
          <w:sz w:val="21"/>
          <w:szCs w:val="21"/>
          <w:highlight w:val="none"/>
          <w:lang w:val="en-US" w:eastAsia="zh-CN"/>
        </w:rPr>
        <w:t>已完成的</w:t>
      </w:r>
      <w:r>
        <w:rPr>
          <w:rFonts w:hint="eastAsia" w:hAnsi="宋体" w:eastAsia="宋体"/>
          <w:b/>
          <w:color w:val="auto"/>
          <w:sz w:val="21"/>
          <w:szCs w:val="21"/>
          <w:highlight w:val="none"/>
          <w:lang w:val="zh-CN"/>
        </w:rPr>
        <w:t>保安服务项目业绩（合同签订日期为202</w:t>
      </w:r>
      <w:r>
        <w:rPr>
          <w:rFonts w:hint="eastAsia" w:hAnsi="宋体" w:eastAsia="宋体"/>
          <w:b/>
          <w:color w:val="auto"/>
          <w:sz w:val="21"/>
          <w:szCs w:val="21"/>
          <w:highlight w:val="none"/>
          <w:lang w:val="en-US" w:eastAsia="zh-CN"/>
        </w:rPr>
        <w:t>2</w:t>
      </w:r>
      <w:r>
        <w:rPr>
          <w:rFonts w:hint="eastAsia" w:hAnsi="宋体" w:eastAsia="宋体"/>
          <w:b/>
          <w:color w:val="auto"/>
          <w:sz w:val="21"/>
          <w:szCs w:val="21"/>
          <w:highlight w:val="none"/>
          <w:lang w:val="zh-CN"/>
        </w:rPr>
        <w:t>年1月1日或以后）；</w:t>
      </w:r>
    </w:p>
    <w:p w14:paraId="31FD8D4B">
      <w:pPr>
        <w:pStyle w:val="158"/>
        <w:spacing w:line="360" w:lineRule="auto"/>
        <w:ind w:right="-29" w:rightChars="-14" w:firstLine="0" w:firstLineChars="0"/>
        <w:jc w:val="both"/>
        <w:outlineLvl w:val="1"/>
        <w:rPr>
          <w:rFonts w:hint="eastAsia" w:hAnsi="宋体" w:eastAsia="宋体"/>
          <w:b/>
          <w:color w:val="auto"/>
          <w:sz w:val="21"/>
          <w:szCs w:val="21"/>
          <w:highlight w:val="none"/>
          <w:lang w:val="zh-CN"/>
        </w:rPr>
      </w:pPr>
      <w:bookmarkStart w:id="15" w:name="_Toc5620"/>
      <w:r>
        <w:rPr>
          <w:rFonts w:hint="eastAsia" w:hAnsi="宋体" w:eastAsia="宋体"/>
          <w:b/>
          <w:color w:val="auto"/>
          <w:sz w:val="21"/>
          <w:szCs w:val="21"/>
          <w:highlight w:val="none"/>
          <w:lang w:val="en-US" w:eastAsia="zh-CN"/>
        </w:rPr>
        <w:t xml:space="preserve">2.4 </w:t>
      </w:r>
      <w:r>
        <w:rPr>
          <w:rFonts w:hint="eastAsia" w:hAnsi="宋体" w:eastAsia="宋体"/>
          <w:b/>
          <w:color w:val="auto"/>
          <w:sz w:val="21"/>
          <w:szCs w:val="21"/>
          <w:highlight w:val="none"/>
          <w:lang w:val="zh-CN"/>
        </w:rPr>
        <w:t>本项目不接受联合体投标。</w:t>
      </w:r>
      <w:bookmarkEnd w:id="14"/>
      <w:bookmarkEnd w:id="15"/>
    </w:p>
    <w:p w14:paraId="602B072E">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11E001E7">
      <w:pPr>
        <w:pStyle w:val="176"/>
        <w:numPr>
          <w:ilvl w:val="0"/>
          <w:numId w:val="1"/>
        </w:numPr>
        <w:spacing w:line="360" w:lineRule="auto"/>
        <w:ind w:left="426" w:right="-34" w:hanging="426"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zh-CN"/>
        </w:rPr>
        <w:t>获取招标文</w:t>
      </w:r>
      <w:r>
        <w:rPr>
          <w:rFonts w:hint="eastAsia" w:ascii="宋体" w:hAnsi="宋体" w:eastAsia="宋体" w:cs="宋体"/>
          <w:color w:val="auto"/>
          <w:sz w:val="21"/>
          <w:szCs w:val="21"/>
          <w:highlight w:val="none"/>
        </w:rPr>
        <w:t>件的方式：</w:t>
      </w:r>
      <w:r>
        <w:rPr>
          <w:rFonts w:ascii="宋体" w:hAnsi="宋体" w:eastAsia="宋体" w:cs="Times New Roman"/>
          <w:color w:val="auto"/>
          <w:szCs w:val="21"/>
          <w:highlight w:val="none"/>
          <w:lang w:val="zh-CN"/>
        </w:rPr>
        <w:t>本项目采用“不记名网上下载”的方式发布招标文件，</w:t>
      </w:r>
      <w:r>
        <w:rPr>
          <w:rFonts w:hint="eastAsia" w:ascii="宋体" w:hAnsi="宋体" w:eastAsia="宋体" w:cs="Times New Roman"/>
          <w:color w:val="auto"/>
          <w:szCs w:val="21"/>
          <w:highlight w:val="none"/>
          <w:lang w:val="zh-CN"/>
        </w:rPr>
        <w:t>有意向的投标人可于本项目投标截止时间前，在本项目招标信息发布媒介</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详见本招标公告第7点（除中国招标投标公共服务平台外）</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下载招标文件。</w:t>
      </w:r>
    </w:p>
    <w:p w14:paraId="0E0C7D69">
      <w:pPr>
        <w:autoSpaceDE w:val="0"/>
        <w:autoSpaceDN w:val="0"/>
        <w:adjustRightInd w:val="0"/>
        <w:spacing w:line="360" w:lineRule="auto"/>
        <w:ind w:left="630" w:leftChars="100" w:right="-29" w:rightChars="-14" w:hanging="420" w:hangingChars="200"/>
        <w:rPr>
          <w:rFonts w:ascii="宋体" w:hAnsi="宋体" w:eastAsia="宋体" w:cs="Times New Roman"/>
          <w:color w:val="auto"/>
          <w:szCs w:val="21"/>
          <w:highlight w:val="none"/>
          <w:lang w:val="zh-CN"/>
        </w:rPr>
      </w:pPr>
    </w:p>
    <w:p w14:paraId="155D58DF">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highlight w:val="none"/>
          <w:lang w:val="en-US" w:eastAsia="zh-CN"/>
        </w:rPr>
        <w:t>政府采购</w:t>
      </w:r>
      <w:r>
        <w:rPr>
          <w:rFonts w:hint="eastAsia" w:ascii="宋体" w:hAnsi="宋体" w:eastAsia="宋体" w:cs="Times New Roman"/>
          <w:color w:val="auto"/>
          <w:szCs w:val="21"/>
          <w:highlight w:val="none"/>
          <w:lang w:val="zh-CN"/>
        </w:rPr>
        <w:t>严重违法失信行为记录名单的投标人，做好相关记录（处罚期限届满的除外）</w:t>
      </w:r>
      <w:r>
        <w:rPr>
          <w:rFonts w:ascii="宋体" w:hAnsi="宋体" w:eastAsia="宋体" w:cs="Times New Roman"/>
          <w:color w:val="auto"/>
          <w:szCs w:val="21"/>
          <w:highlight w:val="none"/>
          <w:lang w:val="zh-CN"/>
        </w:rPr>
        <w:t>。</w:t>
      </w:r>
    </w:p>
    <w:p w14:paraId="67286946">
      <w:pPr>
        <w:autoSpaceDE w:val="0"/>
        <w:autoSpaceDN w:val="0"/>
        <w:adjustRightInd w:val="0"/>
        <w:spacing w:line="360" w:lineRule="auto"/>
        <w:ind w:right="-29" w:rightChars="-14" w:firstLine="420"/>
        <w:rPr>
          <w:rFonts w:ascii="宋体" w:hAnsi="宋体" w:eastAsia="宋体" w:cs="Times New Roman"/>
          <w:color w:val="auto"/>
          <w:szCs w:val="21"/>
          <w:highlight w:val="none"/>
          <w:lang w:val="zh-CN"/>
        </w:rPr>
      </w:pPr>
    </w:p>
    <w:p w14:paraId="49621B9A">
      <w:pPr>
        <w:numPr>
          <w:ilvl w:val="0"/>
          <w:numId w:val="1"/>
        </w:numPr>
        <w:autoSpaceDE w:val="0"/>
        <w:autoSpaceDN w:val="0"/>
        <w:adjustRightInd w:val="0"/>
        <w:snapToGrid w:val="0"/>
        <w:spacing w:line="360" w:lineRule="auto"/>
        <w:ind w:right="-34"/>
        <w:jc w:val="left"/>
        <w:outlineLvl w:val="0"/>
        <w:rPr>
          <w:rFonts w:ascii="宋体" w:hAnsi="宋体" w:eastAsia="宋体" w:cs="Times New Roman"/>
          <w:color w:val="auto"/>
          <w:szCs w:val="21"/>
          <w:highlight w:val="none"/>
          <w:lang w:val="zh-CN"/>
        </w:rPr>
      </w:pPr>
      <w:bookmarkStart w:id="16" w:name="_Toc13010"/>
      <w:r>
        <w:rPr>
          <w:rFonts w:ascii="宋体" w:hAnsi="宋体" w:eastAsia="宋体" w:cs="Times New Roman"/>
          <w:color w:val="auto"/>
          <w:szCs w:val="21"/>
          <w:highlight w:val="none"/>
          <w:lang w:val="zh-CN"/>
        </w:rPr>
        <w:t>投标、开标时间及地点：</w:t>
      </w:r>
      <w:bookmarkEnd w:id="16"/>
    </w:p>
    <w:p w14:paraId="1C7DCA21">
      <w:pPr>
        <w:autoSpaceDE w:val="0"/>
        <w:autoSpaceDN w:val="0"/>
        <w:adjustRightInd w:val="0"/>
        <w:spacing w:line="360" w:lineRule="auto"/>
        <w:ind w:right="-29" w:rightChars="-14"/>
        <w:rPr>
          <w:rFonts w:ascii="宋体" w:hAnsi="宋体" w:eastAsia="宋体" w:cs="Times New Roman"/>
          <w:color w:val="auto"/>
          <w:sz w:val="21"/>
          <w:szCs w:val="21"/>
          <w:highlight w:val="none"/>
          <w:lang w:val="zh-CN"/>
        </w:rPr>
      </w:pPr>
      <w:r>
        <w:rPr>
          <w:rFonts w:hint="eastAsia" w:ascii="宋体" w:hAnsi="宋体" w:eastAsia="宋体" w:cs="Times New Roman"/>
          <w:color w:val="auto"/>
          <w:sz w:val="21"/>
          <w:szCs w:val="21"/>
          <w:highlight w:val="none"/>
          <w:lang w:val="zh-CN"/>
        </w:rPr>
        <w:t xml:space="preserve">5.1 </w:t>
      </w:r>
      <w:r>
        <w:rPr>
          <w:rFonts w:ascii="宋体" w:hAnsi="宋体" w:eastAsia="宋体" w:cs="Times New Roman"/>
          <w:color w:val="auto"/>
          <w:sz w:val="21"/>
          <w:szCs w:val="21"/>
          <w:highlight w:val="none"/>
          <w:lang w:val="zh-CN"/>
        </w:rPr>
        <w:t>投标文件递交时间：</w:t>
      </w:r>
      <w:r>
        <w:rPr>
          <w:rFonts w:hint="eastAsia" w:ascii="宋体" w:hAnsi="宋体" w:cs="Times New Roman"/>
          <w:color w:val="auto"/>
          <w:sz w:val="21"/>
          <w:szCs w:val="21"/>
          <w:highlight w:val="none"/>
          <w:u w:val="single"/>
          <w:lang w:val="en-US" w:eastAsia="zh-CN"/>
        </w:rPr>
        <w:t>2025</w:t>
      </w:r>
      <w:r>
        <w:rPr>
          <w:rFonts w:hint="eastAsia" w:ascii="宋体" w:hAnsi="宋体" w:eastAsia="宋体" w:cs="Times New Roman"/>
          <w:bCs/>
          <w:color w:val="auto"/>
          <w:kern w:val="0"/>
          <w:sz w:val="21"/>
          <w:szCs w:val="21"/>
          <w:highlight w:val="none"/>
        </w:rPr>
        <w:t>年</w:t>
      </w:r>
      <w:r>
        <w:rPr>
          <w:rFonts w:hint="eastAsia" w:ascii="宋体" w:hAnsi="宋体" w:cs="Times New Roman"/>
          <w:color w:val="auto"/>
          <w:sz w:val="21"/>
          <w:szCs w:val="21"/>
          <w:highlight w:val="none"/>
          <w:u w:val="single"/>
          <w:lang w:val="en-US" w:eastAsia="zh-CN"/>
        </w:rPr>
        <w:t>4</w:t>
      </w:r>
      <w:r>
        <w:rPr>
          <w:rFonts w:hint="eastAsia" w:ascii="宋体" w:hAnsi="宋体" w:eastAsia="宋体" w:cs="Times New Roman"/>
          <w:bCs/>
          <w:color w:val="auto"/>
          <w:kern w:val="0"/>
          <w:sz w:val="21"/>
          <w:szCs w:val="21"/>
          <w:highlight w:val="none"/>
        </w:rPr>
        <w:t>月</w:t>
      </w:r>
      <w:r>
        <w:rPr>
          <w:rFonts w:hint="eastAsia" w:ascii="宋体" w:hAnsi="宋体" w:cs="Times New Roman"/>
          <w:color w:val="auto"/>
          <w:sz w:val="21"/>
          <w:szCs w:val="21"/>
          <w:highlight w:val="none"/>
          <w:u w:val="single"/>
          <w:lang w:val="en-US" w:eastAsia="zh-CN"/>
        </w:rPr>
        <w:t>7</w:t>
      </w:r>
      <w:r>
        <w:rPr>
          <w:rFonts w:hint="eastAsia" w:ascii="宋体" w:hAnsi="宋体" w:eastAsia="宋体" w:cs="Times New Roman"/>
          <w:bCs/>
          <w:color w:val="auto"/>
          <w:kern w:val="0"/>
          <w:sz w:val="21"/>
          <w:szCs w:val="21"/>
          <w:highlight w:val="none"/>
        </w:rPr>
        <w:t>日</w:t>
      </w:r>
      <w:r>
        <w:rPr>
          <w:rFonts w:hint="eastAsia" w:ascii="宋体" w:hAnsi="宋体" w:cs="Times New Roman"/>
          <w:color w:val="auto"/>
          <w:sz w:val="21"/>
          <w:szCs w:val="21"/>
          <w:highlight w:val="none"/>
          <w:u w:val="single"/>
          <w:lang w:val="en-US" w:eastAsia="zh-CN"/>
        </w:rPr>
        <w:t>13</w:t>
      </w:r>
      <w:r>
        <w:rPr>
          <w:rFonts w:hint="eastAsia" w:ascii="宋体" w:hAnsi="宋体" w:eastAsia="宋体" w:cs="Times New Roman"/>
          <w:bCs/>
          <w:color w:val="auto"/>
          <w:kern w:val="0"/>
          <w:sz w:val="21"/>
          <w:szCs w:val="21"/>
          <w:highlight w:val="none"/>
          <w:u w:val="single"/>
        </w:rPr>
        <w:t>:</w:t>
      </w:r>
      <w:r>
        <w:rPr>
          <w:rFonts w:hint="eastAsia" w:ascii="宋体" w:hAnsi="宋体" w:cs="Times New Roman"/>
          <w:color w:val="auto"/>
          <w:sz w:val="21"/>
          <w:szCs w:val="21"/>
          <w:highlight w:val="none"/>
          <w:u w:val="single"/>
          <w:lang w:val="en-US" w:eastAsia="zh-CN"/>
        </w:rPr>
        <w:t>30</w:t>
      </w:r>
      <w:r>
        <w:rPr>
          <w:rFonts w:hint="eastAsia" w:ascii="宋体" w:hAnsi="宋体" w:eastAsia="宋体" w:cs="Times New Roman"/>
          <w:bCs/>
          <w:color w:val="auto"/>
          <w:kern w:val="0"/>
          <w:sz w:val="21"/>
          <w:szCs w:val="21"/>
          <w:highlight w:val="none"/>
        </w:rPr>
        <w:t>～</w:t>
      </w:r>
      <w:r>
        <w:rPr>
          <w:rFonts w:hint="eastAsia" w:ascii="宋体" w:hAnsi="宋体" w:cs="Times New Roman"/>
          <w:color w:val="auto"/>
          <w:sz w:val="21"/>
          <w:szCs w:val="21"/>
          <w:highlight w:val="none"/>
          <w:u w:val="single"/>
          <w:lang w:val="en-US" w:eastAsia="zh-CN"/>
        </w:rPr>
        <w:t>14</w:t>
      </w:r>
      <w:r>
        <w:rPr>
          <w:rFonts w:hint="eastAsia" w:ascii="宋体" w:hAnsi="宋体" w:eastAsia="宋体" w:cs="Times New Roman"/>
          <w:bCs/>
          <w:color w:val="auto"/>
          <w:kern w:val="0"/>
          <w:sz w:val="21"/>
          <w:szCs w:val="21"/>
          <w:highlight w:val="none"/>
          <w:u w:val="single"/>
        </w:rPr>
        <w:t>:</w:t>
      </w:r>
      <w:r>
        <w:rPr>
          <w:rFonts w:hint="eastAsia" w:ascii="宋体" w:hAnsi="宋体" w:cs="Times New Roman"/>
          <w:color w:val="auto"/>
          <w:sz w:val="21"/>
          <w:szCs w:val="21"/>
          <w:highlight w:val="none"/>
          <w:u w:val="single"/>
          <w:lang w:val="en-US" w:eastAsia="zh-CN"/>
        </w:rPr>
        <w:t>00</w:t>
      </w:r>
      <w:r>
        <w:rPr>
          <w:rFonts w:hint="eastAsia" w:ascii="宋体" w:hAnsi="宋体" w:eastAsia="宋体" w:cs="Times New Roman"/>
          <w:bCs/>
          <w:color w:val="auto"/>
          <w:kern w:val="0"/>
          <w:sz w:val="21"/>
          <w:szCs w:val="21"/>
          <w:highlight w:val="none"/>
        </w:rPr>
        <w:t>；</w:t>
      </w:r>
    </w:p>
    <w:p w14:paraId="4CE27432">
      <w:pPr>
        <w:autoSpaceDE w:val="0"/>
        <w:autoSpaceDN w:val="0"/>
        <w:adjustRightInd w:val="0"/>
        <w:spacing w:line="360" w:lineRule="auto"/>
        <w:ind w:right="-29" w:rightChars="-14"/>
        <w:rPr>
          <w:rFonts w:ascii="宋体" w:hAnsi="宋体" w:eastAsia="宋体" w:cs="Times New Roman"/>
          <w:color w:val="auto"/>
          <w:sz w:val="21"/>
          <w:szCs w:val="21"/>
          <w:highlight w:val="none"/>
          <w:lang w:val="zh-CN"/>
        </w:rPr>
      </w:pPr>
      <w:r>
        <w:rPr>
          <w:rFonts w:hint="eastAsia" w:ascii="宋体" w:hAnsi="宋体" w:eastAsia="宋体" w:cs="Times New Roman"/>
          <w:color w:val="auto"/>
          <w:sz w:val="21"/>
          <w:szCs w:val="21"/>
          <w:highlight w:val="none"/>
          <w:lang w:val="zh-CN"/>
        </w:rPr>
        <w:t xml:space="preserve">5.2 </w:t>
      </w:r>
      <w:r>
        <w:rPr>
          <w:rFonts w:ascii="宋体" w:hAnsi="宋体" w:eastAsia="宋体" w:cs="Times New Roman"/>
          <w:color w:val="auto"/>
          <w:sz w:val="21"/>
          <w:szCs w:val="21"/>
          <w:highlight w:val="none"/>
          <w:lang w:val="zh-CN"/>
        </w:rPr>
        <w:t>投标截止及开标时间：</w:t>
      </w:r>
      <w:r>
        <w:rPr>
          <w:rFonts w:hint="eastAsia" w:ascii="宋体" w:hAnsi="宋体" w:cs="Times New Roman"/>
          <w:color w:val="auto"/>
          <w:sz w:val="21"/>
          <w:szCs w:val="21"/>
          <w:highlight w:val="none"/>
          <w:u w:val="single"/>
          <w:lang w:val="en-US" w:eastAsia="zh-CN"/>
        </w:rPr>
        <w:t>2025</w:t>
      </w:r>
      <w:r>
        <w:rPr>
          <w:rFonts w:hint="eastAsia" w:ascii="宋体" w:hAnsi="宋体" w:eastAsia="宋体" w:cs="Times New Roman"/>
          <w:bCs/>
          <w:color w:val="auto"/>
          <w:kern w:val="0"/>
          <w:sz w:val="21"/>
          <w:szCs w:val="21"/>
          <w:highlight w:val="none"/>
        </w:rPr>
        <w:t>年</w:t>
      </w:r>
      <w:r>
        <w:rPr>
          <w:rFonts w:hint="eastAsia" w:ascii="宋体" w:hAnsi="宋体" w:cs="Times New Roman"/>
          <w:color w:val="auto"/>
          <w:sz w:val="21"/>
          <w:szCs w:val="21"/>
          <w:highlight w:val="none"/>
          <w:u w:val="single"/>
          <w:lang w:val="en-US" w:eastAsia="zh-CN"/>
        </w:rPr>
        <w:t>4</w:t>
      </w:r>
      <w:r>
        <w:rPr>
          <w:rFonts w:hint="eastAsia" w:ascii="宋体" w:hAnsi="宋体" w:eastAsia="宋体" w:cs="Times New Roman"/>
          <w:bCs/>
          <w:color w:val="auto"/>
          <w:kern w:val="0"/>
          <w:sz w:val="21"/>
          <w:szCs w:val="21"/>
          <w:highlight w:val="none"/>
        </w:rPr>
        <w:t>月</w:t>
      </w:r>
      <w:r>
        <w:rPr>
          <w:rFonts w:hint="eastAsia" w:ascii="宋体" w:hAnsi="宋体" w:cs="Times New Roman"/>
          <w:color w:val="auto"/>
          <w:sz w:val="21"/>
          <w:szCs w:val="21"/>
          <w:highlight w:val="none"/>
          <w:u w:val="single"/>
          <w:lang w:val="en-US" w:eastAsia="zh-CN"/>
        </w:rPr>
        <w:t>7</w:t>
      </w:r>
      <w:r>
        <w:rPr>
          <w:rFonts w:hint="eastAsia" w:ascii="宋体" w:hAnsi="宋体" w:eastAsia="宋体" w:cs="Times New Roman"/>
          <w:bCs/>
          <w:color w:val="auto"/>
          <w:kern w:val="0"/>
          <w:sz w:val="21"/>
          <w:szCs w:val="21"/>
          <w:highlight w:val="none"/>
        </w:rPr>
        <w:t>日</w:t>
      </w:r>
      <w:r>
        <w:rPr>
          <w:rFonts w:hint="eastAsia" w:ascii="宋体" w:hAnsi="宋体" w:cs="Times New Roman"/>
          <w:color w:val="auto"/>
          <w:sz w:val="21"/>
          <w:szCs w:val="21"/>
          <w:highlight w:val="none"/>
          <w:u w:val="single"/>
          <w:lang w:val="en-US" w:eastAsia="zh-CN"/>
        </w:rPr>
        <w:t>14</w:t>
      </w:r>
      <w:r>
        <w:rPr>
          <w:rFonts w:hint="eastAsia" w:ascii="宋体" w:hAnsi="宋体" w:eastAsia="宋体" w:cs="Times New Roman"/>
          <w:bCs/>
          <w:color w:val="auto"/>
          <w:kern w:val="0"/>
          <w:sz w:val="21"/>
          <w:szCs w:val="21"/>
          <w:highlight w:val="none"/>
          <w:u w:val="single"/>
        </w:rPr>
        <w:t>:</w:t>
      </w:r>
      <w:r>
        <w:rPr>
          <w:rFonts w:hint="eastAsia" w:ascii="宋体" w:hAnsi="宋体" w:cs="Times New Roman"/>
          <w:color w:val="auto"/>
          <w:sz w:val="21"/>
          <w:szCs w:val="21"/>
          <w:highlight w:val="none"/>
          <w:u w:val="single"/>
          <w:lang w:val="en-US" w:eastAsia="zh-CN"/>
        </w:rPr>
        <w:t>00</w:t>
      </w:r>
      <w:r>
        <w:rPr>
          <w:rFonts w:hint="eastAsia" w:ascii="宋体" w:hAnsi="宋体" w:eastAsia="宋体" w:cs="Times New Roman"/>
          <w:bCs/>
          <w:color w:val="auto"/>
          <w:kern w:val="0"/>
          <w:sz w:val="21"/>
          <w:szCs w:val="21"/>
          <w:highlight w:val="none"/>
        </w:rPr>
        <w:t>；</w:t>
      </w:r>
      <w:bookmarkStart w:id="817" w:name="_GoBack"/>
      <w:bookmarkEnd w:id="817"/>
    </w:p>
    <w:p w14:paraId="634CAB51">
      <w:pPr>
        <w:autoSpaceDE w:val="0"/>
        <w:autoSpaceDN w:val="0"/>
        <w:adjustRightInd w:val="0"/>
        <w:spacing w:line="360" w:lineRule="auto"/>
        <w:ind w:right="-29" w:rightChars="-14"/>
        <w:rPr>
          <w:rFonts w:ascii="宋体" w:hAnsi="宋体" w:eastAsia="宋体" w:cs="Times New Roman"/>
          <w:color w:val="auto"/>
          <w:kern w:val="0"/>
          <w:szCs w:val="21"/>
          <w:highlight w:val="none"/>
        </w:rPr>
      </w:pPr>
      <w:r>
        <w:rPr>
          <w:rFonts w:ascii="宋体" w:hAnsi="宋体" w:eastAsia="宋体" w:cs="Times New Roman"/>
          <w:color w:val="auto"/>
          <w:szCs w:val="21"/>
          <w:highlight w:val="none"/>
          <w:lang w:val="zh-CN"/>
        </w:rPr>
        <w:t>5.3 投标及开标地点：</w:t>
      </w:r>
      <w:r>
        <w:rPr>
          <w:rFonts w:hint="eastAsia" w:ascii="宋体" w:hAnsi="宋体" w:eastAsia="宋体" w:cs="宋体"/>
          <w:color w:val="auto"/>
          <w:kern w:val="0"/>
          <w:szCs w:val="21"/>
          <w:highlight w:val="none"/>
          <w:u w:val="single"/>
        </w:rPr>
        <w:t>东莞市东城街道新源路海德琥珀台6栋1703室</w:t>
      </w:r>
      <w:r>
        <w:rPr>
          <w:rFonts w:hint="eastAsia" w:ascii="宋体" w:hAnsi="宋体" w:eastAsia="宋体" w:cs="Times New Roman"/>
          <w:color w:val="auto"/>
          <w:kern w:val="0"/>
          <w:szCs w:val="21"/>
          <w:highlight w:val="none"/>
        </w:rPr>
        <w:t>。</w:t>
      </w:r>
    </w:p>
    <w:p w14:paraId="1A3D79C6">
      <w:pPr>
        <w:autoSpaceDE w:val="0"/>
        <w:autoSpaceDN w:val="0"/>
        <w:adjustRightInd w:val="0"/>
        <w:spacing w:line="360" w:lineRule="auto"/>
        <w:ind w:right="-29" w:rightChars="-14" w:firstLine="210" w:firstLineChars="100"/>
        <w:rPr>
          <w:rFonts w:ascii="宋体" w:hAnsi="宋体" w:eastAsia="宋体" w:cs="Times New Roman"/>
          <w:color w:val="auto"/>
          <w:kern w:val="0"/>
          <w:szCs w:val="21"/>
          <w:highlight w:val="none"/>
        </w:rPr>
      </w:pPr>
    </w:p>
    <w:p w14:paraId="1B848197">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auto"/>
          <w:szCs w:val="21"/>
          <w:highlight w:val="none"/>
          <w:lang w:val="zh-CN"/>
        </w:rPr>
        <w:t>。电报、传真形式的投标概不接受。</w:t>
      </w:r>
    </w:p>
    <w:p w14:paraId="11859950">
      <w:pPr>
        <w:autoSpaceDE w:val="0"/>
        <w:autoSpaceDN w:val="0"/>
        <w:adjustRightInd w:val="0"/>
        <w:spacing w:line="360" w:lineRule="auto"/>
        <w:ind w:left="210" w:leftChars="100" w:right="-29" w:rightChars="-14"/>
        <w:rPr>
          <w:rFonts w:ascii="宋体" w:hAnsi="宋体" w:eastAsia="宋体" w:cs="Times New Roman"/>
          <w:color w:val="auto"/>
          <w:szCs w:val="21"/>
          <w:highlight w:val="none"/>
          <w:lang w:val="zh-CN"/>
        </w:rPr>
      </w:pPr>
    </w:p>
    <w:p w14:paraId="58CF9BE8">
      <w:pPr>
        <w:numPr>
          <w:ilvl w:val="0"/>
          <w:numId w:val="1"/>
        </w:numPr>
        <w:autoSpaceDE w:val="0"/>
        <w:autoSpaceDN w:val="0"/>
        <w:adjustRightInd w:val="0"/>
        <w:snapToGrid w:val="0"/>
        <w:spacing w:line="360" w:lineRule="auto"/>
        <w:ind w:right="-34"/>
        <w:jc w:val="left"/>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本项目相关公告在以下媒介发布：中国招标投标公共服务平台（www.cebpubservice.com）、东莞市水务集团有限公司网（www.dgswjt.cn）、招标代理</w:t>
      </w:r>
      <w:r>
        <w:rPr>
          <w:rFonts w:hint="eastAsia" w:ascii="宋体" w:hAnsi="宋体" w:eastAsia="宋体" w:cs="Times New Roman"/>
          <w:bCs/>
          <w:color w:val="auto"/>
          <w:szCs w:val="21"/>
          <w:highlight w:val="none"/>
          <w:lang w:val="en-US" w:eastAsia="zh-CN"/>
        </w:rPr>
        <w:t>机构</w:t>
      </w:r>
      <w:r>
        <w:rPr>
          <w:rFonts w:hint="eastAsia" w:ascii="宋体" w:hAnsi="宋体" w:eastAsia="宋体" w:cs="Times New Roman"/>
          <w:bCs/>
          <w:color w:val="auto"/>
          <w:szCs w:val="21"/>
          <w:highlight w:val="none"/>
        </w:rPr>
        <w:t>网站（</w:t>
      </w:r>
      <w:r>
        <w:rPr>
          <w:rFonts w:hint="eastAsia" w:ascii="宋体" w:hAnsi="宋体" w:eastAsia="宋体" w:cs="宋体"/>
          <w:color w:val="auto"/>
          <w:szCs w:val="21"/>
          <w:highlight w:val="none"/>
          <w:lang w:val="zh-CN"/>
        </w:rPr>
        <w:t>www.youde.net</w:t>
      </w:r>
      <w:r>
        <w:rPr>
          <w:rFonts w:ascii="宋体" w:hAnsi="宋体" w:eastAsia="宋体" w:cs="Times New Roman"/>
          <w:bCs/>
          <w:color w:val="auto"/>
          <w:szCs w:val="21"/>
          <w:highlight w:val="none"/>
        </w:rPr>
        <w:t>）</w:t>
      </w:r>
      <w:r>
        <w:rPr>
          <w:rFonts w:ascii="宋体" w:hAnsi="宋体" w:eastAsia="宋体" w:cs="Times New Roman"/>
          <w:color w:val="auto"/>
          <w:szCs w:val="21"/>
          <w:highlight w:val="none"/>
          <w:lang w:val="zh-CN"/>
        </w:rPr>
        <w:t>。</w:t>
      </w:r>
    </w:p>
    <w:p w14:paraId="010698E7">
      <w:pPr>
        <w:numPr>
          <w:ilvl w:val="0"/>
          <w:numId w:val="0"/>
        </w:numPr>
        <w:autoSpaceDE w:val="0"/>
        <w:autoSpaceDN w:val="0"/>
        <w:adjustRightInd w:val="0"/>
        <w:snapToGrid w:val="0"/>
        <w:spacing w:line="360" w:lineRule="auto"/>
        <w:ind w:leftChars="0" w:right="-34" w:rightChars="0"/>
        <w:jc w:val="left"/>
        <w:rPr>
          <w:rFonts w:ascii="宋体" w:hAnsi="宋体" w:eastAsia="宋体" w:cs="Times New Roman"/>
          <w:bCs/>
          <w:color w:val="auto"/>
          <w:szCs w:val="21"/>
          <w:highlight w:val="none"/>
        </w:rPr>
      </w:pPr>
    </w:p>
    <w:p w14:paraId="2D6FDE75">
      <w:pPr>
        <w:numPr>
          <w:ilvl w:val="0"/>
          <w:numId w:val="1"/>
        </w:numPr>
        <w:autoSpaceDE w:val="0"/>
        <w:autoSpaceDN w:val="0"/>
        <w:adjustRightInd w:val="0"/>
        <w:snapToGrid w:val="0"/>
        <w:spacing w:line="360" w:lineRule="auto"/>
        <w:ind w:right="-34"/>
        <w:jc w:val="left"/>
        <w:outlineLvl w:val="0"/>
        <w:rPr>
          <w:rFonts w:ascii="宋体" w:hAnsi="宋体" w:eastAsia="宋体" w:cs="Times New Roman"/>
          <w:color w:val="auto"/>
          <w:szCs w:val="21"/>
          <w:highlight w:val="none"/>
        </w:rPr>
      </w:pPr>
      <w:bookmarkStart w:id="17" w:name="_Toc25261"/>
      <w:r>
        <w:rPr>
          <w:rFonts w:ascii="宋体" w:hAnsi="宋体" w:eastAsia="宋体" w:cs="Times New Roman"/>
          <w:bCs/>
          <w:color w:val="auto"/>
          <w:szCs w:val="21"/>
          <w:highlight w:val="none"/>
          <w:lang w:val="zh-CN"/>
        </w:rPr>
        <w:t>招标人联系方式</w:t>
      </w:r>
      <w:bookmarkEnd w:id="17"/>
    </w:p>
    <w:p w14:paraId="6625BF27">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招标人：</w:t>
      </w:r>
      <w:r>
        <w:rPr>
          <w:rFonts w:hint="eastAsia" w:ascii="宋体" w:hAnsi="宋体" w:eastAsia="宋体" w:cs="宋体"/>
          <w:color w:val="auto"/>
          <w:kern w:val="0"/>
          <w:szCs w:val="21"/>
          <w:highlight w:val="none"/>
          <w:lang w:eastAsia="zh-CN"/>
        </w:rPr>
        <w:t>东莞市水务集团管网有限公司</w:t>
      </w:r>
    </w:p>
    <w:p w14:paraId="66A6838D">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宋体"/>
          <w:color w:val="auto"/>
          <w:kern w:val="0"/>
          <w:szCs w:val="21"/>
        </w:rPr>
        <w:t>广东省东莞市东城街道东城运河路5号</w:t>
      </w:r>
    </w:p>
    <w:p w14:paraId="721C96E5">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lang w:val="en-US" w:eastAsia="zh-CN"/>
        </w:rPr>
        <w:t>曹美玲</w:t>
      </w:r>
    </w:p>
    <w:p w14:paraId="51726731">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电  话：</w:t>
      </w:r>
      <w:r>
        <w:rPr>
          <w:rFonts w:hint="eastAsia" w:ascii="宋体" w:hAnsi="宋体" w:eastAsia="宋体" w:cs="宋体"/>
          <w:color w:val="auto"/>
          <w:lang w:val="en-US" w:eastAsia="zh-CN"/>
        </w:rPr>
        <w:t>0769-22001352</w:t>
      </w:r>
    </w:p>
    <w:p w14:paraId="37054105">
      <w:pPr>
        <w:autoSpaceDE w:val="0"/>
        <w:autoSpaceDN w:val="0"/>
        <w:adjustRightInd w:val="0"/>
        <w:spacing w:line="360" w:lineRule="auto"/>
        <w:ind w:right="-29" w:rightChars="-14" w:firstLine="420"/>
        <w:rPr>
          <w:rFonts w:ascii="宋体" w:hAnsi="宋体" w:eastAsia="宋体" w:cs="Times New Roman"/>
          <w:color w:val="auto"/>
          <w:kern w:val="0"/>
          <w:szCs w:val="21"/>
          <w:highlight w:val="none"/>
        </w:rPr>
      </w:pPr>
    </w:p>
    <w:p w14:paraId="28A9F498">
      <w:pPr>
        <w:numPr>
          <w:ilvl w:val="0"/>
          <w:numId w:val="1"/>
        </w:numPr>
        <w:autoSpaceDE w:val="0"/>
        <w:autoSpaceDN w:val="0"/>
        <w:adjustRightInd w:val="0"/>
        <w:snapToGrid w:val="0"/>
        <w:spacing w:line="360" w:lineRule="auto"/>
        <w:ind w:right="-34"/>
        <w:jc w:val="left"/>
        <w:outlineLvl w:val="0"/>
        <w:rPr>
          <w:rFonts w:ascii="宋体" w:hAnsi="宋体" w:eastAsia="宋体" w:cs="Times New Roman"/>
          <w:color w:val="auto"/>
          <w:szCs w:val="21"/>
          <w:highlight w:val="none"/>
        </w:rPr>
      </w:pPr>
      <w:bookmarkStart w:id="18" w:name="_Toc16749"/>
      <w:r>
        <w:rPr>
          <w:rFonts w:ascii="宋体" w:hAnsi="宋体" w:eastAsia="宋体" w:cs="Times New Roman"/>
          <w:color w:val="auto"/>
          <w:szCs w:val="21"/>
          <w:highlight w:val="none"/>
        </w:rPr>
        <w:t>招标代理机构</w:t>
      </w:r>
      <w:r>
        <w:rPr>
          <w:rFonts w:hint="eastAsia" w:ascii="宋体" w:hAnsi="宋体" w:eastAsia="宋体" w:cs="Times New Roman"/>
          <w:color w:val="auto"/>
          <w:szCs w:val="21"/>
          <w:highlight w:val="none"/>
        </w:rPr>
        <w:t>及异议受理</w:t>
      </w:r>
      <w:r>
        <w:rPr>
          <w:rFonts w:ascii="宋体" w:hAnsi="宋体" w:eastAsia="宋体" w:cs="Times New Roman"/>
          <w:color w:val="auto"/>
          <w:szCs w:val="21"/>
          <w:highlight w:val="none"/>
        </w:rPr>
        <w:t>联系方式</w:t>
      </w:r>
      <w:bookmarkEnd w:id="18"/>
    </w:p>
    <w:p w14:paraId="595DB432">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bookmarkStart w:id="19" w:name="_Toc31764_WPSOffice_Level1"/>
      <w:bookmarkStart w:id="20" w:name="_Toc486167661"/>
      <w:bookmarkStart w:id="21" w:name="_Toc450662847"/>
      <w:r>
        <w:rPr>
          <w:rFonts w:ascii="宋体" w:hAnsi="宋体" w:eastAsia="宋体" w:cs="Times New Roman"/>
          <w:color w:val="auto"/>
          <w:kern w:val="0"/>
          <w:szCs w:val="21"/>
          <w:highlight w:val="none"/>
        </w:rPr>
        <w:t>招标代理机构：</w:t>
      </w:r>
      <w:r>
        <w:rPr>
          <w:rFonts w:hint="eastAsia" w:ascii="宋体" w:hAnsi="宋体" w:eastAsia="宋体" w:cs="Times New Roman"/>
          <w:color w:val="auto"/>
          <w:kern w:val="0"/>
          <w:szCs w:val="21"/>
          <w:highlight w:val="none"/>
          <w:lang w:eastAsia="zh-CN"/>
        </w:rPr>
        <w:t>广东有德招标采购有限公司</w:t>
      </w:r>
    </w:p>
    <w:p w14:paraId="29276385">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  址：</w:t>
      </w:r>
      <w:r>
        <w:rPr>
          <w:rFonts w:hint="eastAsia" w:ascii="宋体" w:hAnsi="宋体" w:eastAsia="宋体" w:cs="宋体"/>
          <w:color w:val="auto"/>
          <w:kern w:val="0"/>
          <w:szCs w:val="21"/>
          <w:highlight w:val="none"/>
        </w:rPr>
        <w:t>东莞市东城街道新源路海德琥珀台6栋1703室</w:t>
      </w:r>
    </w:p>
    <w:p w14:paraId="2E44B16F">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联系人：</w:t>
      </w:r>
      <w:r>
        <w:rPr>
          <w:rFonts w:hint="eastAsia" w:ascii="宋体" w:hAnsi="宋体" w:eastAsia="宋体" w:cs="宋体"/>
          <w:color w:val="auto"/>
          <w:kern w:val="0"/>
          <w:szCs w:val="21"/>
          <w:highlight w:val="none"/>
          <w:lang w:val="en-US" w:eastAsia="zh-CN"/>
        </w:rPr>
        <w:t>郑翠婷</w:t>
      </w:r>
    </w:p>
    <w:p w14:paraId="133118C4">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电 </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话</w:t>
      </w:r>
      <w:r>
        <w:rPr>
          <w:rFonts w:ascii="宋体" w:hAnsi="宋体" w:eastAsia="宋体" w:cs="Times New Roman"/>
          <w:color w:val="auto"/>
          <w:kern w:val="0"/>
          <w:szCs w:val="21"/>
          <w:highlight w:val="none"/>
        </w:rPr>
        <w:t>：</w:t>
      </w:r>
      <w:r>
        <w:rPr>
          <w:rFonts w:hint="eastAsia" w:ascii="宋体" w:hAnsi="宋体" w:eastAsia="宋体" w:cs="宋体"/>
          <w:color w:val="auto"/>
          <w:szCs w:val="21"/>
        </w:rPr>
        <w:t>0769-23362836</w:t>
      </w:r>
      <w:r>
        <w:rPr>
          <w:rFonts w:hint="eastAsia" w:ascii="宋体" w:hAnsi="宋体" w:eastAsia="宋体" w:cs="宋体"/>
          <w:color w:val="auto"/>
          <w:szCs w:val="21"/>
          <w:lang w:val="en-US" w:eastAsia="zh-CN"/>
        </w:rPr>
        <w:t>-8019</w:t>
      </w:r>
    </w:p>
    <w:p w14:paraId="6F915E48">
      <w:pPr>
        <w:pageBreakBefore/>
        <w:tabs>
          <w:tab w:val="left" w:pos="1080"/>
        </w:tabs>
        <w:autoSpaceDE w:val="0"/>
        <w:autoSpaceDN w:val="0"/>
        <w:adjustRightInd w:val="0"/>
        <w:spacing w:line="360" w:lineRule="auto"/>
        <w:ind w:left="-167" w:leftChars="-100" w:hanging="43"/>
        <w:jc w:val="center"/>
        <w:outlineLvl w:val="1"/>
        <w:rPr>
          <w:rFonts w:ascii="宋体" w:hAnsi="宋体" w:eastAsia="宋体" w:cs="宋体"/>
          <w:b/>
          <w:bCs/>
          <w:color w:val="auto"/>
          <w:kern w:val="44"/>
          <w:sz w:val="32"/>
          <w:szCs w:val="32"/>
          <w:highlight w:val="none"/>
        </w:rPr>
      </w:pPr>
      <w:bookmarkStart w:id="22" w:name="_Toc142508311"/>
      <w:bookmarkStart w:id="23" w:name="_Toc15111"/>
      <w:bookmarkStart w:id="24" w:name="_Toc5413"/>
      <w:bookmarkStart w:id="25" w:name="_Toc18212"/>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19"/>
      <w:bookmarkEnd w:id="20"/>
      <w:bookmarkEnd w:id="21"/>
      <w:bookmarkEnd w:id="22"/>
      <w:bookmarkEnd w:id="23"/>
      <w:bookmarkEnd w:id="24"/>
      <w:bookmarkEnd w:id="25"/>
    </w:p>
    <w:p w14:paraId="79CE31A6">
      <w:pPr>
        <w:keepNext/>
        <w:keepLines/>
        <w:autoSpaceDE w:val="0"/>
        <w:autoSpaceDN w:val="0"/>
        <w:adjustRightInd w:val="0"/>
        <w:spacing w:line="360" w:lineRule="auto"/>
        <w:jc w:val="left"/>
        <w:outlineLvl w:val="1"/>
        <w:rPr>
          <w:rFonts w:ascii="宋体" w:hAnsi="宋体" w:eastAsia="宋体" w:cs="宋体"/>
          <w:b/>
          <w:bCs/>
          <w:color w:val="auto"/>
          <w:kern w:val="44"/>
          <w:szCs w:val="21"/>
          <w:highlight w:val="none"/>
          <w:lang w:val="zh-CN"/>
        </w:rPr>
      </w:pPr>
      <w:bookmarkStart w:id="26" w:name="_Toc22848"/>
      <w:bookmarkStart w:id="27" w:name="_Toc24479"/>
      <w:bookmarkStart w:id="28" w:name="_Toc486167662"/>
      <w:bookmarkStart w:id="29" w:name="_Toc142508312"/>
      <w:bookmarkStart w:id="30" w:name="_Toc9555"/>
      <w:bookmarkStart w:id="31" w:name="_Toc140596871"/>
      <w:bookmarkStart w:id="32" w:name="_Toc15366_WPSOffice_Level2"/>
      <w:bookmarkStart w:id="33" w:name="_Toc450662848"/>
      <w:r>
        <w:rPr>
          <w:rFonts w:hint="eastAsia" w:ascii="宋体" w:hAnsi="宋体" w:eastAsia="宋体" w:cs="宋体"/>
          <w:b/>
          <w:bCs/>
          <w:color w:val="auto"/>
          <w:kern w:val="44"/>
          <w:szCs w:val="21"/>
          <w:highlight w:val="none"/>
          <w:lang w:val="zh-CN"/>
        </w:rPr>
        <w:t>一、总则</w:t>
      </w:r>
      <w:bookmarkEnd w:id="26"/>
      <w:bookmarkEnd w:id="27"/>
      <w:bookmarkEnd w:id="28"/>
      <w:bookmarkEnd w:id="29"/>
      <w:bookmarkEnd w:id="30"/>
      <w:bookmarkEnd w:id="31"/>
      <w:bookmarkEnd w:id="32"/>
      <w:bookmarkEnd w:id="33"/>
    </w:p>
    <w:p w14:paraId="3FD107D3">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4" w:name="_Toc24987"/>
      <w:bookmarkStart w:id="35" w:name="_Toc21710_WPSOffice_Level3"/>
      <w:bookmarkStart w:id="36" w:name="_Toc486167663"/>
      <w:bookmarkStart w:id="37" w:name="_Toc450662849"/>
      <w:bookmarkStart w:id="38" w:name="_Toc9608"/>
      <w:bookmarkStart w:id="39" w:name="_Toc23333"/>
      <w:bookmarkStart w:id="40" w:name="_Toc142508313"/>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bookmarkEnd w:id="34"/>
      <w:bookmarkEnd w:id="35"/>
      <w:bookmarkEnd w:id="36"/>
      <w:bookmarkEnd w:id="37"/>
      <w:bookmarkEnd w:id="38"/>
      <w:bookmarkEnd w:id="39"/>
      <w:bookmarkEnd w:id="40"/>
    </w:p>
    <w:p w14:paraId="71E14B3E">
      <w:pPr>
        <w:autoSpaceDE w:val="0"/>
        <w:autoSpaceDN w:val="0"/>
        <w:adjustRightInd w:val="0"/>
        <w:jc w:val="left"/>
        <w:rPr>
          <w:rFonts w:ascii="宋体" w:hAnsi="宋体" w:eastAsia="宋体" w:cs="宋体"/>
          <w:color w:val="auto"/>
          <w:kern w:val="0"/>
          <w:sz w:val="24"/>
          <w:szCs w:val="24"/>
          <w:highlight w:val="none"/>
        </w:rPr>
      </w:pPr>
    </w:p>
    <w:p w14:paraId="0761B2F5">
      <w:pPr>
        <w:tabs>
          <w:tab w:val="left" w:pos="570"/>
        </w:tabs>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lang w:val="zh-CN"/>
        </w:rPr>
      </w:pPr>
      <w:bookmarkStart w:id="41" w:name="_Toc21306"/>
      <w:bookmarkStart w:id="42" w:name="_Toc486167664"/>
      <w:bookmarkStart w:id="43" w:name="_Toc450662850"/>
      <w:bookmarkStart w:id="44" w:name="_Toc142508314"/>
      <w:bookmarkStart w:id="45" w:name="_Toc18557"/>
      <w:bookmarkStart w:id="46" w:name="_Toc80_WPSOffice_Level3"/>
      <w:bookmarkStart w:id="47" w:name="_Toc32244"/>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合格的投标人</w:t>
      </w:r>
      <w:bookmarkEnd w:id="41"/>
      <w:bookmarkEnd w:id="42"/>
      <w:bookmarkEnd w:id="43"/>
      <w:bookmarkEnd w:id="44"/>
      <w:bookmarkEnd w:id="45"/>
      <w:bookmarkEnd w:id="46"/>
      <w:bookmarkEnd w:id="47"/>
    </w:p>
    <w:p w14:paraId="1D353D54">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w:t>
      </w:r>
      <w:r>
        <w:rPr>
          <w:rFonts w:ascii="宋体" w:hAnsi="宋体" w:eastAsia="宋体" w:cs="宋体"/>
          <w:b/>
          <w:color w:val="auto"/>
          <w:szCs w:val="21"/>
          <w:highlight w:val="none"/>
          <w:lang w:val="zh-CN"/>
        </w:rPr>
        <w:t>2</w:t>
      </w:r>
      <w:r>
        <w:rPr>
          <w:rFonts w:hint="eastAsia" w:ascii="宋体" w:hAnsi="宋体" w:eastAsia="宋体" w:cs="宋体"/>
          <w:b/>
          <w:color w:val="auto"/>
          <w:szCs w:val="21"/>
          <w:highlight w:val="none"/>
          <w:lang w:val="zh-CN"/>
        </w:rPr>
        <w:t>条的“合格投标人资格要求”及本条以下2.2款至</w:t>
      </w:r>
      <w:r>
        <w:rPr>
          <w:rFonts w:hint="eastAsia" w:ascii="宋体" w:hAnsi="宋体" w:eastAsia="宋体" w:cs="宋体"/>
          <w:b/>
          <w:color w:val="auto"/>
          <w:szCs w:val="21"/>
          <w:highlight w:val="none"/>
          <w:lang w:val="en-US" w:eastAsia="zh-CN"/>
        </w:rPr>
        <w:t>2.5</w:t>
      </w:r>
      <w:r>
        <w:rPr>
          <w:rFonts w:hint="eastAsia" w:ascii="宋体" w:hAnsi="宋体" w:eastAsia="宋体" w:cs="宋体"/>
          <w:b/>
          <w:color w:val="auto"/>
          <w:szCs w:val="21"/>
          <w:highlight w:val="none"/>
          <w:lang w:val="zh-CN"/>
        </w:rPr>
        <w:t>款的通用要求。</w:t>
      </w:r>
    </w:p>
    <w:p w14:paraId="671BB7DC">
      <w:pPr>
        <w:autoSpaceDE w:val="0"/>
        <w:autoSpaceDN w:val="0"/>
        <w:adjustRightInd w:val="0"/>
        <w:spacing w:line="360" w:lineRule="auto"/>
        <w:ind w:left="359" w:leftChars="-100" w:hanging="569" w:hangingChars="27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w:t>
      </w:r>
      <w:r>
        <w:rPr>
          <w:rFonts w:hint="eastAsia" w:ascii="宋体" w:hAnsi="宋体" w:eastAsia="宋体" w:cs="Times New Roman"/>
          <w:b/>
          <w:color w:val="auto"/>
          <w:kern w:val="0"/>
          <w:szCs w:val="21"/>
          <w:highlight w:val="none"/>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highlight w:val="none"/>
          <w:lang w:val="zh-CN"/>
        </w:rPr>
        <w:t>处罚说明</w:t>
      </w:r>
      <w:r>
        <w:rPr>
          <w:rFonts w:hint="eastAsia" w:ascii="宋体" w:hAnsi="宋体" w:eastAsia="宋体" w:cs="Times New Roman"/>
          <w:b/>
          <w:color w:val="auto"/>
          <w:kern w:val="0"/>
          <w:szCs w:val="21"/>
          <w:highlight w:val="none"/>
        </w:rPr>
        <w:t>”，如果不主动填报而被事后发现的，将取消其投标（中标）资格，并按有关规定从重处理</w:t>
      </w:r>
      <w:r>
        <w:rPr>
          <w:rFonts w:hint="eastAsia" w:ascii="宋体" w:hAnsi="宋体" w:eastAsia="宋体" w:cs="宋体"/>
          <w:b/>
          <w:color w:val="auto"/>
          <w:kern w:val="0"/>
          <w:szCs w:val="21"/>
          <w:highlight w:val="none"/>
        </w:rPr>
        <w:t>。</w:t>
      </w:r>
    </w:p>
    <w:p w14:paraId="64BDB9F3">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w:t>
      </w:r>
      <w:r>
        <w:rPr>
          <w:rFonts w:ascii="宋体" w:hAnsi="宋体" w:eastAsia="宋体" w:cs="宋体"/>
          <w:b/>
          <w:color w:val="auto"/>
          <w:kern w:val="0"/>
          <w:szCs w:val="21"/>
          <w:highlight w:val="none"/>
          <w:lang w:val="zh-CN"/>
        </w:rPr>
        <w:t>3</w:t>
      </w:r>
      <w:r>
        <w:rPr>
          <w:rFonts w:hint="eastAsia" w:ascii="宋体" w:hAnsi="宋体" w:eastAsia="宋体" w:cs="宋体"/>
          <w:b/>
          <w:color w:val="auto"/>
          <w:kern w:val="0"/>
          <w:szCs w:val="21"/>
          <w:highlight w:val="none"/>
          <w:lang w:val="zh-CN"/>
        </w:rPr>
        <w:t xml:space="preserve">  投标人</w:t>
      </w:r>
      <w:r>
        <w:rPr>
          <w:rFonts w:hint="eastAsia" w:ascii="宋体" w:hAnsi="宋体" w:eastAsia="宋体" w:cs="宋体"/>
          <w:b/>
          <w:color w:val="auto"/>
          <w:szCs w:val="21"/>
          <w:highlight w:val="none"/>
          <w:lang w:val="zh-CN"/>
        </w:rPr>
        <w:t>符合《中华人民共和国招标投标法》第二十六条规定。</w:t>
      </w:r>
    </w:p>
    <w:p w14:paraId="5DAEC956">
      <w:pPr>
        <w:autoSpaceDE w:val="0"/>
        <w:autoSpaceDN w:val="0"/>
        <w:adjustRightInd w:val="0"/>
        <w:spacing w:line="360" w:lineRule="auto"/>
        <w:ind w:left="359" w:leftChars="-99" w:hanging="567" w:hangingChars="2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ascii="宋体" w:hAnsi="宋体" w:eastAsia="宋体" w:cs="宋体"/>
          <w:b/>
          <w:color w:val="auto"/>
          <w:kern w:val="0"/>
          <w:szCs w:val="21"/>
          <w:highlight w:val="none"/>
        </w:rPr>
        <w:t>4</w:t>
      </w:r>
      <w:r>
        <w:rPr>
          <w:rFonts w:hint="eastAsia" w:ascii="宋体" w:hAnsi="宋体" w:eastAsia="宋体" w:cs="宋体"/>
          <w:b/>
          <w:color w:val="auto"/>
          <w:kern w:val="0"/>
          <w:szCs w:val="21"/>
          <w:highlight w:val="none"/>
        </w:rPr>
        <w:t xml:space="preserve">  </w:t>
      </w:r>
      <w:r>
        <w:rPr>
          <w:rFonts w:hint="eastAsia" w:ascii="宋体" w:hAnsi="宋体" w:eastAsia="宋体" w:cs="Times New Roman"/>
          <w:b/>
          <w:color w:val="auto"/>
          <w:kern w:val="0"/>
          <w:szCs w:val="21"/>
          <w:highlight w:val="none"/>
        </w:rPr>
        <w:t>投标人（含其不具有独立法人资格的分支机构）未被列入“信用中国”网站（ www.creditchina.gov.cn）失信被执行人、重大税收违法失信主体、</w:t>
      </w:r>
      <w:r>
        <w:rPr>
          <w:rFonts w:hint="eastAsia" w:ascii="宋体" w:hAnsi="宋体" w:eastAsia="宋体" w:cs="Times New Roman"/>
          <w:b/>
          <w:color w:val="auto"/>
          <w:kern w:val="0"/>
          <w:szCs w:val="21"/>
          <w:highlight w:val="none"/>
          <w:lang w:val="en-US" w:eastAsia="zh-CN"/>
        </w:rPr>
        <w:t>政府采购</w:t>
      </w:r>
      <w:r>
        <w:rPr>
          <w:rFonts w:hint="eastAsia" w:ascii="宋体" w:hAnsi="宋体" w:eastAsia="宋体" w:cs="Times New Roman"/>
          <w:b/>
          <w:color w:val="auto"/>
          <w:kern w:val="0"/>
          <w:szCs w:val="21"/>
          <w:highlight w:val="none"/>
        </w:rPr>
        <w:t>严重违法失信行为记录名单（处罚期限届满的除外）</w:t>
      </w:r>
      <w:r>
        <w:rPr>
          <w:rFonts w:hint="eastAsia" w:ascii="宋体" w:hAnsi="宋体" w:eastAsia="宋体" w:cs="宋体"/>
          <w:b/>
          <w:color w:val="auto"/>
          <w:kern w:val="0"/>
          <w:szCs w:val="21"/>
          <w:highlight w:val="none"/>
        </w:rPr>
        <w:t>。</w:t>
      </w:r>
    </w:p>
    <w:p w14:paraId="2E2B1112">
      <w:pPr>
        <w:autoSpaceDE w:val="0"/>
        <w:autoSpaceDN w:val="0"/>
        <w:adjustRightInd w:val="0"/>
        <w:spacing w:line="360" w:lineRule="auto"/>
        <w:ind w:left="317" w:leftChars="-100" w:hanging="527" w:hangingChars="250"/>
        <w:rPr>
          <w:rFonts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 xml:space="preserve">  </w:t>
      </w:r>
      <w:r>
        <w:rPr>
          <w:rFonts w:hint="eastAsia" w:ascii="宋体" w:hAnsi="宋体" w:eastAsia="宋体" w:cs="Times New Roman"/>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14:paraId="3C29B62E">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14:paraId="2A9792E5">
      <w:pPr>
        <w:tabs>
          <w:tab w:val="left" w:pos="570"/>
        </w:tabs>
        <w:autoSpaceDE w:val="0"/>
        <w:autoSpaceDN w:val="0"/>
        <w:adjustRightInd w:val="0"/>
        <w:spacing w:line="360" w:lineRule="auto"/>
        <w:ind w:left="357" w:leftChars="-100" w:hanging="567"/>
        <w:jc w:val="left"/>
        <w:outlineLvl w:val="0"/>
        <w:rPr>
          <w:rFonts w:hint="eastAsia" w:ascii="宋体" w:hAnsi="宋体" w:eastAsia="宋体" w:cs="宋体"/>
          <w:b/>
          <w:color w:val="auto"/>
          <w:szCs w:val="21"/>
          <w:highlight w:val="none"/>
          <w:lang w:val="en-US" w:eastAsia="zh-CN"/>
        </w:rPr>
      </w:pPr>
      <w:bookmarkStart w:id="48" w:name="_Toc23847_WPSOffice_Level3"/>
      <w:bookmarkStart w:id="49" w:name="_Toc142508315"/>
      <w:bookmarkStart w:id="50" w:name="_Toc1082"/>
      <w:bookmarkStart w:id="51" w:name="_Toc19774"/>
      <w:bookmarkStart w:id="52" w:name="_Toc11689"/>
      <w:bookmarkStart w:id="53" w:name="_Toc486167665"/>
      <w:bookmarkStart w:id="54" w:name="_Toc450662851"/>
      <w:r>
        <w:rPr>
          <w:rFonts w:hint="eastAsia" w:ascii="宋体" w:hAnsi="宋体" w:eastAsia="宋体" w:cs="宋体"/>
          <w:b/>
          <w:color w:val="auto"/>
          <w:szCs w:val="21"/>
          <w:highlight w:val="none"/>
          <w:lang w:val="zh-CN"/>
        </w:rPr>
        <w:t>3</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w:t>
      </w:r>
      <w:bookmarkEnd w:id="48"/>
      <w:bookmarkEnd w:id="49"/>
      <w:r>
        <w:rPr>
          <w:rFonts w:hint="eastAsia" w:ascii="宋体" w:hAnsi="宋体" w:eastAsia="宋体" w:cs="宋体"/>
          <w:b/>
          <w:color w:val="auto"/>
          <w:szCs w:val="21"/>
          <w:highlight w:val="none"/>
          <w:lang w:val="en-US" w:eastAsia="zh-CN"/>
        </w:rPr>
        <w:t>服务</w:t>
      </w:r>
      <w:bookmarkEnd w:id="50"/>
      <w:bookmarkEnd w:id="51"/>
      <w:bookmarkEnd w:id="52"/>
    </w:p>
    <w:p w14:paraId="5AF0F026">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zh-CN"/>
        </w:rPr>
        <w:t>1</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“服务”是指投标人按招标文件规定完成的全部服务内容，其中包括完成服务所需的货物和工程，及须承担的技术支持、培训和其它伴随服务。</w:t>
      </w:r>
    </w:p>
    <w:p w14:paraId="567436E6">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5" w:name="_Toc533708063"/>
      <w:bookmarkStart w:id="56" w:name="_Toc1977663"/>
      <w:r>
        <w:rPr>
          <w:rFonts w:hint="eastAsia" w:ascii="宋体" w:hAnsi="宋体" w:eastAsia="宋体" w:cs="宋体"/>
          <w:color w:val="auto"/>
          <w:szCs w:val="21"/>
          <w:highlight w:val="none"/>
          <w:lang w:val="zh-CN"/>
        </w:rPr>
        <w:t xml:space="preserve">3.2  </w:t>
      </w:r>
      <w:bookmarkEnd w:id="55"/>
      <w:bookmarkEnd w:id="56"/>
      <w:bookmarkStart w:id="57" w:name="_Toc1977665"/>
      <w:bookmarkStart w:id="58" w:name="_Toc533708065"/>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必须保证提供的所有</w:t>
      </w:r>
      <w:r>
        <w:rPr>
          <w:rFonts w:hint="eastAsia" w:ascii="宋体" w:hAnsi="宋体" w:eastAsia="宋体" w:cs="Times New Roman"/>
          <w:color w:val="auto"/>
          <w:szCs w:val="21"/>
          <w:highlight w:val="none"/>
          <w:lang w:val="en-US" w:eastAsia="zh-CN"/>
        </w:rPr>
        <w:t>服务</w:t>
      </w:r>
      <w:r>
        <w:rPr>
          <w:rFonts w:hint="eastAsia" w:ascii="宋体" w:hAnsi="宋体" w:eastAsia="宋体" w:cs="Times New Roman"/>
          <w:color w:val="auto"/>
          <w:szCs w:val="21"/>
          <w:highlight w:val="none"/>
          <w:lang w:val="zh-CN"/>
        </w:rPr>
        <w:t>或</w:t>
      </w:r>
      <w:r>
        <w:rPr>
          <w:rFonts w:hint="eastAsia" w:ascii="宋体" w:hAnsi="宋体" w:eastAsia="宋体" w:cs="Times New Roman"/>
          <w:color w:val="auto"/>
          <w:szCs w:val="21"/>
          <w:highlight w:val="none"/>
          <w:lang w:val="en-US" w:eastAsia="zh-CN"/>
        </w:rPr>
        <w:t>服务</w:t>
      </w:r>
      <w:r>
        <w:rPr>
          <w:rFonts w:hint="eastAsia" w:ascii="宋体" w:hAnsi="宋体" w:eastAsia="宋体" w:cs="Times New Roman"/>
          <w:color w:val="auto"/>
          <w:szCs w:val="21"/>
          <w:highlight w:val="none"/>
          <w:lang w:val="zh-CN"/>
        </w:rPr>
        <w:t>的任何部分均为最新正式版本</w:t>
      </w:r>
      <w:r>
        <w:rPr>
          <w:rFonts w:hint="eastAsia" w:ascii="宋体" w:hAnsi="宋体" w:eastAsia="宋体" w:cs="宋体"/>
          <w:color w:val="auto"/>
          <w:szCs w:val="21"/>
          <w:highlight w:val="none"/>
          <w:lang w:val="zh-CN"/>
        </w:rPr>
        <w:t>。</w:t>
      </w:r>
      <w:bookmarkEnd w:id="57"/>
      <w:bookmarkEnd w:id="58"/>
    </w:p>
    <w:p w14:paraId="386D6CD4">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9" w:name="_Toc1977666"/>
      <w:bookmarkStart w:id="60" w:name="_Toc5337080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 xml:space="preserve">  </w:t>
      </w:r>
      <w:bookmarkEnd w:id="59"/>
      <w:bookmarkEnd w:id="60"/>
      <w:bookmarkStart w:id="61" w:name="_Toc1977667"/>
      <w:bookmarkStart w:id="62" w:name="_Toc533708067"/>
      <w:r>
        <w:rPr>
          <w:rFonts w:hint="eastAsia" w:ascii="宋体" w:hAnsi="宋体" w:eastAsia="宋体" w:cs="宋体"/>
          <w:color w:val="auto"/>
          <w:szCs w:val="21"/>
          <w:highlight w:val="none"/>
          <w:lang w:val="zh-CN"/>
        </w:rPr>
        <w:t>投标人</w:t>
      </w:r>
      <w:r>
        <w:rPr>
          <w:rFonts w:hint="eastAsia" w:ascii="宋体" w:hAnsi="宋体" w:eastAsia="宋体" w:cs="Times New Roman"/>
          <w:color w:val="auto"/>
          <w:kern w:val="0"/>
          <w:szCs w:val="21"/>
          <w:highlight w:val="none"/>
        </w:rPr>
        <w:t>应保证招标人在中华人民共和国使用</w:t>
      </w:r>
      <w:r>
        <w:rPr>
          <w:rFonts w:hint="eastAsia" w:ascii="宋体" w:hAnsi="宋体" w:eastAsia="宋体" w:cs="Times New Roman"/>
          <w:color w:val="auto"/>
          <w:kern w:val="0"/>
          <w:szCs w:val="21"/>
          <w:highlight w:val="none"/>
          <w:lang w:val="en-US" w:eastAsia="zh-CN"/>
        </w:rPr>
        <w:t>服务</w:t>
      </w:r>
      <w:r>
        <w:rPr>
          <w:rFonts w:hint="eastAsia" w:ascii="宋体" w:hAnsi="宋体" w:eastAsia="宋体" w:cs="Times New Roman"/>
          <w:color w:val="auto"/>
          <w:kern w:val="0"/>
          <w:szCs w:val="21"/>
          <w:highlight w:val="none"/>
        </w:rPr>
        <w:t>或</w:t>
      </w:r>
      <w:r>
        <w:rPr>
          <w:rFonts w:hint="eastAsia" w:ascii="宋体" w:hAnsi="宋体" w:eastAsia="宋体" w:cs="Times New Roman"/>
          <w:color w:val="auto"/>
          <w:kern w:val="0"/>
          <w:szCs w:val="21"/>
          <w:highlight w:val="none"/>
          <w:lang w:val="en-US" w:eastAsia="zh-CN"/>
        </w:rPr>
        <w:t>服务</w:t>
      </w:r>
      <w:r>
        <w:rPr>
          <w:rFonts w:hint="eastAsia" w:ascii="宋体" w:hAnsi="宋体" w:eastAsia="宋体" w:cs="Times New Roman"/>
          <w:color w:val="auto"/>
          <w:kern w:val="0"/>
          <w:szCs w:val="21"/>
          <w:highlight w:val="none"/>
        </w:rPr>
        <w:t>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61"/>
      <w:bookmarkEnd w:id="62"/>
    </w:p>
    <w:p w14:paraId="5A47D010">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3" w:name="_Toc1977668"/>
      <w:bookmarkStart w:id="64" w:name="_Toc5337080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w:t>
      </w:r>
      <w:bookmarkEnd w:id="63"/>
      <w:bookmarkEnd w:id="64"/>
      <w:r>
        <w:rPr>
          <w:rFonts w:hint="eastAsia" w:ascii="宋体" w:hAnsi="宋体" w:eastAsia="宋体" w:cs="宋体"/>
          <w:color w:val="auto"/>
          <w:szCs w:val="21"/>
          <w:highlight w:val="none"/>
          <w:lang w:val="zh-CN"/>
        </w:rPr>
        <w:t>无论投标人</w:t>
      </w:r>
      <w:r>
        <w:rPr>
          <w:rFonts w:hint="eastAsia" w:ascii="宋体" w:hAnsi="宋体" w:eastAsia="宋体" w:cs="Times New Roman"/>
          <w:color w:val="auto"/>
          <w:kern w:val="0"/>
          <w:szCs w:val="21"/>
          <w:highlight w:val="none"/>
        </w:rPr>
        <w:t>是否在投标报价表中明示，均视为投标报价已包含所有应支付的对专利权</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商标权和版权、设计或其他知识产权而需要向其他方支付的版税和使用费等相关费用。如投标人未依法向第三方支付应缴版税和使用费等相关费用</w:t>
      </w:r>
      <w:r>
        <w:rPr>
          <w:rFonts w:hint="eastAsia" w:ascii="宋体" w:hAnsi="宋体" w:eastAsia="宋体" w:cs="Times New Roman"/>
          <w:color w:val="auto"/>
          <w:kern w:val="0"/>
          <w:szCs w:val="21"/>
          <w:highlight w:val="none"/>
          <w:lang w:val="en-US" w:eastAsia="zh-CN"/>
        </w:rPr>
        <w:t>的</w:t>
      </w:r>
      <w:r>
        <w:rPr>
          <w:rFonts w:hint="eastAsia" w:ascii="宋体" w:hAnsi="宋体" w:eastAsia="宋体" w:cs="Times New Roman"/>
          <w:color w:val="auto"/>
          <w:kern w:val="0"/>
          <w:szCs w:val="21"/>
          <w:highlight w:val="none"/>
        </w:rPr>
        <w:t>，造成招标人任何经济损失的，由投标人承担全部赔偿责任</w:t>
      </w:r>
      <w:r>
        <w:rPr>
          <w:rFonts w:hint="eastAsia" w:ascii="宋体" w:hAnsi="宋体" w:eastAsia="宋体" w:cs="宋体"/>
          <w:color w:val="auto"/>
          <w:szCs w:val="21"/>
          <w:highlight w:val="none"/>
          <w:lang w:val="zh-CN"/>
        </w:rPr>
        <w:t>。</w:t>
      </w:r>
    </w:p>
    <w:p w14:paraId="7C010E5A">
      <w:pPr>
        <w:autoSpaceDE w:val="0"/>
        <w:autoSpaceDN w:val="0"/>
        <w:adjustRightInd w:val="0"/>
        <w:spacing w:line="360" w:lineRule="auto"/>
        <w:jc w:val="left"/>
        <w:rPr>
          <w:rFonts w:ascii="宋体" w:hAnsi="宋体" w:eastAsia="宋体" w:cs="宋体"/>
          <w:color w:val="auto"/>
          <w:szCs w:val="21"/>
          <w:highlight w:val="none"/>
          <w:lang w:val="zh-CN"/>
        </w:rPr>
      </w:pPr>
    </w:p>
    <w:p w14:paraId="690589F3">
      <w:pPr>
        <w:tabs>
          <w:tab w:val="left" w:pos="57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65" w:name="_Toc9658_WPSOffice_Level3"/>
      <w:bookmarkStart w:id="66" w:name="_Toc11533"/>
      <w:bookmarkStart w:id="67" w:name="_Toc3404"/>
      <w:bookmarkStart w:id="68" w:name="_Toc142508316"/>
      <w:bookmarkStart w:id="69" w:name="_Toc11730"/>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bookmarkEnd w:id="65"/>
      <w:bookmarkEnd w:id="66"/>
      <w:bookmarkEnd w:id="67"/>
      <w:bookmarkEnd w:id="68"/>
      <w:bookmarkEnd w:id="69"/>
    </w:p>
    <w:p w14:paraId="36C0F41A">
      <w:pPr>
        <w:autoSpaceDE w:val="0"/>
        <w:autoSpaceDN w:val="0"/>
        <w:adjustRightInd w:val="0"/>
        <w:spacing w:line="360" w:lineRule="auto"/>
        <w:ind w:left="315" w:leftChars="-100" w:hanging="525" w:hangingChars="250"/>
        <w:outlineLvl w:val="1"/>
        <w:rPr>
          <w:rFonts w:ascii="宋体" w:hAnsi="宋体" w:eastAsia="宋体" w:cs="宋体"/>
          <w:color w:val="auto"/>
          <w:szCs w:val="21"/>
          <w:highlight w:val="none"/>
          <w:lang w:val="zh-CN"/>
        </w:rPr>
      </w:pPr>
      <w:bookmarkStart w:id="70" w:name="_Toc1977670"/>
      <w:bookmarkStart w:id="71" w:name="_Toc533708070"/>
      <w:bookmarkStart w:id="72" w:name="_Toc20662"/>
      <w:r>
        <w:rPr>
          <w:rFonts w:hint="eastAsia" w:ascii="宋体" w:hAnsi="宋体" w:eastAsia="宋体" w:cs="宋体"/>
          <w:color w:val="auto"/>
          <w:szCs w:val="21"/>
          <w:highlight w:val="none"/>
          <w:lang w:val="zh-CN"/>
        </w:rPr>
        <w:t>4.1  投标费用</w:t>
      </w:r>
      <w:bookmarkEnd w:id="70"/>
      <w:bookmarkEnd w:id="71"/>
      <w:bookmarkEnd w:id="72"/>
    </w:p>
    <w:p w14:paraId="2201D8F8">
      <w:pPr>
        <w:autoSpaceDE w:val="0"/>
        <w:autoSpaceDN w:val="0"/>
        <w:adjustRightInd w:val="0"/>
        <w:spacing w:line="360" w:lineRule="auto"/>
        <w:ind w:left="210" w:leftChars="100" w:firstLine="420" w:firstLineChars="200"/>
        <w:rPr>
          <w:rFonts w:ascii="宋体" w:hAnsi="宋体" w:eastAsia="宋体" w:cs="宋体"/>
          <w:color w:val="auto"/>
          <w:szCs w:val="21"/>
          <w:highlight w:val="none"/>
          <w:lang w:val="zh-CN"/>
        </w:rPr>
      </w:pPr>
      <w:bookmarkStart w:id="73" w:name="_Toc533708072"/>
      <w:bookmarkStart w:id="74" w:name="_Toc1977672"/>
      <w:r>
        <w:rPr>
          <w:rFonts w:hint="eastAsia" w:ascii="宋体" w:hAnsi="宋体" w:eastAsia="宋体" w:cs="Times New Roman"/>
          <w:color w:val="auto"/>
          <w:szCs w:val="21"/>
          <w:highlight w:val="none"/>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highlight w:val="none"/>
          <w:lang w:val="zh-CN"/>
        </w:rPr>
        <w:t>。</w:t>
      </w:r>
      <w:bookmarkEnd w:id="73"/>
      <w:bookmarkEnd w:id="74"/>
    </w:p>
    <w:p w14:paraId="30F9FE5B">
      <w:pPr>
        <w:autoSpaceDE w:val="0"/>
        <w:autoSpaceDN w:val="0"/>
        <w:adjustRightInd w:val="0"/>
        <w:spacing w:line="360" w:lineRule="auto"/>
        <w:ind w:left="315" w:leftChars="-100" w:hanging="525" w:hangingChars="250"/>
        <w:outlineLvl w:val="1"/>
        <w:rPr>
          <w:rFonts w:ascii="宋体" w:hAnsi="宋体" w:eastAsia="宋体" w:cs="宋体"/>
          <w:color w:val="auto"/>
          <w:szCs w:val="21"/>
          <w:highlight w:val="none"/>
          <w:lang w:val="zh-CN"/>
        </w:rPr>
      </w:pPr>
      <w:bookmarkStart w:id="75" w:name="_Toc1977673"/>
      <w:bookmarkStart w:id="76" w:name="_Toc18611"/>
      <w:bookmarkStart w:id="77" w:name="_Toc533708073"/>
      <w:r>
        <w:rPr>
          <w:rFonts w:hint="eastAsia" w:ascii="宋体" w:hAnsi="宋体" w:eastAsia="宋体" w:cs="宋体"/>
          <w:color w:val="auto"/>
          <w:szCs w:val="21"/>
          <w:highlight w:val="none"/>
          <w:lang w:val="zh-CN"/>
        </w:rPr>
        <w:t>4.2  踏勘现场</w:t>
      </w:r>
      <w:bookmarkEnd w:id="75"/>
      <w:bookmarkEnd w:id="76"/>
      <w:bookmarkEnd w:id="77"/>
    </w:p>
    <w:p w14:paraId="5363A1F4">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bookmarkStart w:id="78" w:name="_Toc1977676"/>
      <w:bookmarkStart w:id="79" w:name="_Toc533708076"/>
      <w:r>
        <w:rPr>
          <w:rFonts w:hint="eastAsia" w:ascii="宋体" w:hAnsi="宋体" w:eastAsia="宋体" w:cs="宋体"/>
          <w:color w:val="auto"/>
          <w:kern w:val="0"/>
          <w:szCs w:val="21"/>
        </w:rPr>
        <w:t>（1）本项目不组织集中踏勘现场和答疑，投标人应自行到实地踏勘考察。</w:t>
      </w:r>
    </w:p>
    <w:p w14:paraId="3713B6AC">
      <w:pPr>
        <w:autoSpaceDE w:val="0"/>
        <w:autoSpaceDN w:val="0"/>
        <w:adjustRightInd w:val="0"/>
        <w:spacing w:line="360" w:lineRule="auto"/>
        <w:ind w:left="300" w:leftChars="-59" w:hanging="424" w:hangingChars="202"/>
        <w:jc w:val="left"/>
        <w:outlineLvl w:val="2"/>
        <w:rPr>
          <w:rFonts w:ascii="宋体" w:hAnsi="宋体" w:eastAsia="宋体" w:cs="Times New Roman"/>
          <w:color w:val="auto"/>
          <w:kern w:val="0"/>
          <w:szCs w:val="21"/>
          <w:highlight w:val="none"/>
        </w:rPr>
      </w:pPr>
      <w:bookmarkStart w:id="80" w:name="_Toc16298"/>
      <w:r>
        <w:rPr>
          <w:rFonts w:hint="eastAsia" w:ascii="宋体" w:hAnsi="宋体" w:eastAsia="宋体" w:cs="Times New Roman"/>
          <w:color w:val="auto"/>
          <w:kern w:val="0"/>
          <w:szCs w:val="21"/>
          <w:highlight w:val="none"/>
        </w:rPr>
        <w:t>（2）潜在投标人应承担踏勘现场自身所发生的费用。</w:t>
      </w:r>
      <w:bookmarkEnd w:id="80"/>
    </w:p>
    <w:p w14:paraId="418AC765">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14:paraId="79E5C62A">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14:paraId="304C8500">
      <w:pPr>
        <w:autoSpaceDE w:val="0"/>
        <w:autoSpaceDN w:val="0"/>
        <w:adjustRightInd w:val="0"/>
        <w:spacing w:line="360" w:lineRule="auto"/>
        <w:ind w:left="315" w:leftChars="-100" w:hanging="525" w:hangingChars="250"/>
        <w:outlineLvl w:val="1"/>
        <w:rPr>
          <w:rFonts w:ascii="宋体" w:hAnsi="宋体" w:eastAsia="宋体" w:cs="宋体"/>
          <w:color w:val="auto"/>
          <w:szCs w:val="21"/>
          <w:highlight w:val="none"/>
          <w:lang w:val="zh-CN"/>
        </w:rPr>
      </w:pPr>
      <w:bookmarkStart w:id="81" w:name="_Toc31533"/>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53"/>
      <w:bookmarkEnd w:id="54"/>
      <w:bookmarkEnd w:id="78"/>
      <w:bookmarkEnd w:id="79"/>
      <w:bookmarkEnd w:id="81"/>
    </w:p>
    <w:p w14:paraId="1263C912">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rPr>
      </w:pPr>
      <w:r>
        <w:rPr>
          <w:rFonts w:hint="eastAsia" w:ascii="宋体" w:hAnsi="宋体" w:eastAsia="宋体" w:cs="宋体"/>
          <w:color w:val="auto"/>
          <w:kern w:val="0"/>
          <w:szCs w:val="21"/>
        </w:rPr>
        <w:t>（1）获得本招标文件的投标人，不得用作本次投标以外的任何用途。</w:t>
      </w:r>
    </w:p>
    <w:p w14:paraId="3F14EB0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（2</w:t>
      </w:r>
      <w:r>
        <w:rPr>
          <w:rFonts w:hint="eastAsia" w:ascii="宋体" w:hAnsi="宋体" w:eastAsia="宋体" w:cs="Times New Roman"/>
          <w:color w:val="auto"/>
          <w:kern w:val="0"/>
          <w:szCs w:val="21"/>
          <w:highlight w:val="none"/>
        </w:rPr>
        <w:t>）凡参与招标工作的有关人员均应自觉接受有关主管部门的监督，</w:t>
      </w:r>
      <w:r>
        <w:rPr>
          <w:rFonts w:hint="eastAsia" w:ascii="宋体" w:hAnsi="宋体" w:eastAsia="宋体" w:cs="宋体"/>
          <w:color w:val="auto"/>
          <w:kern w:val="0"/>
          <w:szCs w:val="21"/>
        </w:rPr>
        <w:t>不得向他人透露可能影响公平竞争的情况。</w:t>
      </w:r>
    </w:p>
    <w:p w14:paraId="22B2882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（3）开标后，直至向中标人</w:t>
      </w:r>
      <w:r>
        <w:rPr>
          <w:rFonts w:hint="eastAsia" w:ascii="宋体" w:hAnsi="宋体" w:eastAsia="宋体" w:cs="Times New Roman"/>
          <w:color w:val="auto"/>
          <w:kern w:val="0"/>
          <w:szCs w:val="21"/>
          <w:highlight w:val="none"/>
          <w:lang w:eastAsia="zh-CN"/>
        </w:rPr>
        <w:t>授予合同期间</w:t>
      </w:r>
      <w:r>
        <w:rPr>
          <w:rFonts w:hint="eastAsia" w:ascii="宋体" w:hAnsi="宋体" w:eastAsia="宋体" w:cs="Times New Roman"/>
          <w:color w:val="auto"/>
          <w:kern w:val="0"/>
          <w:szCs w:val="21"/>
          <w:highlight w:val="none"/>
        </w:rPr>
        <w:t>，凡与审查、澄清、评价和比较报价的有关资料以及授标意见等，参与评标工作的有关人员均不得向投标人及与评标无关的其他人透露。</w:t>
      </w:r>
    </w:p>
    <w:p w14:paraId="1EABF2B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14:paraId="4CF944B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1A48C163">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（6）投标人不得串通作弊，以不正当的手段妨碍、排挤其他投标人，扰乱采购市场，破坏公平竞争原则。</w:t>
      </w:r>
    </w:p>
    <w:p w14:paraId="34862F7F">
      <w:pPr>
        <w:autoSpaceDE w:val="0"/>
        <w:autoSpaceDN w:val="0"/>
        <w:adjustRightInd w:val="0"/>
        <w:spacing w:line="360" w:lineRule="auto"/>
        <w:ind w:left="315" w:leftChars="-100" w:hanging="525" w:hangingChars="250"/>
        <w:rPr>
          <w:rFonts w:ascii="宋体" w:hAnsi="宋体" w:eastAsia="宋体" w:cs="宋体"/>
          <w:color w:val="auto"/>
          <w:szCs w:val="21"/>
          <w:highlight w:val="none"/>
        </w:rPr>
      </w:pPr>
    </w:p>
    <w:p w14:paraId="68437037">
      <w:pPr>
        <w:keepNext/>
        <w:keepLines/>
        <w:autoSpaceDE w:val="0"/>
        <w:autoSpaceDN w:val="0"/>
        <w:adjustRightInd w:val="0"/>
        <w:spacing w:line="360" w:lineRule="auto"/>
        <w:jc w:val="left"/>
        <w:outlineLvl w:val="2"/>
        <w:rPr>
          <w:rFonts w:ascii="宋体" w:hAnsi="宋体" w:eastAsia="宋体" w:cs="宋体"/>
          <w:b/>
          <w:bCs/>
          <w:color w:val="auto"/>
          <w:kern w:val="44"/>
          <w:szCs w:val="21"/>
          <w:highlight w:val="none"/>
          <w:lang w:val="zh-CN"/>
        </w:rPr>
      </w:pPr>
      <w:bookmarkStart w:id="82" w:name="_Toc5395"/>
      <w:bookmarkStart w:id="83" w:name="_Toc1565"/>
      <w:bookmarkStart w:id="84" w:name="_Toc486167667"/>
      <w:bookmarkStart w:id="85" w:name="_Toc140596876"/>
      <w:bookmarkStart w:id="86" w:name="_Toc450662853"/>
      <w:bookmarkStart w:id="87" w:name="_Toc30507_WPSOffice_Level2"/>
      <w:bookmarkStart w:id="88" w:name="_Toc142508317"/>
      <w:bookmarkStart w:id="89" w:name="_Toc28638"/>
      <w:r>
        <w:rPr>
          <w:rFonts w:hint="eastAsia" w:ascii="宋体" w:hAnsi="宋体" w:eastAsia="宋体" w:cs="宋体"/>
          <w:b/>
          <w:bCs/>
          <w:color w:val="auto"/>
          <w:kern w:val="44"/>
          <w:szCs w:val="21"/>
          <w:highlight w:val="none"/>
          <w:lang w:val="zh-CN"/>
        </w:rPr>
        <w:t>二、招标文件</w:t>
      </w:r>
      <w:bookmarkEnd w:id="82"/>
      <w:bookmarkEnd w:id="83"/>
      <w:bookmarkEnd w:id="84"/>
      <w:bookmarkEnd w:id="85"/>
      <w:bookmarkEnd w:id="86"/>
      <w:bookmarkEnd w:id="87"/>
      <w:bookmarkEnd w:id="88"/>
      <w:bookmarkEnd w:id="89"/>
    </w:p>
    <w:p w14:paraId="28356C4A">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90" w:name="_Toc28893"/>
      <w:bookmarkStart w:id="91" w:name="_Toc450662854"/>
      <w:bookmarkStart w:id="92" w:name="_Toc486167668"/>
      <w:bookmarkStart w:id="93" w:name="_Toc26635_WPSOffice_Level3"/>
      <w:bookmarkStart w:id="94" w:name="_Toc142508318"/>
      <w:bookmarkStart w:id="95" w:name="_Toc2406"/>
      <w:bookmarkStart w:id="96" w:name="_Toc17100"/>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bookmarkEnd w:id="90"/>
      <w:bookmarkEnd w:id="91"/>
      <w:bookmarkEnd w:id="92"/>
      <w:bookmarkEnd w:id="93"/>
      <w:bookmarkEnd w:id="94"/>
      <w:bookmarkEnd w:id="95"/>
      <w:bookmarkEnd w:id="96"/>
    </w:p>
    <w:p w14:paraId="6E503581">
      <w:pPr>
        <w:tabs>
          <w:tab w:val="left" w:pos="567"/>
        </w:tabs>
        <w:autoSpaceDE w:val="0"/>
        <w:autoSpaceDN w:val="0"/>
        <w:adjustRightInd w:val="0"/>
        <w:spacing w:line="360" w:lineRule="auto"/>
        <w:ind w:left="357" w:leftChars="-100" w:hanging="567"/>
        <w:outlineLvl w:val="1"/>
        <w:rPr>
          <w:rFonts w:ascii="宋体" w:hAnsi="宋体" w:eastAsia="宋体" w:cs="宋体"/>
          <w:color w:val="auto"/>
          <w:szCs w:val="21"/>
          <w:highlight w:val="none"/>
          <w:lang w:val="zh-CN"/>
        </w:rPr>
      </w:pPr>
      <w:bookmarkStart w:id="97" w:name="_Toc748"/>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bookmarkEnd w:id="97"/>
    </w:p>
    <w:p w14:paraId="34C1D288">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第一篇 招标公告</w:t>
      </w:r>
    </w:p>
    <w:p w14:paraId="43F23B30">
      <w:pPr>
        <w:tabs>
          <w:tab w:val="left" w:pos="1890"/>
        </w:tabs>
        <w:autoSpaceDE w:val="0"/>
        <w:autoSpaceDN w:val="0"/>
        <w:adjustRightInd w:val="0"/>
        <w:spacing w:line="360" w:lineRule="auto"/>
        <w:ind w:firstLine="424" w:firstLineChars="202"/>
        <w:outlineLvl w:val="2"/>
        <w:rPr>
          <w:rFonts w:ascii="宋体" w:hAnsi="宋体" w:eastAsia="宋体" w:cs="Times New Roman"/>
          <w:color w:val="auto"/>
          <w:szCs w:val="21"/>
          <w:highlight w:val="none"/>
          <w:lang w:val="zh-CN"/>
        </w:rPr>
      </w:pPr>
      <w:bookmarkStart w:id="98" w:name="_Toc29696"/>
      <w:r>
        <w:rPr>
          <w:rFonts w:hint="eastAsia" w:ascii="宋体" w:hAnsi="宋体" w:eastAsia="宋体" w:cs="Times New Roman"/>
          <w:color w:val="auto"/>
          <w:szCs w:val="21"/>
          <w:highlight w:val="none"/>
          <w:lang w:val="zh-CN"/>
        </w:rPr>
        <w:t>第二篇 投标人须知</w:t>
      </w:r>
      <w:bookmarkEnd w:id="98"/>
    </w:p>
    <w:p w14:paraId="49E36ADF">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第三篇 用户需求书</w:t>
      </w:r>
    </w:p>
    <w:p w14:paraId="6F480655">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第四篇 合同条款</w:t>
      </w:r>
    </w:p>
    <w:p w14:paraId="2BB404EC">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第五篇 相关保函格式</w:t>
      </w:r>
    </w:p>
    <w:p w14:paraId="1EC917D9">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第六篇 投标文件格式</w:t>
      </w:r>
    </w:p>
    <w:p w14:paraId="2897CF38">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lang w:val="zh-CN"/>
        </w:rPr>
        <w:t>附件一：评标工作大纲</w:t>
      </w:r>
    </w:p>
    <w:p w14:paraId="27EE03D4">
      <w:pPr>
        <w:autoSpaceDE w:val="0"/>
        <w:autoSpaceDN w:val="0"/>
        <w:adjustRightInd w:val="0"/>
        <w:spacing w:line="360" w:lineRule="auto"/>
        <w:ind w:left="356" w:leftChars="-99" w:hanging="564" w:hangingChars="269"/>
        <w:rPr>
          <w:rFonts w:hint="eastAsia" w:ascii="宋体" w:hAnsi="宋体" w:eastAsia="宋体" w:cs="宋体"/>
          <w:b/>
          <w:bCs/>
          <w:color w:val="auto"/>
          <w:szCs w:val="21"/>
          <w:highlight w:val="none"/>
          <w:u w:val="singl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w:t>
      </w:r>
      <w:r>
        <w:rPr>
          <w:rFonts w:hint="eastAsia" w:ascii="宋体" w:hAnsi="宋体" w:eastAsia="宋体" w:cs="Times New Roman"/>
          <w:b/>
          <w:bCs/>
          <w:color w:val="auto"/>
          <w:szCs w:val="21"/>
          <w:highlight w:val="none"/>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highlight w:val="none"/>
          <w:u w:val="single"/>
          <w:lang w:val="zh-CN"/>
        </w:rPr>
        <w:t>★</w:t>
      </w:r>
      <w:r>
        <w:rPr>
          <w:rFonts w:hint="eastAsia" w:ascii="宋体" w:hAnsi="宋体" w:eastAsia="宋体" w:cs="Times New Roman"/>
          <w:b/>
          <w:bCs/>
          <w:color w:val="auto"/>
          <w:szCs w:val="21"/>
          <w:highlight w:val="none"/>
          <w:u w:val="single"/>
          <w:lang w:val="zh-CN"/>
        </w:rPr>
        <w:t>标志的部分为投标人、投标拟供服务必备的条件或重要指示），那么投标人的投标文件将有可能被拒绝接收或评审为无效投标文件</w:t>
      </w:r>
      <w:r>
        <w:rPr>
          <w:rFonts w:hint="eastAsia" w:ascii="宋体" w:hAnsi="宋体" w:eastAsia="宋体" w:cs="宋体"/>
          <w:b/>
          <w:bCs/>
          <w:color w:val="auto"/>
          <w:szCs w:val="21"/>
          <w:highlight w:val="none"/>
          <w:u w:val="single"/>
          <w:lang w:val="zh-CN"/>
        </w:rPr>
        <w:t>。</w:t>
      </w:r>
    </w:p>
    <w:p w14:paraId="57E2555E">
      <w:pPr>
        <w:autoSpaceDE w:val="0"/>
        <w:autoSpaceDN w:val="0"/>
        <w:adjustRightInd w:val="0"/>
        <w:spacing w:line="360" w:lineRule="auto"/>
        <w:ind w:left="356" w:leftChars="-99" w:hanging="564" w:hangingChars="269"/>
        <w:outlineLvl w:val="1"/>
        <w:rPr>
          <w:rFonts w:ascii="宋体" w:hAnsi="宋体" w:eastAsia="宋体" w:cs="宋体"/>
          <w:b/>
          <w:bCs/>
          <w:color w:val="auto"/>
          <w:szCs w:val="21"/>
          <w:highlight w:val="none"/>
          <w:u w:val="single"/>
        </w:rPr>
      </w:pPr>
      <w:bookmarkStart w:id="99" w:name="_Toc14297"/>
      <w:r>
        <w:rPr>
          <w:rFonts w:hint="eastAsia" w:ascii="宋体" w:hAnsi="宋体" w:eastAsia="宋体" w:cs="宋体"/>
          <w:color w:val="auto"/>
          <w:szCs w:val="21"/>
          <w:highlight w:val="none"/>
          <w:lang w:val="zh-CN"/>
        </w:rPr>
        <w:t>5.3  本招标文件使用的词语有如下定义：</w:t>
      </w:r>
      <w:bookmarkEnd w:id="99"/>
    </w:p>
    <w:p w14:paraId="30F1504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（1）“招标人”指</w:t>
      </w:r>
      <w:r>
        <w:rPr>
          <w:rFonts w:hint="eastAsia" w:ascii="宋体" w:hAnsi="宋体" w:eastAsia="宋体" w:cs="Times New Roman"/>
          <w:color w:val="auto"/>
          <w:kern w:val="0"/>
          <w:szCs w:val="21"/>
          <w:highlight w:val="none"/>
          <w:lang w:eastAsia="zh-CN"/>
        </w:rPr>
        <w:t>东莞市水务集团管网有限公司</w:t>
      </w:r>
      <w:r>
        <w:rPr>
          <w:rFonts w:hint="eastAsia" w:ascii="宋体" w:hAnsi="宋体" w:eastAsia="宋体" w:cs="Times New Roman"/>
          <w:color w:val="auto"/>
          <w:kern w:val="0"/>
          <w:szCs w:val="21"/>
          <w:highlight w:val="none"/>
        </w:rPr>
        <w:t>；</w:t>
      </w:r>
    </w:p>
    <w:p w14:paraId="7D73776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）“招标代理机构”指</w:t>
      </w:r>
      <w:r>
        <w:rPr>
          <w:rFonts w:hint="eastAsia" w:ascii="宋体" w:hAnsi="宋体" w:eastAsia="宋体" w:cs="Times New Roman"/>
          <w:color w:val="auto"/>
          <w:kern w:val="0"/>
          <w:szCs w:val="21"/>
          <w:highlight w:val="none"/>
          <w:lang w:eastAsia="zh-CN"/>
        </w:rPr>
        <w:t>广东有德招标采购有限公司</w:t>
      </w:r>
      <w:r>
        <w:rPr>
          <w:rFonts w:hint="eastAsia" w:ascii="宋体" w:hAnsi="宋体" w:eastAsia="宋体" w:cs="Times New Roman"/>
          <w:color w:val="auto"/>
          <w:kern w:val="0"/>
          <w:szCs w:val="21"/>
          <w:highlight w:val="none"/>
        </w:rPr>
        <w:t>；</w:t>
      </w:r>
    </w:p>
    <w:p w14:paraId="687B698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）“投标人”指参加</w:t>
      </w:r>
      <w:r>
        <w:rPr>
          <w:rFonts w:hint="eastAsia" w:ascii="宋体" w:hAnsi="宋体" w:eastAsia="宋体" w:cs="Times New Roman"/>
          <w:color w:val="auto"/>
          <w:kern w:val="0"/>
          <w:szCs w:val="21"/>
          <w:highlight w:val="none"/>
          <w:lang w:eastAsia="zh-CN"/>
        </w:rPr>
        <w:t>东莞市水务集团管网有限公司2025年保安服务采购项目</w:t>
      </w:r>
      <w:r>
        <w:rPr>
          <w:rFonts w:hint="eastAsia" w:ascii="宋体" w:hAnsi="宋体" w:eastAsia="宋体" w:cs="Times New Roman"/>
          <w:color w:val="auto"/>
          <w:kern w:val="0"/>
          <w:szCs w:val="21"/>
          <w:highlight w:val="none"/>
        </w:rPr>
        <w:t>所需的</w:t>
      </w:r>
      <w:r>
        <w:rPr>
          <w:rFonts w:hint="eastAsia" w:ascii="宋体" w:hAnsi="宋体" w:eastAsia="宋体" w:cs="Times New Roman"/>
          <w:color w:val="auto"/>
          <w:kern w:val="0"/>
          <w:szCs w:val="21"/>
          <w:highlight w:val="none"/>
          <w:lang w:val="en-US" w:eastAsia="zh-CN"/>
        </w:rPr>
        <w:t>服务</w:t>
      </w:r>
      <w:r>
        <w:rPr>
          <w:rFonts w:hint="eastAsia" w:ascii="宋体" w:hAnsi="宋体" w:eastAsia="宋体" w:cs="Times New Roman"/>
          <w:color w:val="auto"/>
          <w:kern w:val="0"/>
          <w:szCs w:val="21"/>
          <w:highlight w:val="none"/>
        </w:rPr>
        <w:t>的投标，并向招标代理机构提交投标文件的当事人；</w:t>
      </w:r>
    </w:p>
    <w:p w14:paraId="5C8F812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）“评标委员会”是依照《中华人民共和国招标投标法》等法规组建的专门负责本次评标工作的临时性机构；</w:t>
      </w:r>
    </w:p>
    <w:p w14:paraId="5B6FEB2F">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）“中标人”指其投标被招标人接受，并与招标人签订合同的当事人；</w:t>
      </w:r>
    </w:p>
    <w:p w14:paraId="2F9132D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w:t>
      </w:r>
      <w:r>
        <w:rPr>
          <w:rFonts w:hint="eastAsia" w:ascii="宋体" w:hAnsi="宋体" w:eastAsia="宋体" w:cs="Times New Roman"/>
          <w:color w:val="auto"/>
          <w:kern w:val="0"/>
          <w:szCs w:val="21"/>
          <w:highlight w:val="none"/>
        </w:rPr>
        <w:t>）“甲方”指在合同条款中指明的购买服务的单位，即</w:t>
      </w:r>
      <w:r>
        <w:rPr>
          <w:rFonts w:hint="eastAsia" w:ascii="宋体" w:hAnsi="宋体" w:eastAsia="宋体" w:cs="Times New Roman"/>
          <w:color w:val="auto"/>
          <w:kern w:val="0"/>
          <w:szCs w:val="21"/>
          <w:highlight w:val="none"/>
          <w:lang w:eastAsia="zh-CN"/>
        </w:rPr>
        <w:t>东莞市水务集团管网有限公司（含其下属子公司）</w:t>
      </w:r>
      <w:r>
        <w:rPr>
          <w:rFonts w:hint="eastAsia" w:ascii="宋体" w:hAnsi="宋体" w:eastAsia="宋体" w:cs="Times New Roman"/>
          <w:color w:val="auto"/>
          <w:kern w:val="0"/>
          <w:szCs w:val="21"/>
          <w:highlight w:val="none"/>
        </w:rPr>
        <w:t>；</w:t>
      </w:r>
    </w:p>
    <w:p w14:paraId="2246DE1C">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7</w:t>
      </w:r>
      <w:r>
        <w:rPr>
          <w:rFonts w:hint="eastAsia" w:ascii="宋体" w:hAnsi="宋体" w:eastAsia="宋体" w:cs="Times New Roman"/>
          <w:color w:val="auto"/>
          <w:kern w:val="0"/>
          <w:szCs w:val="21"/>
          <w:highlight w:val="none"/>
        </w:rPr>
        <w:t>）“乙方”指在合同条款中指明的本合同项下提供服务的公司或实体；</w:t>
      </w:r>
    </w:p>
    <w:p w14:paraId="3435EE4C">
      <w:pPr>
        <w:autoSpaceDE w:val="0"/>
        <w:autoSpaceDN w:val="0"/>
        <w:adjustRightInd w:val="0"/>
        <w:spacing w:line="360" w:lineRule="auto"/>
        <w:ind w:left="441" w:leftChars="-60" w:hanging="567" w:hangingChars="27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（8）“招标文件”指由招标代理机构发出的本招标文件，包括全部章节和附件；</w:t>
      </w:r>
    </w:p>
    <w:p w14:paraId="1AB77903">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9</w:t>
      </w:r>
      <w:r>
        <w:rPr>
          <w:rFonts w:hint="eastAsia" w:ascii="宋体" w:hAnsi="宋体" w:eastAsia="宋体" w:cs="Times New Roman"/>
          <w:color w:val="auto"/>
          <w:kern w:val="0"/>
          <w:szCs w:val="21"/>
          <w:highlight w:val="none"/>
        </w:rPr>
        <w:t>）“投标文件”指投标人根据本招标文件向招标代理机构提交的全部文件；</w:t>
      </w:r>
    </w:p>
    <w:p w14:paraId="7DEF6E0B">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10</w:t>
      </w:r>
      <w:r>
        <w:rPr>
          <w:rFonts w:hint="eastAsia" w:ascii="宋体" w:hAnsi="宋体" w:eastAsia="宋体" w:cs="Times New Roman"/>
          <w:color w:val="auto"/>
          <w:kern w:val="0"/>
          <w:szCs w:val="21"/>
          <w:highlight w:val="none"/>
        </w:rPr>
        <w:t>）“书面函件”指手写、打字或印刷的函件，包括电传、电报和传真；</w:t>
      </w:r>
    </w:p>
    <w:p w14:paraId="4FA8F939">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11</w:t>
      </w:r>
      <w:r>
        <w:rPr>
          <w:rFonts w:hint="eastAsia" w:ascii="宋体" w:hAnsi="宋体" w:eastAsia="宋体" w:cs="Times New Roman"/>
          <w:color w:val="auto"/>
          <w:kern w:val="0"/>
          <w:szCs w:val="21"/>
          <w:highlight w:val="none"/>
        </w:rPr>
        <w:t>）“合同”指由本次招标所产生的合同或合约文件；</w:t>
      </w:r>
    </w:p>
    <w:p w14:paraId="08B4CB4B">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12</w:t>
      </w:r>
      <w:r>
        <w:rPr>
          <w:rFonts w:hint="eastAsia" w:ascii="宋体" w:hAnsi="宋体" w:eastAsia="宋体" w:cs="Times New Roman"/>
          <w:color w:val="auto"/>
          <w:kern w:val="0"/>
          <w:szCs w:val="21"/>
          <w:highlight w:val="none"/>
        </w:rPr>
        <w:t>）“日期”指公历日，“时间”指北京时间；</w:t>
      </w:r>
    </w:p>
    <w:p w14:paraId="6EF00B1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13</w:t>
      </w:r>
      <w:r>
        <w:rPr>
          <w:rFonts w:hint="eastAsia" w:ascii="宋体" w:hAnsi="宋体" w:eastAsia="宋体" w:cs="Times New Roman"/>
          <w:color w:val="auto"/>
          <w:kern w:val="0"/>
          <w:szCs w:val="21"/>
          <w:highlight w:val="none"/>
        </w:rPr>
        <w:t>）本招标文件中的“境内”特指中华人民共和国海关关境以内，“境外”特指中华人民共和国海关关境以外；</w:t>
      </w:r>
    </w:p>
    <w:p w14:paraId="353CED7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14</w:t>
      </w:r>
      <w:r>
        <w:rPr>
          <w:rFonts w:hint="eastAsia" w:ascii="宋体" w:hAnsi="宋体" w:eastAsia="宋体" w:cs="Times New Roman"/>
          <w:color w:val="auto"/>
          <w:kern w:val="0"/>
          <w:szCs w:val="21"/>
          <w:highlight w:val="none"/>
        </w:rPr>
        <w:t>）不含税价，即为《中华人民共和国增值税暂行条例》（国务院令第6</w:t>
      </w:r>
      <w:r>
        <w:rPr>
          <w:rFonts w:ascii="宋体" w:hAnsi="宋体" w:eastAsia="宋体" w:cs="Times New Roman"/>
          <w:color w:val="auto"/>
          <w:kern w:val="0"/>
          <w:szCs w:val="21"/>
          <w:highlight w:val="none"/>
        </w:rPr>
        <w:t>91</w:t>
      </w:r>
      <w:r>
        <w:rPr>
          <w:rFonts w:hint="eastAsia" w:ascii="宋体" w:hAnsi="宋体" w:eastAsia="宋体" w:cs="Times New Roman"/>
          <w:color w:val="auto"/>
          <w:kern w:val="0"/>
          <w:szCs w:val="21"/>
          <w:highlight w:val="none"/>
        </w:rPr>
        <w:t>号修订版）规定的销售额。本招标文件所称的不含税价和不含税合同价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14:paraId="7C156FCD">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14:paraId="0D30C868">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00" w:name="_Toc450662855"/>
      <w:bookmarkStart w:id="101" w:name="_Toc11346"/>
      <w:bookmarkStart w:id="102" w:name="_Toc486167669"/>
      <w:bookmarkStart w:id="103" w:name="_Toc25794"/>
      <w:bookmarkStart w:id="104" w:name="_Toc29125_WPSOffice_Level3"/>
      <w:bookmarkStart w:id="105" w:name="_Toc142508319"/>
      <w:bookmarkStart w:id="106" w:name="_Toc3727"/>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bookmarkEnd w:id="100"/>
      <w:bookmarkEnd w:id="101"/>
      <w:bookmarkEnd w:id="102"/>
      <w:bookmarkEnd w:id="103"/>
      <w:bookmarkEnd w:id="104"/>
      <w:bookmarkEnd w:id="105"/>
      <w:bookmarkEnd w:id="106"/>
    </w:p>
    <w:p w14:paraId="5E0D38B5">
      <w:pPr>
        <w:autoSpaceDE w:val="0"/>
        <w:autoSpaceDN w:val="0"/>
        <w:adjustRightInd w:val="0"/>
        <w:spacing w:line="360" w:lineRule="auto"/>
        <w:ind w:left="288" w:leftChars="137" w:firstLine="420" w:firstLineChars="200"/>
        <w:rPr>
          <w:rFonts w:ascii="宋体" w:hAnsi="宋体" w:eastAsia="宋体" w:cs="宋体"/>
          <w:bCs/>
          <w:color w:val="auto"/>
          <w:szCs w:val="21"/>
          <w:highlight w:val="none"/>
          <w:lang w:val="zh-CN"/>
        </w:rPr>
      </w:pPr>
      <w:r>
        <w:rPr>
          <w:rFonts w:hint="eastAsia" w:ascii="宋体" w:hAnsi="宋体" w:eastAsia="宋体" w:cs="Times New Roman"/>
          <w:bCs/>
          <w:color w:val="auto"/>
          <w:szCs w:val="21"/>
          <w:highlight w:val="none"/>
          <w:lang w:val="zh-CN"/>
        </w:rPr>
        <w:t>投标人或者其他利害关系人对招标文件有异议的，应当在投标截止时间10日前</w:t>
      </w:r>
      <w:r>
        <w:rPr>
          <w:rFonts w:ascii="宋体" w:hAnsi="宋体" w:eastAsia="宋体" w:cs="Times New Roman"/>
          <w:color w:val="auto"/>
          <w:szCs w:val="21"/>
          <w:highlight w:val="none"/>
          <w:lang w:val="zh-CN"/>
        </w:rPr>
        <w:t>以书面形式向</w:t>
      </w:r>
      <w:r>
        <w:rPr>
          <w:rFonts w:hint="eastAsia" w:ascii="宋体" w:hAnsi="宋体" w:eastAsia="宋体" w:cs="Times New Roman"/>
          <w:color w:val="auto"/>
          <w:szCs w:val="21"/>
          <w:highlight w:val="none"/>
          <w:lang w:val="zh-CN"/>
        </w:rPr>
        <w:t>招标代理机构</w:t>
      </w:r>
      <w:r>
        <w:rPr>
          <w:rFonts w:ascii="宋体" w:hAnsi="宋体" w:eastAsia="宋体" w:cs="Times New Roman"/>
          <w:color w:val="auto"/>
          <w:szCs w:val="21"/>
          <w:highlight w:val="none"/>
          <w:lang w:val="zh-CN"/>
        </w:rPr>
        <w:t>提出</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w:t>
      </w:r>
      <w:r>
        <w:rPr>
          <w:rFonts w:ascii="宋体" w:hAnsi="宋体" w:eastAsia="宋体" w:cs="Times New Roman"/>
          <w:color w:val="auto"/>
          <w:szCs w:val="21"/>
          <w:highlight w:val="none"/>
          <w:lang w:val="zh-CN"/>
        </w:rPr>
        <w:t>招标文件所有内容</w:t>
      </w:r>
      <w:r>
        <w:rPr>
          <w:rFonts w:hint="eastAsia" w:ascii="宋体" w:hAnsi="宋体" w:eastAsia="宋体" w:cs="Times New Roman"/>
          <w:color w:val="auto"/>
          <w:szCs w:val="21"/>
          <w:highlight w:val="none"/>
          <w:lang w:val="zh-CN"/>
        </w:rPr>
        <w:t>无异议</w:t>
      </w:r>
      <w:r>
        <w:rPr>
          <w:rFonts w:ascii="宋体" w:hAnsi="宋体" w:eastAsia="宋体" w:cs="Times New Roman"/>
          <w:color w:val="auto"/>
          <w:szCs w:val="21"/>
          <w:highlight w:val="none"/>
          <w:lang w:val="zh-CN"/>
        </w:rPr>
        <w:t>。</w:t>
      </w:r>
      <w:r>
        <w:rPr>
          <w:rFonts w:hint="eastAsia" w:ascii="宋体" w:hAnsi="宋体" w:eastAsia="宋体" w:cs="Times New Roman"/>
          <w:bCs/>
          <w:color w:val="auto"/>
          <w:szCs w:val="21"/>
          <w:highlight w:val="none"/>
          <w:lang w:val="zh-CN"/>
        </w:rPr>
        <w:t>异议</w:t>
      </w:r>
      <w:r>
        <w:rPr>
          <w:rFonts w:hint="eastAsia" w:ascii="宋体" w:hAnsi="宋体" w:eastAsia="宋体" w:cs="Times New Roman"/>
          <w:color w:val="auto"/>
          <w:szCs w:val="21"/>
          <w:highlight w:val="none"/>
          <w:lang w:val="zh-CN"/>
        </w:rPr>
        <w:t>书面材料必须</w:t>
      </w:r>
      <w:r>
        <w:rPr>
          <w:rFonts w:ascii="宋体" w:hAnsi="宋体" w:eastAsia="宋体" w:cs="Times New Roman"/>
          <w:color w:val="auto"/>
          <w:szCs w:val="21"/>
          <w:highlight w:val="none"/>
          <w:lang w:val="zh-CN"/>
        </w:rPr>
        <w:t>加盖投标人</w:t>
      </w:r>
      <w:r>
        <w:rPr>
          <w:rFonts w:hint="eastAsia" w:ascii="宋体" w:hAnsi="宋体" w:eastAsia="宋体" w:cs="Times New Roman"/>
          <w:color w:val="auto"/>
          <w:szCs w:val="21"/>
          <w:highlight w:val="none"/>
          <w:lang w:val="zh-CN"/>
        </w:rPr>
        <w:t>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w:t>
      </w:r>
      <w:r>
        <w:rPr>
          <w:rFonts w:hint="eastAsia" w:ascii="宋体" w:hAnsi="宋体" w:eastAsia="宋体" w:cs="Times New Roman"/>
          <w:bCs/>
          <w:color w:val="auto"/>
          <w:szCs w:val="21"/>
          <w:highlight w:val="none"/>
          <w:lang w:val="zh-CN"/>
        </w:rPr>
        <w:t>超出</w:t>
      </w:r>
      <w:r>
        <w:rPr>
          <w:rFonts w:hint="eastAsia" w:ascii="宋体" w:hAnsi="宋体" w:eastAsia="宋体" w:cs="Times New Roman"/>
          <w:color w:val="auto"/>
          <w:szCs w:val="21"/>
          <w:highlight w:val="none"/>
          <w:lang w:val="zh-CN"/>
        </w:rPr>
        <w:t>提交接收异议截止时间而</w:t>
      </w:r>
      <w:r>
        <w:rPr>
          <w:rFonts w:hint="eastAsia" w:ascii="宋体" w:hAnsi="宋体" w:eastAsia="宋体" w:cs="Times New Roman"/>
          <w:bCs/>
          <w:color w:val="auto"/>
          <w:szCs w:val="21"/>
          <w:highlight w:val="none"/>
          <w:lang w:val="zh-CN"/>
        </w:rPr>
        <w:t>提出的任何疑问，招标代理机构可不予答复。</w:t>
      </w:r>
      <w:r>
        <w:rPr>
          <w:rFonts w:hint="eastAsia" w:ascii="宋体" w:hAnsi="宋体" w:eastAsia="宋体" w:cs="Times New Roman"/>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14:paraId="41BAD249">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14:paraId="09839DEF">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07" w:name="_Toc29864"/>
      <w:bookmarkStart w:id="108" w:name="_Toc486167670"/>
      <w:bookmarkStart w:id="109" w:name="_Toc31640"/>
      <w:bookmarkStart w:id="110" w:name="_Toc142508320"/>
      <w:bookmarkStart w:id="111" w:name="_Toc450662856"/>
      <w:bookmarkStart w:id="112" w:name="_Toc23483_WPSOffice_Level3"/>
      <w:bookmarkStart w:id="113" w:name="_Toc17145"/>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bookmarkEnd w:id="107"/>
      <w:bookmarkEnd w:id="108"/>
      <w:bookmarkEnd w:id="109"/>
      <w:bookmarkEnd w:id="110"/>
      <w:bookmarkEnd w:id="111"/>
      <w:bookmarkEnd w:id="112"/>
      <w:bookmarkEnd w:id="113"/>
    </w:p>
    <w:p w14:paraId="73C0E748">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日前，在招标信息发布媒介上发布更正公告，请各投标人密切留意。该澄清或者修改的内容为招标文件的组成部分。</w:t>
      </w:r>
    </w:p>
    <w:p w14:paraId="15CF6D8B">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14:paraId="57DD4DD7">
      <w:pPr>
        <w:autoSpaceDE w:val="0"/>
        <w:autoSpaceDN w:val="0"/>
        <w:adjustRightInd w:val="0"/>
        <w:spacing w:line="360" w:lineRule="auto"/>
        <w:ind w:left="357" w:leftChars="-100" w:hanging="567"/>
        <w:rPr>
          <w:rFonts w:ascii="宋体" w:hAnsi="宋体" w:eastAsia="宋体" w:cs="宋体"/>
          <w:color w:val="auto"/>
          <w:szCs w:val="21"/>
          <w:highlight w:val="yellow"/>
          <w:lang w:val="zh-CN"/>
        </w:rPr>
      </w:pPr>
      <w:r>
        <w:rPr>
          <w:rFonts w:hint="eastAsia" w:ascii="宋体" w:hAnsi="宋体" w:eastAsia="宋体" w:cs="宋体"/>
          <w:color w:val="auto"/>
          <w:szCs w:val="21"/>
          <w:highlight w:val="none"/>
          <w:lang w:val="zh-CN"/>
        </w:rPr>
        <w:t>7.3  招标文件的修改、补充通知在</w:t>
      </w:r>
      <w:r>
        <w:rPr>
          <w:rFonts w:ascii="宋体" w:hAnsi="宋体" w:eastAsia="宋体" w:cs="Times New Roman"/>
          <w:color w:val="auto"/>
          <w:szCs w:val="21"/>
          <w:highlight w:val="none"/>
          <w:lang w:val="zh-CN"/>
        </w:rPr>
        <w:t>中国招标投标公共服务平台</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"http://www.cebpubservice.com）、广东省招标投标监管" </w:instrText>
      </w:r>
      <w:r>
        <w:rPr>
          <w:color w:val="auto"/>
          <w:highlight w:val="none"/>
        </w:rPr>
        <w:fldChar w:fldCharType="separate"/>
      </w:r>
      <w:r>
        <w:rPr>
          <w:rFonts w:ascii="宋体" w:hAnsi="宋体" w:eastAsia="宋体" w:cs="Times New Roman"/>
          <w:color w:val="auto"/>
          <w:szCs w:val="21"/>
          <w:highlight w:val="none"/>
        </w:rPr>
        <w:t>www.cebpubservice.com）</w:t>
      </w:r>
      <w:r>
        <w:rPr>
          <w:rFonts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fldChar w:fldCharType="end"/>
      </w:r>
      <w:r>
        <w:rPr>
          <w:rFonts w:ascii="宋体" w:hAnsi="宋体" w:eastAsia="宋体" w:cs="Times New Roman"/>
          <w:color w:val="auto"/>
          <w:szCs w:val="21"/>
          <w:highlight w:val="none"/>
          <w:lang w:val="zh-CN"/>
        </w:rPr>
        <w:t>东莞市水务集团有限公司网</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"www.dgswjt.cn）、招标代理公司网站（http://%20%20%20%20%20%20%20%20%20%20%20%20%20%20）" </w:instrText>
      </w:r>
      <w:r>
        <w:rPr>
          <w:color w:val="auto"/>
          <w:highlight w:val="none"/>
        </w:rPr>
        <w:fldChar w:fldCharType="separate"/>
      </w:r>
      <w:r>
        <w:rPr>
          <w:rStyle w:val="43"/>
          <w:rFonts w:ascii="宋体" w:hAnsi="宋体" w:eastAsia="宋体" w:cs="Times New Roman"/>
          <w:color w:val="auto"/>
          <w:sz w:val="21"/>
          <w:szCs w:val="21"/>
          <w:highlight w:val="none"/>
        </w:rPr>
        <w:t>www.dgswjt.cn）</w:t>
      </w:r>
      <w:r>
        <w:rPr>
          <w:rStyle w:val="43"/>
          <w:rFonts w:ascii="宋体" w:hAnsi="宋体" w:eastAsia="宋体" w:cs="Times New Roman"/>
          <w:color w:val="auto"/>
          <w:sz w:val="21"/>
          <w:szCs w:val="21"/>
          <w:highlight w:val="none"/>
          <w:lang w:val="zh-CN"/>
        </w:rPr>
        <w:t>、</w:t>
      </w:r>
      <w:r>
        <w:rPr>
          <w:rStyle w:val="43"/>
          <w:rFonts w:hint="eastAsia" w:ascii="宋体" w:hAnsi="宋体" w:eastAsia="宋体" w:cs="Times New Roman"/>
          <w:bCs/>
          <w:color w:val="auto"/>
          <w:kern w:val="0"/>
          <w:sz w:val="21"/>
          <w:szCs w:val="21"/>
          <w:highlight w:val="none"/>
        </w:rPr>
        <w:t>招标代理</w:t>
      </w:r>
      <w:r>
        <w:rPr>
          <w:rStyle w:val="43"/>
          <w:rFonts w:hint="eastAsia" w:ascii="宋体" w:hAnsi="宋体" w:eastAsia="宋体" w:cs="Times New Roman"/>
          <w:bCs/>
          <w:color w:val="auto"/>
          <w:kern w:val="0"/>
          <w:sz w:val="21"/>
          <w:szCs w:val="21"/>
          <w:highlight w:val="none"/>
          <w:lang w:val="en-US" w:eastAsia="zh-CN"/>
        </w:rPr>
        <w:t>机构</w:t>
      </w:r>
      <w:r>
        <w:rPr>
          <w:rStyle w:val="43"/>
          <w:rFonts w:hint="eastAsia" w:ascii="宋体" w:hAnsi="宋体" w:eastAsia="宋体" w:cs="Times New Roman"/>
          <w:bCs/>
          <w:color w:val="auto"/>
          <w:kern w:val="0"/>
          <w:sz w:val="21"/>
          <w:szCs w:val="21"/>
          <w:highlight w:val="none"/>
        </w:rPr>
        <w:t>网站（</w:t>
      </w:r>
      <w:r>
        <w:rPr>
          <w:rFonts w:hint="eastAsia" w:ascii="宋体" w:hAnsi="宋体" w:eastAsia="宋体" w:cs="宋体"/>
          <w:color w:val="auto"/>
          <w:szCs w:val="21"/>
          <w:highlight w:val="none"/>
          <w:lang w:val="zh-CN"/>
        </w:rPr>
        <w:t>www.youde.net</w:t>
      </w:r>
      <w:r>
        <w:rPr>
          <w:rStyle w:val="43"/>
          <w:rFonts w:ascii="宋体" w:hAnsi="宋体" w:eastAsia="宋体" w:cs="Times New Roman"/>
          <w:bCs/>
          <w:color w:val="auto"/>
          <w:kern w:val="0"/>
          <w:sz w:val="21"/>
          <w:szCs w:val="21"/>
          <w:highlight w:val="none"/>
        </w:rPr>
        <w:t>）</w:t>
      </w:r>
      <w:r>
        <w:rPr>
          <w:rStyle w:val="43"/>
          <w:rFonts w:ascii="宋体" w:hAnsi="宋体" w:eastAsia="宋体" w:cs="Times New Roman"/>
          <w:bCs/>
          <w:color w:val="auto"/>
          <w:kern w:val="0"/>
          <w:sz w:val="21"/>
          <w:szCs w:val="21"/>
          <w:highlight w:val="none"/>
        </w:rPr>
        <w:fldChar w:fldCharType="end"/>
      </w:r>
      <w:r>
        <w:rPr>
          <w:rFonts w:hint="eastAsia" w:ascii="宋体" w:hAnsi="宋体" w:eastAsia="宋体" w:cs="宋体"/>
          <w:color w:val="auto"/>
          <w:szCs w:val="21"/>
          <w:highlight w:val="none"/>
          <w:lang w:val="zh-CN"/>
        </w:rPr>
        <w:t>公布，请各投标人密切留意。</w:t>
      </w:r>
    </w:p>
    <w:p w14:paraId="0A2D8349">
      <w:pPr>
        <w:autoSpaceDE w:val="0"/>
        <w:autoSpaceDN w:val="0"/>
        <w:adjustRightInd w:val="0"/>
        <w:spacing w:line="360" w:lineRule="auto"/>
        <w:ind w:left="357" w:leftChars="-100" w:hanging="567"/>
        <w:rPr>
          <w:rFonts w:ascii="宋体" w:hAnsi="宋体" w:eastAsia="宋体" w:cs="宋体"/>
          <w:color w:val="auto"/>
          <w:szCs w:val="21"/>
          <w:highlight w:val="none"/>
        </w:rPr>
      </w:pPr>
    </w:p>
    <w:p w14:paraId="16D6A078">
      <w:pPr>
        <w:keepNext/>
        <w:keepLines/>
        <w:tabs>
          <w:tab w:val="left" w:pos="509"/>
        </w:tabs>
        <w:autoSpaceDE w:val="0"/>
        <w:autoSpaceDN w:val="0"/>
        <w:adjustRightInd w:val="0"/>
        <w:spacing w:line="360" w:lineRule="auto"/>
        <w:jc w:val="left"/>
        <w:outlineLvl w:val="1"/>
        <w:rPr>
          <w:rFonts w:ascii="宋体" w:hAnsi="宋体" w:eastAsia="宋体" w:cs="宋体"/>
          <w:b/>
          <w:bCs/>
          <w:color w:val="auto"/>
          <w:kern w:val="44"/>
          <w:szCs w:val="21"/>
          <w:highlight w:val="none"/>
          <w:lang w:val="zh-CN"/>
        </w:rPr>
      </w:pPr>
      <w:bookmarkStart w:id="114" w:name="_Toc23342"/>
      <w:bookmarkStart w:id="115" w:name="_Toc450662857"/>
      <w:bookmarkStart w:id="116" w:name="_Toc142508321"/>
      <w:bookmarkStart w:id="117" w:name="_Toc140596880"/>
      <w:bookmarkStart w:id="118" w:name="_Toc8711"/>
      <w:bookmarkStart w:id="119" w:name="_Toc29659_WPSOffice_Level2"/>
      <w:bookmarkStart w:id="120" w:name="_Toc486167671"/>
      <w:bookmarkStart w:id="121" w:name="_Toc2452"/>
      <w:r>
        <w:rPr>
          <w:rFonts w:hint="eastAsia" w:ascii="宋体" w:hAnsi="宋体" w:eastAsia="宋体" w:cs="宋体"/>
          <w:b/>
          <w:bCs/>
          <w:color w:val="auto"/>
          <w:kern w:val="44"/>
          <w:szCs w:val="21"/>
          <w:highlight w:val="none"/>
          <w:lang w:val="zh-CN"/>
        </w:rPr>
        <w:t>三、投标文件的编制</w:t>
      </w:r>
      <w:bookmarkEnd w:id="114"/>
      <w:bookmarkEnd w:id="115"/>
      <w:bookmarkEnd w:id="116"/>
      <w:bookmarkEnd w:id="117"/>
      <w:bookmarkEnd w:id="118"/>
      <w:bookmarkEnd w:id="119"/>
      <w:bookmarkEnd w:id="120"/>
      <w:bookmarkEnd w:id="121"/>
    </w:p>
    <w:p w14:paraId="1BA7B2DF">
      <w:pPr>
        <w:tabs>
          <w:tab w:val="left" w:pos="67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22" w:name="_Toc450662858"/>
      <w:bookmarkStart w:id="123" w:name="_Toc486167672"/>
      <w:bookmarkStart w:id="124" w:name="_Toc6244"/>
      <w:bookmarkStart w:id="125" w:name="_Toc10015_WPSOffice_Level3"/>
      <w:bookmarkStart w:id="126" w:name="_Toc31162"/>
      <w:bookmarkStart w:id="127" w:name="_Toc9880"/>
      <w:bookmarkStart w:id="128" w:name="_Toc142508322"/>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bookmarkEnd w:id="122"/>
      <w:bookmarkEnd w:id="123"/>
      <w:bookmarkEnd w:id="124"/>
      <w:bookmarkEnd w:id="125"/>
      <w:bookmarkEnd w:id="126"/>
      <w:bookmarkEnd w:id="127"/>
      <w:bookmarkEnd w:id="128"/>
    </w:p>
    <w:p w14:paraId="1EFD16BA">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14:paraId="4A85DC93">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14:paraId="547B9F5A">
      <w:pPr>
        <w:autoSpaceDE w:val="0"/>
        <w:autoSpaceDN w:val="0"/>
        <w:adjustRightInd w:val="0"/>
        <w:spacing w:line="360" w:lineRule="auto"/>
        <w:rPr>
          <w:rFonts w:ascii="宋体" w:hAnsi="宋体" w:eastAsia="宋体" w:cs="宋体"/>
          <w:color w:val="auto"/>
          <w:szCs w:val="21"/>
          <w:highlight w:val="none"/>
          <w:lang w:val="zh-CN"/>
        </w:rPr>
      </w:pPr>
    </w:p>
    <w:p w14:paraId="243FC7C1">
      <w:pPr>
        <w:tabs>
          <w:tab w:val="left" w:pos="540"/>
        </w:tabs>
        <w:autoSpaceDE w:val="0"/>
        <w:autoSpaceDN w:val="0"/>
        <w:adjustRightInd w:val="0"/>
        <w:spacing w:line="360" w:lineRule="auto"/>
        <w:ind w:left="357" w:leftChars="-100" w:hanging="567"/>
        <w:jc w:val="left"/>
        <w:outlineLvl w:val="0"/>
        <w:rPr>
          <w:rFonts w:ascii="宋体" w:hAnsi="宋体" w:eastAsia="宋体" w:cs="宋体"/>
          <w:color w:val="auto"/>
          <w:sz w:val="24"/>
          <w:szCs w:val="24"/>
          <w:highlight w:val="none"/>
          <w:lang w:val="zh-CN"/>
        </w:rPr>
      </w:pPr>
      <w:bookmarkStart w:id="129" w:name="_Toc450662859"/>
      <w:bookmarkStart w:id="130" w:name="_Toc486167673"/>
      <w:bookmarkStart w:id="131" w:name="_Toc24916_WPSOffice_Level3"/>
      <w:bookmarkStart w:id="132" w:name="_Toc142508323"/>
      <w:bookmarkStart w:id="133" w:name="_Toc7348"/>
      <w:bookmarkStart w:id="134" w:name="_Toc32594"/>
      <w:bookmarkStart w:id="135" w:name="_Toc14943"/>
      <w:r>
        <w:rPr>
          <w:rFonts w:hint="eastAsia" w:ascii="宋体" w:hAnsi="宋体" w:eastAsia="宋体" w:cs="宋体"/>
          <w:color w:val="auto"/>
          <w:szCs w:val="21"/>
          <w:highlight w:val="none"/>
          <w:lang w:val="zh-CN"/>
        </w:rPr>
        <w:t>9</w:t>
      </w:r>
      <w:r>
        <w:rPr>
          <w:rFonts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29"/>
      <w:bookmarkEnd w:id="130"/>
      <w:bookmarkEnd w:id="131"/>
      <w:bookmarkEnd w:id="132"/>
      <w:bookmarkEnd w:id="133"/>
      <w:bookmarkEnd w:id="134"/>
      <w:bookmarkEnd w:id="135"/>
    </w:p>
    <w:p w14:paraId="728FD047">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Times New Roman"/>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Times New Roman"/>
          <w:b/>
          <w:color w:val="auto"/>
          <w:kern w:val="0"/>
          <w:szCs w:val="21"/>
          <w:highlight w:val="none"/>
        </w:rPr>
        <w:t>。</w:t>
      </w:r>
    </w:p>
    <w:p w14:paraId="089BE49D">
      <w:pPr>
        <w:autoSpaceDE w:val="0"/>
        <w:autoSpaceDN w:val="0"/>
        <w:adjustRightInd w:val="0"/>
        <w:spacing w:line="360" w:lineRule="auto"/>
        <w:ind w:left="422" w:leftChars="-100" w:hanging="632" w:hangingChars="300"/>
        <w:outlineLvl w:val="1"/>
        <w:rPr>
          <w:rFonts w:ascii="宋体" w:hAnsi="宋体" w:eastAsia="宋体" w:cs="Times New Roman"/>
          <w:b/>
          <w:color w:val="auto"/>
          <w:kern w:val="0"/>
          <w:szCs w:val="21"/>
          <w:highlight w:val="none"/>
        </w:rPr>
      </w:pPr>
      <w:bookmarkStart w:id="136" w:name="_Toc6089"/>
      <w:r>
        <w:rPr>
          <w:rFonts w:hint="eastAsia" w:ascii="宋体" w:hAnsi="宋体" w:eastAsia="宋体" w:cs="宋体"/>
          <w:b/>
          <w:color w:val="auto"/>
          <w:kern w:val="0"/>
          <w:szCs w:val="24"/>
          <w:highlight w:val="none"/>
        </w:rPr>
        <w:t>9.1.1 商务文件：</w:t>
      </w:r>
      <w:bookmarkEnd w:id="136"/>
    </w:p>
    <w:p w14:paraId="1473A0FA">
      <w:pPr>
        <w:autoSpaceDE w:val="0"/>
        <w:autoSpaceDN w:val="0"/>
        <w:adjustRightInd w:val="0"/>
        <w:spacing w:line="360" w:lineRule="auto"/>
        <w:jc w:val="left"/>
        <w:rPr>
          <w:rFonts w:ascii="宋体" w:hAnsi="宋体" w:eastAsia="宋体" w:cs="Times New Roman"/>
          <w:b/>
          <w:color w:val="auto"/>
          <w:kern w:val="0"/>
          <w:szCs w:val="21"/>
          <w:highlight w:val="none"/>
          <w:lang w:val="zh-CN"/>
        </w:rPr>
      </w:pPr>
      <w:r>
        <w:rPr>
          <w:rFonts w:hint="eastAsia" w:ascii="宋体" w:hAnsi="宋体" w:eastAsia="宋体" w:cs="Times New Roman"/>
          <w:color w:val="auto"/>
          <w:kern w:val="0"/>
          <w:sz w:val="24"/>
          <w:szCs w:val="24"/>
          <w:highlight w:val="none"/>
          <w:lang w:val="zh-CN"/>
        </w:rPr>
        <w:t xml:space="preserve">  </w:t>
      </w:r>
      <w:r>
        <w:rPr>
          <w:rFonts w:ascii="宋体" w:hAnsi="宋体" w:eastAsia="宋体" w:cs="Times New Roman"/>
          <w:color w:val="auto"/>
          <w:kern w:val="0"/>
          <w:sz w:val="24"/>
          <w:szCs w:val="24"/>
          <w:highlight w:val="none"/>
          <w:lang w:val="zh-CN"/>
        </w:rPr>
        <w:t xml:space="preserve"> </w:t>
      </w:r>
      <w:r>
        <w:rPr>
          <w:rFonts w:hint="eastAsia" w:ascii="宋体" w:hAnsi="宋体" w:eastAsia="宋体" w:cs="Times New Roman"/>
          <w:b/>
          <w:color w:val="auto"/>
          <w:kern w:val="0"/>
          <w:szCs w:val="21"/>
          <w:highlight w:val="none"/>
          <w:lang w:val="zh-CN"/>
        </w:rPr>
        <w:t>目录：</w:t>
      </w:r>
    </w:p>
    <w:p w14:paraId="77A9398F">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14:paraId="7504D353">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14:paraId="47BDD036">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）供货及/或提供服务过程承诺函；</w:t>
      </w:r>
    </w:p>
    <w:p w14:paraId="0328D9AD">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）投标报价表(含投标报价表</w:t>
      </w:r>
      <w:r>
        <w:rPr>
          <w:rFonts w:ascii="宋体" w:hAnsi="宋体" w:eastAsia="宋体" w:cs="宋体"/>
          <w:color w:val="auto"/>
          <w:szCs w:val="21"/>
          <w:highlight w:val="none"/>
          <w:lang w:val="zh-CN"/>
        </w:rPr>
        <w:t>和分项</w:t>
      </w:r>
      <w:r>
        <w:rPr>
          <w:rFonts w:hint="eastAsia" w:ascii="宋体" w:hAnsi="宋体" w:eastAsia="宋体" w:cs="宋体"/>
          <w:color w:val="auto"/>
          <w:szCs w:val="21"/>
          <w:highlight w:val="none"/>
          <w:lang w:val="zh-CN"/>
        </w:rPr>
        <w:t>报价</w:t>
      </w:r>
      <w:r>
        <w:rPr>
          <w:rFonts w:ascii="宋体" w:hAnsi="宋体" w:eastAsia="宋体" w:cs="宋体"/>
          <w:color w:val="auto"/>
          <w:szCs w:val="21"/>
          <w:highlight w:val="none"/>
          <w:lang w:val="zh-CN"/>
        </w:rPr>
        <w:t>表</w:t>
      </w:r>
      <w:r>
        <w:rPr>
          <w:rFonts w:hint="eastAsia" w:ascii="宋体" w:hAnsi="宋体" w:eastAsia="宋体" w:cs="宋体"/>
          <w:color w:val="auto"/>
          <w:szCs w:val="21"/>
          <w:highlight w:val="none"/>
          <w:lang w:val="zh-CN"/>
        </w:rPr>
        <w:t>)；</w:t>
      </w:r>
    </w:p>
    <w:p w14:paraId="5C64CB05">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）投标人资格证明文件：</w:t>
      </w:r>
    </w:p>
    <w:p w14:paraId="40B12A29">
      <w:pPr>
        <w:autoSpaceDE w:val="0"/>
        <w:autoSpaceDN w:val="0"/>
        <w:adjustRightInd w:val="0"/>
        <w:spacing w:line="360" w:lineRule="auto"/>
        <w:ind w:left="283" w:hanging="283" w:hangingChars="135"/>
        <w:outlineLvl w:val="2"/>
        <w:rPr>
          <w:rFonts w:ascii="宋体" w:hAnsi="宋体" w:eastAsia="宋体" w:cs="Times New Roman"/>
          <w:color w:val="auto"/>
          <w:szCs w:val="21"/>
          <w:highlight w:val="none"/>
          <w:lang w:val="zh-CN"/>
        </w:rPr>
      </w:pPr>
      <w:bookmarkStart w:id="137" w:name="_Toc4261"/>
      <w:r>
        <w:rPr>
          <w:rFonts w:ascii="宋体" w:hAnsi="宋体" w:eastAsia="宋体" w:cs="Times New Roman"/>
          <w:color w:val="auto"/>
          <w:szCs w:val="21"/>
          <w:highlight w:val="none"/>
          <w:lang w:val="zh-CN"/>
        </w:rPr>
        <w:t>1）多证合一营业执照</w:t>
      </w:r>
      <w:r>
        <w:rPr>
          <w:rFonts w:hint="eastAsia" w:ascii="宋体" w:hAnsi="宋体" w:eastAsia="宋体" w:cs="Times New Roman"/>
          <w:color w:val="auto"/>
          <w:kern w:val="0"/>
          <w:szCs w:val="21"/>
          <w:highlight w:val="none"/>
        </w:rPr>
        <w:t>（或事业单位法人证书）</w:t>
      </w:r>
      <w:r>
        <w:rPr>
          <w:rFonts w:ascii="宋体" w:hAnsi="宋体" w:eastAsia="宋体" w:cs="Times New Roman"/>
          <w:color w:val="auto"/>
          <w:szCs w:val="21"/>
          <w:highlight w:val="none"/>
          <w:lang w:val="zh-CN"/>
        </w:rPr>
        <w:t>复印件；</w:t>
      </w:r>
      <w:bookmarkEnd w:id="137"/>
    </w:p>
    <w:p w14:paraId="07FD9B98">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开户许可证（基本存款账户）复印件</w:t>
      </w:r>
      <w:r>
        <w:rPr>
          <w:rFonts w:hint="eastAsia" w:ascii="宋体" w:hAnsi="宋体" w:eastAsia="宋体" w:cs="Times New Roman"/>
          <w:color w:val="auto"/>
          <w:szCs w:val="21"/>
          <w:highlight w:val="none"/>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auto"/>
          <w:szCs w:val="21"/>
          <w:highlight w:val="none"/>
          <w:lang w:val="zh-CN"/>
        </w:rPr>
        <w:t>；</w:t>
      </w:r>
    </w:p>
    <w:p w14:paraId="435DD2C7">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lang w:val="zh-CN"/>
        </w:rPr>
        <w:t>）法定代表人身份证明书和法定代表人授权书原件（法定代表人投标时只提供法定代表人身份证明书，委托</w:t>
      </w:r>
      <w:r>
        <w:rPr>
          <w:rFonts w:ascii="宋体" w:hAnsi="宋体" w:eastAsia="宋体" w:cs="Times New Roman"/>
          <w:color w:val="auto"/>
          <w:szCs w:val="21"/>
          <w:highlight w:val="none"/>
        </w:rPr>
        <w:t>他人</w:t>
      </w:r>
      <w:r>
        <w:rPr>
          <w:rFonts w:ascii="宋体" w:hAnsi="宋体" w:eastAsia="宋体" w:cs="Times New Roman"/>
          <w:color w:val="auto"/>
          <w:szCs w:val="21"/>
          <w:highlight w:val="none"/>
          <w:lang w:val="zh-CN"/>
        </w:rPr>
        <w:t>为投标代表时同时提供法定代表人授权书）；</w:t>
      </w:r>
    </w:p>
    <w:p w14:paraId="1D69C0FF">
      <w:pPr>
        <w:tabs>
          <w:tab w:val="left" w:pos="1276"/>
        </w:tabs>
        <w:spacing w:line="360" w:lineRule="auto"/>
        <w:ind w:left="283" w:hanging="283" w:hangingChars="135"/>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w:t>
      </w:r>
      <w:r>
        <w:rPr>
          <w:rFonts w:ascii="宋体" w:hAnsi="宋体" w:eastAsia="宋体" w:cs="Times New Roman"/>
          <w:color w:val="auto"/>
          <w:szCs w:val="21"/>
          <w:highlight w:val="none"/>
          <w:lang w:val="zh-CN"/>
        </w:rPr>
        <w:t>）</w:t>
      </w:r>
      <w:r>
        <w:rPr>
          <w:rFonts w:hint="eastAsia" w:ascii="宋体" w:hAnsi="宋体" w:eastAsia="宋体" w:cs="宋体"/>
          <w:color w:val="auto"/>
          <w:szCs w:val="21"/>
          <w:lang w:val="zh-CN"/>
        </w:rPr>
        <w:t>保安服务许可证复印件（非广东省内注册的投标人在东莞市从事保安服务的还应提供东莞市公安局出具的保安从业单位备案回执单复印件）；</w:t>
      </w:r>
    </w:p>
    <w:p w14:paraId="374891B7">
      <w:pPr>
        <w:tabs>
          <w:tab w:val="left" w:pos="1276"/>
        </w:tabs>
        <w:spacing w:line="360" w:lineRule="auto"/>
        <w:ind w:left="283" w:hanging="283" w:hangingChars="135"/>
        <w:rPr>
          <w:rFonts w:hint="eastAsia" w:ascii="宋体" w:hAnsi="宋体" w:eastAsia="宋体" w:cs="宋体"/>
          <w:color w:val="auto"/>
          <w:szCs w:val="21"/>
          <w:highlight w:val="none"/>
          <w:lang w:eastAsia="zh-CN"/>
        </w:rPr>
      </w:pPr>
      <w:r>
        <w:rPr>
          <w:rFonts w:hint="eastAsia" w:ascii="宋体" w:hAnsi="宋体" w:eastAsia="宋体" w:cs="Times New Roman"/>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olor w:val="auto"/>
          <w:szCs w:val="21"/>
          <w:highlight w:val="none"/>
        </w:rPr>
        <w:t>资格业绩【</w:t>
      </w:r>
      <w:r>
        <w:rPr>
          <w:rFonts w:hint="eastAsia" w:ascii="宋体" w:hAnsi="宋体" w:eastAsia="宋体" w:cs="宋体"/>
          <w:color w:val="auto"/>
          <w:szCs w:val="21"/>
          <w:lang w:val="zh-CN"/>
        </w:rPr>
        <w:t>投标人202</w:t>
      </w:r>
      <w:r>
        <w:rPr>
          <w:rFonts w:hint="eastAsia" w:ascii="宋体" w:hAnsi="宋体" w:eastAsia="宋体" w:cs="宋体"/>
          <w:color w:val="auto"/>
          <w:szCs w:val="21"/>
          <w:lang w:val="en-US" w:eastAsia="zh-CN"/>
        </w:rPr>
        <w:t>2</w:t>
      </w:r>
      <w:r>
        <w:rPr>
          <w:rFonts w:hint="eastAsia" w:ascii="宋体" w:hAnsi="宋体" w:eastAsia="宋体" w:cs="宋体"/>
          <w:color w:val="auto"/>
          <w:szCs w:val="21"/>
          <w:lang w:val="zh-CN"/>
        </w:rPr>
        <w:t>年1月1日以来具有一份</w:t>
      </w:r>
      <w:r>
        <w:rPr>
          <w:rFonts w:hint="eastAsia" w:ascii="宋体" w:hAnsi="宋体" w:eastAsia="宋体" w:cs="宋体"/>
          <w:color w:val="auto"/>
          <w:szCs w:val="21"/>
          <w:lang w:val="zh-CN" w:eastAsia="zh-CN"/>
        </w:rPr>
        <w:t>已完成的</w:t>
      </w:r>
      <w:r>
        <w:rPr>
          <w:rFonts w:hint="eastAsia" w:ascii="宋体" w:hAnsi="宋体" w:eastAsia="宋体" w:cs="宋体"/>
          <w:color w:val="auto"/>
          <w:szCs w:val="21"/>
          <w:lang w:val="zh-CN"/>
        </w:rPr>
        <w:t>保安服务项目业绩（合同签订日期为202</w:t>
      </w:r>
      <w:r>
        <w:rPr>
          <w:rFonts w:hint="eastAsia" w:ascii="宋体" w:hAnsi="宋体" w:eastAsia="宋体" w:cs="宋体"/>
          <w:color w:val="auto"/>
          <w:szCs w:val="21"/>
          <w:lang w:val="en-US" w:eastAsia="zh-CN"/>
        </w:rPr>
        <w:t>2</w:t>
      </w:r>
      <w:r>
        <w:rPr>
          <w:rFonts w:hint="eastAsia" w:ascii="宋体" w:hAnsi="宋体" w:eastAsia="宋体" w:cs="宋体"/>
          <w:color w:val="auto"/>
          <w:szCs w:val="21"/>
          <w:lang w:val="zh-CN"/>
        </w:rPr>
        <w:t>年1月1日或以后），资格业绩证明材料提交要求详见招标文件第六篇投标文件格式5.5</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w:t>
      </w:r>
    </w:p>
    <w:p w14:paraId="0F2C1FA3">
      <w:pPr>
        <w:autoSpaceDE w:val="0"/>
        <w:autoSpaceDN w:val="0"/>
        <w:adjustRightInd w:val="0"/>
        <w:spacing w:line="360" w:lineRule="auto"/>
        <w:ind w:left="913" w:hanging="913" w:hangingChars="435"/>
        <w:outlineLvl w:val="2"/>
        <w:rPr>
          <w:rFonts w:hint="eastAsia" w:ascii="宋体" w:hAnsi="宋体" w:eastAsia="宋体" w:cs="宋体"/>
          <w:color w:val="auto"/>
          <w:szCs w:val="21"/>
          <w:highlight w:val="none"/>
          <w:lang w:val="zh-CN"/>
        </w:rPr>
      </w:pPr>
      <w:bookmarkStart w:id="138" w:name="_Toc8379"/>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bookmarkEnd w:id="138"/>
    </w:p>
    <w:p w14:paraId="558AC93E">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）投标人基本情况一览表；</w:t>
      </w:r>
    </w:p>
    <w:p w14:paraId="70F55946">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）投标人财务状况表；</w:t>
      </w:r>
    </w:p>
    <w:p w14:paraId="001458BC">
      <w:pPr>
        <w:tabs>
          <w:tab w:val="left" w:pos="567"/>
        </w:tabs>
        <w:autoSpaceDE w:val="0"/>
        <w:autoSpaceDN w:val="0"/>
        <w:adjustRightInd w:val="0"/>
        <w:spacing w:line="360" w:lineRule="auto"/>
        <w:ind w:left="105" w:leftChars="-100" w:hanging="315" w:hangingChars="150"/>
        <w:rPr>
          <w:rFonts w:hint="eastAsia" w:eastAsiaTheme="minorEastAsia"/>
          <w:color w:val="auto"/>
          <w:lang w:eastAsia="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rPr>
        <w:t>标准化体系认证；</w:t>
      </w:r>
    </w:p>
    <w:p w14:paraId="17524BB4">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）合同条款响应程度（合同条款偏离表）；</w:t>
      </w:r>
    </w:p>
    <w:p w14:paraId="0BFB81B1">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）业绩表；</w:t>
      </w:r>
    </w:p>
    <w:p w14:paraId="0313CBBF">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val="zh-CN"/>
        </w:rPr>
        <w:t>）</w:t>
      </w:r>
      <w:r>
        <w:rPr>
          <w:rFonts w:hint="eastAsia" w:ascii="宋体" w:hAnsi="宋体" w:eastAsia="宋体" w:cs="宋体"/>
          <w:color w:val="auto"/>
          <w:szCs w:val="21"/>
          <w:lang w:val="zh-CN"/>
        </w:rPr>
        <w:t>投标人保安服务团队实力；</w:t>
      </w:r>
    </w:p>
    <w:p w14:paraId="24FD5307">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lang w:val="en-US" w:eastAsia="zh-CN"/>
        </w:rPr>
        <w:t>12</w:t>
      </w:r>
      <w:r>
        <w:rPr>
          <w:rFonts w:hint="eastAsia" w:ascii="宋体" w:hAnsi="宋体" w:eastAsia="宋体" w:cs="宋体"/>
          <w:color w:val="auto"/>
          <w:szCs w:val="21"/>
          <w:lang w:val="zh-CN"/>
        </w:rPr>
        <w:t>）服务便利性响应时间承诺表；</w:t>
      </w:r>
    </w:p>
    <w:p w14:paraId="005A7FF5">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lang w:val="zh-CN"/>
        </w:rPr>
        <w:t>）投标保证金汇入情况说明；</w:t>
      </w:r>
    </w:p>
    <w:p w14:paraId="6EA86733">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p>
    <w:p w14:paraId="322315B2">
      <w:pPr>
        <w:autoSpaceDE w:val="0"/>
        <w:autoSpaceDN w:val="0"/>
        <w:adjustRightInd w:val="0"/>
        <w:spacing w:line="360" w:lineRule="auto"/>
        <w:ind w:left="422" w:leftChars="-100" w:hanging="632" w:hangingChars="300"/>
        <w:outlineLvl w:val="1"/>
        <w:rPr>
          <w:rFonts w:ascii="宋体" w:hAnsi="宋体" w:eastAsia="宋体" w:cs="宋体"/>
          <w:b/>
          <w:color w:val="auto"/>
          <w:kern w:val="0"/>
          <w:szCs w:val="24"/>
          <w:highlight w:val="none"/>
        </w:rPr>
      </w:pPr>
      <w:bookmarkStart w:id="139" w:name="_Toc31784"/>
      <w:r>
        <w:rPr>
          <w:rFonts w:hint="eastAsia" w:ascii="宋体" w:hAnsi="宋体" w:eastAsia="宋体" w:cs="宋体"/>
          <w:b/>
          <w:color w:val="auto"/>
          <w:kern w:val="0"/>
          <w:szCs w:val="24"/>
          <w:highlight w:val="none"/>
        </w:rPr>
        <w:t>9.1.2 技术文件：</w:t>
      </w:r>
      <w:bookmarkEnd w:id="139"/>
    </w:p>
    <w:p w14:paraId="570FE390">
      <w:pPr>
        <w:autoSpaceDE w:val="0"/>
        <w:autoSpaceDN w:val="0"/>
        <w:adjustRightInd w:val="0"/>
        <w:spacing w:line="360" w:lineRule="auto"/>
        <w:ind w:right="-23" w:rightChars="-11"/>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 xml:space="preserve"> </w:t>
      </w:r>
      <w:r>
        <w:rPr>
          <w:rFonts w:ascii="宋体" w:hAnsi="宋体" w:eastAsia="宋体" w:cs="Times New Roman"/>
          <w:b/>
          <w:bCs/>
          <w:color w:val="auto"/>
          <w:kern w:val="0"/>
          <w:szCs w:val="21"/>
          <w:highlight w:val="none"/>
          <w:lang w:val="zh-CN"/>
        </w:rPr>
        <w:t xml:space="preserve">   </w:t>
      </w:r>
      <w:r>
        <w:rPr>
          <w:rFonts w:hint="eastAsia" w:ascii="宋体" w:hAnsi="宋体" w:eastAsia="宋体" w:cs="Times New Roman"/>
          <w:b/>
          <w:bCs/>
          <w:color w:val="auto"/>
          <w:kern w:val="0"/>
          <w:szCs w:val="21"/>
          <w:highlight w:val="none"/>
          <w:lang w:val="zh-CN"/>
        </w:rPr>
        <w:t>目录：</w:t>
      </w:r>
    </w:p>
    <w:p w14:paraId="6AC3D3D4">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（1）用户需求响应程度（即用户需求偏离表格式）；</w:t>
      </w:r>
    </w:p>
    <w:p w14:paraId="55464B92">
      <w:pPr>
        <w:spacing w:line="360" w:lineRule="auto"/>
        <w:ind w:left="105" w:leftChars="-100" w:hanging="315" w:hangingChars="150"/>
        <w:rPr>
          <w:rFonts w:ascii="宋体" w:hAnsi="宋体" w:eastAsia="宋体" w:cs="宋体"/>
          <w:color w:val="auto"/>
          <w:kern w:val="0"/>
          <w:szCs w:val="21"/>
        </w:rPr>
      </w:pPr>
      <w:r>
        <w:rPr>
          <w:rFonts w:hint="eastAsia" w:ascii="宋体" w:hAnsi="宋体" w:eastAsia="宋体" w:cs="宋体"/>
          <w:color w:val="auto"/>
          <w:kern w:val="0"/>
          <w:szCs w:val="21"/>
        </w:rPr>
        <w:t>（2）管理计划及实施方案</w:t>
      </w:r>
      <w:r>
        <w:rPr>
          <w:rFonts w:hint="eastAsia" w:ascii="宋体" w:hAnsi="宋体" w:eastAsia="宋体" w:cs="宋体"/>
          <w:color w:val="auto"/>
          <w:kern w:val="0"/>
          <w:szCs w:val="21"/>
          <w:lang w:val="zh-CN"/>
        </w:rPr>
        <w:t>（投标人自行编写）</w:t>
      </w:r>
      <w:r>
        <w:rPr>
          <w:rFonts w:hint="eastAsia" w:ascii="宋体" w:hAnsi="宋体" w:eastAsia="宋体" w:cs="宋体"/>
          <w:color w:val="auto"/>
          <w:kern w:val="0"/>
          <w:szCs w:val="21"/>
        </w:rPr>
        <w:t>；</w:t>
      </w:r>
    </w:p>
    <w:p w14:paraId="6A7412B7">
      <w:pPr>
        <w:spacing w:line="360" w:lineRule="auto"/>
        <w:ind w:left="105" w:leftChars="-100" w:hanging="315" w:hangingChars="150"/>
        <w:rPr>
          <w:rFonts w:ascii="宋体" w:hAnsi="宋体" w:eastAsia="宋体" w:cs="宋体"/>
          <w:color w:val="auto"/>
          <w:kern w:val="0"/>
          <w:szCs w:val="21"/>
        </w:rPr>
      </w:pPr>
      <w:r>
        <w:rPr>
          <w:rFonts w:hint="eastAsia" w:ascii="宋体" w:hAnsi="宋体" w:eastAsia="宋体" w:cs="宋体"/>
          <w:color w:val="auto"/>
          <w:kern w:val="0"/>
          <w:szCs w:val="21"/>
        </w:rPr>
        <w:t>（3）保安人员投入计划及保证措施</w:t>
      </w:r>
      <w:r>
        <w:rPr>
          <w:rFonts w:hint="eastAsia" w:ascii="宋体" w:hAnsi="宋体" w:eastAsia="宋体" w:cs="宋体"/>
          <w:color w:val="auto"/>
          <w:kern w:val="0"/>
          <w:szCs w:val="21"/>
          <w:lang w:val="zh-CN"/>
        </w:rPr>
        <w:t>（投标人自行编写）</w:t>
      </w:r>
      <w:r>
        <w:rPr>
          <w:rFonts w:hint="eastAsia" w:ascii="宋体" w:hAnsi="宋体" w:eastAsia="宋体" w:cs="宋体"/>
          <w:color w:val="auto"/>
          <w:kern w:val="0"/>
          <w:szCs w:val="21"/>
        </w:rPr>
        <w:t>；</w:t>
      </w:r>
    </w:p>
    <w:p w14:paraId="6A8C7931">
      <w:pPr>
        <w:spacing w:line="360" w:lineRule="auto"/>
        <w:ind w:left="105" w:leftChars="-100" w:hanging="315" w:hangingChars="150"/>
        <w:rPr>
          <w:rFonts w:ascii="宋体" w:hAnsi="宋体" w:eastAsia="宋体" w:cs="宋体"/>
          <w:color w:val="auto"/>
          <w:kern w:val="0"/>
          <w:szCs w:val="21"/>
        </w:rPr>
      </w:pPr>
      <w:r>
        <w:rPr>
          <w:rFonts w:hint="eastAsia" w:ascii="宋体" w:hAnsi="宋体" w:eastAsia="宋体" w:cs="宋体"/>
          <w:color w:val="auto"/>
          <w:kern w:val="0"/>
          <w:szCs w:val="21"/>
        </w:rPr>
        <w:t>（4）保安人员配套装备的承诺及保证措施</w:t>
      </w:r>
      <w:r>
        <w:rPr>
          <w:rFonts w:hint="eastAsia" w:ascii="宋体" w:hAnsi="宋体" w:eastAsia="宋体" w:cs="宋体"/>
          <w:color w:val="auto"/>
          <w:kern w:val="0"/>
          <w:szCs w:val="21"/>
          <w:lang w:val="zh-CN"/>
        </w:rPr>
        <w:t>（投标人自行编写）</w:t>
      </w:r>
      <w:r>
        <w:rPr>
          <w:rFonts w:hint="eastAsia" w:ascii="宋体" w:hAnsi="宋体" w:eastAsia="宋体" w:cs="宋体"/>
          <w:color w:val="auto"/>
          <w:kern w:val="0"/>
          <w:szCs w:val="21"/>
        </w:rPr>
        <w:t>；</w:t>
      </w:r>
    </w:p>
    <w:p w14:paraId="4723825C">
      <w:pPr>
        <w:spacing w:line="360" w:lineRule="auto"/>
        <w:ind w:left="105" w:leftChars="-100" w:hanging="315" w:hangingChars="150"/>
        <w:rPr>
          <w:rFonts w:ascii="宋体" w:hAnsi="宋体" w:eastAsia="宋体" w:cs="宋体"/>
          <w:color w:val="auto"/>
          <w:kern w:val="0"/>
          <w:szCs w:val="21"/>
        </w:rPr>
      </w:pPr>
      <w:r>
        <w:rPr>
          <w:rFonts w:hint="eastAsia" w:ascii="宋体" w:hAnsi="宋体" w:eastAsia="宋体" w:cs="宋体"/>
          <w:color w:val="auto"/>
          <w:kern w:val="0"/>
          <w:szCs w:val="21"/>
        </w:rPr>
        <w:t>（5）应急处理预案</w:t>
      </w:r>
      <w:r>
        <w:rPr>
          <w:rFonts w:hint="eastAsia" w:ascii="宋体" w:hAnsi="宋体" w:eastAsia="宋体" w:cs="宋体"/>
          <w:color w:val="auto"/>
          <w:kern w:val="0"/>
          <w:szCs w:val="21"/>
          <w:lang w:val="zh-CN"/>
        </w:rPr>
        <w:t>（投标人自行编写）</w:t>
      </w:r>
      <w:r>
        <w:rPr>
          <w:rFonts w:hint="eastAsia" w:ascii="宋体" w:hAnsi="宋体" w:eastAsia="宋体" w:cs="宋体"/>
          <w:color w:val="auto"/>
          <w:kern w:val="0"/>
          <w:szCs w:val="21"/>
        </w:rPr>
        <w:t>；</w:t>
      </w:r>
    </w:p>
    <w:p w14:paraId="5052DEF4">
      <w:pPr>
        <w:spacing w:line="360" w:lineRule="auto"/>
        <w:ind w:left="105" w:leftChars="-100" w:hanging="315" w:hangingChars="150"/>
        <w:rPr>
          <w:rFonts w:ascii="宋体" w:hAnsi="宋体" w:eastAsia="宋体" w:cs="宋体"/>
          <w:color w:val="auto"/>
          <w:kern w:val="0"/>
          <w:szCs w:val="21"/>
        </w:rPr>
      </w:pPr>
      <w:r>
        <w:rPr>
          <w:rFonts w:hint="eastAsia" w:ascii="宋体" w:hAnsi="宋体" w:eastAsia="宋体" w:cs="宋体"/>
          <w:color w:val="auto"/>
          <w:kern w:val="0"/>
          <w:szCs w:val="21"/>
        </w:rPr>
        <w:t>（6）培训方案</w:t>
      </w:r>
      <w:r>
        <w:rPr>
          <w:rFonts w:hint="eastAsia" w:ascii="宋体" w:hAnsi="宋体" w:eastAsia="宋体" w:cs="宋体"/>
          <w:color w:val="auto"/>
          <w:kern w:val="0"/>
          <w:szCs w:val="21"/>
          <w:lang w:val="zh-CN"/>
        </w:rPr>
        <w:t>（投标人自行编写）</w:t>
      </w:r>
      <w:r>
        <w:rPr>
          <w:rFonts w:hint="eastAsia" w:ascii="宋体" w:hAnsi="宋体" w:eastAsia="宋体" w:cs="宋体"/>
          <w:color w:val="auto"/>
          <w:kern w:val="0"/>
          <w:szCs w:val="21"/>
        </w:rPr>
        <w:t>；</w:t>
      </w:r>
    </w:p>
    <w:p w14:paraId="1C0DFD0C">
      <w:pPr>
        <w:spacing w:line="360" w:lineRule="auto"/>
        <w:ind w:left="105" w:leftChars="-100" w:hanging="315" w:hangingChars="150"/>
        <w:rPr>
          <w:rFonts w:ascii="宋体" w:hAnsi="宋体" w:eastAsia="宋体" w:cs="宋体"/>
          <w:color w:val="auto"/>
          <w:kern w:val="0"/>
          <w:szCs w:val="21"/>
        </w:rPr>
      </w:pPr>
      <w:r>
        <w:rPr>
          <w:rFonts w:hint="eastAsia" w:ascii="宋体" w:hAnsi="宋体" w:eastAsia="宋体" w:cs="宋体"/>
          <w:color w:val="auto"/>
          <w:kern w:val="0"/>
          <w:szCs w:val="21"/>
        </w:rPr>
        <w:t>（7）管理规章制度</w:t>
      </w:r>
      <w:r>
        <w:rPr>
          <w:rFonts w:hint="eastAsia" w:ascii="宋体" w:hAnsi="宋体" w:eastAsia="宋体" w:cs="宋体"/>
          <w:color w:val="auto"/>
          <w:kern w:val="0"/>
          <w:szCs w:val="21"/>
          <w:lang w:val="zh-CN"/>
        </w:rPr>
        <w:t>（投标人自行编写）</w:t>
      </w:r>
      <w:r>
        <w:rPr>
          <w:rFonts w:hint="eastAsia" w:ascii="宋体" w:hAnsi="宋体" w:eastAsia="宋体" w:cs="宋体"/>
          <w:color w:val="auto"/>
          <w:kern w:val="0"/>
          <w:szCs w:val="21"/>
        </w:rPr>
        <w:t>；</w:t>
      </w:r>
    </w:p>
    <w:p w14:paraId="3ABDC1EF">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）投标人认为有必要提供的其它材料（不做强制要求）。</w:t>
      </w:r>
    </w:p>
    <w:p w14:paraId="7B4C73CB">
      <w:pPr>
        <w:autoSpaceDE w:val="0"/>
        <w:autoSpaceDN w:val="0"/>
        <w:adjustRightInd w:val="0"/>
        <w:spacing w:line="360" w:lineRule="auto"/>
        <w:ind w:left="422" w:leftChars="-100" w:hanging="632" w:hangingChars="300"/>
        <w:outlineLvl w:val="1"/>
        <w:rPr>
          <w:rFonts w:ascii="宋体" w:hAnsi="宋体" w:eastAsia="宋体" w:cs="宋体"/>
          <w:color w:val="auto"/>
          <w:kern w:val="0"/>
          <w:szCs w:val="21"/>
          <w:highlight w:val="none"/>
          <w:lang w:val="zh-CN"/>
        </w:rPr>
      </w:pPr>
      <w:bookmarkStart w:id="140" w:name="_Toc5061"/>
      <w:r>
        <w:rPr>
          <w:rFonts w:hint="eastAsia" w:ascii="宋体" w:hAnsi="宋体" w:eastAsia="宋体" w:cs="宋体"/>
          <w:b/>
          <w:color w:val="auto"/>
          <w:kern w:val="0"/>
          <w:szCs w:val="21"/>
          <w:highlight w:val="none"/>
        </w:rPr>
        <w:t>9.1.3</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w:t>
      </w:r>
      <w:r>
        <w:rPr>
          <w:rFonts w:ascii="宋体" w:hAnsi="宋体" w:eastAsia="宋体" w:cs="宋体"/>
          <w:color w:val="auto"/>
          <w:kern w:val="0"/>
          <w:szCs w:val="21"/>
          <w:highlight w:val="none"/>
          <w:lang w:val="zh-CN"/>
        </w:rPr>
        <w:t>5</w:t>
      </w:r>
      <w:r>
        <w:rPr>
          <w:rFonts w:hint="eastAsia" w:ascii="宋体" w:hAnsi="宋体" w:eastAsia="宋体" w:cs="宋体"/>
          <w:color w:val="auto"/>
          <w:kern w:val="0"/>
          <w:szCs w:val="21"/>
          <w:highlight w:val="none"/>
          <w:lang w:val="zh-CN"/>
        </w:rPr>
        <w:t>款）</w:t>
      </w:r>
      <w:bookmarkEnd w:id="140"/>
    </w:p>
    <w:p w14:paraId="22BE4BB4">
      <w:pPr>
        <w:autoSpaceDE w:val="0"/>
        <w:autoSpaceDN w:val="0"/>
        <w:adjustRightInd w:val="0"/>
        <w:spacing w:line="360" w:lineRule="auto"/>
        <w:ind w:left="35" w:leftChars="-118" w:hanging="283" w:hangingChars="135"/>
        <w:outlineLvl w:val="2"/>
        <w:rPr>
          <w:rFonts w:ascii="宋体" w:hAnsi="宋体" w:eastAsia="宋体" w:cs="宋体"/>
          <w:color w:val="auto"/>
          <w:kern w:val="0"/>
          <w:szCs w:val="21"/>
          <w:highlight w:val="none"/>
        </w:rPr>
      </w:pPr>
      <w:bookmarkStart w:id="141" w:name="_Toc10353"/>
      <w:r>
        <w:rPr>
          <w:rFonts w:hint="eastAsia" w:ascii="宋体" w:hAnsi="宋体" w:eastAsia="宋体" w:cs="宋体"/>
          <w:color w:val="auto"/>
          <w:kern w:val="0"/>
          <w:szCs w:val="21"/>
          <w:highlight w:val="none"/>
        </w:rPr>
        <w:t>（1）签字、盖章后的投标文件扫描版PDF格式电子文件。</w:t>
      </w:r>
      <w:bookmarkEnd w:id="141"/>
    </w:p>
    <w:p w14:paraId="1DC23ED5">
      <w:pPr>
        <w:autoSpaceDE w:val="0"/>
        <w:autoSpaceDN w:val="0"/>
        <w:adjustRightInd w:val="0"/>
        <w:spacing w:line="360" w:lineRule="auto"/>
        <w:ind w:left="422" w:leftChars="-100" w:hanging="632" w:hangingChars="300"/>
        <w:outlineLvl w:val="1"/>
        <w:rPr>
          <w:rFonts w:ascii="宋体" w:hAnsi="宋体" w:eastAsia="宋体" w:cs="宋体"/>
          <w:b/>
          <w:bCs/>
          <w:color w:val="auto"/>
          <w:szCs w:val="21"/>
          <w:highlight w:val="none"/>
          <w:lang w:val="zh-CN"/>
        </w:rPr>
      </w:pPr>
      <w:bookmarkStart w:id="142" w:name="_Toc3159"/>
      <w:r>
        <w:rPr>
          <w:rFonts w:hint="eastAsia" w:ascii="宋体" w:hAnsi="宋体" w:eastAsia="宋体" w:cs="宋体"/>
          <w:b/>
          <w:bCs/>
          <w:color w:val="auto"/>
          <w:szCs w:val="21"/>
          <w:highlight w:val="none"/>
          <w:lang w:val="zh-CN"/>
        </w:rPr>
        <w:t>9.1.4 唱标信封（单独密封）</w:t>
      </w:r>
      <w:bookmarkEnd w:id="142"/>
    </w:p>
    <w:p w14:paraId="3FCCA833">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14:paraId="45CAE38B">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14:paraId="7385FBD0">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3D0252A0">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w:t>
      </w:r>
      <w:r>
        <w:rPr>
          <w:rFonts w:hint="eastAsia" w:ascii="宋体" w:hAnsi="宋体" w:eastAsia="宋体" w:cs="Times New Roman"/>
          <w:b/>
          <w:color w:val="auto"/>
          <w:szCs w:val="21"/>
          <w:highlight w:val="none"/>
          <w:u w:val="single"/>
          <w:lang w:val="zh-CN"/>
        </w:rPr>
        <w:t>发票、照片</w:t>
      </w:r>
      <w:r>
        <w:rPr>
          <w:rFonts w:hint="eastAsia" w:ascii="宋体" w:hAnsi="宋体" w:eastAsia="宋体" w:cs="宋体"/>
          <w:b/>
          <w:color w:val="auto"/>
          <w:szCs w:val="21"/>
          <w:highlight w:val="none"/>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14:paraId="35C92E5E">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14:paraId="075B8245">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43" w:name="_Toc7578"/>
      <w:bookmarkStart w:id="144" w:name="_Toc486167674"/>
      <w:bookmarkStart w:id="145" w:name="_Toc450662860"/>
      <w:bookmarkStart w:id="146" w:name="_Toc13214"/>
      <w:bookmarkStart w:id="147" w:name="_Toc11170"/>
      <w:bookmarkStart w:id="148" w:name="_Toc142508324"/>
      <w:bookmarkStart w:id="149" w:name="_Toc8675_WPSOffice_Level3"/>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bookmarkEnd w:id="143"/>
      <w:bookmarkEnd w:id="144"/>
      <w:bookmarkEnd w:id="145"/>
      <w:bookmarkEnd w:id="146"/>
      <w:bookmarkEnd w:id="147"/>
      <w:bookmarkEnd w:id="148"/>
      <w:bookmarkEnd w:id="149"/>
    </w:p>
    <w:p w14:paraId="0B283A6D">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14:paraId="5AA3D79F">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14:paraId="6D2452D2">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50" w:name="_Toc142508325"/>
      <w:bookmarkStart w:id="151" w:name="_Toc4385_WPSOffice_Level3"/>
      <w:bookmarkStart w:id="152" w:name="_Toc2784"/>
      <w:bookmarkStart w:id="153" w:name="_Toc24311"/>
      <w:bookmarkStart w:id="154" w:name="_Toc15427"/>
      <w:bookmarkStart w:id="155" w:name="_Toc450662861"/>
      <w:bookmarkStart w:id="156" w:name="_Toc486167675"/>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bookmarkEnd w:id="150"/>
      <w:bookmarkEnd w:id="151"/>
      <w:bookmarkEnd w:id="152"/>
      <w:bookmarkEnd w:id="153"/>
      <w:bookmarkEnd w:id="154"/>
      <w:bookmarkEnd w:id="155"/>
      <w:bookmarkEnd w:id="156"/>
    </w:p>
    <w:p w14:paraId="59FD3E2B">
      <w:pPr>
        <w:tabs>
          <w:tab w:val="left" w:pos="567"/>
        </w:tabs>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w:t>
      </w:r>
      <w:r>
        <w:rPr>
          <w:rFonts w:hint="eastAsia" w:ascii="宋体" w:hAnsi="宋体" w:eastAsia="宋体" w:cs="Times New Roman"/>
          <w:b/>
          <w:color w:val="auto"/>
          <w:szCs w:val="21"/>
          <w:highlight w:val="none"/>
          <w:lang w:val="zh-CN"/>
        </w:rPr>
        <w:t>只允许有一个报价价格，任何有选择的或</w:t>
      </w:r>
      <w:r>
        <w:rPr>
          <w:rFonts w:hint="eastAsia" w:ascii="宋体" w:hAnsi="宋体" w:eastAsia="宋体" w:cs="Times New Roman"/>
          <w:b/>
          <w:color w:val="auto"/>
          <w:kern w:val="0"/>
          <w:szCs w:val="21"/>
          <w:highlight w:val="none"/>
          <w:lang w:val="zh-CN"/>
        </w:rPr>
        <w:t>不是固定价的</w:t>
      </w:r>
      <w:r>
        <w:rPr>
          <w:rFonts w:hint="eastAsia" w:ascii="宋体" w:hAnsi="宋体" w:eastAsia="宋体" w:cs="Times New Roman"/>
          <w:b/>
          <w:color w:val="auto"/>
          <w:szCs w:val="21"/>
          <w:highlight w:val="none"/>
          <w:lang w:val="zh-CN"/>
        </w:rPr>
        <w:t>投标报价将不予接受，</w:t>
      </w:r>
      <w:r>
        <w:rPr>
          <w:rFonts w:hint="eastAsia" w:ascii="宋体" w:hAnsi="宋体" w:eastAsia="宋体" w:cs="Times New Roman"/>
          <w:b/>
          <w:color w:val="auto"/>
          <w:kern w:val="0"/>
          <w:szCs w:val="21"/>
          <w:highlight w:val="none"/>
          <w:lang w:val="zh-CN"/>
        </w:rPr>
        <w:t>作为非实质性响应投标而予以拒绝。</w:t>
      </w:r>
      <w:r>
        <w:rPr>
          <w:rFonts w:hint="eastAsia" w:ascii="宋体" w:hAnsi="宋体" w:eastAsia="宋体" w:cs="Times New Roman"/>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14:paraId="3734087E">
      <w:pPr>
        <w:tabs>
          <w:tab w:val="left" w:pos="567"/>
        </w:tabs>
        <w:autoSpaceDE w:val="0"/>
        <w:autoSpaceDN w:val="0"/>
        <w:adjustRightInd w:val="0"/>
        <w:spacing w:line="360" w:lineRule="auto"/>
        <w:ind w:firstLine="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233BE3A9">
      <w:pPr>
        <w:tabs>
          <w:tab w:val="left" w:pos="567"/>
        </w:tabs>
        <w:autoSpaceDE w:val="0"/>
        <w:autoSpaceDN w:val="0"/>
        <w:adjustRightInd w:val="0"/>
        <w:spacing w:line="360" w:lineRule="auto"/>
        <w:ind w:firstLine="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lang w:val="en-US" w:eastAsia="zh-CN"/>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14:paraId="2F4EEB97">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lang w:val="zh-CN"/>
        </w:rPr>
        <w:t>投标人的投标报价为综合单价</w:t>
      </w:r>
      <w:r>
        <w:rPr>
          <w:rFonts w:ascii="宋体" w:hAnsi="宋体" w:eastAsia="宋体" w:cs="宋体"/>
          <w:b/>
          <w:bCs/>
          <w:color w:val="auto"/>
          <w:szCs w:val="21"/>
          <w:lang w:val="zh-CN"/>
        </w:rPr>
        <w:t>(元/人/月，即单个保安人员的月综合单价)。综合单价不区分保安队长和普通保安人员，投标人应考虑保安队长的薪资高于普通保安人员的情况，并将溢价部分折算在综合单价内，招标人统一按综合单价计费，不另外增加费用；综合单价在服务期内不因最低工资标准上调、劳务成本、物价成本等因素的变动或其他任何原因而做调整。合同履约过程中，在服务期内按投标时的综合单价(元/人/月)乘以实际到岗人数进行结算。</w:t>
      </w:r>
      <w:r>
        <w:rPr>
          <w:rFonts w:hint="eastAsia" w:ascii="宋体" w:hAnsi="宋体" w:eastAsia="宋体" w:cs="Times New Roman"/>
          <w:b/>
          <w:color w:val="auto"/>
          <w:szCs w:val="21"/>
          <w:highlight w:val="none"/>
          <w:u w:val="single"/>
          <w:lang w:val="zh-CN"/>
        </w:rPr>
        <w:t>本项目投标报价为不含税价，即为《中华人民共和国增值税暂行条例》（国务院令第6</w:t>
      </w:r>
      <w:r>
        <w:rPr>
          <w:rFonts w:ascii="宋体" w:hAnsi="宋体" w:eastAsia="宋体" w:cs="Times New Roman"/>
          <w:b/>
          <w:color w:val="auto"/>
          <w:szCs w:val="21"/>
          <w:highlight w:val="none"/>
          <w:u w:val="single"/>
          <w:lang w:val="zh-CN"/>
        </w:rPr>
        <w:t>91</w:t>
      </w:r>
      <w:r>
        <w:rPr>
          <w:rFonts w:hint="eastAsia" w:ascii="宋体" w:hAnsi="宋体" w:eastAsia="宋体" w:cs="Times New Roman"/>
          <w:b/>
          <w:color w:val="auto"/>
          <w:szCs w:val="21"/>
          <w:highlight w:val="none"/>
          <w:u w:val="single"/>
          <w:lang w:val="zh-CN"/>
        </w:rPr>
        <w:t>号修订版）规定的销售额</w:t>
      </w:r>
      <w:r>
        <w:rPr>
          <w:rFonts w:hint="eastAsia" w:ascii="宋体" w:hAnsi="宋体" w:eastAsia="宋体" w:cs="Times New Roman"/>
          <w:color w:val="auto"/>
          <w:szCs w:val="21"/>
          <w:highlight w:val="none"/>
          <w:lang w:val="zh-CN"/>
        </w:rPr>
        <w:t>。本招标文件所称的不含税价和不含税合同价是指不含本采购项目投标人的销项税额，包含了投标人完成合同义务（含投标人代缴代扣、分包及委外服务、安装、采购货物等所产生的价税）的其他全部费用。本采购项目的销项税额由招标人承担，不计入投标报价。</w:t>
      </w:r>
      <w:r>
        <w:rPr>
          <w:rFonts w:hint="eastAsia" w:ascii="宋体" w:hAnsi="宋体" w:eastAsia="宋体" w:cs="宋体"/>
          <w:color w:val="auto"/>
          <w:kern w:val="0"/>
          <w:szCs w:val="21"/>
          <w:highlight w:val="none"/>
        </w:rPr>
        <w:t>本采购项目投标报价已含投标人履行本招标内容全部义务的一切费用，包括但不限于：</w:t>
      </w:r>
    </w:p>
    <w:p w14:paraId="3341E4BC">
      <w:pPr>
        <w:autoSpaceDE w:val="0"/>
        <w:autoSpaceDN w:val="0"/>
        <w:adjustRightInd w:val="0"/>
        <w:spacing w:line="360" w:lineRule="auto"/>
        <w:ind w:left="315" w:leftChars="-100" w:hanging="525"/>
        <w:jc w:val="left"/>
        <w:rPr>
          <w:rFonts w:ascii="宋体" w:hAnsi="宋体" w:eastAsia="宋体" w:cs="宋体"/>
          <w:color w:val="auto"/>
          <w:szCs w:val="21"/>
          <w:lang w:val="zh-CN"/>
        </w:rPr>
      </w:pPr>
      <w:r>
        <w:rPr>
          <w:rFonts w:hint="eastAsia" w:ascii="宋体" w:hAnsi="宋体" w:eastAsia="宋体" w:cs="宋体"/>
          <w:color w:val="auto"/>
          <w:szCs w:val="21"/>
          <w:lang w:val="zh-CN"/>
        </w:rPr>
        <w:t>（</w:t>
      </w:r>
      <w:r>
        <w:rPr>
          <w:rFonts w:ascii="宋体" w:hAnsi="宋体" w:eastAsia="宋体" w:cs="宋体"/>
          <w:color w:val="auto"/>
          <w:szCs w:val="21"/>
          <w:lang w:val="zh-CN"/>
        </w:rPr>
        <w:t>1）人工费（工资及加班工资、福利、社保、劳保、服装、膳食、住宿、体检、意外伤害保险等）、办公费、交通费、管理费用、对讲机、防卫器械、手电筒雨衣水鞋等装备购置费等；</w:t>
      </w:r>
    </w:p>
    <w:p w14:paraId="79BB6505">
      <w:pPr>
        <w:autoSpaceDE w:val="0"/>
        <w:autoSpaceDN w:val="0"/>
        <w:adjustRightInd w:val="0"/>
        <w:spacing w:line="360" w:lineRule="auto"/>
        <w:ind w:left="315" w:leftChars="-100" w:hanging="525"/>
        <w:jc w:val="left"/>
        <w:outlineLvl w:val="1"/>
        <w:rPr>
          <w:rFonts w:ascii="宋体" w:hAnsi="宋体" w:eastAsia="宋体" w:cs="宋体"/>
          <w:color w:val="auto"/>
          <w:szCs w:val="21"/>
          <w:lang w:val="zh-CN"/>
        </w:rPr>
      </w:pPr>
      <w:bookmarkStart w:id="157" w:name="_Toc6158"/>
      <w:r>
        <w:rPr>
          <w:rFonts w:hint="eastAsia" w:ascii="宋体" w:hAnsi="宋体" w:eastAsia="宋体" w:cs="宋体"/>
          <w:color w:val="auto"/>
          <w:szCs w:val="21"/>
          <w:lang w:val="zh-CN"/>
        </w:rPr>
        <w:t>（</w:t>
      </w:r>
      <w:r>
        <w:rPr>
          <w:rFonts w:ascii="宋体" w:hAnsi="宋体" w:eastAsia="宋体" w:cs="宋体"/>
          <w:color w:val="auto"/>
          <w:szCs w:val="21"/>
          <w:lang w:val="zh-CN"/>
        </w:rPr>
        <w:t>2</w:t>
      </w:r>
      <w:r>
        <w:rPr>
          <w:rFonts w:hint="eastAsia" w:ascii="宋体" w:hAnsi="宋体" w:eastAsia="宋体" w:cs="宋体"/>
          <w:color w:val="auto"/>
          <w:szCs w:val="21"/>
          <w:lang w:val="zh-CN"/>
        </w:rPr>
        <w:t>）合理利润、投标人销项税额以外的税费等；</w:t>
      </w:r>
      <w:bookmarkEnd w:id="157"/>
    </w:p>
    <w:p w14:paraId="6F759A38">
      <w:pPr>
        <w:autoSpaceDE w:val="0"/>
        <w:autoSpaceDN w:val="0"/>
        <w:adjustRightInd w:val="0"/>
        <w:spacing w:line="360" w:lineRule="auto"/>
        <w:ind w:left="315" w:leftChars="-100" w:hanging="525"/>
        <w:rPr>
          <w:rFonts w:ascii="宋体" w:hAnsi="宋体" w:eastAsia="宋体" w:cs="宋体"/>
          <w:color w:val="auto"/>
          <w:szCs w:val="21"/>
          <w:lang w:val="zh-CN"/>
        </w:rPr>
      </w:pPr>
      <w:r>
        <w:rPr>
          <w:rFonts w:hint="eastAsia" w:ascii="宋体" w:hAnsi="宋体" w:eastAsia="宋体" w:cs="宋体"/>
          <w:color w:val="auto"/>
          <w:szCs w:val="21"/>
          <w:lang w:val="zh-CN"/>
        </w:rPr>
        <w:t>（</w:t>
      </w:r>
      <w:r>
        <w:rPr>
          <w:rFonts w:ascii="宋体" w:hAnsi="宋体" w:eastAsia="宋体" w:cs="宋体"/>
          <w:color w:val="auto"/>
          <w:szCs w:val="21"/>
          <w:lang w:val="zh-CN"/>
        </w:rPr>
        <w:t>3</w:t>
      </w:r>
      <w:r>
        <w:rPr>
          <w:rFonts w:hint="eastAsia" w:ascii="宋体" w:hAnsi="宋体" w:eastAsia="宋体" w:cs="宋体"/>
          <w:color w:val="auto"/>
          <w:szCs w:val="21"/>
          <w:lang w:val="zh-CN"/>
        </w:rPr>
        <w:t>）法律法规、商业公认、招标文件规定由投标人承担的其他直接及间接费用。</w:t>
      </w:r>
    </w:p>
    <w:p w14:paraId="0CBE7146">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r>
        <w:rPr>
          <w:rFonts w:ascii="宋体" w:hAnsi="宋体" w:eastAsia="宋体" w:cs="宋体"/>
          <w:color w:val="auto"/>
          <w:kern w:val="0"/>
          <w:szCs w:val="21"/>
          <w:highlight w:val="none"/>
        </w:rPr>
        <w:t xml:space="preserve"> </w:t>
      </w:r>
      <w:r>
        <w:rPr>
          <w:rFonts w:hint="eastAsia" w:ascii="宋体" w:hAnsi="宋体" w:eastAsia="宋体" w:cs="Times New Roman"/>
          <w:color w:val="auto"/>
          <w:szCs w:val="21"/>
          <w:highlight w:val="none"/>
          <w:lang w:val="zh-CN"/>
        </w:rPr>
        <w:t>投标人根据</w:t>
      </w:r>
      <w:r>
        <w:rPr>
          <w:color w:val="auto"/>
          <w:highlight w:val="none"/>
        </w:rPr>
        <w:fldChar w:fldCharType="begin"/>
      </w:r>
      <w:r>
        <w:rPr>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auto"/>
          <w:highlight w:val="none"/>
        </w:rPr>
        <w:fldChar w:fldCharType="separate"/>
      </w:r>
      <w:r>
        <w:rPr>
          <w:rFonts w:hint="eastAsia" w:ascii="宋体" w:hAnsi="宋体" w:eastAsia="宋体" w:cs="Times New Roman"/>
          <w:color w:val="auto"/>
          <w:szCs w:val="21"/>
          <w:highlight w:val="none"/>
          <w:lang w:val="zh-CN"/>
        </w:rPr>
        <w:t>第</w:t>
      </w:r>
      <w:r>
        <w:rPr>
          <w:rFonts w:ascii="宋体" w:hAnsi="宋体" w:eastAsia="宋体" w:cs="Times New Roman"/>
          <w:color w:val="auto"/>
          <w:szCs w:val="21"/>
          <w:highlight w:val="none"/>
          <w:lang w:val="zh-CN"/>
        </w:rPr>
        <w:t>11.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款</w:t>
      </w:r>
      <w:r>
        <w:rPr>
          <w:rFonts w:hint="eastAsia" w:ascii="宋体" w:hAnsi="宋体" w:eastAsia="宋体" w:cs="Times New Roman"/>
          <w:color w:val="auto"/>
          <w:szCs w:val="21"/>
          <w:highlight w:val="none"/>
          <w:lang w:val="zh-CN"/>
        </w:rPr>
        <w:fldChar w:fldCharType="end"/>
      </w:r>
      <w:r>
        <w:rPr>
          <w:rFonts w:hint="eastAsia" w:ascii="宋体" w:hAnsi="宋体" w:eastAsia="宋体" w:cs="Times New Roman"/>
          <w:color w:val="auto"/>
          <w:szCs w:val="21"/>
          <w:highlight w:val="none"/>
          <w:lang w:val="zh-CN"/>
        </w:rPr>
        <w:t>所报的价格分项仅供评标委员会评审时使用；在任何情况下不限制投标人以不同的条件中标的权利。</w:t>
      </w:r>
    </w:p>
    <w:p w14:paraId="35FC5B89">
      <w:pPr>
        <w:autoSpaceDE w:val="0"/>
        <w:autoSpaceDN w:val="0"/>
        <w:adjustRightInd w:val="0"/>
        <w:spacing w:line="360" w:lineRule="auto"/>
        <w:ind w:left="268" w:leftChars="-100" w:hanging="478" w:hanging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Times New Roman"/>
          <w:color w:val="auto"/>
          <w:kern w:val="0"/>
          <w:szCs w:val="21"/>
          <w:highlight w:val="none"/>
          <w:lang w:val="zh-CN"/>
        </w:rPr>
        <w:t>。</w:t>
      </w:r>
      <w:r>
        <w:rPr>
          <w:rFonts w:hint="eastAsia" w:ascii="宋体" w:hAnsi="宋体" w:eastAsia="宋体" w:cs="宋体"/>
          <w:color w:val="auto"/>
          <w:kern w:val="0"/>
          <w:szCs w:val="21"/>
          <w:highlight w:val="none"/>
        </w:rPr>
        <w:t xml:space="preserve"> </w:t>
      </w:r>
    </w:p>
    <w:p w14:paraId="253EBE98">
      <w:pPr>
        <w:autoSpaceDE w:val="0"/>
        <w:autoSpaceDN w:val="0"/>
        <w:adjustRightInd w:val="0"/>
        <w:spacing w:line="360" w:lineRule="auto"/>
        <w:ind w:left="357" w:leftChars="-100" w:hanging="567"/>
        <w:rPr>
          <w:rFonts w:ascii="宋体" w:hAnsi="宋体" w:eastAsia="宋体" w:cs="Times New Roman"/>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Times New Roman"/>
          <w:b/>
          <w:bCs/>
          <w:color w:val="auto"/>
          <w:szCs w:val="21"/>
          <w:highlight w:val="none"/>
          <w:lang w:val="zh-CN"/>
        </w:rPr>
        <w:t>合同项下，招标人需要的</w:t>
      </w:r>
      <w:r>
        <w:rPr>
          <w:rFonts w:hint="eastAsia" w:ascii="宋体" w:hAnsi="宋体" w:eastAsia="宋体" w:cs="Times New Roman"/>
          <w:b/>
          <w:bCs/>
          <w:color w:val="auto"/>
          <w:szCs w:val="21"/>
          <w:highlight w:val="none"/>
          <w:lang w:val="en-US" w:eastAsia="zh-CN"/>
        </w:rPr>
        <w:t>相关</w:t>
      </w:r>
      <w:r>
        <w:rPr>
          <w:rFonts w:hint="eastAsia" w:ascii="宋体" w:hAnsi="宋体" w:eastAsia="宋体" w:cs="Times New Roman"/>
          <w:b/>
          <w:bCs/>
          <w:color w:val="auto"/>
          <w:szCs w:val="21"/>
          <w:highlight w:val="none"/>
          <w:lang w:val="zh-CN"/>
        </w:rPr>
        <w:t>服务所需的费用，投标人都应计入投标报价。</w:t>
      </w:r>
    </w:p>
    <w:p w14:paraId="0A8FD8A7">
      <w:pPr>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11.6</w:t>
      </w:r>
      <w:r>
        <w:rPr>
          <w:rFonts w:hint="eastAsia" w:ascii="宋体" w:hAnsi="宋体" w:eastAsia="宋体" w:cs="Times New Roman"/>
          <w:b/>
          <w:bCs/>
          <w:color w:val="auto"/>
          <w:szCs w:val="21"/>
          <w:highlight w:val="none"/>
          <w:u w:val="single"/>
        </w:rPr>
        <w:t xml:space="preserve"> </w:t>
      </w:r>
      <w:r>
        <w:rPr>
          <w:rFonts w:hint="eastAsia" w:ascii="宋体" w:hAnsi="宋体" w:eastAsia="宋体" w:cs="宋体"/>
          <w:b/>
          <w:color w:val="auto"/>
          <w:szCs w:val="21"/>
          <w:highlight w:val="none"/>
          <w:u w:val="single"/>
          <w:lang w:val="zh-CN"/>
        </w:rPr>
        <w:t>投标人</w:t>
      </w:r>
      <w:r>
        <w:rPr>
          <w:rFonts w:hint="eastAsia" w:ascii="宋体" w:hAnsi="宋体" w:eastAsia="宋体" w:cs="Times New Roman"/>
          <w:b/>
          <w:bCs/>
          <w:color w:val="auto"/>
          <w:kern w:val="0"/>
          <w:szCs w:val="24"/>
          <w:highlight w:val="none"/>
          <w:u w:val="single"/>
        </w:rPr>
        <w:t>的投标报价高于</w:t>
      </w:r>
      <w:r>
        <w:rPr>
          <w:rFonts w:hint="eastAsia" w:ascii="宋体" w:hAnsi="宋体" w:eastAsia="宋体" w:cs="Times New Roman"/>
          <w:b/>
          <w:bCs/>
          <w:color w:val="auto"/>
          <w:kern w:val="0"/>
          <w:szCs w:val="24"/>
          <w:highlight w:val="none"/>
          <w:u w:val="single"/>
          <w:lang w:val="en-US" w:eastAsia="zh-CN"/>
        </w:rPr>
        <w:t>不含税</w:t>
      </w:r>
      <w:r>
        <w:rPr>
          <w:rFonts w:hint="eastAsia" w:ascii="宋体" w:hAnsi="宋体" w:eastAsia="宋体" w:cs="Times New Roman"/>
          <w:b/>
          <w:bCs/>
          <w:color w:val="auto"/>
          <w:kern w:val="0"/>
          <w:szCs w:val="24"/>
          <w:highlight w:val="none"/>
          <w:u w:val="single"/>
        </w:rPr>
        <w:t>预算综合单价的，该投标人的投标文件将被视为无效投标</w:t>
      </w:r>
      <w:r>
        <w:rPr>
          <w:rFonts w:hint="eastAsia" w:ascii="宋体" w:hAnsi="宋体" w:eastAsia="宋体" w:cs="宋体"/>
          <w:b/>
          <w:color w:val="auto"/>
          <w:szCs w:val="21"/>
          <w:highlight w:val="none"/>
          <w:u w:val="single"/>
          <w:lang w:val="zh-CN"/>
        </w:rPr>
        <w:t>。</w:t>
      </w:r>
      <w:r>
        <w:rPr>
          <w:rFonts w:hint="eastAsia" w:ascii="宋体" w:hAnsi="宋体" w:eastAsia="宋体" w:cs="宋体"/>
          <w:b/>
          <w:color w:val="auto"/>
          <w:kern w:val="0"/>
          <w:szCs w:val="21"/>
          <w:u w:val="single"/>
          <w:lang w:val="zh-CN"/>
        </w:rPr>
        <w:t>本项目单个保安人员的不含税预算综合单价为</w:t>
      </w:r>
      <w:r>
        <w:rPr>
          <w:rFonts w:hint="eastAsia" w:ascii="宋体" w:hAnsi="宋体" w:eastAsia="宋体" w:cs="宋体"/>
          <w:b/>
          <w:color w:val="auto"/>
          <w:kern w:val="0"/>
          <w:szCs w:val="21"/>
          <w:u w:val="single"/>
          <w:lang w:val="en-US" w:eastAsia="zh-CN"/>
        </w:rPr>
        <w:t>4,245.28</w:t>
      </w:r>
      <w:r>
        <w:rPr>
          <w:rFonts w:hint="eastAsia" w:ascii="宋体" w:hAnsi="宋体" w:eastAsia="宋体" w:cs="宋体"/>
          <w:b/>
          <w:color w:val="auto"/>
          <w:kern w:val="0"/>
          <w:szCs w:val="21"/>
          <w:u w:val="single"/>
          <w:lang w:val="zh-CN"/>
        </w:rPr>
        <w:t>元</w:t>
      </w:r>
      <w:r>
        <w:rPr>
          <w:rFonts w:ascii="宋体" w:hAnsi="宋体" w:eastAsia="宋体" w:cs="宋体"/>
          <w:b/>
          <w:color w:val="auto"/>
          <w:kern w:val="0"/>
          <w:szCs w:val="21"/>
          <w:u w:val="single"/>
          <w:lang w:val="zh-CN"/>
        </w:rPr>
        <w:t>/人/月，本项目暂定采购月份、暂定采购保安人数对应的不含税总预算为</w:t>
      </w:r>
      <w:r>
        <w:rPr>
          <w:rFonts w:hint="eastAsia" w:ascii="宋体" w:hAnsi="宋体" w:eastAsia="宋体" w:cs="宋体"/>
          <w:b/>
          <w:color w:val="auto"/>
          <w:kern w:val="0"/>
          <w:szCs w:val="21"/>
          <w:u w:val="single"/>
          <w:lang w:val="en-US" w:eastAsia="zh-CN"/>
        </w:rPr>
        <w:t>916,980.48</w:t>
      </w:r>
      <w:r>
        <w:rPr>
          <w:rFonts w:ascii="宋体" w:hAnsi="宋体" w:eastAsia="宋体" w:cs="宋体"/>
          <w:b/>
          <w:color w:val="auto"/>
          <w:kern w:val="0"/>
          <w:szCs w:val="21"/>
          <w:u w:val="single"/>
          <w:lang w:val="zh-CN"/>
        </w:rPr>
        <w:t>元</w:t>
      </w:r>
      <w:r>
        <w:rPr>
          <w:rFonts w:hint="eastAsia" w:ascii="宋体" w:hAnsi="宋体" w:eastAsia="宋体" w:cs="宋体"/>
          <w:b/>
          <w:color w:val="auto"/>
          <w:kern w:val="0"/>
          <w:szCs w:val="21"/>
          <w:u w:val="single"/>
          <w:lang w:val="zh-CN"/>
        </w:rPr>
        <w:t>。</w:t>
      </w:r>
    </w:p>
    <w:p w14:paraId="24526A2F">
      <w:pPr>
        <w:autoSpaceDE w:val="0"/>
        <w:autoSpaceDN w:val="0"/>
        <w:adjustRightInd w:val="0"/>
        <w:spacing w:line="360" w:lineRule="auto"/>
        <w:ind w:left="357" w:leftChars="-100" w:hanging="567"/>
        <w:rPr>
          <w:rFonts w:ascii="宋体" w:hAnsi="宋体" w:eastAsia="宋体" w:cs="宋体"/>
          <w:color w:val="auto"/>
          <w:szCs w:val="21"/>
          <w:highlight w:val="none"/>
        </w:rPr>
      </w:pPr>
      <w:r>
        <w:rPr>
          <w:rFonts w:ascii="宋体" w:hAnsi="宋体" w:eastAsia="宋体" w:cs="宋体"/>
          <w:color w:val="auto"/>
          <w:szCs w:val="21"/>
          <w:highlight w:val="none"/>
          <w:lang w:val="zh-CN"/>
        </w:rPr>
        <w:t xml:space="preserve">     </w:t>
      </w:r>
    </w:p>
    <w:p w14:paraId="6C612D58">
      <w:pPr>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lang w:val="zh-CN"/>
        </w:rPr>
      </w:pPr>
      <w:bookmarkStart w:id="158" w:name="_Toc20312"/>
      <w:bookmarkStart w:id="159" w:name="_Toc30042_WPSOffice_Level3"/>
      <w:bookmarkStart w:id="160" w:name="_Toc450662862"/>
      <w:bookmarkStart w:id="161" w:name="_Toc3469"/>
      <w:bookmarkStart w:id="162" w:name="_Toc486167676"/>
      <w:bookmarkStart w:id="163" w:name="_Toc2294"/>
      <w:bookmarkStart w:id="164" w:name="_Toc142508326"/>
      <w:r>
        <w:rPr>
          <w:rFonts w:hint="eastAsia" w:ascii="宋体" w:hAnsi="宋体" w:eastAsia="宋体" w:cs="宋体"/>
          <w:b/>
          <w:color w:val="auto"/>
          <w:szCs w:val="21"/>
          <w:highlight w:val="none"/>
          <w:lang w:val="zh-CN"/>
        </w:rPr>
        <w:t>12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投标报价货币</w:t>
      </w:r>
      <w:bookmarkEnd w:id="158"/>
      <w:bookmarkEnd w:id="159"/>
      <w:bookmarkEnd w:id="160"/>
      <w:bookmarkEnd w:id="161"/>
      <w:bookmarkEnd w:id="162"/>
      <w:bookmarkEnd w:id="163"/>
      <w:bookmarkEnd w:id="164"/>
    </w:p>
    <w:p w14:paraId="704BA466">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w:t>
      </w:r>
      <w:r>
        <w:rPr>
          <w:rFonts w:hint="eastAsia" w:ascii="宋体" w:hAnsi="宋体" w:eastAsia="宋体" w:cs="Times New Roman"/>
          <w:b/>
          <w:color w:val="auto"/>
          <w:szCs w:val="21"/>
          <w:highlight w:val="none"/>
          <w:lang w:val="zh-CN"/>
        </w:rPr>
        <w:t>报价表上的价格须以人民币报价，以其</w:t>
      </w:r>
      <w:r>
        <w:rPr>
          <w:rFonts w:hint="eastAsia" w:ascii="宋体" w:hAnsi="宋体" w:eastAsia="宋体" w:cs="Times New Roman"/>
          <w:b/>
          <w:color w:val="auto"/>
          <w:szCs w:val="21"/>
          <w:highlight w:val="none"/>
          <w:lang w:val="en-US" w:eastAsia="zh-CN"/>
        </w:rPr>
        <w:t>他</w:t>
      </w:r>
      <w:r>
        <w:rPr>
          <w:rFonts w:hint="eastAsia" w:ascii="宋体" w:hAnsi="宋体" w:eastAsia="宋体" w:cs="Times New Roman"/>
          <w:b/>
          <w:color w:val="auto"/>
          <w:szCs w:val="21"/>
          <w:highlight w:val="none"/>
          <w:lang w:val="zh-CN"/>
        </w:rPr>
        <w:t>货币标价的投标将予以拒绝</w:t>
      </w:r>
      <w:r>
        <w:rPr>
          <w:rFonts w:hint="eastAsia" w:ascii="宋体" w:hAnsi="宋体" w:eastAsia="宋体" w:cs="宋体"/>
          <w:b/>
          <w:color w:val="auto"/>
          <w:szCs w:val="21"/>
          <w:highlight w:val="none"/>
          <w:lang w:val="zh-CN"/>
        </w:rPr>
        <w:t>。</w:t>
      </w:r>
    </w:p>
    <w:p w14:paraId="017C1A57">
      <w:pPr>
        <w:autoSpaceDE w:val="0"/>
        <w:autoSpaceDN w:val="0"/>
        <w:adjustRightInd w:val="0"/>
        <w:spacing w:line="360" w:lineRule="auto"/>
        <w:ind w:left="265" w:leftChars="119" w:hanging="15"/>
        <w:rPr>
          <w:rFonts w:ascii="宋体" w:hAnsi="宋体" w:eastAsia="宋体" w:cs="宋体"/>
          <w:color w:val="auto"/>
          <w:szCs w:val="21"/>
          <w:highlight w:val="none"/>
        </w:rPr>
      </w:pPr>
    </w:p>
    <w:p w14:paraId="275500FC">
      <w:pPr>
        <w:tabs>
          <w:tab w:val="left" w:pos="57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65" w:name="_Toc450662863"/>
      <w:bookmarkStart w:id="166" w:name="_Toc26262"/>
      <w:bookmarkStart w:id="167" w:name="_Toc9411_WPSOffice_Level3"/>
      <w:bookmarkStart w:id="168" w:name="_Toc3961"/>
      <w:bookmarkStart w:id="169" w:name="_Toc142508327"/>
      <w:bookmarkStart w:id="170" w:name="_Toc20031"/>
      <w:bookmarkStart w:id="171" w:name="_Toc486167677"/>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bookmarkEnd w:id="165"/>
      <w:bookmarkEnd w:id="166"/>
      <w:bookmarkEnd w:id="167"/>
      <w:bookmarkEnd w:id="168"/>
      <w:bookmarkEnd w:id="169"/>
      <w:bookmarkEnd w:id="170"/>
      <w:bookmarkEnd w:id="171"/>
    </w:p>
    <w:p w14:paraId="286353F8">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14:paraId="6ACA4F6A">
      <w:pPr>
        <w:autoSpaceDE w:val="0"/>
        <w:autoSpaceDN w:val="0"/>
        <w:adjustRightInd w:val="0"/>
        <w:spacing w:line="360" w:lineRule="auto"/>
        <w:ind w:left="357" w:leftChars="-100" w:hanging="567"/>
        <w:outlineLvl w:val="1"/>
        <w:rPr>
          <w:rFonts w:ascii="宋体" w:hAnsi="宋体" w:eastAsia="宋体" w:cs="宋体"/>
          <w:color w:val="auto"/>
          <w:szCs w:val="21"/>
          <w:highlight w:val="none"/>
          <w:vertAlign w:val="superscript"/>
          <w:lang w:val="zh-CN"/>
        </w:rPr>
      </w:pPr>
      <w:bookmarkStart w:id="172" w:name="_Toc3997"/>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bookmarkEnd w:id="172"/>
    </w:p>
    <w:p w14:paraId="426799A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14:paraId="31BCB38D">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14:paraId="1DB41CAA">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w:t>
      </w:r>
      <w:r>
        <w:rPr>
          <w:rFonts w:hint="eastAsia" w:ascii="宋体" w:hAnsi="宋体" w:eastAsia="宋体" w:cs="Times New Roman"/>
          <w:color w:val="auto"/>
          <w:szCs w:val="21"/>
          <w:highlight w:val="none"/>
          <w:lang w:val="zh-CN"/>
        </w:rPr>
        <w:t>符合或</w:t>
      </w:r>
      <w:r>
        <w:rPr>
          <w:rFonts w:hint="eastAsia" w:ascii="宋体" w:hAnsi="宋体" w:eastAsia="宋体" w:cs="宋体"/>
          <w:color w:val="auto"/>
          <w:szCs w:val="21"/>
          <w:highlight w:val="none"/>
          <w:lang w:val="zh-CN"/>
        </w:rPr>
        <w:t>优于招标文件要求的其它文件。</w:t>
      </w:r>
    </w:p>
    <w:p w14:paraId="37CDAE83">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根据招标文件载明的相关服务要求的实际情况，拟在中标后将中标项目的非主体、非关键性专业工作交由他人完成的，应当在投标文件中载明，并提供他人的资质、能力证明材料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highlight w:val="none"/>
          <w:lang w:val="zh-CN"/>
        </w:rPr>
        <w:t>。</w:t>
      </w:r>
    </w:p>
    <w:p w14:paraId="4FFD2096">
      <w:pPr>
        <w:autoSpaceDE w:val="0"/>
        <w:autoSpaceDN w:val="0"/>
        <w:adjustRightInd w:val="0"/>
        <w:spacing w:line="360" w:lineRule="auto"/>
        <w:ind w:left="560" w:leftChars="128" w:hanging="291" w:hangingChars="139"/>
        <w:rPr>
          <w:rFonts w:ascii="宋体" w:hAnsi="宋体" w:eastAsia="宋体" w:cs="宋体"/>
          <w:color w:val="auto"/>
          <w:szCs w:val="21"/>
          <w:highlight w:val="none"/>
        </w:rPr>
      </w:pPr>
    </w:p>
    <w:p w14:paraId="1E316DB7">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73" w:name="_Toc486167678"/>
      <w:bookmarkStart w:id="174" w:name="_Toc5632"/>
      <w:bookmarkStart w:id="175" w:name="_Toc450662864"/>
      <w:bookmarkStart w:id="176" w:name="_Toc8615"/>
      <w:bookmarkStart w:id="177" w:name="_Toc142508328"/>
      <w:bookmarkStart w:id="178" w:name="_Toc27771_WPSOffice_Level3"/>
      <w:bookmarkStart w:id="179" w:name="_Toc29754"/>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证明服务的合格性并符合招标文件规定的声明文件</w:t>
      </w:r>
      <w:bookmarkEnd w:id="173"/>
      <w:bookmarkEnd w:id="174"/>
      <w:bookmarkEnd w:id="175"/>
      <w:bookmarkEnd w:id="176"/>
      <w:bookmarkEnd w:id="177"/>
      <w:bookmarkEnd w:id="178"/>
      <w:bookmarkEnd w:id="179"/>
    </w:p>
    <w:p w14:paraId="41D856EB">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的合格性并符合招标文件规定的声明文件，作为投标文件的一部分。</w:t>
      </w:r>
    </w:p>
    <w:p w14:paraId="0A8610E4">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lang w:eastAsia="zh-CN"/>
        </w:rPr>
        <w:t>相关</w:t>
      </w:r>
      <w:r>
        <w:rPr>
          <w:rFonts w:hint="eastAsia" w:ascii="宋体" w:hAnsi="宋体" w:eastAsia="宋体" w:cs="宋体"/>
          <w:color w:val="auto"/>
          <w:kern w:val="0"/>
          <w:szCs w:val="21"/>
          <w:highlight w:val="none"/>
        </w:rPr>
        <w:t>服务</w:t>
      </w:r>
      <w:r>
        <w:rPr>
          <w:rFonts w:hint="eastAsia" w:ascii="宋体" w:hAnsi="宋体" w:eastAsia="宋体" w:cs="宋体"/>
          <w:color w:val="auto"/>
          <w:szCs w:val="21"/>
          <w:highlight w:val="none"/>
          <w:lang w:val="zh-CN"/>
        </w:rPr>
        <w:t>与招标文件的要求相一致的文件可以是文字资料、图纸和数据资料。</w:t>
      </w:r>
    </w:p>
    <w:p w14:paraId="40673DA7">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为说明第14.2款的规定，投标人应注意本招标文件在《用户需求书》中对服务要求</w:t>
      </w:r>
      <w:r>
        <w:rPr>
          <w:rFonts w:hint="eastAsia" w:ascii="宋体" w:hAnsi="宋体" w:eastAsia="宋体" w:cs="宋体"/>
          <w:b/>
          <w:color w:val="auto"/>
          <w:szCs w:val="21"/>
          <w:highlight w:val="none"/>
          <w:lang w:val="en-US" w:eastAsia="zh-CN"/>
        </w:rPr>
        <w:t>的</w:t>
      </w:r>
      <w:r>
        <w:rPr>
          <w:rFonts w:hint="eastAsia" w:ascii="宋体" w:hAnsi="宋体" w:eastAsia="宋体" w:cs="宋体"/>
          <w:b/>
          <w:color w:val="auto"/>
          <w:szCs w:val="21"/>
          <w:highlight w:val="none"/>
          <w:lang w:val="zh-CN"/>
        </w:rPr>
        <w:t>说明只是概括性的，不能理解为所需要的全部服务的要求，投标人应按国家、行业相关技术标准、规范和以往的服务经验，合格优质的完成采购内容和包含的全部服务。但凡标有“★”的地方均被视为重要的技术指标要求或性能要求。投标人要特别加以注意，必须对此回答并完全满足这些要求，否则若有一项带“★”的指标未响应或不满足，将按无效投标处理。</w:t>
      </w:r>
    </w:p>
    <w:p w14:paraId="3E4189F7">
      <w:pPr>
        <w:autoSpaceDE w:val="0"/>
        <w:autoSpaceDN w:val="0"/>
        <w:adjustRightInd w:val="0"/>
        <w:spacing w:line="360" w:lineRule="auto"/>
        <w:rPr>
          <w:rFonts w:ascii="宋体" w:hAnsi="宋体" w:eastAsia="宋体" w:cs="Times New Roman"/>
          <w:color w:val="auto"/>
          <w:kern w:val="0"/>
          <w:sz w:val="24"/>
          <w:szCs w:val="24"/>
          <w:highlight w:val="none"/>
        </w:rPr>
      </w:pPr>
    </w:p>
    <w:p w14:paraId="5B7CDCB7">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80" w:name="_Toc486167679"/>
      <w:bookmarkStart w:id="181" w:name="_Toc142508329"/>
      <w:bookmarkStart w:id="182" w:name="_Toc5356_WPSOffice_Level3"/>
      <w:bookmarkStart w:id="183" w:name="_Toc26847"/>
      <w:bookmarkStart w:id="184" w:name="_Toc30555"/>
      <w:bookmarkStart w:id="185" w:name="_Toc8644"/>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bookmarkEnd w:id="180"/>
      <w:bookmarkEnd w:id="181"/>
      <w:bookmarkEnd w:id="182"/>
      <w:bookmarkEnd w:id="183"/>
      <w:bookmarkEnd w:id="184"/>
      <w:bookmarkEnd w:id="185"/>
    </w:p>
    <w:p w14:paraId="30283501">
      <w:pPr>
        <w:tabs>
          <w:tab w:val="left" w:pos="567"/>
        </w:tabs>
        <w:autoSpaceDE w:val="0"/>
        <w:autoSpaceDN w:val="0"/>
        <w:adjustRightInd w:val="0"/>
        <w:spacing w:line="360" w:lineRule="auto"/>
        <w:ind w:left="357" w:leftChars="-100" w:hanging="567"/>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w:t>
      </w:r>
      <w:r>
        <w:rPr>
          <w:rFonts w:hint="eastAsia" w:ascii="宋体" w:hAnsi="宋体" w:eastAsia="宋体" w:cs="宋体"/>
          <w:b/>
          <w:bCs/>
          <w:color w:val="auto"/>
          <w:kern w:val="0"/>
          <w:szCs w:val="21"/>
          <w:highlight w:val="none"/>
          <w:u w:val="single"/>
          <w:lang w:val="en-US" w:eastAsia="zh-CN"/>
        </w:rPr>
        <w:t>18,000.00</w:t>
      </w:r>
      <w:r>
        <w:rPr>
          <w:rFonts w:hint="eastAsia" w:ascii="宋体" w:hAnsi="宋体" w:eastAsia="宋体" w:cs="宋体"/>
          <w:b/>
          <w:color w:val="auto"/>
          <w:kern w:val="0"/>
          <w:szCs w:val="21"/>
          <w:highlight w:val="none"/>
          <w:u w:val="single"/>
        </w:rPr>
        <w:t>元（大写：人民币</w:t>
      </w:r>
      <w:r>
        <w:rPr>
          <w:rFonts w:hint="eastAsia" w:ascii="宋体" w:hAnsi="宋体" w:eastAsia="宋体" w:cs="宋体"/>
          <w:b/>
          <w:color w:val="auto"/>
          <w:kern w:val="0"/>
          <w:szCs w:val="21"/>
          <w:highlight w:val="none"/>
          <w:u w:val="single"/>
          <w:lang w:val="en-US" w:eastAsia="zh-CN"/>
        </w:rPr>
        <w:t>壹万捌仟元整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b/>
          <w:color w:val="auto"/>
          <w:kern w:val="0"/>
          <w:szCs w:val="21"/>
          <w:highlight w:val="none"/>
        </w:rPr>
        <w:t>。</w:t>
      </w:r>
    </w:p>
    <w:p w14:paraId="09518862">
      <w:pPr>
        <w:spacing w:line="360" w:lineRule="auto"/>
        <w:ind w:left="315" w:leftChars="-100" w:hanging="525" w:hangingChars="250"/>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Times New Roman"/>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14:paraId="6AA2491F">
      <w:pPr>
        <w:tabs>
          <w:tab w:val="left" w:pos="567"/>
        </w:tabs>
        <w:autoSpaceDE w:val="0"/>
        <w:autoSpaceDN w:val="0"/>
        <w:adjustRightInd w:val="0"/>
        <w:spacing w:line="360" w:lineRule="auto"/>
        <w:ind w:left="357" w:leftChars="-100" w:hanging="567"/>
        <w:jc w:val="left"/>
        <w:outlineLvl w:val="1"/>
        <w:rPr>
          <w:rFonts w:ascii="宋体" w:hAnsi="宋体" w:eastAsia="宋体" w:cs="宋体"/>
          <w:bCs/>
          <w:color w:val="auto"/>
          <w:kern w:val="0"/>
          <w:szCs w:val="21"/>
          <w:highlight w:val="none"/>
          <w:lang w:val="zh-CN"/>
        </w:rPr>
      </w:pPr>
      <w:bookmarkStart w:id="186" w:name="_Toc16089"/>
      <w:r>
        <w:rPr>
          <w:rFonts w:hint="eastAsia" w:ascii="宋体" w:hAnsi="宋体" w:eastAsia="宋体" w:cs="宋体"/>
          <w:bCs/>
          <w:color w:val="auto"/>
          <w:kern w:val="0"/>
          <w:szCs w:val="21"/>
          <w:highlight w:val="none"/>
          <w:lang w:val="zh-CN"/>
        </w:rPr>
        <w:t>15.3 提交保证金时应符合下列规定：</w:t>
      </w:r>
      <w:bookmarkEnd w:id="186"/>
    </w:p>
    <w:p w14:paraId="297C7610">
      <w:pPr>
        <w:spacing w:line="360" w:lineRule="auto"/>
        <w:ind w:firstLine="777" w:firstLineChars="3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w:t>
      </w:r>
      <w:r>
        <w:rPr>
          <w:rFonts w:hint="eastAsia" w:ascii="宋体" w:hAnsi="宋体" w:eastAsia="宋体" w:cs="Times New Roman"/>
          <w:color w:val="auto"/>
          <w:kern w:val="0"/>
          <w:szCs w:val="21"/>
          <w:highlight w:val="none"/>
        </w:rPr>
        <w:t>到达</w:t>
      </w:r>
      <w:r>
        <w:rPr>
          <w:rFonts w:hint="eastAsia" w:ascii="宋体" w:hAnsi="宋体" w:eastAsia="宋体" w:cs="宋体"/>
          <w:color w:val="auto"/>
          <w:kern w:val="0"/>
          <w:szCs w:val="21"/>
          <w:highlight w:val="none"/>
        </w:rPr>
        <w:t>以下账户上</w:t>
      </w:r>
      <w:r>
        <w:rPr>
          <w:rFonts w:hint="eastAsia" w:ascii="宋体" w:hAnsi="宋体" w:eastAsia="宋体" w:cs="宋体"/>
          <w:b/>
          <w:bCs/>
          <w:color w:val="auto"/>
          <w:kern w:val="0"/>
          <w:szCs w:val="21"/>
          <w:highlight w:val="none"/>
          <w:lang w:val="en-US" w:eastAsia="zh-CN"/>
        </w:rPr>
        <w:t>并注明招标编号</w:t>
      </w:r>
      <w:r>
        <w:rPr>
          <w:rFonts w:hint="eastAsia" w:ascii="宋体" w:hAnsi="宋体" w:eastAsia="宋体" w:cs="宋体"/>
          <w:color w:val="auto"/>
          <w:kern w:val="0"/>
          <w:szCs w:val="21"/>
          <w:highlight w:val="none"/>
        </w:rPr>
        <w:t>。</w:t>
      </w:r>
    </w:p>
    <w:p w14:paraId="58429662">
      <w:pPr>
        <w:autoSpaceDE w:val="0"/>
        <w:autoSpaceDN w:val="0"/>
        <w:adjustRightInd w:val="0"/>
        <w:spacing w:line="360" w:lineRule="auto"/>
        <w:ind w:left="225" w:leftChars="107" w:firstLine="491" w:firstLineChars="233"/>
        <w:jc w:val="left"/>
        <w:rPr>
          <w:rFonts w:ascii="宋体" w:hAnsi="宋体" w:eastAsia="宋体" w:cs="宋体"/>
          <w:b/>
          <w:bCs/>
          <w:color w:val="auto"/>
          <w:kern w:val="0"/>
          <w:szCs w:val="21"/>
          <w:lang w:val="zh-CN"/>
        </w:rPr>
      </w:pPr>
      <w:r>
        <w:rPr>
          <w:rFonts w:hint="eastAsia" w:ascii="宋体" w:hAnsi="宋体" w:eastAsia="宋体" w:cs="宋体"/>
          <w:b/>
          <w:bCs/>
          <w:color w:val="auto"/>
          <w:kern w:val="0"/>
          <w:szCs w:val="21"/>
          <w:lang w:val="zh-CN"/>
        </w:rPr>
        <w:t>开户名称：东莞市水务集团管网有限公司</w:t>
      </w:r>
    </w:p>
    <w:p w14:paraId="5C0C05BE">
      <w:pPr>
        <w:autoSpaceDE w:val="0"/>
        <w:autoSpaceDN w:val="0"/>
        <w:adjustRightInd w:val="0"/>
        <w:spacing w:line="360" w:lineRule="auto"/>
        <w:ind w:left="225" w:leftChars="107" w:firstLine="491" w:firstLineChars="233"/>
        <w:jc w:val="left"/>
        <w:rPr>
          <w:rFonts w:ascii="宋体" w:hAnsi="宋体" w:eastAsia="宋体" w:cs="宋体"/>
          <w:b/>
          <w:bCs/>
          <w:color w:val="auto"/>
          <w:kern w:val="0"/>
          <w:szCs w:val="21"/>
          <w:lang w:val="zh-CN"/>
        </w:rPr>
      </w:pPr>
      <w:r>
        <w:rPr>
          <w:rFonts w:hint="eastAsia" w:ascii="宋体" w:hAnsi="宋体" w:eastAsia="宋体" w:cs="宋体"/>
          <w:b/>
          <w:bCs/>
          <w:color w:val="auto"/>
          <w:kern w:val="0"/>
          <w:szCs w:val="21"/>
          <w:lang w:val="zh-CN"/>
        </w:rPr>
        <w:t xml:space="preserve">开户银行：中信银行东莞分行营业部 </w:t>
      </w:r>
    </w:p>
    <w:p w14:paraId="39FF9651">
      <w:pPr>
        <w:autoSpaceDE w:val="0"/>
        <w:autoSpaceDN w:val="0"/>
        <w:adjustRightInd w:val="0"/>
        <w:spacing w:line="360" w:lineRule="auto"/>
        <w:ind w:left="225" w:leftChars="107" w:firstLine="491" w:firstLineChars="233"/>
        <w:jc w:val="left"/>
        <w:rPr>
          <w:rFonts w:ascii="宋体" w:hAnsi="宋体" w:eastAsia="宋体" w:cs="宋体"/>
          <w:b/>
          <w:bCs/>
          <w:color w:val="auto"/>
          <w:kern w:val="0"/>
          <w:szCs w:val="21"/>
          <w:u w:val="single"/>
        </w:rPr>
      </w:pPr>
      <w:r>
        <w:rPr>
          <w:rFonts w:hint="eastAsia" w:ascii="宋体" w:hAnsi="宋体" w:eastAsia="宋体" w:cs="宋体"/>
          <w:b/>
          <w:bCs/>
          <w:color w:val="auto"/>
          <w:kern w:val="0"/>
          <w:szCs w:val="21"/>
          <w:lang w:val="zh-CN"/>
        </w:rPr>
        <w:t>银行账号：8114801014000043052</w:t>
      </w:r>
    </w:p>
    <w:p w14:paraId="6540238F">
      <w:pPr>
        <w:spacing w:line="360" w:lineRule="auto"/>
        <w:ind w:left="210" w:leftChars="100" w:firstLine="211" w:firstLineChars="1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14:paraId="7E4D9400">
      <w:pPr>
        <w:autoSpaceDE w:val="0"/>
        <w:autoSpaceDN w:val="0"/>
        <w:adjustRightInd w:val="0"/>
        <w:spacing w:line="360" w:lineRule="auto"/>
        <w:ind w:left="357" w:leftChars="-100" w:hanging="567" w:hangingChars="270"/>
        <w:jc w:val="left"/>
        <w:rPr>
          <w:rFonts w:ascii="宋体" w:hAnsi="宋体" w:eastAsia="宋体" w:cs="宋体"/>
          <w:b/>
          <w:bCs/>
          <w:color w:val="auto"/>
          <w:kern w:val="0"/>
          <w:szCs w:val="24"/>
          <w:highlight w:val="none"/>
        </w:rPr>
      </w:pPr>
      <w:r>
        <w:rPr>
          <w:rFonts w:hint="eastAsia" w:ascii="宋体" w:hAnsi="宋体" w:eastAsia="宋体" w:cs="宋体"/>
          <w:bCs/>
          <w:color w:val="auto"/>
          <w:szCs w:val="21"/>
          <w:highlight w:val="none"/>
          <w:lang w:val="zh-CN"/>
        </w:rPr>
        <w:t>15.4</w:t>
      </w:r>
      <w:r>
        <w:rPr>
          <w:rFonts w:ascii="宋体" w:hAnsi="宋体" w:eastAsia="宋体" w:cs="宋体"/>
          <w:bCs/>
          <w:color w:val="auto"/>
          <w:szCs w:val="21"/>
          <w:highlight w:val="none"/>
          <w:lang w:val="zh-CN"/>
        </w:rPr>
        <w:t xml:space="preserve">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14:paraId="1900B4CB">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的投标人的投标保证金，最迟应在本项目的书面合同签订后5日内，按照其投标保证金支付凭证上注明的收款人名称和账号予以退还，除非</w:t>
      </w:r>
      <w:r>
        <w:rPr>
          <w:rFonts w:hint="eastAsia" w:ascii="宋体" w:hAnsi="宋体" w:eastAsia="宋体" w:cs="Times New Roman"/>
          <w:color w:val="auto"/>
          <w:kern w:val="0"/>
          <w:szCs w:val="21"/>
          <w:highlight w:val="none"/>
        </w:rPr>
        <w:t>投标保证金</w:t>
      </w:r>
      <w:r>
        <w:rPr>
          <w:rFonts w:hint="eastAsia" w:ascii="宋体" w:hAnsi="宋体" w:eastAsia="宋体" w:cs="宋体"/>
          <w:color w:val="auto"/>
          <w:kern w:val="0"/>
          <w:szCs w:val="21"/>
          <w:highlight w:val="none"/>
        </w:rPr>
        <w:t>有效期已延长。</w:t>
      </w:r>
    </w:p>
    <w:p w14:paraId="44182D68">
      <w:pPr>
        <w:spacing w:line="360" w:lineRule="auto"/>
        <w:ind w:left="357" w:leftChars="-100" w:hanging="567" w:hangingChars="27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中标人的投标保证金，满足下列要求，并最迟应在本项目的书面合同签订后5日内退还。</w:t>
      </w:r>
    </w:p>
    <w:p w14:paraId="22287153">
      <w:pPr>
        <w:autoSpaceDE w:val="0"/>
        <w:autoSpaceDN w:val="0"/>
        <w:adjustRightInd w:val="0"/>
        <w:spacing w:line="360" w:lineRule="auto"/>
        <w:ind w:left="357" w:leftChars="-100" w:hanging="567"/>
        <w:outlineLvl w:val="2"/>
        <w:rPr>
          <w:rFonts w:ascii="宋体" w:hAnsi="宋体" w:eastAsia="宋体" w:cs="宋体"/>
          <w:color w:val="auto"/>
          <w:szCs w:val="21"/>
          <w:highlight w:val="none"/>
          <w:lang w:val="zh-CN"/>
        </w:rPr>
      </w:pPr>
      <w:bookmarkStart w:id="187" w:name="_Toc3863"/>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bookmarkEnd w:id="187"/>
    </w:p>
    <w:p w14:paraId="0A16A20F">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14:paraId="58D02B1A">
      <w:pPr>
        <w:spacing w:line="360" w:lineRule="auto"/>
        <w:ind w:left="315" w:leftChars="-100" w:hanging="525" w:hangingChars="250"/>
        <w:rPr>
          <w:rFonts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14:paraId="08A7EFED">
      <w:pPr>
        <w:numPr>
          <w:ilvl w:val="2"/>
          <w:numId w:val="0"/>
        </w:numPr>
        <w:autoSpaceDE w:val="0"/>
        <w:autoSpaceDN w:val="0"/>
        <w:adjustRightInd w:val="0"/>
        <w:spacing w:line="360" w:lineRule="auto"/>
        <w:ind w:left="853" w:leftChars="136" w:hanging="567"/>
        <w:jc w:val="left"/>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14:paraId="7BBB51C3">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14:paraId="471F4F95">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14:paraId="280C1AFB">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14:paraId="6C1CE1EF">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）将中标项目转让给他人，或者在投标文件中未说明，且未经招标人同意，将中标项目的合同</w:t>
      </w:r>
      <w:r>
        <w:rPr>
          <w:rFonts w:ascii="宋体" w:hAnsi="宋体" w:eastAsia="宋体" w:cs="宋体"/>
          <w:color w:val="auto"/>
          <w:szCs w:val="21"/>
          <w:highlight w:val="none"/>
          <w:lang w:val="zh-CN"/>
        </w:rPr>
        <w:t>的权利义务转让</w:t>
      </w:r>
      <w:r>
        <w:rPr>
          <w:rFonts w:hint="eastAsia" w:ascii="宋体" w:hAnsi="宋体" w:eastAsia="宋体" w:cs="宋体"/>
          <w:color w:val="auto"/>
          <w:szCs w:val="21"/>
          <w:highlight w:val="none"/>
          <w:lang w:val="zh-CN"/>
        </w:rPr>
        <w:t>给第三</w:t>
      </w:r>
      <w:r>
        <w:rPr>
          <w:rFonts w:ascii="宋体" w:hAnsi="宋体" w:eastAsia="宋体" w:cs="宋体"/>
          <w:color w:val="auto"/>
          <w:szCs w:val="21"/>
          <w:highlight w:val="none"/>
          <w:lang w:val="zh-CN"/>
        </w:rPr>
        <w:t>方</w:t>
      </w:r>
      <w:r>
        <w:rPr>
          <w:rFonts w:hint="eastAsia" w:ascii="宋体" w:hAnsi="宋体" w:eastAsia="宋体" w:cs="宋体"/>
          <w:color w:val="auto"/>
          <w:szCs w:val="21"/>
          <w:highlight w:val="none"/>
          <w:lang w:val="zh-CN"/>
        </w:rPr>
        <w:t>的；</w:t>
      </w:r>
    </w:p>
    <w:p w14:paraId="60A843A1">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14:paraId="598EBA2B">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14:paraId="2205037D">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88" w:name="_Toc11787"/>
      <w:bookmarkStart w:id="189" w:name="_Toc142508330"/>
      <w:bookmarkStart w:id="190" w:name="_Toc1458"/>
      <w:bookmarkStart w:id="191" w:name="_Toc486167680"/>
      <w:bookmarkStart w:id="192" w:name="_Toc22649_WPSOffice_Level3"/>
      <w:bookmarkStart w:id="193" w:name="_Toc29607"/>
      <w:bookmarkStart w:id="194" w:name="_Toc450662865"/>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bookmarkEnd w:id="188"/>
      <w:bookmarkEnd w:id="189"/>
      <w:bookmarkEnd w:id="190"/>
      <w:bookmarkEnd w:id="191"/>
      <w:bookmarkEnd w:id="192"/>
      <w:bookmarkEnd w:id="193"/>
      <w:bookmarkEnd w:id="194"/>
    </w:p>
    <w:p w14:paraId="74F25837">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14:paraId="7C53AEB7">
      <w:pPr>
        <w:autoSpaceDE w:val="0"/>
        <w:autoSpaceDN w:val="0"/>
        <w:adjustRightInd w:val="0"/>
        <w:spacing w:line="360" w:lineRule="auto"/>
        <w:ind w:left="357" w:leftChars="-100" w:hanging="567"/>
        <w:outlineLvl w:val="1"/>
        <w:rPr>
          <w:rFonts w:ascii="宋体" w:hAnsi="宋体" w:eastAsia="宋体" w:cs="宋体"/>
          <w:color w:val="auto"/>
          <w:szCs w:val="21"/>
          <w:highlight w:val="none"/>
          <w:lang w:val="zh-CN"/>
        </w:rPr>
      </w:pPr>
      <w:bookmarkStart w:id="195" w:name="_Toc20376"/>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bookmarkEnd w:id="195"/>
    </w:p>
    <w:p w14:paraId="6CC25D6B">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highlight w:val="none"/>
          <w:lang w:val="zh-CN"/>
        </w:rPr>
        <w:t>，招标</w:t>
      </w:r>
      <w:r>
        <w:rPr>
          <w:rFonts w:hint="eastAsia" w:ascii="宋体" w:hAnsi="宋体" w:eastAsia="宋体" w:cs="Times New Roman"/>
          <w:color w:val="auto"/>
          <w:szCs w:val="21"/>
          <w:highlight w:val="none"/>
          <w:lang w:val="en-US" w:eastAsia="zh-CN"/>
        </w:rPr>
        <w:t>人</w:t>
      </w:r>
      <w:r>
        <w:rPr>
          <w:rFonts w:hint="eastAsia" w:ascii="宋体" w:hAnsi="宋体" w:eastAsia="宋体" w:cs="Times New Roman"/>
          <w:color w:val="auto"/>
          <w:szCs w:val="21"/>
          <w:highlight w:val="none"/>
          <w:lang w:val="zh-CN"/>
        </w:rPr>
        <w:t>将退还</w:t>
      </w:r>
      <w:r>
        <w:rPr>
          <w:rFonts w:hint="eastAsia" w:ascii="宋体" w:hAnsi="宋体" w:eastAsia="宋体" w:cs="宋体"/>
          <w:color w:val="auto"/>
          <w:szCs w:val="21"/>
          <w:highlight w:val="none"/>
          <w:lang w:val="zh-CN"/>
        </w:rPr>
        <w:t>其投标保证金。对于同意该要求的投标人，既不要求也不允许其修改投标文件，但将要求其相应延长投标保证金的有效期。第15条投标保证金的有关规定在投标保证金延长期内仍适用。</w:t>
      </w:r>
    </w:p>
    <w:p w14:paraId="1283CA49">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66DC9A0D">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96" w:name="_Toc450662866"/>
      <w:bookmarkStart w:id="197" w:name="_Toc10082"/>
      <w:bookmarkStart w:id="198" w:name="_Toc20422"/>
      <w:bookmarkStart w:id="199" w:name="_Toc486167681"/>
      <w:bookmarkStart w:id="200" w:name="_Toc142508331"/>
      <w:bookmarkStart w:id="201" w:name="_Toc932"/>
      <w:bookmarkStart w:id="202" w:name="_Toc25637_WPSOffice_Level3"/>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bookmarkEnd w:id="196"/>
      <w:bookmarkEnd w:id="197"/>
      <w:bookmarkEnd w:id="198"/>
      <w:bookmarkEnd w:id="199"/>
      <w:bookmarkEnd w:id="200"/>
      <w:bookmarkEnd w:id="201"/>
      <w:bookmarkEnd w:id="202"/>
    </w:p>
    <w:p w14:paraId="40FF4188">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w:t>
      </w:r>
      <w:r>
        <w:rPr>
          <w:rFonts w:hint="eastAsia" w:ascii="宋体" w:hAnsi="宋体" w:eastAsia="宋体" w:cs="Times New Roman"/>
          <w:b/>
          <w:color w:val="auto"/>
          <w:szCs w:val="21"/>
          <w:highlight w:val="none"/>
          <w:u w:val="single"/>
          <w:lang w:val="zh-CN"/>
        </w:rPr>
        <w:t>一份投标文件电子文件、</w:t>
      </w:r>
      <w:r>
        <w:rPr>
          <w:rFonts w:hint="eastAsia" w:ascii="宋体" w:hAnsi="宋体" w:eastAsia="宋体" w:cs="宋体"/>
          <w:b/>
          <w:color w:val="auto"/>
          <w:szCs w:val="21"/>
          <w:highlight w:val="none"/>
          <w:u w:val="single"/>
          <w:lang w:val="zh-CN"/>
        </w:rPr>
        <w:t>一份正本和五份副本“投标文件”</w:t>
      </w:r>
      <w:r>
        <w:rPr>
          <w:rFonts w:hint="eastAsia" w:ascii="宋体" w:hAnsi="宋体" w:eastAsia="宋体" w:cs="宋体"/>
          <w:color w:val="auto"/>
          <w:szCs w:val="21"/>
          <w:highlight w:val="none"/>
          <w:lang w:val="zh-CN"/>
        </w:rPr>
        <w:t>，</w:t>
      </w:r>
      <w:r>
        <w:rPr>
          <w:rFonts w:hint="eastAsia" w:ascii="宋体" w:hAnsi="宋体" w:eastAsia="宋体" w:cs="Times New Roman"/>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auto"/>
          <w:szCs w:val="21"/>
          <w:highlight w:val="none"/>
          <w:lang w:val="zh-CN"/>
        </w:rPr>
        <w:t>。</w:t>
      </w:r>
    </w:p>
    <w:p w14:paraId="73818BAA">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Times New Roman"/>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color w:val="auto"/>
          <w:szCs w:val="21"/>
          <w:highlight w:val="none"/>
          <w:lang w:val="zh-CN"/>
        </w:rPr>
        <w:t>“</w:t>
      </w:r>
      <w:r>
        <w:rPr>
          <w:rFonts w:hint="eastAsia" w:ascii="宋体" w:hAnsi="宋体" w:eastAsia="宋体" w:cs="宋体"/>
          <w:color w:val="auto"/>
          <w:szCs w:val="21"/>
          <w:lang w:val="zh-CN"/>
        </w:rPr>
        <w:t>法定代表人授权书</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以书面形式附在投标文件中。</w:t>
      </w:r>
      <w:r>
        <w:rPr>
          <w:rFonts w:hint="eastAsia" w:ascii="宋体" w:hAnsi="宋体" w:eastAsia="宋体" w:cs="Times New Roman"/>
          <w:color w:val="auto"/>
          <w:szCs w:val="21"/>
          <w:highlight w:val="none"/>
          <w:lang w:val="zh-CN"/>
        </w:rPr>
        <w:t>副本文件可由正本文件复印而成。</w:t>
      </w:r>
    </w:p>
    <w:p w14:paraId="74B0F6B5">
      <w:pPr>
        <w:autoSpaceDE w:val="0"/>
        <w:autoSpaceDN w:val="0"/>
        <w:adjustRightInd w:val="0"/>
        <w:spacing w:line="360" w:lineRule="auto"/>
        <w:ind w:left="357" w:leftChars="-100" w:hanging="567"/>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w:t>
      </w:r>
      <w:r>
        <w:rPr>
          <w:rFonts w:hint="eastAsia" w:ascii="宋体" w:hAnsi="宋体" w:eastAsia="宋体" w:cs="Times New Roman"/>
          <w:bCs/>
          <w:color w:val="auto"/>
          <w:szCs w:val="21"/>
          <w:highlight w:val="none"/>
          <w:lang w:val="zh-CN"/>
        </w:rPr>
        <w:t>法人</w:t>
      </w:r>
      <w:r>
        <w:rPr>
          <w:rFonts w:hint="eastAsia" w:ascii="宋体" w:hAnsi="宋体" w:eastAsia="宋体" w:cs="宋体"/>
          <w:bCs/>
          <w:color w:val="auto"/>
          <w:szCs w:val="21"/>
          <w:highlight w:val="none"/>
          <w:lang w:val="zh-CN"/>
        </w:rPr>
        <w:t>公章。</w:t>
      </w:r>
    </w:p>
    <w:p w14:paraId="2C858C30">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 xml:space="preserve">  投标文件的封面应注明“项目名称、招标编号、投标人名称、投标日期等”。</w:t>
      </w:r>
    </w:p>
    <w:p w14:paraId="48ED0F87">
      <w:pPr>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w:t>
      </w:r>
      <w:r>
        <w:rPr>
          <w:rFonts w:hint="eastAsia" w:ascii="宋体" w:hAnsi="宋体" w:eastAsia="宋体" w:cs="Times New Roman"/>
          <w:color w:val="auto"/>
          <w:szCs w:val="21"/>
          <w:highlight w:val="none"/>
          <w:lang w:val="zh-CN"/>
        </w:rPr>
        <w:t>可密封于</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内（若电子文件单独密封，其包装封面需注明项目名称、招标编号、投标人单位名称，并加盖投标人法人公章）</w:t>
      </w:r>
      <w:r>
        <w:rPr>
          <w:rFonts w:hint="eastAsia" w:ascii="宋体" w:hAnsi="宋体" w:eastAsia="宋体" w:cs="宋体"/>
          <w:color w:val="auto"/>
          <w:szCs w:val="21"/>
          <w:highlight w:val="none"/>
          <w:lang w:val="zh-CN"/>
        </w:rPr>
        <w:t>。</w:t>
      </w:r>
    </w:p>
    <w:p w14:paraId="65AB7EC1">
      <w:pPr>
        <w:autoSpaceDE w:val="0"/>
        <w:autoSpaceDN w:val="0"/>
        <w:adjustRightInd w:val="0"/>
        <w:spacing w:line="360" w:lineRule="auto"/>
        <w:ind w:left="357" w:leftChars="-100" w:hanging="567"/>
        <w:outlineLvl w:val="1"/>
        <w:rPr>
          <w:rFonts w:ascii="宋体" w:hAnsi="宋体" w:eastAsia="宋体" w:cs="宋体"/>
          <w:color w:val="auto"/>
          <w:szCs w:val="21"/>
          <w:highlight w:val="none"/>
          <w:lang w:val="zh-CN"/>
        </w:rPr>
      </w:pPr>
      <w:bookmarkStart w:id="203" w:name="_Toc927"/>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bookmarkEnd w:id="203"/>
    </w:p>
    <w:p w14:paraId="56E6E1D6">
      <w:pPr>
        <w:autoSpaceDE w:val="0"/>
        <w:autoSpaceDN w:val="0"/>
        <w:adjustRightInd w:val="0"/>
        <w:jc w:val="left"/>
        <w:rPr>
          <w:rFonts w:ascii="宋体" w:hAnsi="宋体" w:eastAsia="宋体" w:cs="宋体"/>
          <w:color w:val="auto"/>
          <w:kern w:val="0"/>
          <w:sz w:val="24"/>
          <w:szCs w:val="24"/>
          <w:highlight w:val="none"/>
        </w:rPr>
      </w:pPr>
      <w:bookmarkStart w:id="204" w:name="_Toc450662867"/>
    </w:p>
    <w:p w14:paraId="16192133">
      <w:pPr>
        <w:keepNext/>
        <w:keepLines/>
        <w:tabs>
          <w:tab w:val="left" w:pos="509"/>
        </w:tabs>
        <w:autoSpaceDE w:val="0"/>
        <w:autoSpaceDN w:val="0"/>
        <w:adjustRightInd w:val="0"/>
        <w:spacing w:line="360" w:lineRule="auto"/>
        <w:jc w:val="left"/>
        <w:outlineLvl w:val="2"/>
        <w:rPr>
          <w:rFonts w:ascii="宋体" w:hAnsi="宋体" w:eastAsia="宋体" w:cs="宋体"/>
          <w:color w:val="auto"/>
          <w:kern w:val="0"/>
          <w:sz w:val="24"/>
          <w:szCs w:val="24"/>
          <w:highlight w:val="none"/>
        </w:rPr>
      </w:pPr>
      <w:bookmarkStart w:id="205" w:name="_Toc142508332"/>
      <w:bookmarkStart w:id="206" w:name="_Toc26605"/>
      <w:bookmarkStart w:id="207" w:name="_Toc17199"/>
      <w:bookmarkStart w:id="208" w:name="_Toc140596891"/>
      <w:bookmarkStart w:id="209" w:name="_Toc22356_WPSOffice_Level2"/>
      <w:bookmarkStart w:id="210" w:name="_Toc486167682"/>
      <w:bookmarkStart w:id="211" w:name="_Toc14662"/>
      <w:r>
        <w:rPr>
          <w:rFonts w:hint="eastAsia" w:ascii="宋体" w:hAnsi="宋体" w:eastAsia="宋体" w:cs="宋体"/>
          <w:b/>
          <w:bCs/>
          <w:color w:val="auto"/>
          <w:kern w:val="44"/>
          <w:szCs w:val="21"/>
          <w:highlight w:val="none"/>
          <w:lang w:val="zh-CN"/>
        </w:rPr>
        <w:t>四、投标文件的递交</w:t>
      </w:r>
      <w:bookmarkEnd w:id="204"/>
      <w:bookmarkEnd w:id="205"/>
      <w:bookmarkEnd w:id="206"/>
      <w:bookmarkEnd w:id="207"/>
      <w:bookmarkEnd w:id="208"/>
      <w:bookmarkEnd w:id="209"/>
      <w:bookmarkEnd w:id="210"/>
      <w:bookmarkEnd w:id="211"/>
    </w:p>
    <w:p w14:paraId="7B1BCD2E">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12" w:name="_Toc486167683"/>
      <w:bookmarkStart w:id="213" w:name="_Toc31551"/>
      <w:bookmarkStart w:id="214" w:name="_Toc450662868"/>
      <w:bookmarkStart w:id="215" w:name="_Toc29885"/>
      <w:bookmarkStart w:id="216" w:name="_Toc6570"/>
      <w:bookmarkStart w:id="217" w:name="_Toc12192_WPSOffice_Level3"/>
      <w:bookmarkStart w:id="218" w:name="_Toc142508333"/>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bookmarkEnd w:id="212"/>
      <w:bookmarkEnd w:id="213"/>
      <w:bookmarkEnd w:id="214"/>
      <w:bookmarkEnd w:id="215"/>
      <w:bookmarkEnd w:id="216"/>
      <w:bookmarkEnd w:id="217"/>
      <w:bookmarkEnd w:id="218"/>
    </w:p>
    <w:p w14:paraId="0402E82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w:t>
      </w:r>
      <w:r>
        <w:rPr>
          <w:rFonts w:hint="eastAsia" w:ascii="宋体" w:hAnsi="宋体" w:eastAsia="宋体" w:cs="Times New Roman"/>
          <w:color w:val="auto"/>
          <w:szCs w:val="21"/>
          <w:highlight w:val="none"/>
          <w:lang w:val="zh-CN"/>
        </w:rPr>
        <w:t>、投标文件电子文件</w:t>
      </w:r>
      <w:r>
        <w:rPr>
          <w:rFonts w:hint="eastAsia" w:ascii="宋体" w:hAnsi="宋体" w:eastAsia="宋体" w:cs="宋体"/>
          <w:color w:val="auto"/>
          <w:szCs w:val="21"/>
          <w:highlight w:val="none"/>
          <w:lang w:val="zh-CN"/>
        </w:rPr>
        <w:t>）密封在不透明的外层封装中。</w:t>
      </w:r>
    </w:p>
    <w:p w14:paraId="2017C6F6">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w:t>
      </w:r>
      <w:r>
        <w:rPr>
          <w:rFonts w:hint="eastAsia" w:ascii="宋体" w:hAnsi="宋体" w:eastAsia="宋体" w:cs="Times New Roman"/>
          <w:b/>
          <w:bCs/>
          <w:color w:val="auto"/>
          <w:szCs w:val="21"/>
          <w:highlight w:val="none"/>
          <w:lang w:val="zh-CN"/>
        </w:rPr>
        <w:t>，与18.1款的投标文件一同提交。</w:t>
      </w:r>
    </w:p>
    <w:p w14:paraId="14901C8E">
      <w:pPr>
        <w:autoSpaceDE w:val="0"/>
        <w:autoSpaceDN w:val="0"/>
        <w:adjustRightInd w:val="0"/>
        <w:spacing w:line="360" w:lineRule="auto"/>
        <w:ind w:left="357" w:leftChars="-100" w:right="15" w:rightChars="7" w:hanging="567"/>
        <w:outlineLvl w:val="1"/>
        <w:rPr>
          <w:rFonts w:ascii="宋体" w:hAnsi="宋体" w:eastAsia="宋体" w:cs="宋体"/>
          <w:color w:val="auto"/>
          <w:szCs w:val="21"/>
          <w:highlight w:val="none"/>
          <w:lang w:val="zh-CN"/>
        </w:rPr>
      </w:pPr>
      <w:bookmarkStart w:id="219" w:name="_Toc4903"/>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bookmarkEnd w:id="219"/>
    </w:p>
    <w:p w14:paraId="33CA461F">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14:paraId="6A09AC44">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）投标文件已密封但不按前述标志封包，由此而引起的提前开封或错放责任由投标人承担；</w:t>
      </w:r>
    </w:p>
    <w:p w14:paraId="0C35DBD0">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（3）不足以造成投标文件可以从外包装内散出而导致投标文件泄密的，不认定为投标文件未密封。</w:t>
      </w:r>
    </w:p>
    <w:p w14:paraId="66CE0DD1">
      <w:pPr>
        <w:tabs>
          <w:tab w:val="left" w:pos="567"/>
        </w:tabs>
        <w:autoSpaceDE w:val="0"/>
        <w:autoSpaceDN w:val="0"/>
        <w:adjustRightInd w:val="0"/>
        <w:spacing w:line="360" w:lineRule="auto"/>
        <w:ind w:left="357" w:leftChars="-100" w:right="15" w:rightChars="7"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w:t>
      </w:r>
      <w:r>
        <w:rPr>
          <w:rFonts w:hint="eastAsia" w:ascii="宋体" w:hAnsi="宋体" w:eastAsia="宋体" w:cs="Times New Roman"/>
          <w:b/>
          <w:color w:val="auto"/>
          <w:szCs w:val="21"/>
          <w:highlight w:val="none"/>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highlight w:val="none"/>
          <w:lang w:val="zh-CN"/>
        </w:rPr>
        <w:t>。</w:t>
      </w:r>
    </w:p>
    <w:p w14:paraId="02A216E1">
      <w:pPr>
        <w:autoSpaceDE w:val="0"/>
        <w:autoSpaceDN w:val="0"/>
        <w:adjustRightInd w:val="0"/>
        <w:spacing w:line="360" w:lineRule="auto"/>
        <w:ind w:left="355" w:leftChars="-101" w:right="15" w:rightChars="7"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w:t>
      </w:r>
      <w:r>
        <w:rPr>
          <w:rFonts w:hint="eastAsia" w:ascii="宋体" w:hAnsi="宋体" w:eastAsia="宋体" w:cs="Times New Roman"/>
          <w:color w:val="auto"/>
          <w:szCs w:val="21"/>
          <w:highlight w:val="none"/>
          <w:lang w:val="zh-CN"/>
        </w:rPr>
        <w:t>由投标人代表</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第一位递交投标文件的投标人代表及主动自愿参与检查的投标人代表</w:t>
      </w:r>
      <w:r>
        <w:rPr>
          <w:rFonts w:ascii="宋体" w:hAnsi="宋体" w:eastAsia="宋体" w:cs="Times New Roman"/>
          <w:color w:val="auto"/>
          <w:szCs w:val="21"/>
          <w:highlight w:val="none"/>
          <w:lang w:val="zh-CN"/>
        </w:rPr>
        <w:t>）和招标人代表</w:t>
      </w:r>
      <w:r>
        <w:rPr>
          <w:rFonts w:hint="eastAsia" w:ascii="宋体" w:hAnsi="宋体" w:eastAsia="宋体" w:cs="Times New Roman"/>
          <w:color w:val="auto"/>
          <w:kern w:val="0"/>
          <w:szCs w:val="21"/>
          <w:highlight w:val="none"/>
          <w:lang w:val="zh-CN"/>
        </w:rPr>
        <w:t>将对所有的投标文件的密封性进行检查</w:t>
      </w:r>
      <w:r>
        <w:rPr>
          <w:rFonts w:ascii="宋体" w:hAnsi="宋体" w:eastAsia="宋体" w:cs="Times New Roman"/>
          <w:color w:val="auto"/>
          <w:szCs w:val="21"/>
          <w:highlight w:val="none"/>
          <w:lang w:val="zh-CN"/>
        </w:rPr>
        <w:t>，并签署进行确认</w:t>
      </w:r>
      <w:r>
        <w:rPr>
          <w:rFonts w:hint="eastAsia" w:ascii="宋体" w:hAnsi="宋体" w:eastAsia="宋体" w:cs="宋体"/>
          <w:color w:val="auto"/>
          <w:szCs w:val="21"/>
          <w:highlight w:val="none"/>
          <w:lang w:val="zh-CN"/>
        </w:rPr>
        <w:t>。</w:t>
      </w:r>
    </w:p>
    <w:p w14:paraId="59AD05F7">
      <w:pPr>
        <w:tabs>
          <w:tab w:val="left" w:pos="567"/>
        </w:tabs>
        <w:autoSpaceDE w:val="0"/>
        <w:autoSpaceDN w:val="0"/>
        <w:adjustRightInd w:val="0"/>
        <w:spacing w:line="360" w:lineRule="auto"/>
        <w:ind w:right="15" w:rightChars="7" w:firstLine="525" w:firstLineChars="250"/>
        <w:rPr>
          <w:rFonts w:ascii="宋体" w:hAnsi="宋体" w:eastAsia="宋体" w:cs="宋体"/>
          <w:color w:val="auto"/>
          <w:szCs w:val="21"/>
          <w:highlight w:val="none"/>
          <w:lang w:val="zh-CN"/>
        </w:rPr>
      </w:pPr>
    </w:p>
    <w:p w14:paraId="087DC12F">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20" w:name="_Toc12582"/>
      <w:bookmarkStart w:id="221" w:name="_Toc450662869"/>
      <w:bookmarkStart w:id="222" w:name="_Toc4979"/>
      <w:bookmarkStart w:id="223" w:name="_Toc15015"/>
      <w:bookmarkStart w:id="224" w:name="_Toc486167684"/>
      <w:bookmarkStart w:id="225" w:name="_Toc29665_WPSOffice_Level3"/>
      <w:bookmarkStart w:id="226" w:name="_Toc142508334"/>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bookmarkEnd w:id="220"/>
      <w:bookmarkEnd w:id="221"/>
      <w:bookmarkEnd w:id="222"/>
      <w:bookmarkEnd w:id="223"/>
      <w:bookmarkEnd w:id="224"/>
      <w:bookmarkEnd w:id="225"/>
      <w:bookmarkEnd w:id="226"/>
    </w:p>
    <w:p w14:paraId="3DCB7E61">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收到投标文件的时间不得迟于第一篇</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招标公告</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中规定的截止时间</w:t>
      </w:r>
      <w:r>
        <w:rPr>
          <w:rFonts w:hint="eastAsia" w:ascii="宋体" w:hAnsi="宋体" w:eastAsia="宋体" w:cs="宋体"/>
          <w:color w:val="auto"/>
          <w:szCs w:val="21"/>
          <w:highlight w:val="none"/>
          <w:lang w:val="zh-CN"/>
        </w:rPr>
        <w:t>。</w:t>
      </w:r>
    </w:p>
    <w:p w14:paraId="2CB21ED5">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可按照第</w:t>
      </w:r>
      <w:r>
        <w:rPr>
          <w:rFonts w:ascii="宋体" w:hAnsi="宋体" w:eastAsia="宋体" w:cs="Times New Roman"/>
          <w:color w:val="auto"/>
          <w:szCs w:val="21"/>
          <w:highlight w:val="none"/>
          <w:lang w:val="zh-CN"/>
        </w:rPr>
        <w:t>7</w:t>
      </w:r>
      <w:r>
        <w:rPr>
          <w:rFonts w:hint="eastAsia" w:ascii="宋体" w:hAnsi="宋体" w:eastAsia="宋体" w:cs="Times New Roman"/>
          <w:color w:val="auto"/>
          <w:szCs w:val="21"/>
          <w:highlight w:val="none"/>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auto"/>
          <w:szCs w:val="21"/>
          <w:highlight w:val="none"/>
          <w:lang w:val="zh-CN"/>
        </w:rPr>
        <w:t>。</w:t>
      </w:r>
    </w:p>
    <w:p w14:paraId="678E336C">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5486C281">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kern w:val="0"/>
          <w:sz w:val="24"/>
          <w:szCs w:val="24"/>
          <w:highlight w:val="none"/>
        </w:rPr>
      </w:pPr>
      <w:bookmarkStart w:id="227" w:name="_Toc7281"/>
      <w:bookmarkStart w:id="228" w:name="_Toc20835"/>
      <w:bookmarkStart w:id="229" w:name="_Toc30287"/>
      <w:bookmarkStart w:id="230" w:name="_Toc486167685"/>
      <w:bookmarkStart w:id="231" w:name="_Toc22431_WPSOffice_Level3"/>
      <w:bookmarkStart w:id="232" w:name="_Toc142508335"/>
      <w:bookmarkStart w:id="233" w:name="_Toc450662870"/>
      <w:r>
        <w:rPr>
          <w:rFonts w:hint="eastAsia" w:ascii="宋体" w:hAnsi="宋体" w:eastAsia="宋体" w:cs="宋体"/>
          <w:color w:val="auto"/>
          <w:szCs w:val="21"/>
          <w:highlight w:val="none"/>
          <w:lang w:val="zh-CN"/>
        </w:rPr>
        <w:t>20 迟交的投标文件</w:t>
      </w:r>
      <w:bookmarkEnd w:id="227"/>
      <w:bookmarkEnd w:id="228"/>
      <w:bookmarkEnd w:id="229"/>
      <w:bookmarkEnd w:id="230"/>
      <w:bookmarkEnd w:id="231"/>
      <w:bookmarkEnd w:id="232"/>
      <w:bookmarkEnd w:id="233"/>
    </w:p>
    <w:p w14:paraId="4B39F1F5">
      <w:pPr>
        <w:autoSpaceDE w:val="0"/>
        <w:autoSpaceDN w:val="0"/>
        <w:adjustRightInd w:val="0"/>
        <w:spacing w:line="360" w:lineRule="auto"/>
        <w:ind w:firstLine="315" w:firstLineChars="1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14:paraId="2CEFE9CF">
      <w:pPr>
        <w:autoSpaceDE w:val="0"/>
        <w:autoSpaceDN w:val="0"/>
        <w:adjustRightInd w:val="0"/>
        <w:jc w:val="left"/>
        <w:rPr>
          <w:rFonts w:ascii="宋体" w:hAnsi="宋体" w:eastAsia="宋体" w:cs="宋体"/>
          <w:color w:val="auto"/>
          <w:kern w:val="0"/>
          <w:sz w:val="24"/>
          <w:szCs w:val="24"/>
          <w:highlight w:val="none"/>
        </w:rPr>
      </w:pPr>
    </w:p>
    <w:p w14:paraId="059A7186">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34" w:name="_Toc4883_WPSOffice_Level3"/>
      <w:bookmarkStart w:id="235" w:name="_Toc486167686"/>
      <w:bookmarkStart w:id="236" w:name="_Toc450662871"/>
      <w:bookmarkStart w:id="237" w:name="_Toc142508336"/>
      <w:bookmarkStart w:id="238" w:name="_Toc3814"/>
      <w:bookmarkStart w:id="239" w:name="_Toc29092"/>
      <w:bookmarkStart w:id="240" w:name="_Toc27851"/>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bookmarkEnd w:id="234"/>
      <w:bookmarkEnd w:id="235"/>
      <w:bookmarkEnd w:id="236"/>
      <w:bookmarkEnd w:id="237"/>
      <w:bookmarkEnd w:id="238"/>
      <w:bookmarkEnd w:id="239"/>
      <w:bookmarkEnd w:id="240"/>
    </w:p>
    <w:p w14:paraId="28A5E397">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14:paraId="3C1E5660">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Times New Roman"/>
          <w:color w:val="auto"/>
          <w:szCs w:val="21"/>
          <w:highlight w:val="none"/>
          <w:lang w:val="zh-CN"/>
        </w:rPr>
        <w:t>投标人对投标文件的修改或撤回的通知应按第</w:t>
      </w:r>
      <w:r>
        <w:rPr>
          <w:rFonts w:ascii="宋体" w:hAnsi="宋体" w:eastAsia="宋体" w:cs="Times New Roman"/>
          <w:color w:val="auto"/>
          <w:szCs w:val="21"/>
          <w:highlight w:val="none"/>
          <w:lang w:val="zh-CN"/>
        </w:rPr>
        <w:t>17</w:t>
      </w:r>
      <w:r>
        <w:rPr>
          <w:rFonts w:hint="eastAsia" w:ascii="宋体" w:hAnsi="宋体" w:eastAsia="宋体" w:cs="Times New Roman"/>
          <w:color w:val="auto"/>
          <w:szCs w:val="21"/>
          <w:highlight w:val="none"/>
          <w:lang w:val="zh-CN"/>
        </w:rPr>
        <w:t>条和第18条规定进行准备、密封、标注和递送</w:t>
      </w:r>
      <w:r>
        <w:rPr>
          <w:rFonts w:hint="eastAsia" w:ascii="宋体" w:hAnsi="宋体" w:eastAsia="宋体" w:cs="宋体"/>
          <w:color w:val="auto"/>
          <w:szCs w:val="21"/>
          <w:highlight w:val="none"/>
          <w:lang w:val="zh-CN"/>
        </w:rPr>
        <w:t>。</w:t>
      </w:r>
    </w:p>
    <w:p w14:paraId="0CAC1B26">
      <w:pPr>
        <w:autoSpaceDE w:val="0"/>
        <w:autoSpaceDN w:val="0"/>
        <w:adjustRightInd w:val="0"/>
        <w:spacing w:line="360" w:lineRule="auto"/>
        <w:ind w:left="357" w:leftChars="-100" w:right="15" w:rightChars="7" w:hanging="567"/>
        <w:outlineLvl w:val="1"/>
        <w:rPr>
          <w:rFonts w:ascii="宋体" w:hAnsi="宋体" w:eastAsia="宋体" w:cs="宋体"/>
          <w:color w:val="auto"/>
          <w:szCs w:val="21"/>
          <w:highlight w:val="none"/>
          <w:lang w:val="zh-CN"/>
        </w:rPr>
      </w:pPr>
      <w:bookmarkStart w:id="241" w:name="_Toc14342"/>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bookmarkEnd w:id="241"/>
    </w:p>
    <w:p w14:paraId="7F94856B">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将按第15.7款（1）规定不予退还其投标保证金。</w:t>
      </w:r>
    </w:p>
    <w:p w14:paraId="7F6D3C5D">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182CB9C8">
      <w:pPr>
        <w:keepNext/>
        <w:keepLines/>
        <w:tabs>
          <w:tab w:val="left" w:pos="509"/>
        </w:tabs>
        <w:autoSpaceDE w:val="0"/>
        <w:autoSpaceDN w:val="0"/>
        <w:adjustRightInd w:val="0"/>
        <w:spacing w:line="360" w:lineRule="auto"/>
        <w:jc w:val="left"/>
        <w:outlineLvl w:val="2"/>
        <w:rPr>
          <w:rFonts w:ascii="宋体" w:hAnsi="宋体" w:eastAsia="宋体" w:cs="宋体"/>
          <w:b/>
          <w:bCs/>
          <w:color w:val="auto"/>
          <w:kern w:val="44"/>
          <w:szCs w:val="21"/>
          <w:highlight w:val="none"/>
          <w:lang w:val="zh-CN"/>
        </w:rPr>
      </w:pPr>
      <w:bookmarkStart w:id="242" w:name="_Toc450662872"/>
      <w:bookmarkStart w:id="243" w:name="_Toc28824"/>
      <w:bookmarkStart w:id="244" w:name="_Toc30428"/>
      <w:bookmarkStart w:id="245" w:name="_Toc1049_WPSOffice_Level2"/>
      <w:bookmarkStart w:id="246" w:name="_Toc12767"/>
      <w:bookmarkStart w:id="247" w:name="_Toc486167687"/>
      <w:bookmarkStart w:id="248" w:name="_Toc140596896"/>
      <w:bookmarkStart w:id="249" w:name="_Toc142508337"/>
      <w:r>
        <w:rPr>
          <w:rFonts w:hint="eastAsia" w:ascii="宋体" w:hAnsi="宋体" w:eastAsia="宋体" w:cs="宋体"/>
          <w:b/>
          <w:bCs/>
          <w:color w:val="auto"/>
          <w:kern w:val="44"/>
          <w:szCs w:val="21"/>
          <w:highlight w:val="none"/>
          <w:lang w:val="zh-CN"/>
        </w:rPr>
        <w:t>五、开标与评标</w:t>
      </w:r>
      <w:bookmarkEnd w:id="242"/>
      <w:bookmarkEnd w:id="243"/>
      <w:bookmarkEnd w:id="244"/>
      <w:bookmarkEnd w:id="245"/>
      <w:bookmarkEnd w:id="246"/>
      <w:bookmarkEnd w:id="247"/>
      <w:bookmarkEnd w:id="248"/>
      <w:bookmarkEnd w:id="249"/>
    </w:p>
    <w:p w14:paraId="7F2EBF34">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50" w:name="_Toc142508338"/>
      <w:bookmarkStart w:id="251" w:name="_Toc11256"/>
      <w:bookmarkStart w:id="252" w:name="_Toc450662873"/>
      <w:bookmarkStart w:id="253" w:name="_Toc486167688"/>
      <w:bookmarkStart w:id="254" w:name="_Toc16520"/>
      <w:bookmarkStart w:id="255" w:name="_Toc8728"/>
      <w:bookmarkStart w:id="256" w:name="_Toc144_WPSOffice_Level3"/>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bookmarkEnd w:id="250"/>
      <w:bookmarkEnd w:id="251"/>
      <w:bookmarkEnd w:id="252"/>
      <w:bookmarkEnd w:id="253"/>
      <w:bookmarkEnd w:id="254"/>
      <w:bookmarkEnd w:id="255"/>
      <w:bookmarkEnd w:id="256"/>
    </w:p>
    <w:p w14:paraId="4EC7E1FB">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 出席代表需登记以示出席。</w:t>
      </w:r>
    </w:p>
    <w:p w14:paraId="5D93F448">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14:paraId="51012091">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lang w:val="en-US" w:eastAsia="zh-CN"/>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lang w:val="en-US" w:eastAsia="zh-CN"/>
        </w:rPr>
        <w:t>相关内容</w:t>
      </w:r>
      <w:r>
        <w:rPr>
          <w:rFonts w:hint="eastAsia" w:ascii="宋体" w:hAnsi="宋体" w:eastAsia="宋体" w:cs="宋体"/>
          <w:color w:val="auto"/>
          <w:szCs w:val="21"/>
          <w:highlight w:val="none"/>
          <w:lang w:val="zh-CN"/>
        </w:rPr>
        <w:t>。若投标人现场未提出异议，则视为投标人确认宣读的结果。</w:t>
      </w:r>
    </w:p>
    <w:p w14:paraId="2B36C477">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投标文件的投标报价大写金额和小写金额不一致的，以大写金额为准。对不同文字文本投标文件的解释发生异议的，以中文文本为准。</w:t>
      </w:r>
    </w:p>
    <w:p w14:paraId="1543CDD9">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14:paraId="7C58AFD2">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14:paraId="7BAE9FC1">
      <w:pPr>
        <w:autoSpaceDE w:val="0"/>
        <w:autoSpaceDN w:val="0"/>
        <w:adjustRightInd w:val="0"/>
        <w:spacing w:line="360" w:lineRule="auto"/>
        <w:ind w:left="357" w:leftChars="-100" w:right="15" w:rightChars="7" w:hanging="567"/>
        <w:rPr>
          <w:rFonts w:ascii="宋体" w:hAnsi="宋体" w:eastAsia="宋体" w:cs="宋体"/>
          <w:color w:val="auto"/>
          <w:kern w:val="0"/>
          <w:szCs w:val="21"/>
          <w:highlight w:val="none"/>
        </w:rPr>
      </w:pPr>
    </w:p>
    <w:p w14:paraId="769164B2">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57" w:name="_Toc12165_WPSOffice_Level3"/>
      <w:bookmarkStart w:id="258" w:name="_Toc450662874"/>
      <w:bookmarkStart w:id="259" w:name="_Toc32534"/>
      <w:bookmarkStart w:id="260" w:name="_Toc13922"/>
      <w:bookmarkStart w:id="261" w:name="_Toc23059"/>
      <w:bookmarkStart w:id="262" w:name="_Toc486167689"/>
      <w:bookmarkStart w:id="263" w:name="_Toc142508339"/>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bookmarkEnd w:id="257"/>
      <w:bookmarkEnd w:id="258"/>
      <w:bookmarkEnd w:id="259"/>
      <w:bookmarkEnd w:id="260"/>
      <w:bookmarkEnd w:id="261"/>
      <w:bookmarkEnd w:id="262"/>
      <w:bookmarkEnd w:id="263"/>
    </w:p>
    <w:p w14:paraId="623B0F10">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w:t>
      </w:r>
      <w:r>
        <w:rPr>
          <w:rFonts w:hint="eastAsia" w:ascii="宋体" w:hAnsi="宋体" w:eastAsia="宋体" w:cs="Times New Roman"/>
          <w:color w:val="auto"/>
          <w:szCs w:val="21"/>
          <w:highlight w:val="none"/>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highlight w:val="none"/>
          <w:lang w:val="zh-CN"/>
        </w:rPr>
        <w:t>。</w:t>
      </w:r>
    </w:p>
    <w:p w14:paraId="23E22781">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14:paraId="5AA6DF8C">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55B04FFF">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64" w:name="_Toc486167690"/>
      <w:bookmarkStart w:id="265" w:name="_Toc142508340"/>
      <w:bookmarkStart w:id="266" w:name="_Toc27646"/>
      <w:bookmarkStart w:id="267" w:name="_Toc16920"/>
      <w:bookmarkStart w:id="268" w:name="_Toc15565_WPSOffice_Level3"/>
      <w:bookmarkStart w:id="269" w:name="_Toc800"/>
      <w:bookmarkStart w:id="270" w:name="_Toc450662875"/>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bookmarkEnd w:id="264"/>
      <w:bookmarkEnd w:id="265"/>
      <w:bookmarkEnd w:id="266"/>
      <w:bookmarkEnd w:id="267"/>
      <w:bookmarkEnd w:id="268"/>
      <w:bookmarkEnd w:id="269"/>
      <w:bookmarkEnd w:id="270"/>
    </w:p>
    <w:p w14:paraId="0F7CEE28">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14:paraId="1DA6C8D1">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14:paraId="67360FC8">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650B016D">
      <w:pPr>
        <w:tabs>
          <w:tab w:val="left" w:pos="567"/>
        </w:tabs>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lang w:val="zh-CN"/>
        </w:rPr>
      </w:pPr>
      <w:bookmarkStart w:id="271" w:name="_Toc18668"/>
      <w:bookmarkStart w:id="272" w:name="_Toc450662876"/>
      <w:bookmarkStart w:id="273" w:name="_Toc486167691"/>
      <w:bookmarkStart w:id="274" w:name="_Toc28910_WPSOffice_Level3"/>
      <w:bookmarkStart w:id="275" w:name="_Toc12715"/>
      <w:bookmarkStart w:id="276" w:name="_Toc142508341"/>
      <w:bookmarkStart w:id="277" w:name="_Toc20381"/>
      <w:r>
        <w:rPr>
          <w:rFonts w:hint="eastAsia" w:ascii="宋体" w:hAnsi="宋体" w:eastAsia="宋体" w:cs="宋体"/>
          <w:b/>
          <w:color w:val="auto"/>
          <w:szCs w:val="21"/>
          <w:highlight w:val="none"/>
          <w:lang w:val="zh-CN"/>
        </w:rPr>
        <w:t>25</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投标文件的初审</w:t>
      </w:r>
      <w:bookmarkEnd w:id="271"/>
      <w:bookmarkEnd w:id="272"/>
      <w:bookmarkEnd w:id="273"/>
      <w:bookmarkEnd w:id="274"/>
      <w:bookmarkEnd w:id="275"/>
      <w:bookmarkEnd w:id="276"/>
      <w:bookmarkEnd w:id="277"/>
    </w:p>
    <w:p w14:paraId="7A7E297E">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14:paraId="755C01B8">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14:paraId="02862641">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14:paraId="6EA9EBF1">
      <w:pPr>
        <w:tabs>
          <w:tab w:val="left" w:pos="52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78" w:name="_Toc4837"/>
      <w:bookmarkStart w:id="279" w:name="_Toc30225"/>
      <w:bookmarkStart w:id="280" w:name="_Toc486167692"/>
      <w:bookmarkStart w:id="281" w:name="_Toc142508342"/>
      <w:bookmarkStart w:id="282" w:name="_Toc338_WPSOffice_Level3"/>
      <w:bookmarkStart w:id="283" w:name="_Toc31128"/>
      <w:bookmarkStart w:id="284" w:name="_Toc450662877"/>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bookmarkEnd w:id="278"/>
      <w:bookmarkEnd w:id="279"/>
      <w:bookmarkEnd w:id="280"/>
      <w:bookmarkEnd w:id="281"/>
      <w:bookmarkEnd w:id="282"/>
      <w:bookmarkEnd w:id="283"/>
      <w:bookmarkEnd w:id="284"/>
    </w:p>
    <w:p w14:paraId="5562BC6A">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2F09FCDA">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bookmarkStart w:id="285"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lang w:val="en-US" w:eastAsia="zh-CN"/>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p w14:paraId="07F1E499">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p>
    <w:bookmarkEnd w:id="285"/>
    <w:p w14:paraId="591198DE">
      <w:pPr>
        <w:tabs>
          <w:tab w:val="left" w:pos="52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86" w:name="_Toc142508343"/>
      <w:bookmarkStart w:id="287" w:name="_Toc18368_WPSOffice_Level3"/>
      <w:bookmarkStart w:id="288" w:name="_Toc521918096"/>
      <w:bookmarkStart w:id="289" w:name="_Toc522047355"/>
      <w:bookmarkStart w:id="290" w:name="_Toc10967"/>
      <w:bookmarkStart w:id="291" w:name="_Toc5775"/>
      <w:bookmarkStart w:id="292" w:name="_Toc22065"/>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bookmarkEnd w:id="286"/>
      <w:bookmarkEnd w:id="287"/>
      <w:bookmarkEnd w:id="288"/>
      <w:bookmarkEnd w:id="289"/>
      <w:bookmarkEnd w:id="290"/>
      <w:bookmarkEnd w:id="291"/>
      <w:bookmarkEnd w:id="292"/>
    </w:p>
    <w:p w14:paraId="4566871A">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14:paraId="11FBA9A6">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14:paraId="48F7559B">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14:paraId="2BC8B280">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14:paraId="0F5BF155">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14:paraId="66B6A861">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14:paraId="39E1586D">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293" w:name="_Toc521918097"/>
      <w:bookmarkStart w:id="294" w:name="_Toc522047356"/>
    </w:p>
    <w:p w14:paraId="68FCBF9B">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95" w:name="_Toc14804"/>
      <w:bookmarkStart w:id="296" w:name="_Toc21460_WPSOffice_Level3"/>
      <w:bookmarkStart w:id="297" w:name="_Toc142508344"/>
      <w:bookmarkStart w:id="298" w:name="_Toc27026"/>
      <w:bookmarkStart w:id="299" w:name="_Toc25247"/>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bookmarkEnd w:id="293"/>
      <w:bookmarkEnd w:id="294"/>
      <w:bookmarkEnd w:id="295"/>
      <w:bookmarkEnd w:id="296"/>
      <w:bookmarkEnd w:id="297"/>
      <w:bookmarkEnd w:id="298"/>
      <w:bookmarkEnd w:id="299"/>
    </w:p>
    <w:p w14:paraId="12D71E39">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14:paraId="20043C35">
      <w:pPr>
        <w:tabs>
          <w:tab w:val="left" w:pos="360"/>
        </w:tabs>
        <w:autoSpaceDE w:val="0"/>
        <w:autoSpaceDN w:val="0"/>
        <w:adjustRightInd w:val="0"/>
        <w:spacing w:line="360" w:lineRule="auto"/>
        <w:ind w:left="330" w:leftChars="-100" w:right="44" w:rightChars="21" w:hanging="540"/>
        <w:outlineLvl w:val="1"/>
        <w:rPr>
          <w:rFonts w:ascii="宋体" w:hAnsi="宋体" w:eastAsia="宋体" w:cs="宋体"/>
          <w:color w:val="auto"/>
          <w:szCs w:val="21"/>
          <w:highlight w:val="none"/>
          <w:lang w:val="zh-CN"/>
        </w:rPr>
      </w:pPr>
      <w:bookmarkStart w:id="300" w:name="_Toc31362"/>
      <w:r>
        <w:rPr>
          <w:rFonts w:hint="eastAsia" w:ascii="宋体" w:hAnsi="宋体" w:eastAsia="宋体" w:cs="宋体"/>
          <w:color w:val="auto"/>
          <w:szCs w:val="21"/>
          <w:highlight w:val="none"/>
          <w:lang w:val="zh-CN"/>
        </w:rPr>
        <w:t>28.2 评标严格按照招标文件的要求和条件进行。</w:t>
      </w:r>
      <w:bookmarkEnd w:id="300"/>
    </w:p>
    <w:p w14:paraId="2391668B">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w:t>
      </w:r>
      <w:r>
        <w:rPr>
          <w:rFonts w:hint="eastAsia" w:ascii="宋体" w:hAnsi="宋体" w:eastAsia="宋体" w:cs="Times New Roman"/>
          <w:color w:val="auto"/>
          <w:szCs w:val="21"/>
          <w:highlight w:val="none"/>
          <w:lang w:val="zh-CN"/>
        </w:rPr>
        <w:t>条</w:t>
      </w:r>
      <w:r>
        <w:rPr>
          <w:rFonts w:hint="eastAsia" w:ascii="宋体" w:hAnsi="宋体" w:eastAsia="宋体" w:cs="宋体"/>
          <w:color w:val="auto"/>
          <w:szCs w:val="21"/>
          <w:highlight w:val="none"/>
          <w:lang w:val="zh-CN"/>
        </w:rPr>
        <w:t>，采用综合评分法的评审方法，对所有实质响应性投标文件进行综合打分。</w:t>
      </w:r>
    </w:p>
    <w:p w14:paraId="68F616FA">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lang w:val="zh-CN"/>
        </w:rPr>
        <w:t>若</w:t>
      </w:r>
      <w:r>
        <w:rPr>
          <w:rFonts w:hint="eastAsia" w:ascii="宋体" w:hAnsi="宋体" w:eastAsia="宋体" w:cs="宋体"/>
          <w:b/>
          <w:bCs/>
          <w:color w:val="auto"/>
          <w:szCs w:val="21"/>
          <w:highlight w:val="none"/>
        </w:rPr>
        <w:t>本次招标过程中有效投标人不足三个时，公开招标失败。</w:t>
      </w:r>
    </w:p>
    <w:p w14:paraId="1DD03223">
      <w:pPr>
        <w:tabs>
          <w:tab w:val="left" w:pos="525"/>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301" w:name="_Toc465358969"/>
      <w:bookmarkStart w:id="302" w:name="_Toc32498_WPSOffice_Level3"/>
      <w:bookmarkStart w:id="303" w:name="_Toc486167694"/>
      <w:bookmarkStart w:id="304" w:name="_Toc11615"/>
      <w:bookmarkStart w:id="305" w:name="_Toc142508345"/>
      <w:bookmarkStart w:id="306" w:name="_Toc4819"/>
      <w:bookmarkStart w:id="307" w:name="_Toc466882017"/>
      <w:bookmarkStart w:id="308" w:name="_Toc20434"/>
    </w:p>
    <w:p w14:paraId="5F394588">
      <w:pPr>
        <w:tabs>
          <w:tab w:val="left" w:pos="52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bookmarkEnd w:id="301"/>
      <w:bookmarkEnd w:id="302"/>
      <w:bookmarkEnd w:id="303"/>
      <w:bookmarkEnd w:id="304"/>
      <w:bookmarkEnd w:id="305"/>
      <w:bookmarkEnd w:id="306"/>
      <w:bookmarkEnd w:id="307"/>
      <w:bookmarkEnd w:id="308"/>
    </w:p>
    <w:p w14:paraId="3461C8D0">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Times New Roman"/>
          <w:color w:val="auto"/>
          <w:szCs w:val="21"/>
          <w:highlight w:val="none"/>
          <w:lang w:val="zh-CN"/>
        </w:rPr>
        <w:t>招标代理机构在招标公告发布媒介公示中标候选人，公示期不得少于3日（最后一日是节假日或公休日的，应顺延到节假日或公休日后第一个工作日）。投标人或者其他利害关系人对评标结果有异议的，应当在</w:t>
      </w:r>
      <w:r>
        <w:rPr>
          <w:rFonts w:hint="eastAsia" w:ascii="宋体" w:hAnsi="宋体" w:eastAsia="宋体" w:cs="Times New Roman"/>
          <w:color w:val="auto"/>
          <w:szCs w:val="21"/>
          <w:highlight w:val="none"/>
        </w:rPr>
        <w:t>评标结果</w:t>
      </w:r>
      <w:r>
        <w:rPr>
          <w:rFonts w:hint="eastAsia" w:ascii="宋体" w:hAnsi="宋体" w:eastAsia="宋体" w:cs="Times New Roman"/>
          <w:color w:val="auto"/>
          <w:szCs w:val="21"/>
          <w:highlight w:val="none"/>
          <w:lang w:val="zh-CN"/>
        </w:rPr>
        <w:t>公示期间向招标代理机构以书面的形式提出，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对评标结果无异议。超出提交异议截止时间而提出的任何疑问，招标代理机构可不予答复</w:t>
      </w:r>
      <w:r>
        <w:rPr>
          <w:rFonts w:hint="eastAsia" w:ascii="宋体" w:hAnsi="宋体" w:eastAsia="宋体" w:cs="宋体"/>
          <w:color w:val="auto"/>
          <w:szCs w:val="21"/>
          <w:highlight w:val="none"/>
          <w:lang w:val="zh-CN"/>
        </w:rPr>
        <w:t>。</w:t>
      </w:r>
    </w:p>
    <w:p w14:paraId="2C5FAC2A">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Times New Roman"/>
          <w:color w:val="auto"/>
          <w:szCs w:val="21"/>
          <w:highlight w:val="none"/>
          <w:lang w:val="zh-CN"/>
        </w:rPr>
        <w:t>招标代理机构将拒收未能提供完整异议书面材料的异议，完整的异议书面材料必须同时包含：异议书（加盖法人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宋体"/>
          <w:color w:val="auto"/>
          <w:kern w:val="0"/>
          <w:szCs w:val="21"/>
          <w:highlight w:val="none"/>
          <w:lang w:val="zh-CN"/>
        </w:rPr>
        <w:t>。</w:t>
      </w:r>
    </w:p>
    <w:p w14:paraId="6A5B938E">
      <w:pPr>
        <w:autoSpaceDE w:val="0"/>
        <w:autoSpaceDN w:val="0"/>
        <w:adjustRightInd w:val="0"/>
        <w:spacing w:line="360" w:lineRule="auto"/>
        <w:ind w:left="284" w:hanging="568"/>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 xml:space="preserve">29.2 </w:t>
      </w:r>
      <w:r>
        <w:rPr>
          <w:rFonts w:hint="eastAsia" w:ascii="宋体" w:hAnsi="宋体" w:eastAsia="宋体" w:cs="Times New Roman"/>
          <w:b/>
          <w:color w:val="auto"/>
          <w:szCs w:val="21"/>
          <w:highlight w:val="none"/>
          <w:lang w:val="zh-CN"/>
        </w:rPr>
        <w:t>结果公示后，招标人有权要求中标候选人在结果公示之日起3日（最后一日是节假日或公休日的，应顺延到节假日或公休日后第一个工作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highlight w:val="none"/>
          <w:lang w:val="zh-CN"/>
        </w:rPr>
        <w:t>移交司法机关处理</w:t>
      </w:r>
      <w:r>
        <w:rPr>
          <w:rFonts w:hint="eastAsia" w:ascii="宋体" w:hAnsi="宋体" w:eastAsia="宋体" w:cs="Times New Roman"/>
          <w:b/>
          <w:color w:val="auto"/>
          <w:szCs w:val="21"/>
          <w:highlight w:val="none"/>
          <w:lang w:val="zh-CN"/>
        </w:rPr>
        <w:t>。</w:t>
      </w:r>
    </w:p>
    <w:p w14:paraId="735B1C36">
      <w:pPr>
        <w:autoSpaceDE w:val="0"/>
        <w:autoSpaceDN w:val="0"/>
        <w:adjustRightInd w:val="0"/>
        <w:snapToGrid w:val="0"/>
        <w:spacing w:line="360" w:lineRule="auto"/>
        <w:ind w:left="246" w:leftChars="117" w:firstLine="422" w:firstLineChars="200"/>
        <w:jc w:val="left"/>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highlight w:val="none"/>
        </w:rPr>
        <w:t>第一中标候选人未能在招标人（或其委托的招标代理机构</w:t>
      </w:r>
      <w:r>
        <w:rPr>
          <w:rFonts w:ascii="宋体" w:hAnsi="宋体" w:eastAsia="宋体" w:cs="Times New Roman"/>
          <w:b/>
          <w:color w:val="auto"/>
          <w:kern w:val="0"/>
          <w:szCs w:val="21"/>
          <w:highlight w:val="none"/>
        </w:rPr>
        <w:t>) 书面要求的时间(一般不少于三个工作日) 内提供完整的材料原件进行核查的</w:t>
      </w:r>
      <w:r>
        <w:rPr>
          <w:rFonts w:hint="eastAsia" w:ascii="宋体" w:hAnsi="宋体" w:eastAsia="宋体" w:cs="Times New Roman"/>
          <w:b/>
          <w:color w:val="auto"/>
          <w:szCs w:val="21"/>
          <w:highlight w:val="none"/>
          <w:lang w:val="zh-CN"/>
        </w:rPr>
        <w:t>，视为其无法提供真实的资料，招标人有权取消其中标候选人资格。</w:t>
      </w:r>
    </w:p>
    <w:p w14:paraId="227170B4">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039DE737">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14:paraId="2871358C">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14:paraId="0FD47B72">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14:paraId="40EB45E0">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14:paraId="7CF557C9">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14:paraId="160C5C7A">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14:paraId="547A0823">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14:paraId="7AD7A0F0">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投诉人投诉的事项不得超出已异议事项的范围，但基于异议答复内容提出的投诉事项除外。</w:t>
      </w:r>
    </w:p>
    <w:p w14:paraId="71419A3E">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监督部门：东莞市水务集团有限公司，联系人：莫先生，联系电话：0769-28823251。</w:t>
      </w:r>
    </w:p>
    <w:p w14:paraId="47E7D1A5">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14:paraId="71FD62FC">
      <w:pPr>
        <w:tabs>
          <w:tab w:val="left" w:pos="567"/>
        </w:tabs>
        <w:autoSpaceDE w:val="0"/>
        <w:autoSpaceDN w:val="0"/>
        <w:adjustRightInd w:val="0"/>
        <w:spacing w:line="360" w:lineRule="auto"/>
        <w:ind w:left="288" w:leftChars="-100" w:hanging="498" w:hangingChars="236"/>
        <w:outlineLvl w:val="0"/>
        <w:rPr>
          <w:rFonts w:ascii="宋体" w:hAnsi="宋体" w:eastAsia="宋体" w:cs="宋体"/>
          <w:b/>
          <w:color w:val="auto"/>
          <w:szCs w:val="21"/>
          <w:highlight w:val="none"/>
          <w:lang w:val="zh-CN"/>
        </w:rPr>
      </w:pPr>
      <w:bookmarkStart w:id="309" w:name="_Toc3154"/>
      <w:bookmarkStart w:id="310" w:name="_Toc26354"/>
      <w:bookmarkStart w:id="311" w:name="_Toc142508346"/>
      <w:bookmarkStart w:id="312" w:name="_Toc465358970"/>
      <w:bookmarkStart w:id="313" w:name="_Toc1385"/>
      <w:bookmarkStart w:id="314" w:name="_Toc1848_WPSOffice_Level3"/>
      <w:bookmarkStart w:id="315" w:name="_Toc466882018"/>
      <w:bookmarkStart w:id="316" w:name="_Toc486167695"/>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309"/>
      <w:bookmarkEnd w:id="310"/>
      <w:bookmarkEnd w:id="311"/>
      <w:bookmarkEnd w:id="312"/>
      <w:bookmarkEnd w:id="313"/>
      <w:bookmarkEnd w:id="314"/>
      <w:bookmarkEnd w:id="315"/>
      <w:bookmarkEnd w:id="316"/>
    </w:p>
    <w:p w14:paraId="450C4EAD">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Times New Roman"/>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077E828E">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Times New Roman"/>
          <w:b/>
          <w:color w:val="auto"/>
          <w:kern w:val="0"/>
          <w:szCs w:val="21"/>
          <w:highlight w:val="none"/>
        </w:rPr>
        <w:t>在招标人（或其委托的招标代理机构）、或评标委员会通知其提供</w:t>
      </w:r>
      <w:r>
        <w:rPr>
          <w:rFonts w:hint="eastAsia" w:ascii="宋体" w:hAnsi="宋体" w:eastAsia="宋体" w:cs="Times New Roman"/>
          <w:b/>
          <w:color w:val="auto"/>
          <w:szCs w:val="21"/>
          <w:highlight w:val="none"/>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29182848">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w:t>
      </w:r>
      <w:r>
        <w:rPr>
          <w:rFonts w:ascii="宋体" w:hAnsi="宋体" w:eastAsia="宋体" w:cs="宋体"/>
          <w:b/>
          <w:color w:val="auto"/>
          <w:szCs w:val="21"/>
          <w:highlight w:val="none"/>
        </w:rPr>
        <w:t>虚假响应</w:t>
      </w:r>
      <w:r>
        <w:rPr>
          <w:rFonts w:hint="eastAsia" w:ascii="宋体" w:hAnsi="宋体" w:eastAsia="宋体" w:cs="宋体"/>
          <w:b/>
          <w:color w:val="auto"/>
          <w:szCs w:val="21"/>
          <w:highlight w:val="none"/>
        </w:rPr>
        <w:t>招标</w:t>
      </w:r>
      <w:r>
        <w:rPr>
          <w:rFonts w:ascii="宋体" w:hAnsi="宋体" w:eastAsia="宋体" w:cs="宋体"/>
          <w:b/>
          <w:color w:val="auto"/>
          <w:szCs w:val="21"/>
          <w:highlight w:val="none"/>
        </w:rPr>
        <w:t>文件</w:t>
      </w:r>
      <w:r>
        <w:rPr>
          <w:rFonts w:hint="eastAsia" w:ascii="宋体" w:hAnsi="宋体" w:eastAsia="宋体" w:cs="宋体"/>
          <w:b/>
          <w:color w:val="auto"/>
          <w:szCs w:val="21"/>
          <w:highlight w:val="none"/>
        </w:rPr>
        <w:t>要求等弄虚作假行为，或未能根据本须知2</w:t>
      </w:r>
      <w:r>
        <w:rPr>
          <w:rFonts w:ascii="宋体" w:hAnsi="宋体" w:eastAsia="宋体" w:cs="宋体"/>
          <w:b/>
          <w:color w:val="auto"/>
          <w:szCs w:val="21"/>
          <w:highlight w:val="none"/>
        </w:rPr>
        <w:t>9.2</w:t>
      </w:r>
      <w:r>
        <w:rPr>
          <w:rFonts w:hint="eastAsia" w:ascii="宋体" w:hAnsi="宋体" w:eastAsia="宋体" w:cs="宋体"/>
          <w:b/>
          <w:color w:val="auto"/>
          <w:szCs w:val="21"/>
          <w:highlight w:val="none"/>
        </w:rPr>
        <w:t>款约定按时提供原件进行核查的，</w:t>
      </w:r>
      <w:r>
        <w:rPr>
          <w:rFonts w:ascii="宋体" w:hAnsi="宋体" w:eastAsia="宋体" w:cs="宋体"/>
          <w:b/>
          <w:color w:val="auto"/>
          <w:szCs w:val="21"/>
          <w:highlight w:val="none"/>
        </w:rPr>
        <w:t>或不按照投标文件承诺履约</w:t>
      </w:r>
      <w:r>
        <w:rPr>
          <w:rFonts w:hint="eastAsia" w:ascii="宋体" w:hAnsi="宋体" w:eastAsia="宋体" w:cs="宋体"/>
          <w:b/>
          <w:color w:val="auto"/>
          <w:szCs w:val="21"/>
          <w:highlight w:val="none"/>
        </w:rPr>
        <w:t>或撤回投标或放弃中标资格或</w:t>
      </w:r>
      <w:r>
        <w:rPr>
          <w:rFonts w:ascii="宋体" w:hAnsi="宋体" w:eastAsia="宋体" w:cs="宋体"/>
          <w:b/>
          <w:color w:val="auto"/>
          <w:szCs w:val="21"/>
          <w:highlight w:val="none"/>
        </w:rPr>
        <w:t>不按要求与招标人签订合同等影响中标结果的行为</w:t>
      </w:r>
      <w:r>
        <w:rPr>
          <w:rFonts w:hint="eastAsia" w:ascii="宋体" w:hAnsi="宋体" w:eastAsia="宋体" w:cs="宋体"/>
          <w:b/>
          <w:color w:val="auto"/>
          <w:szCs w:val="21"/>
          <w:highlight w:val="none"/>
        </w:rPr>
        <w:t>，因此导致投标人无法参与东莞市水务集团有限公司相关招标采购等活动的，由投标人自行承担全部后果。</w:t>
      </w:r>
    </w:p>
    <w:p w14:paraId="0F493857">
      <w:pPr>
        <w:autoSpaceDE w:val="0"/>
        <w:autoSpaceDN w:val="0"/>
        <w:adjustRightInd w:val="0"/>
        <w:snapToGrid w:val="0"/>
        <w:spacing w:line="360" w:lineRule="auto"/>
        <w:jc w:val="left"/>
        <w:rPr>
          <w:rFonts w:ascii="宋体" w:hAnsi="宋体" w:eastAsia="宋体" w:cs="宋体"/>
          <w:color w:val="auto"/>
          <w:szCs w:val="21"/>
          <w:highlight w:val="none"/>
        </w:rPr>
      </w:pPr>
      <w:bookmarkStart w:id="317" w:name="_Toc466882019"/>
      <w:bookmarkStart w:id="318" w:name="_Toc465358971"/>
    </w:p>
    <w:p w14:paraId="55839724">
      <w:pPr>
        <w:tabs>
          <w:tab w:val="left" w:pos="567"/>
        </w:tabs>
        <w:autoSpaceDE w:val="0"/>
        <w:autoSpaceDN w:val="0"/>
        <w:adjustRightInd w:val="0"/>
        <w:spacing w:line="360" w:lineRule="auto"/>
        <w:ind w:left="16" w:leftChars="-59" w:hanging="140" w:hangingChars="67"/>
        <w:outlineLvl w:val="0"/>
        <w:rPr>
          <w:rFonts w:ascii="宋体" w:hAnsi="宋体" w:eastAsia="宋体" w:cs="宋体"/>
          <w:color w:val="auto"/>
          <w:szCs w:val="21"/>
          <w:highlight w:val="none"/>
          <w:lang w:val="zh-CN"/>
        </w:rPr>
      </w:pPr>
      <w:bookmarkStart w:id="319" w:name="_Toc8654"/>
      <w:bookmarkStart w:id="320" w:name="_Toc486167696"/>
      <w:bookmarkStart w:id="321" w:name="_Toc10867_WPSOffice_Level3"/>
      <w:bookmarkStart w:id="322" w:name="_Toc23672"/>
      <w:bookmarkStart w:id="323" w:name="_Toc142508347"/>
      <w:bookmarkStart w:id="324" w:name="_Toc24255"/>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317"/>
      <w:bookmarkEnd w:id="318"/>
      <w:bookmarkEnd w:id="319"/>
      <w:bookmarkEnd w:id="320"/>
      <w:bookmarkEnd w:id="321"/>
      <w:bookmarkEnd w:id="322"/>
      <w:bookmarkEnd w:id="323"/>
      <w:bookmarkEnd w:id="324"/>
    </w:p>
    <w:p w14:paraId="6D8DD267">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14:paraId="31388BEF">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325" w:name="_Toc450662880"/>
    </w:p>
    <w:p w14:paraId="1CD9828C">
      <w:pPr>
        <w:keepNext/>
        <w:keepLines/>
        <w:autoSpaceDE w:val="0"/>
        <w:autoSpaceDN w:val="0"/>
        <w:adjustRightInd w:val="0"/>
        <w:spacing w:line="360" w:lineRule="auto"/>
        <w:jc w:val="left"/>
        <w:outlineLvl w:val="1"/>
        <w:rPr>
          <w:rFonts w:ascii="宋体" w:hAnsi="宋体" w:eastAsia="宋体" w:cs="宋体"/>
          <w:b/>
          <w:bCs/>
          <w:color w:val="auto"/>
          <w:kern w:val="44"/>
          <w:szCs w:val="21"/>
          <w:highlight w:val="none"/>
          <w:lang w:val="zh-CN"/>
        </w:rPr>
      </w:pPr>
      <w:bookmarkStart w:id="326" w:name="_Toc16789"/>
      <w:bookmarkStart w:id="327" w:name="_Toc486167697"/>
      <w:bookmarkStart w:id="328" w:name="_Toc27936"/>
      <w:bookmarkStart w:id="329" w:name="_Toc16848_WPSOffice_Level2"/>
      <w:bookmarkStart w:id="330" w:name="_Toc142508348"/>
      <w:bookmarkStart w:id="331" w:name="_Toc21595"/>
      <w:bookmarkStart w:id="332" w:name="_Toc140596907"/>
      <w:r>
        <w:rPr>
          <w:rFonts w:hint="eastAsia" w:ascii="宋体" w:hAnsi="宋体" w:eastAsia="宋体" w:cs="宋体"/>
          <w:b/>
          <w:bCs/>
          <w:color w:val="auto"/>
          <w:kern w:val="44"/>
          <w:szCs w:val="21"/>
          <w:highlight w:val="none"/>
          <w:lang w:val="zh-CN"/>
        </w:rPr>
        <w:t>六、授予合同</w:t>
      </w:r>
      <w:bookmarkEnd w:id="325"/>
      <w:bookmarkEnd w:id="326"/>
      <w:bookmarkEnd w:id="327"/>
      <w:bookmarkEnd w:id="328"/>
      <w:bookmarkEnd w:id="329"/>
      <w:bookmarkEnd w:id="330"/>
      <w:bookmarkEnd w:id="331"/>
      <w:bookmarkEnd w:id="332"/>
    </w:p>
    <w:p w14:paraId="587F6238">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33" w:name="_Toc24286"/>
      <w:bookmarkStart w:id="334" w:name="_Toc486167698"/>
      <w:bookmarkStart w:id="335" w:name="_Toc29383"/>
      <w:bookmarkStart w:id="336" w:name="_Toc142508349"/>
      <w:bookmarkStart w:id="337" w:name="_Toc6401_WPSOffice_Level3"/>
      <w:bookmarkStart w:id="338" w:name="_Toc450662881"/>
      <w:bookmarkStart w:id="339" w:name="_Toc31713"/>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bookmarkEnd w:id="333"/>
      <w:bookmarkEnd w:id="334"/>
      <w:bookmarkEnd w:id="335"/>
      <w:bookmarkEnd w:id="336"/>
      <w:bookmarkEnd w:id="337"/>
      <w:bookmarkEnd w:id="338"/>
      <w:bookmarkEnd w:id="339"/>
    </w:p>
    <w:p w14:paraId="7F7BC3DA">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14:paraId="2721CD86">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14:paraId="02273EFE">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val="0"/>
          <w:bCs/>
          <w:color w:val="auto"/>
          <w:kern w:val="0"/>
          <w:szCs w:val="21"/>
          <w:highlight w:val="none"/>
        </w:rPr>
        <w:t>。</w:t>
      </w:r>
    </w:p>
    <w:p w14:paraId="69D147BC">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40" w:name="_Toc450662885"/>
    </w:p>
    <w:p w14:paraId="6CB7405F">
      <w:pPr>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41" w:name="_Toc142508350"/>
      <w:bookmarkStart w:id="342" w:name="_Toc27844"/>
      <w:bookmarkStart w:id="343" w:name="_Toc486167699"/>
      <w:bookmarkStart w:id="344" w:name="_Toc6726_WPSOffice_Level3"/>
      <w:bookmarkStart w:id="345" w:name="_Toc8196"/>
      <w:bookmarkStart w:id="346" w:name="_Toc18984"/>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bookmarkEnd w:id="340"/>
      <w:bookmarkEnd w:id="341"/>
      <w:bookmarkEnd w:id="342"/>
      <w:bookmarkEnd w:id="343"/>
      <w:bookmarkEnd w:id="344"/>
      <w:bookmarkEnd w:id="345"/>
      <w:bookmarkEnd w:id="346"/>
    </w:p>
    <w:p w14:paraId="11498B2A">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47"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14:paraId="4A03E037">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14:paraId="0B70B4B0">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1ECA87D1">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48" w:name="_Toc19127"/>
      <w:bookmarkStart w:id="349" w:name="_Toc11375"/>
      <w:bookmarkStart w:id="350" w:name="_Toc9694_WPSOffice_Level3"/>
      <w:bookmarkStart w:id="351" w:name="_Toc28020"/>
      <w:bookmarkStart w:id="352" w:name="_Toc486167700"/>
      <w:bookmarkStart w:id="353" w:name="_Toc142508351"/>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bookmarkEnd w:id="347"/>
      <w:bookmarkEnd w:id="348"/>
      <w:bookmarkEnd w:id="349"/>
      <w:bookmarkEnd w:id="350"/>
      <w:bookmarkEnd w:id="351"/>
      <w:bookmarkEnd w:id="352"/>
      <w:bookmarkEnd w:id="353"/>
    </w:p>
    <w:p w14:paraId="2EE35ED7">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14:paraId="2A9A8976">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34.2 在签署合同前，招标人可对中标人投标报价明细及附表内的算术性错误进行修正，修正原则为：当以数字表示的金额与以文字表示的金额不一致时，以文字表示的金额为准；按前述修正原则进行修正至唯一值后的报价表经双方确认后，作为合同文件的组成部分。</w:t>
      </w:r>
    </w:p>
    <w:p w14:paraId="5F82C8F7">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3A971F68">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54" w:name="_Toc8181"/>
      <w:bookmarkStart w:id="355" w:name="_Toc5304"/>
      <w:bookmarkStart w:id="356" w:name="_Toc486167701"/>
      <w:bookmarkStart w:id="357" w:name="_Toc450662887"/>
      <w:bookmarkStart w:id="358" w:name="_Toc7237"/>
      <w:bookmarkStart w:id="359" w:name="_Toc10513_WPSOffice_Level3"/>
      <w:bookmarkStart w:id="360" w:name="_Toc142508352"/>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bookmarkEnd w:id="354"/>
      <w:bookmarkEnd w:id="355"/>
      <w:bookmarkEnd w:id="356"/>
      <w:bookmarkEnd w:id="357"/>
      <w:bookmarkEnd w:id="358"/>
      <w:bookmarkEnd w:id="359"/>
      <w:bookmarkEnd w:id="360"/>
    </w:p>
    <w:p w14:paraId="0AAC6910">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highlight w:val="none"/>
          <w:lang w:val="zh-CN"/>
        </w:rPr>
      </w:pPr>
      <w:bookmarkStart w:id="361" w:name="_Toc465358977"/>
      <w:bookmarkStart w:id="362" w:name="_Toc466882025"/>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Times New Roman"/>
          <w:b/>
          <w:bCs/>
          <w:color w:val="auto"/>
          <w:szCs w:val="21"/>
          <w:highlight w:val="none"/>
          <w:u w:val="single"/>
          <w:lang w:val="zh-CN"/>
        </w:rPr>
        <w:t>中标人应在签订合同前且中标通知书发出之日起30日内，按本招标文件规定金额及形式要求，向招标人或招标人</w:t>
      </w:r>
      <w:r>
        <w:rPr>
          <w:rFonts w:hint="eastAsia" w:ascii="宋体" w:hAnsi="宋体" w:eastAsia="宋体" w:cs="宋体"/>
          <w:b/>
          <w:bCs/>
          <w:color w:val="auto"/>
          <w:szCs w:val="21"/>
          <w:u w:val="single"/>
          <w:lang w:val="zh-CN"/>
        </w:rPr>
        <w:t>下属子公司</w:t>
      </w:r>
      <w:r>
        <w:rPr>
          <w:rFonts w:hint="eastAsia" w:ascii="宋体" w:hAnsi="宋体" w:eastAsia="宋体" w:cs="Times New Roman"/>
          <w:b/>
          <w:bCs/>
          <w:color w:val="auto"/>
          <w:szCs w:val="21"/>
          <w:highlight w:val="none"/>
          <w:u w:val="single"/>
          <w:lang w:val="zh-CN"/>
        </w:rPr>
        <w:t>提交不可撤销银行履约保函（或履约保证金</w:t>
      </w:r>
      <w:r>
        <w:rPr>
          <w:rFonts w:hint="eastAsia" w:ascii="宋体" w:hAnsi="宋体" w:eastAsia="宋体" w:cs="Times New Roman"/>
          <w:b/>
          <w:bCs/>
          <w:color w:val="auto"/>
          <w:szCs w:val="21"/>
          <w:highlight w:val="none"/>
          <w:u w:val="single"/>
          <w:lang w:val="en-US" w:eastAsia="zh-CN"/>
        </w:rPr>
        <w:t>或履约保证保险</w:t>
      </w:r>
      <w:r>
        <w:rPr>
          <w:rFonts w:hint="eastAsia" w:ascii="宋体" w:hAnsi="宋体" w:eastAsia="宋体" w:cs="Times New Roman"/>
          <w:b/>
          <w:bCs/>
          <w:color w:val="auto"/>
          <w:szCs w:val="21"/>
          <w:highlight w:val="none"/>
          <w:u w:val="single"/>
          <w:lang w:val="zh-CN"/>
        </w:rPr>
        <w:t>或担保公司履约担保书），作为履约担保（所需费用由中标人自行承担），</w:t>
      </w:r>
      <w:r>
        <w:rPr>
          <w:rFonts w:ascii="宋体" w:hAnsi="宋体" w:eastAsia="宋体" w:cs="Arial"/>
          <w:b/>
          <w:bCs/>
          <w:color w:val="auto"/>
          <w:kern w:val="0"/>
          <w:szCs w:val="24"/>
          <w:highlight w:val="none"/>
          <w:u w:val="single"/>
        </w:rPr>
        <w:t>否则招标人可取消中标人的中标资格，</w:t>
      </w:r>
      <w:r>
        <w:rPr>
          <w:rFonts w:hint="eastAsia" w:ascii="宋体" w:hAnsi="宋体" w:eastAsia="宋体" w:cs="Arial"/>
          <w:b/>
          <w:bCs/>
          <w:color w:val="auto"/>
          <w:kern w:val="0"/>
          <w:szCs w:val="24"/>
          <w:highlight w:val="none"/>
          <w:u w:val="single"/>
        </w:rPr>
        <w:t>不予退还其投标保证金。</w:t>
      </w:r>
      <w:r>
        <w:rPr>
          <w:rFonts w:hint="eastAsia" w:ascii="宋体" w:hAnsi="宋体" w:eastAsia="宋体" w:cs="Times New Roman"/>
          <w:b/>
          <w:bCs/>
          <w:color w:val="auto"/>
          <w:szCs w:val="21"/>
          <w:highlight w:val="none"/>
          <w:u w:val="single"/>
          <w:lang w:val="zh-CN"/>
        </w:rPr>
        <w:t>其中，采用履约保证金（银行转账形式）的金额为暂定合同含税总价的5%，</w:t>
      </w:r>
      <w:r>
        <w:rPr>
          <w:rFonts w:hint="eastAsia" w:ascii="宋体" w:hAnsi="宋体" w:eastAsia="宋体" w:cs="宋体"/>
          <w:b/>
          <w:bCs/>
          <w:color w:val="auto"/>
          <w:szCs w:val="21"/>
          <w:u w:val="single"/>
          <w:lang w:val="zh-CN"/>
        </w:rPr>
        <w:t>统一由东莞市水务集团管网有限公司收取；</w:t>
      </w:r>
      <w:r>
        <w:rPr>
          <w:rFonts w:hint="eastAsia" w:ascii="宋体" w:hAnsi="宋体" w:eastAsia="宋体" w:cs="Times New Roman"/>
          <w:b/>
          <w:bCs/>
          <w:color w:val="auto"/>
          <w:szCs w:val="21"/>
          <w:highlight w:val="none"/>
          <w:u w:val="single"/>
          <w:lang w:val="zh-CN"/>
        </w:rPr>
        <w:t>采用不可撤销银行履约保函</w:t>
      </w:r>
      <w:r>
        <w:rPr>
          <w:rFonts w:hint="eastAsia" w:ascii="宋体" w:hAnsi="宋体" w:eastAsia="宋体" w:cs="宋体"/>
          <w:b/>
          <w:bCs/>
          <w:color w:val="auto"/>
          <w:szCs w:val="21"/>
          <w:u w:val="single"/>
          <w:lang w:val="zh-CN"/>
        </w:rPr>
        <w:t>(或履约保证保险)</w:t>
      </w:r>
      <w:r>
        <w:rPr>
          <w:rFonts w:hint="eastAsia" w:ascii="宋体" w:hAnsi="宋体" w:eastAsia="宋体" w:cs="Times New Roman"/>
          <w:b/>
          <w:bCs/>
          <w:color w:val="auto"/>
          <w:szCs w:val="21"/>
          <w:highlight w:val="none"/>
          <w:u w:val="single"/>
          <w:lang w:val="zh-CN"/>
        </w:rPr>
        <w:t>形式的金额为暂定合同含税总价的8%，</w:t>
      </w:r>
      <w:r>
        <w:rPr>
          <w:rFonts w:hint="eastAsia" w:ascii="宋体" w:hAnsi="宋体" w:eastAsia="宋体" w:cs="宋体"/>
          <w:b/>
          <w:bCs/>
          <w:color w:val="auto"/>
          <w:szCs w:val="21"/>
          <w:u w:val="single"/>
          <w:lang w:val="zh-CN"/>
        </w:rPr>
        <w:t>中标人需开具一份受益人为东莞市水务集团管网有限公司、东莞市东信水环境投资有限公司、东莞市东泽水环境投资有限公司的不可撤销银行履约保函(或履约保证保险)；</w:t>
      </w:r>
      <w:r>
        <w:rPr>
          <w:rFonts w:hint="eastAsia" w:ascii="宋体" w:hAnsi="宋体" w:eastAsia="宋体" w:cs="Times New Roman"/>
          <w:b/>
          <w:bCs/>
          <w:color w:val="auto"/>
          <w:szCs w:val="21"/>
          <w:highlight w:val="none"/>
          <w:u w:val="single"/>
          <w:lang w:val="zh-CN"/>
        </w:rPr>
        <w:t>采用担保公司履约担保书形式的金额为暂定合同含税总价的</w:t>
      </w:r>
      <w:r>
        <w:rPr>
          <w:rFonts w:ascii="宋体" w:hAnsi="宋体" w:eastAsia="宋体" w:cs="Times New Roman"/>
          <w:b/>
          <w:bCs/>
          <w:color w:val="auto"/>
          <w:szCs w:val="21"/>
          <w:highlight w:val="none"/>
          <w:u w:val="single"/>
          <w:lang w:val="zh-CN"/>
        </w:rPr>
        <w:t>10</w:t>
      </w:r>
      <w:r>
        <w:rPr>
          <w:rFonts w:hint="eastAsia" w:ascii="宋体" w:hAnsi="宋体" w:eastAsia="宋体" w:cs="Times New Roman"/>
          <w:b/>
          <w:bCs/>
          <w:color w:val="auto"/>
          <w:szCs w:val="21"/>
          <w:highlight w:val="none"/>
          <w:u w:val="single"/>
          <w:lang w:val="zh-CN"/>
        </w:rPr>
        <w:t>%，</w:t>
      </w:r>
      <w:r>
        <w:rPr>
          <w:rFonts w:hint="eastAsia" w:ascii="宋体" w:hAnsi="宋体" w:eastAsia="宋体" w:cs="宋体"/>
          <w:b/>
          <w:bCs/>
          <w:color w:val="auto"/>
          <w:szCs w:val="21"/>
          <w:u w:val="single"/>
          <w:lang w:val="zh-CN"/>
        </w:rPr>
        <w:t>中标人需开具一份受益人为东莞市水务集团管网有限公司、东莞市东信水环境投资有限公司、东莞市东泽水环境投资有限公司的履约担保书</w:t>
      </w:r>
      <w:r>
        <w:rPr>
          <w:rFonts w:hint="eastAsia" w:ascii="宋体" w:hAnsi="宋体" w:eastAsia="宋体" w:cs="Times New Roman"/>
          <w:b/>
          <w:bCs/>
          <w:color w:val="auto"/>
          <w:szCs w:val="21"/>
          <w:highlight w:val="none"/>
          <w:u w:val="single"/>
          <w:lang w:val="zh-CN"/>
        </w:rPr>
        <w:t>。任何一个合同甲方均有权就全部的担保金额进行索赔。</w:t>
      </w:r>
      <w:r>
        <w:rPr>
          <w:rFonts w:hint="eastAsia" w:ascii="宋体" w:hAnsi="宋体" w:eastAsia="宋体" w:cs="Arial"/>
          <w:bCs/>
          <w:color w:val="auto"/>
          <w:kern w:val="0"/>
          <w:szCs w:val="24"/>
          <w:highlight w:val="none"/>
        </w:rPr>
        <w:t>合同履行过程中，中标人</w:t>
      </w:r>
      <w:r>
        <w:rPr>
          <w:rFonts w:hint="eastAsia" w:ascii="宋体" w:hAnsi="宋体" w:eastAsia="宋体" w:cs="Arial"/>
          <w:color w:val="auto"/>
          <w:kern w:val="0"/>
          <w:szCs w:val="24"/>
          <w:highlight w:val="none"/>
        </w:rPr>
        <w:t>给</w:t>
      </w:r>
      <w:r>
        <w:rPr>
          <w:rFonts w:hint="eastAsia" w:ascii="宋体" w:hAnsi="宋体" w:eastAsia="宋体" w:cs="Arial"/>
          <w:color w:val="auto"/>
          <w:kern w:val="0"/>
          <w:szCs w:val="24"/>
          <w:highlight w:val="none"/>
          <w:lang w:eastAsia="zh-CN"/>
        </w:rPr>
        <w:t>招标人（含其下属子公司）</w:t>
      </w:r>
      <w:r>
        <w:rPr>
          <w:rFonts w:hint="eastAsia" w:ascii="宋体" w:hAnsi="宋体" w:eastAsia="宋体" w:cs="Arial"/>
          <w:color w:val="auto"/>
          <w:kern w:val="0"/>
          <w:szCs w:val="24"/>
          <w:highlight w:val="none"/>
        </w:rPr>
        <w:t>造成的损失超过履约担保数额的，中标人还应当对超过部分予以赔偿，</w:t>
      </w:r>
      <w:r>
        <w:rPr>
          <w:rFonts w:hint="eastAsia" w:ascii="宋体" w:hAnsi="宋体" w:eastAsia="宋体" w:cs="Arial"/>
          <w:color w:val="auto"/>
          <w:kern w:val="0"/>
          <w:szCs w:val="24"/>
          <w:highlight w:val="none"/>
          <w:lang w:eastAsia="zh-CN"/>
        </w:rPr>
        <w:t>招标人（含其下属子公司）</w:t>
      </w:r>
      <w:r>
        <w:rPr>
          <w:rFonts w:hint="eastAsia" w:ascii="宋体" w:hAnsi="宋体" w:eastAsia="宋体" w:cs="Arial"/>
          <w:color w:val="auto"/>
          <w:kern w:val="0"/>
          <w:szCs w:val="24"/>
          <w:highlight w:val="none"/>
        </w:rPr>
        <w:t>并依法追究中标人的相应责任。</w:t>
      </w:r>
    </w:p>
    <w:p w14:paraId="71CD1BE9">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35.2 </w:t>
      </w:r>
      <w:r>
        <w:rPr>
          <w:rFonts w:hint="eastAsia" w:ascii="宋体" w:hAnsi="宋体" w:eastAsia="宋体" w:cs="Times New Roman"/>
          <w:color w:val="auto"/>
          <w:kern w:val="0"/>
          <w:szCs w:val="21"/>
          <w:highlight w:val="none"/>
        </w:rPr>
        <w:t>履约担保用于补偿</w:t>
      </w:r>
      <w:r>
        <w:rPr>
          <w:rFonts w:hint="eastAsia" w:ascii="宋体" w:hAnsi="宋体" w:eastAsia="宋体" w:cs="Times New Roman"/>
          <w:color w:val="auto"/>
          <w:kern w:val="0"/>
          <w:szCs w:val="21"/>
          <w:highlight w:val="none"/>
          <w:lang w:eastAsia="zh-CN"/>
        </w:rPr>
        <w:t>招标人（含其下属子公司）</w:t>
      </w:r>
      <w:r>
        <w:rPr>
          <w:rFonts w:hint="eastAsia" w:ascii="宋体" w:hAnsi="宋体" w:eastAsia="宋体" w:cs="Times New Roman"/>
          <w:color w:val="auto"/>
          <w:kern w:val="0"/>
          <w:szCs w:val="21"/>
          <w:highlight w:val="none"/>
        </w:rPr>
        <w:t>因中标人不能完全履行其合同义务而蒙受的损失或其他合同约定的事项。如发生下列任一情况时，</w:t>
      </w:r>
      <w:r>
        <w:rPr>
          <w:rFonts w:hint="eastAsia" w:ascii="宋体" w:hAnsi="宋体" w:eastAsia="宋体" w:cs="Times New Roman"/>
          <w:color w:val="auto"/>
          <w:kern w:val="0"/>
          <w:szCs w:val="21"/>
          <w:highlight w:val="none"/>
          <w:lang w:eastAsia="zh-CN"/>
        </w:rPr>
        <w:t>招标人（含其下属子公司）</w:t>
      </w:r>
      <w:r>
        <w:rPr>
          <w:rFonts w:hint="eastAsia" w:ascii="宋体" w:hAnsi="宋体" w:eastAsia="宋体" w:cs="Times New Roman"/>
          <w:color w:val="auto"/>
          <w:kern w:val="0"/>
          <w:szCs w:val="21"/>
          <w:highlight w:val="none"/>
        </w:rPr>
        <w:t>有权依合同追究违约责任外，同时有权提取履约担保并进行相应处理</w:t>
      </w:r>
      <w:r>
        <w:rPr>
          <w:rFonts w:hint="eastAsia" w:ascii="宋体" w:hAnsi="宋体" w:eastAsia="宋体" w:cs="宋体"/>
          <w:color w:val="auto"/>
          <w:kern w:val="0"/>
          <w:szCs w:val="21"/>
          <w:highlight w:val="none"/>
        </w:rPr>
        <w:t>：</w:t>
      </w:r>
    </w:p>
    <w:p w14:paraId="0DCC9A5A">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中标人将合同项下中标人的权利义务全部转让给第三方，或未经</w:t>
      </w:r>
      <w:r>
        <w:rPr>
          <w:rFonts w:hint="eastAsia" w:ascii="宋体" w:hAnsi="宋体" w:eastAsia="宋体" w:cs="Times New Roman"/>
          <w:color w:val="auto"/>
          <w:kern w:val="0"/>
          <w:szCs w:val="21"/>
          <w:highlight w:val="none"/>
          <w:lang w:eastAsia="zh-CN"/>
        </w:rPr>
        <w:t>招标人（含其下属子公司）</w:t>
      </w:r>
      <w:r>
        <w:rPr>
          <w:rFonts w:hint="eastAsia" w:ascii="宋体" w:hAnsi="宋体" w:eastAsia="宋体" w:cs="Times New Roman"/>
          <w:color w:val="auto"/>
          <w:kern w:val="0"/>
          <w:szCs w:val="21"/>
          <w:highlight w:val="none"/>
        </w:rPr>
        <w:t>书面同意将部分权利义务转让给第三方的，</w:t>
      </w:r>
      <w:r>
        <w:rPr>
          <w:rFonts w:hint="eastAsia" w:ascii="宋体" w:hAnsi="宋体" w:eastAsia="宋体" w:cs="Times New Roman"/>
          <w:color w:val="auto"/>
          <w:kern w:val="0"/>
          <w:szCs w:val="21"/>
          <w:highlight w:val="none"/>
          <w:lang w:eastAsia="zh-CN"/>
        </w:rPr>
        <w:t>招标人（含其下属子公司）</w:t>
      </w:r>
      <w:r>
        <w:rPr>
          <w:rFonts w:hint="eastAsia" w:ascii="宋体" w:hAnsi="宋体" w:eastAsia="宋体" w:cs="Times New Roman"/>
          <w:color w:val="auto"/>
          <w:kern w:val="0"/>
          <w:szCs w:val="21"/>
          <w:highlight w:val="none"/>
        </w:rPr>
        <w:t>有权没收其履约担保。</w:t>
      </w:r>
    </w:p>
    <w:p w14:paraId="26E18D9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2）在合同履行期间，中标人</w:t>
      </w:r>
      <w:r>
        <w:rPr>
          <w:rFonts w:hint="eastAsia" w:ascii="宋体" w:hAnsi="宋体" w:eastAsia="宋体" w:cs="Times New Roman"/>
          <w:color w:val="auto"/>
          <w:kern w:val="0"/>
          <w:szCs w:val="21"/>
          <w:highlight w:val="none"/>
        </w:rPr>
        <w:t>怠于履行合同义务，经</w:t>
      </w:r>
      <w:r>
        <w:rPr>
          <w:rFonts w:hint="eastAsia" w:ascii="宋体" w:hAnsi="宋体" w:eastAsia="宋体" w:cs="Times New Roman"/>
          <w:color w:val="auto"/>
          <w:kern w:val="0"/>
          <w:szCs w:val="21"/>
          <w:highlight w:val="none"/>
          <w:lang w:eastAsia="zh-CN"/>
        </w:rPr>
        <w:t>招标人（含其下属子公司）</w:t>
      </w:r>
      <w:r>
        <w:rPr>
          <w:rFonts w:hint="eastAsia" w:ascii="宋体" w:hAnsi="宋体" w:eastAsia="宋体" w:cs="Times New Roman"/>
          <w:color w:val="auto"/>
          <w:kern w:val="0"/>
          <w:szCs w:val="21"/>
          <w:highlight w:val="none"/>
        </w:rPr>
        <w:t>通知或要求承担违约金后仍拒不改正的，</w:t>
      </w:r>
      <w:r>
        <w:rPr>
          <w:rFonts w:hint="eastAsia" w:ascii="宋体" w:hAnsi="宋体" w:eastAsia="宋体" w:cs="Times New Roman"/>
          <w:color w:val="auto"/>
          <w:kern w:val="0"/>
          <w:szCs w:val="21"/>
          <w:highlight w:val="none"/>
          <w:lang w:eastAsia="zh-CN"/>
        </w:rPr>
        <w:t>招标人（含其下属子公司）</w:t>
      </w:r>
      <w:r>
        <w:rPr>
          <w:rFonts w:hint="eastAsia" w:ascii="宋体" w:hAnsi="宋体" w:eastAsia="宋体" w:cs="Times New Roman"/>
          <w:color w:val="auto"/>
          <w:kern w:val="0"/>
          <w:szCs w:val="21"/>
          <w:highlight w:val="none"/>
        </w:rPr>
        <w:t>可依法没收或适当扣除其履约担保。</w:t>
      </w:r>
    </w:p>
    <w:p w14:paraId="25D199DD">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3）在合同履行期间，因中标人</w:t>
      </w:r>
      <w:r>
        <w:rPr>
          <w:rFonts w:hint="eastAsia" w:ascii="宋体" w:hAnsi="宋体" w:eastAsia="宋体" w:cs="Times New Roman"/>
          <w:color w:val="auto"/>
          <w:kern w:val="0"/>
          <w:szCs w:val="21"/>
          <w:highlight w:val="none"/>
        </w:rPr>
        <w:t>货物、</w:t>
      </w:r>
      <w:r>
        <w:rPr>
          <w:rFonts w:ascii="宋体" w:hAnsi="宋体" w:eastAsia="宋体" w:cs="Times New Roman"/>
          <w:color w:val="auto"/>
          <w:kern w:val="0"/>
          <w:szCs w:val="21"/>
          <w:highlight w:val="none"/>
        </w:rPr>
        <w:t>服务质量问题造成损害、侵权损失（包括但不限于</w:t>
      </w:r>
      <w:r>
        <w:rPr>
          <w:rFonts w:hint="eastAsia" w:ascii="宋体" w:hAnsi="宋体" w:eastAsia="宋体" w:cs="Times New Roman"/>
          <w:color w:val="auto"/>
          <w:kern w:val="0"/>
          <w:szCs w:val="21"/>
          <w:highlight w:val="none"/>
          <w:lang w:eastAsia="zh-CN"/>
        </w:rPr>
        <w:t>招标人（含其下属子公司）</w:t>
      </w:r>
      <w:r>
        <w:rPr>
          <w:rFonts w:ascii="宋体" w:hAnsi="宋体" w:eastAsia="宋体" w:cs="Times New Roman"/>
          <w:color w:val="auto"/>
          <w:kern w:val="0"/>
          <w:szCs w:val="21"/>
          <w:highlight w:val="none"/>
        </w:rPr>
        <w:t>经济损失、第三人人身财产损失等）、</w:t>
      </w:r>
      <w:r>
        <w:rPr>
          <w:rFonts w:hint="eastAsia" w:ascii="宋体" w:hAnsi="宋体" w:eastAsia="宋体" w:cs="Times New Roman"/>
          <w:color w:val="auto"/>
          <w:kern w:val="0"/>
          <w:szCs w:val="21"/>
          <w:highlight w:val="none"/>
        </w:rPr>
        <w:t>拖欠原材料供应商货款或与其所雇用员工发生劳资纠纷、上访、闹事或其他影响</w:t>
      </w:r>
      <w:r>
        <w:rPr>
          <w:rFonts w:hint="eastAsia" w:ascii="宋体" w:hAnsi="宋体" w:eastAsia="宋体" w:cs="Times New Roman"/>
          <w:color w:val="auto"/>
          <w:kern w:val="0"/>
          <w:szCs w:val="21"/>
          <w:highlight w:val="none"/>
          <w:lang w:eastAsia="zh-CN"/>
        </w:rPr>
        <w:t>招标人（含其下属子公司）</w:t>
      </w:r>
      <w:r>
        <w:rPr>
          <w:rFonts w:hint="eastAsia" w:ascii="宋体" w:hAnsi="宋体" w:eastAsia="宋体" w:cs="Times New Roman"/>
          <w:color w:val="auto"/>
          <w:kern w:val="0"/>
          <w:szCs w:val="21"/>
          <w:highlight w:val="none"/>
        </w:rPr>
        <w:t>生产经营等情况而其未及时妥善处理的</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eastAsia="zh-CN"/>
        </w:rPr>
        <w:t>招标人（含其下属子公司）</w:t>
      </w:r>
      <w:r>
        <w:rPr>
          <w:rFonts w:hint="eastAsia" w:ascii="宋体" w:hAnsi="宋体" w:eastAsia="宋体" w:cs="Times New Roman"/>
          <w:color w:val="auto"/>
          <w:kern w:val="0"/>
          <w:szCs w:val="21"/>
          <w:highlight w:val="none"/>
        </w:rPr>
        <w:t>有权使用履约担保予以支付或作出相应处理，由此产生的一切法律后果由中标人承担。</w:t>
      </w:r>
    </w:p>
    <w:p w14:paraId="61C6548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4）在合同履行期间，中标人违约产生的违约金、赔偿、罚款或其他应付费用等款项，</w:t>
      </w:r>
      <w:r>
        <w:rPr>
          <w:rFonts w:hint="eastAsia" w:ascii="宋体" w:hAnsi="宋体" w:eastAsia="宋体" w:cs="Times New Roman"/>
          <w:color w:val="auto"/>
          <w:kern w:val="0"/>
          <w:szCs w:val="21"/>
          <w:highlight w:val="none"/>
          <w:lang w:eastAsia="zh-CN"/>
        </w:rPr>
        <w:t>招标人（含其下属子公司）</w:t>
      </w:r>
      <w:r>
        <w:rPr>
          <w:rFonts w:ascii="宋体" w:hAnsi="宋体" w:eastAsia="宋体" w:cs="Times New Roman"/>
          <w:color w:val="auto"/>
          <w:kern w:val="0"/>
          <w:szCs w:val="21"/>
          <w:highlight w:val="none"/>
        </w:rPr>
        <w:t>有权直接从未付款项中直接扣除或启用履约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予以支付。</w:t>
      </w:r>
    </w:p>
    <w:p w14:paraId="59BA2C5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5）合同期内，中标人不能及时完成合同某项义务的，</w:t>
      </w:r>
      <w:r>
        <w:rPr>
          <w:rFonts w:hint="eastAsia" w:ascii="宋体" w:hAnsi="宋体" w:eastAsia="宋体" w:cs="Times New Roman"/>
          <w:color w:val="auto"/>
          <w:kern w:val="0"/>
          <w:szCs w:val="21"/>
          <w:highlight w:val="none"/>
          <w:lang w:eastAsia="zh-CN"/>
        </w:rPr>
        <w:t>招标人（含其下属子公司）</w:t>
      </w:r>
      <w:r>
        <w:rPr>
          <w:rFonts w:ascii="宋体" w:hAnsi="宋体" w:eastAsia="宋体" w:cs="Times New Roman"/>
          <w:color w:val="auto"/>
          <w:kern w:val="0"/>
          <w:szCs w:val="21"/>
          <w:highlight w:val="none"/>
        </w:rPr>
        <w:t>有权提取履约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用于处理该项工作。</w:t>
      </w:r>
    </w:p>
    <w:p w14:paraId="086497EF">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6）其他根据本合同约定或法律规定，</w:t>
      </w:r>
      <w:r>
        <w:rPr>
          <w:rFonts w:hint="eastAsia" w:ascii="宋体" w:hAnsi="宋体" w:eastAsia="宋体" w:cs="Times New Roman"/>
          <w:color w:val="auto"/>
          <w:kern w:val="0"/>
          <w:szCs w:val="21"/>
          <w:highlight w:val="none"/>
          <w:lang w:eastAsia="zh-CN"/>
        </w:rPr>
        <w:t>招标人（含其下属子公司）</w:t>
      </w:r>
      <w:r>
        <w:rPr>
          <w:rFonts w:ascii="宋体" w:hAnsi="宋体" w:eastAsia="宋体" w:cs="Times New Roman"/>
          <w:color w:val="auto"/>
          <w:kern w:val="0"/>
          <w:szCs w:val="21"/>
          <w:highlight w:val="none"/>
        </w:rPr>
        <w:t>可启用履约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的情形。</w:t>
      </w:r>
    </w:p>
    <w:p w14:paraId="10157793">
      <w:pPr>
        <w:tabs>
          <w:tab w:val="left" w:pos="360"/>
          <w:tab w:val="left" w:pos="4725"/>
        </w:tabs>
        <w:autoSpaceDE w:val="0"/>
        <w:autoSpaceDN w:val="0"/>
        <w:adjustRightInd w:val="0"/>
        <w:spacing w:line="360" w:lineRule="auto"/>
        <w:ind w:left="315" w:leftChars="-100" w:hanging="525" w:hangingChars="250"/>
        <w:jc w:val="left"/>
        <w:outlineLvl w:val="1"/>
        <w:rPr>
          <w:rFonts w:ascii="宋体" w:hAnsi="宋体" w:eastAsia="宋体" w:cs="宋体"/>
          <w:color w:val="auto"/>
          <w:kern w:val="0"/>
          <w:szCs w:val="21"/>
          <w:highlight w:val="none"/>
        </w:rPr>
      </w:pPr>
      <w:bookmarkStart w:id="363" w:name="_Toc16242"/>
      <w:r>
        <w:rPr>
          <w:rFonts w:hint="eastAsia" w:ascii="宋体" w:hAnsi="宋体" w:eastAsia="宋体" w:cs="宋体"/>
          <w:color w:val="auto"/>
          <w:kern w:val="0"/>
          <w:szCs w:val="21"/>
          <w:highlight w:val="none"/>
        </w:rPr>
        <w:t>35.3  履约担保应符合如下规定：</w:t>
      </w:r>
      <w:bookmarkEnd w:id="363"/>
    </w:p>
    <w:p w14:paraId="1B368709">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出具履约保函的银行必须是</w:t>
      </w:r>
      <w:r>
        <w:rPr>
          <w:rFonts w:hint="eastAsia" w:ascii="宋体" w:hAnsi="宋体" w:eastAsia="宋体" w:cs="Times New Roman"/>
          <w:color w:val="auto"/>
          <w:kern w:val="0"/>
          <w:szCs w:val="21"/>
          <w:highlight w:val="none"/>
        </w:rPr>
        <w:t>境内</w:t>
      </w:r>
      <w:r>
        <w:rPr>
          <w:rFonts w:ascii="宋体" w:hAnsi="宋体" w:eastAsia="宋体" w:cs="Times New Roman"/>
          <w:color w:val="auto"/>
          <w:kern w:val="0"/>
          <w:szCs w:val="21"/>
          <w:highlight w:val="none"/>
        </w:rPr>
        <w:t>支行一级以上机构，并经</w:t>
      </w:r>
      <w:r>
        <w:rPr>
          <w:rFonts w:hint="eastAsia" w:ascii="宋体" w:hAnsi="宋体" w:eastAsia="宋体" w:cs="Times New Roman"/>
          <w:color w:val="auto"/>
          <w:kern w:val="0"/>
          <w:szCs w:val="21"/>
          <w:highlight w:val="none"/>
          <w:lang w:eastAsia="zh-CN"/>
        </w:rPr>
        <w:t>招标人（含其下属子公司）</w:t>
      </w:r>
      <w:r>
        <w:rPr>
          <w:rFonts w:ascii="宋体" w:hAnsi="宋体" w:eastAsia="宋体" w:cs="Times New Roman"/>
          <w:color w:val="auto"/>
          <w:kern w:val="0"/>
          <w:szCs w:val="21"/>
          <w:highlight w:val="none"/>
        </w:rPr>
        <w:t>同意，执行本款时所发生的费用由中标人</w:t>
      </w:r>
      <w:r>
        <w:rPr>
          <w:rFonts w:hint="eastAsia" w:ascii="宋体" w:hAnsi="宋体" w:eastAsia="宋体" w:cs="Times New Roman"/>
          <w:color w:val="auto"/>
          <w:kern w:val="0"/>
          <w:szCs w:val="21"/>
          <w:highlight w:val="none"/>
        </w:rPr>
        <w:t>承担</w:t>
      </w:r>
      <w:r>
        <w:rPr>
          <w:rFonts w:ascii="宋体" w:hAnsi="宋体" w:eastAsia="宋体" w:cs="Times New Roman"/>
          <w:color w:val="auto"/>
          <w:kern w:val="0"/>
          <w:szCs w:val="21"/>
          <w:highlight w:val="none"/>
        </w:rPr>
        <w:t>。</w:t>
      </w:r>
    </w:p>
    <w:p w14:paraId="6DA428C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履约担保格式应采用招标文件中提供的（格式参见第</w:t>
      </w:r>
      <w:r>
        <w:rPr>
          <w:rFonts w:hint="eastAsia" w:ascii="宋体" w:hAnsi="宋体" w:eastAsia="宋体" w:cs="Times New Roman"/>
          <w:color w:val="auto"/>
          <w:kern w:val="0"/>
          <w:szCs w:val="21"/>
          <w:highlight w:val="none"/>
        </w:rPr>
        <w:t>五篇</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投标人如以履约保函（或履约保证保险或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履约担保书）形式提供履约担保的，投标前应当自行向其拟申请开具保函的银行（</w:t>
      </w:r>
      <w:r>
        <w:rPr>
          <w:rFonts w:hint="eastAsia" w:ascii="宋体" w:hAnsi="宋体" w:eastAsia="宋体" w:cs="Times New Roman"/>
          <w:color w:val="auto"/>
          <w:kern w:val="0"/>
          <w:szCs w:val="21"/>
          <w:highlight w:val="none"/>
          <w:lang w:val="en-US" w:eastAsia="zh-CN"/>
        </w:rPr>
        <w:t>或保险</w:t>
      </w:r>
      <w:r>
        <w:rPr>
          <w:rFonts w:hint="eastAsia" w:ascii="宋体" w:hAnsi="宋体" w:eastAsia="宋体" w:cs="Times New Roman"/>
          <w:color w:val="auto"/>
          <w:kern w:val="0"/>
          <w:szCs w:val="21"/>
          <w:highlight w:val="none"/>
        </w:rPr>
        <w:t>或担保）机构落实履约保函（或履约保证保险或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履约担保书）格式情况，以确保能按本招标文件规定的格式提供保函。</w:t>
      </w:r>
      <w:r>
        <w:rPr>
          <w:rFonts w:ascii="宋体" w:hAnsi="宋体" w:eastAsia="宋体" w:cs="Times New Roman"/>
          <w:color w:val="auto"/>
          <w:kern w:val="0"/>
          <w:szCs w:val="21"/>
          <w:highlight w:val="none"/>
        </w:rPr>
        <w:t>如使用其他格式的履约保函</w:t>
      </w:r>
      <w:r>
        <w:rPr>
          <w:rFonts w:hint="eastAsia" w:ascii="宋体" w:hAnsi="宋体" w:eastAsia="宋体" w:cs="Times New Roman"/>
          <w:color w:val="auto"/>
          <w:kern w:val="0"/>
          <w:szCs w:val="21"/>
          <w:highlight w:val="none"/>
        </w:rPr>
        <w:t>（或履约保证保险或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w:t>
      </w:r>
      <w:r>
        <w:rPr>
          <w:rFonts w:ascii="宋体" w:hAnsi="宋体" w:eastAsia="宋体" w:cs="Times New Roman"/>
          <w:color w:val="auto"/>
          <w:kern w:val="0"/>
          <w:szCs w:val="21"/>
          <w:highlight w:val="none"/>
        </w:rPr>
        <w:t>，须事先经</w:t>
      </w:r>
      <w:r>
        <w:rPr>
          <w:rFonts w:hint="eastAsia" w:ascii="宋体" w:hAnsi="宋体" w:eastAsia="宋体" w:cs="Times New Roman"/>
          <w:color w:val="auto"/>
          <w:kern w:val="0"/>
          <w:szCs w:val="21"/>
          <w:highlight w:val="none"/>
          <w:lang w:eastAsia="zh-CN"/>
        </w:rPr>
        <w:t>招标人（含其下属子公司）</w:t>
      </w:r>
      <w:r>
        <w:rPr>
          <w:rFonts w:ascii="宋体" w:hAnsi="宋体" w:eastAsia="宋体" w:cs="Times New Roman"/>
          <w:color w:val="auto"/>
          <w:kern w:val="0"/>
          <w:szCs w:val="21"/>
          <w:highlight w:val="none"/>
        </w:rPr>
        <w:t>的书面</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2A341839">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）提供担保的担保机构经济性质须为</w:t>
      </w:r>
      <w:r>
        <w:rPr>
          <w:rFonts w:hint="eastAsia" w:ascii="宋体" w:hAnsi="宋体" w:eastAsia="宋体" w:cs="Times New Roman"/>
          <w:color w:val="auto"/>
          <w:kern w:val="0"/>
          <w:szCs w:val="21"/>
          <w:highlight w:val="none"/>
          <w:lang w:val="en-US" w:eastAsia="zh-CN"/>
        </w:rPr>
        <w:t>东莞</w:t>
      </w:r>
      <w:r>
        <w:rPr>
          <w:rFonts w:hint="eastAsia" w:ascii="宋体" w:hAnsi="宋体" w:eastAsia="宋体" w:cs="Times New Roman"/>
          <w:color w:val="auto"/>
          <w:kern w:val="0"/>
          <w:szCs w:val="21"/>
          <w:highlight w:val="none"/>
        </w:rPr>
        <w:t>市国有企业，或政府性融资担保机构（中标人须提供能证明其属于政府性融资担保机构的证明文件），并经</w:t>
      </w:r>
      <w:r>
        <w:rPr>
          <w:rFonts w:hint="eastAsia" w:ascii="宋体" w:hAnsi="宋体" w:eastAsia="宋体" w:cs="Times New Roman"/>
          <w:color w:val="auto"/>
          <w:kern w:val="0"/>
          <w:szCs w:val="21"/>
          <w:highlight w:val="none"/>
          <w:lang w:eastAsia="zh-CN"/>
        </w:rPr>
        <w:t>招标人（含其下属子公司）</w:t>
      </w:r>
      <w:r>
        <w:rPr>
          <w:rFonts w:hint="eastAsia" w:ascii="宋体" w:hAnsi="宋体" w:eastAsia="宋体" w:cs="Times New Roman"/>
          <w:color w:val="auto"/>
          <w:kern w:val="0"/>
          <w:szCs w:val="21"/>
          <w:highlight w:val="none"/>
        </w:rPr>
        <w:t>同意，执行本款时所发生的费用由中标人承担。如</w:t>
      </w:r>
      <w:r>
        <w:rPr>
          <w:rFonts w:hint="eastAsia" w:ascii="宋体" w:hAnsi="宋体" w:eastAsia="宋体" w:cs="Times New Roman"/>
          <w:color w:val="auto"/>
          <w:kern w:val="0"/>
          <w:szCs w:val="21"/>
          <w:highlight w:val="none"/>
          <w:lang w:eastAsia="zh-CN"/>
        </w:rPr>
        <w:t>招标人（含其下属子公司）</w:t>
      </w:r>
      <w:r>
        <w:rPr>
          <w:rFonts w:hint="eastAsia" w:ascii="宋体" w:hAnsi="宋体" w:eastAsia="宋体" w:cs="Times New Roman"/>
          <w:color w:val="auto"/>
          <w:kern w:val="0"/>
          <w:szCs w:val="21"/>
          <w:highlight w:val="none"/>
        </w:rPr>
        <w:t>合同条款接受担保公司预付款担保函的，对担保机构要求参照本条执行</w:t>
      </w:r>
      <w:r>
        <w:rPr>
          <w:rFonts w:ascii="宋体" w:hAnsi="宋体" w:eastAsia="宋体" w:cs="Times New Roman"/>
          <w:color w:val="auto"/>
          <w:kern w:val="0"/>
          <w:szCs w:val="21"/>
          <w:highlight w:val="none"/>
        </w:rPr>
        <w:t>。</w:t>
      </w:r>
    </w:p>
    <w:p w14:paraId="0346FA9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如果</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人提交的履约担保的有效期届满时间先于招标文件、合同文件要求的，</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人应在原提交的履约担保有效期届满前15</w:t>
      </w:r>
      <w:r>
        <w:rPr>
          <w:rFonts w:hint="eastAsia" w:ascii="宋体" w:hAnsi="宋体" w:eastAsia="宋体" w:cs="Times New Roman"/>
          <w:color w:val="auto"/>
          <w:kern w:val="0"/>
          <w:szCs w:val="21"/>
          <w:highlight w:val="none"/>
        </w:rPr>
        <w:t>日</w:t>
      </w:r>
      <w:r>
        <w:rPr>
          <w:rFonts w:ascii="宋体" w:hAnsi="宋体" w:eastAsia="宋体" w:cs="Times New Roman"/>
          <w:color w:val="auto"/>
          <w:kern w:val="0"/>
          <w:szCs w:val="21"/>
          <w:highlight w:val="none"/>
        </w:rPr>
        <w:t>内，无条件办理</w:t>
      </w:r>
      <w:r>
        <w:rPr>
          <w:rFonts w:hint="eastAsia" w:ascii="宋体" w:hAnsi="宋体" w:eastAsia="宋体" w:cs="Times New Roman"/>
          <w:color w:val="auto"/>
          <w:kern w:val="0"/>
          <w:szCs w:val="21"/>
          <w:highlight w:val="none"/>
        </w:rPr>
        <w:t>符合</w:t>
      </w:r>
      <w:r>
        <w:rPr>
          <w:rFonts w:hint="eastAsia" w:ascii="宋体" w:hAnsi="宋体" w:eastAsia="宋体" w:cs="Times New Roman"/>
          <w:color w:val="auto"/>
          <w:kern w:val="0"/>
          <w:szCs w:val="21"/>
          <w:highlight w:val="none"/>
          <w:lang w:eastAsia="zh-CN"/>
        </w:rPr>
        <w:t>招标人（含其下属子公司）</w:t>
      </w:r>
      <w:r>
        <w:rPr>
          <w:rFonts w:hint="eastAsia" w:ascii="宋体" w:hAnsi="宋体" w:eastAsia="宋体" w:cs="Times New Roman"/>
          <w:color w:val="auto"/>
          <w:kern w:val="0"/>
          <w:szCs w:val="21"/>
          <w:highlight w:val="none"/>
        </w:rPr>
        <w:t>要求的</w:t>
      </w:r>
      <w:r>
        <w:rPr>
          <w:rFonts w:ascii="宋体" w:hAnsi="宋体" w:eastAsia="宋体" w:cs="Times New Roman"/>
          <w:color w:val="auto"/>
          <w:kern w:val="0"/>
          <w:szCs w:val="21"/>
          <w:highlight w:val="none"/>
        </w:rPr>
        <w:t>履约担保延期手续，否则视为</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人违约，</w:t>
      </w:r>
      <w:r>
        <w:rPr>
          <w:rFonts w:hint="eastAsia" w:ascii="宋体" w:hAnsi="宋体" w:eastAsia="宋体" w:cs="Times New Roman"/>
          <w:color w:val="auto"/>
          <w:kern w:val="0"/>
          <w:szCs w:val="21"/>
          <w:highlight w:val="none"/>
          <w:lang w:eastAsia="zh-CN"/>
        </w:rPr>
        <w:t>招标人（含其下属子公司）</w:t>
      </w:r>
      <w:r>
        <w:rPr>
          <w:rFonts w:ascii="宋体" w:hAnsi="宋体" w:eastAsia="宋体" w:cs="Times New Roman"/>
          <w:color w:val="auto"/>
          <w:kern w:val="0"/>
          <w:szCs w:val="21"/>
          <w:highlight w:val="none"/>
        </w:rPr>
        <w:t>有权</w:t>
      </w:r>
      <w:r>
        <w:rPr>
          <w:rFonts w:hint="eastAsia" w:ascii="宋体" w:hAnsi="宋体" w:eastAsia="宋体" w:cs="Times New Roman"/>
          <w:color w:val="auto"/>
          <w:kern w:val="0"/>
          <w:szCs w:val="21"/>
          <w:highlight w:val="none"/>
        </w:rPr>
        <w:t>在不可撤销银行履约保函或履约保证保险或担保公司履约担保书到期前</w:t>
      </w:r>
      <w:r>
        <w:rPr>
          <w:rFonts w:ascii="宋体" w:hAnsi="宋体" w:eastAsia="宋体" w:cs="Times New Roman"/>
          <w:color w:val="auto"/>
          <w:kern w:val="0"/>
          <w:szCs w:val="21"/>
          <w:highlight w:val="none"/>
        </w:rPr>
        <w:t>向出具履约</w:t>
      </w:r>
      <w:r>
        <w:rPr>
          <w:rFonts w:hint="eastAsia" w:ascii="宋体" w:hAnsi="宋体" w:eastAsia="宋体" w:cs="Times New Roman"/>
          <w:color w:val="auto"/>
          <w:kern w:val="0"/>
          <w:szCs w:val="21"/>
          <w:highlight w:val="none"/>
        </w:rPr>
        <w:t>担保的机构</w:t>
      </w:r>
      <w:r>
        <w:rPr>
          <w:rFonts w:ascii="宋体" w:hAnsi="宋体" w:eastAsia="宋体" w:cs="Times New Roman"/>
          <w:color w:val="auto"/>
          <w:kern w:val="0"/>
          <w:szCs w:val="21"/>
          <w:highlight w:val="none"/>
        </w:rPr>
        <w:t>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金。</w:t>
      </w:r>
      <w:r>
        <w:rPr>
          <w:rFonts w:hint="eastAsia" w:ascii="宋体" w:hAnsi="宋体" w:eastAsia="宋体" w:cs="Times New Roman"/>
          <w:color w:val="auto"/>
          <w:kern w:val="0"/>
          <w:szCs w:val="21"/>
          <w:highlight w:val="none"/>
        </w:rPr>
        <w:t>在不可撤销银行履约保函</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1"/>
          <w:highlight w:val="none"/>
          <w:lang w:val="en-US" w:eastAsia="zh-CN"/>
        </w:rPr>
        <w:t>或</w:t>
      </w:r>
      <w:r>
        <w:rPr>
          <w:rFonts w:hint="eastAsia" w:ascii="宋体" w:hAnsi="宋体" w:eastAsia="宋体" w:cs="Times New Roman"/>
          <w:color w:val="auto"/>
          <w:kern w:val="0"/>
          <w:szCs w:val="21"/>
          <w:highlight w:val="none"/>
        </w:rPr>
        <w:t>担保公司履约担保书</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到期后中标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未按</w:t>
      </w:r>
      <w:r>
        <w:rPr>
          <w:rFonts w:hint="eastAsia" w:ascii="宋体" w:hAnsi="宋体" w:eastAsia="宋体" w:cs="Times New Roman"/>
          <w:color w:val="auto"/>
          <w:kern w:val="0"/>
          <w:szCs w:val="21"/>
          <w:highlight w:val="none"/>
          <w:lang w:eastAsia="zh-CN"/>
        </w:rPr>
        <w:t>招标人（含其下属子公司）</w:t>
      </w:r>
      <w:r>
        <w:rPr>
          <w:rFonts w:hint="eastAsia" w:ascii="宋体" w:hAnsi="宋体" w:eastAsia="宋体" w:cs="Times New Roman"/>
          <w:color w:val="auto"/>
          <w:kern w:val="0"/>
          <w:szCs w:val="21"/>
          <w:highlight w:val="none"/>
        </w:rPr>
        <w:t>要求重新提供的，</w:t>
      </w:r>
      <w:r>
        <w:rPr>
          <w:rFonts w:hint="eastAsia" w:ascii="宋体" w:hAnsi="宋体" w:eastAsia="宋体" w:cs="Times New Roman"/>
          <w:color w:val="auto"/>
          <w:kern w:val="0"/>
          <w:szCs w:val="21"/>
          <w:highlight w:val="none"/>
          <w:lang w:eastAsia="zh-CN"/>
        </w:rPr>
        <w:t>招标人（含其下属子公司）</w:t>
      </w:r>
      <w:r>
        <w:rPr>
          <w:rFonts w:hint="eastAsia" w:ascii="宋体" w:hAnsi="宋体" w:eastAsia="宋体" w:cs="Times New Roman"/>
          <w:color w:val="auto"/>
          <w:kern w:val="0"/>
          <w:szCs w:val="21"/>
          <w:highlight w:val="none"/>
        </w:rPr>
        <w:t>有权要求中标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以履约担保金额为限承担违约金，违约金可直接从未付采购合同费用中扣除</w:t>
      </w:r>
      <w:r>
        <w:rPr>
          <w:rFonts w:ascii="宋体" w:hAnsi="宋体" w:eastAsia="宋体" w:cs="Times New Roman"/>
          <w:color w:val="auto"/>
          <w:kern w:val="0"/>
          <w:szCs w:val="21"/>
          <w:highlight w:val="none"/>
        </w:rPr>
        <w:t>。</w:t>
      </w:r>
    </w:p>
    <w:p w14:paraId="429EB5F7">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）在合同履行过程中，不论何种原因导致履约担保金数额不符合招标文件要求的，中标人应当在</w:t>
      </w:r>
      <w:r>
        <w:rPr>
          <w:rFonts w:ascii="宋体" w:hAnsi="宋体" w:eastAsia="宋体" w:cs="Times New Roman"/>
          <w:color w:val="auto"/>
          <w:kern w:val="0"/>
          <w:szCs w:val="21"/>
          <w:highlight w:val="none"/>
        </w:rPr>
        <w:t>5日内予以补足。逾期不予补足的，</w:t>
      </w:r>
      <w:r>
        <w:rPr>
          <w:rFonts w:hint="eastAsia" w:ascii="宋体" w:hAnsi="宋体" w:eastAsia="宋体" w:cs="Times New Roman"/>
          <w:color w:val="auto"/>
          <w:kern w:val="0"/>
          <w:szCs w:val="21"/>
          <w:highlight w:val="none"/>
          <w:lang w:eastAsia="zh-CN"/>
        </w:rPr>
        <w:t>招标人（含其下属子公司）</w:t>
      </w:r>
      <w:r>
        <w:rPr>
          <w:rFonts w:hint="eastAsia" w:ascii="宋体" w:hAnsi="宋体" w:eastAsia="宋体" w:cs="Times New Roman"/>
          <w:color w:val="auto"/>
          <w:kern w:val="0"/>
          <w:szCs w:val="21"/>
          <w:highlight w:val="none"/>
        </w:rPr>
        <w:t>有权按需补足的金额要求中标人承担违约金，并要求限期补足。如中标人仍不补足的，</w:t>
      </w:r>
      <w:r>
        <w:rPr>
          <w:rFonts w:hint="eastAsia" w:ascii="宋体" w:hAnsi="宋体" w:eastAsia="宋体" w:cs="Times New Roman"/>
          <w:color w:val="auto"/>
          <w:kern w:val="0"/>
          <w:szCs w:val="21"/>
          <w:highlight w:val="none"/>
          <w:lang w:eastAsia="zh-CN"/>
        </w:rPr>
        <w:t>招标人（含其下属子公司）</w:t>
      </w:r>
      <w:r>
        <w:rPr>
          <w:rFonts w:hint="eastAsia" w:ascii="宋体" w:hAnsi="宋体" w:eastAsia="宋体" w:cs="Times New Roman"/>
          <w:color w:val="auto"/>
          <w:kern w:val="0"/>
          <w:szCs w:val="21"/>
          <w:highlight w:val="none"/>
        </w:rPr>
        <w:t>有权单方解除合同，违约金可直接从未付合同款或履约担保中扣除。</w:t>
      </w:r>
    </w:p>
    <w:p w14:paraId="0D64D558">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（6）不</w:t>
      </w:r>
      <w:r>
        <w:rPr>
          <w:rFonts w:hint="eastAsia" w:ascii="宋体" w:hAnsi="宋体" w:eastAsia="宋体" w:cs="Times New Roman"/>
          <w:color w:val="auto"/>
          <w:kern w:val="0"/>
          <w:szCs w:val="21"/>
          <w:highlight w:val="none"/>
        </w:rPr>
        <w:t>可撤销银行履约保函（或履约保证保险或担保公司履约担保书）</w:t>
      </w:r>
      <w:r>
        <w:rPr>
          <w:rFonts w:hint="eastAsia" w:ascii="宋体" w:hAnsi="宋体" w:eastAsia="宋体" w:cs="宋体"/>
          <w:color w:val="auto"/>
          <w:kern w:val="0"/>
          <w:szCs w:val="21"/>
          <w:lang w:eastAsia="zh-CN"/>
        </w:rPr>
        <w:t>应从合同签订之日起至合同期限届满并履行完毕相关服务义务且结算完毕之后二十八（28）日内保持有效</w:t>
      </w:r>
      <w:r>
        <w:rPr>
          <w:rFonts w:ascii="宋体" w:hAnsi="宋体" w:eastAsia="宋体" w:cs="宋体"/>
          <w:color w:val="auto"/>
          <w:kern w:val="0"/>
          <w:szCs w:val="21"/>
        </w:rPr>
        <w:t>。</w:t>
      </w:r>
    </w:p>
    <w:p w14:paraId="42AC44FB">
      <w:pPr>
        <w:tabs>
          <w:tab w:val="left" w:pos="360"/>
          <w:tab w:val="left" w:pos="4725"/>
        </w:tabs>
        <w:autoSpaceDE w:val="0"/>
        <w:autoSpaceDN w:val="0"/>
        <w:adjustRightInd w:val="0"/>
        <w:spacing w:line="360" w:lineRule="auto"/>
        <w:ind w:left="315" w:leftChars="-100" w:hanging="525" w:hangingChars="250"/>
        <w:jc w:val="left"/>
        <w:outlineLvl w:val="1"/>
        <w:rPr>
          <w:rFonts w:ascii="宋体" w:hAnsi="宋体" w:eastAsia="宋体" w:cs="宋体"/>
          <w:color w:val="auto"/>
          <w:kern w:val="0"/>
          <w:szCs w:val="21"/>
          <w:highlight w:val="none"/>
        </w:rPr>
      </w:pPr>
      <w:bookmarkStart w:id="364" w:name="_Toc16466"/>
      <w:r>
        <w:rPr>
          <w:rFonts w:hint="eastAsia" w:ascii="宋体" w:hAnsi="宋体" w:eastAsia="宋体" w:cs="宋体"/>
          <w:color w:val="auto"/>
          <w:kern w:val="0"/>
          <w:szCs w:val="21"/>
          <w:highlight w:val="none"/>
        </w:rPr>
        <w:t>35.4  履约保证金应用本合同货币。</w:t>
      </w:r>
      <w:bookmarkEnd w:id="364"/>
    </w:p>
    <w:p w14:paraId="77B333C4">
      <w:pPr>
        <w:tabs>
          <w:tab w:val="left" w:pos="360"/>
          <w:tab w:val="left" w:pos="4725"/>
        </w:tabs>
        <w:autoSpaceDE w:val="0"/>
        <w:autoSpaceDN w:val="0"/>
        <w:adjustRightInd w:val="0"/>
        <w:spacing w:line="360" w:lineRule="auto"/>
        <w:ind w:left="315" w:leftChars="-100" w:hanging="525" w:hanging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w:t>
      </w:r>
      <w:r>
        <w:rPr>
          <w:rFonts w:ascii="宋体" w:hAnsi="宋体" w:eastAsia="宋体" w:cs="Times New Roman"/>
          <w:color w:val="auto"/>
          <w:kern w:val="0"/>
          <w:szCs w:val="21"/>
          <w:highlight w:val="none"/>
        </w:rPr>
        <w:t>也可以按招标文件约定的额度和时间，向</w:t>
      </w:r>
      <w:r>
        <w:rPr>
          <w:rFonts w:hint="eastAsia" w:ascii="宋体" w:hAnsi="宋体" w:eastAsia="宋体" w:cs="Times New Roman"/>
          <w:color w:val="auto"/>
          <w:kern w:val="0"/>
          <w:szCs w:val="21"/>
          <w:highlight w:val="none"/>
          <w:lang w:eastAsia="zh-CN"/>
        </w:rPr>
        <w:t>招标人（含其下属子公司）</w:t>
      </w:r>
      <w:r>
        <w:rPr>
          <w:rFonts w:ascii="宋体" w:hAnsi="宋体" w:eastAsia="宋体" w:cs="Times New Roman"/>
          <w:color w:val="auto"/>
          <w:kern w:val="0"/>
          <w:szCs w:val="21"/>
          <w:highlight w:val="none"/>
        </w:rPr>
        <w:t>交纳同等数额的履约保证金作为履约担保。如中标人提交的履约保证金是其分支机构以转账形式转入的，要提交</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人的法人书面授权，不接受由私人账户和其它单位转入的保证金</w:t>
      </w:r>
      <w:r>
        <w:rPr>
          <w:rFonts w:hint="eastAsia" w:ascii="宋体" w:hAnsi="宋体" w:eastAsia="宋体" w:cs="Times New Roman"/>
          <w:color w:val="auto"/>
          <w:kern w:val="0"/>
          <w:szCs w:val="21"/>
          <w:highlight w:val="none"/>
        </w:rPr>
        <w:t>，也不接受现金形式提交</w:t>
      </w:r>
      <w:r>
        <w:rPr>
          <w:rFonts w:ascii="宋体" w:hAnsi="宋体" w:eastAsia="宋体" w:cs="Times New Roman"/>
          <w:color w:val="auto"/>
          <w:kern w:val="0"/>
          <w:szCs w:val="21"/>
          <w:highlight w:val="none"/>
        </w:rPr>
        <w:t>。履约保证金应以存入招标人指定的</w:t>
      </w:r>
      <w:r>
        <w:rPr>
          <w:rFonts w:hint="eastAsia" w:ascii="宋体" w:hAnsi="宋体" w:eastAsia="宋体" w:cs="Times New Roman"/>
          <w:color w:val="auto"/>
          <w:kern w:val="0"/>
          <w:szCs w:val="21"/>
          <w:highlight w:val="none"/>
        </w:rPr>
        <w:t>以下</w:t>
      </w:r>
      <w:r>
        <w:rPr>
          <w:rFonts w:ascii="宋体" w:hAnsi="宋体" w:eastAsia="宋体" w:cs="Times New Roman"/>
          <w:color w:val="auto"/>
          <w:kern w:val="0"/>
          <w:szCs w:val="21"/>
          <w:highlight w:val="none"/>
        </w:rPr>
        <w:t>银行账户为准</w:t>
      </w:r>
      <w:r>
        <w:rPr>
          <w:rFonts w:hint="eastAsia" w:ascii="宋体" w:hAnsi="宋体" w:eastAsia="宋体" w:cs="宋体"/>
          <w:color w:val="auto"/>
          <w:kern w:val="0"/>
          <w:szCs w:val="21"/>
          <w:highlight w:val="none"/>
        </w:rPr>
        <w:t>。</w:t>
      </w:r>
    </w:p>
    <w:p w14:paraId="3E2546B2">
      <w:pPr>
        <w:tabs>
          <w:tab w:val="left" w:pos="360"/>
          <w:tab w:val="left" w:pos="4725"/>
        </w:tabs>
        <w:autoSpaceDE w:val="0"/>
        <w:autoSpaceDN w:val="0"/>
        <w:adjustRightInd w:val="0"/>
        <w:spacing w:line="360" w:lineRule="auto"/>
        <w:ind w:firstLine="422" w:firstLineChars="200"/>
        <w:jc w:val="left"/>
        <w:rPr>
          <w:rFonts w:hint="eastAsia" w:ascii="宋体" w:hAnsi="宋体" w:eastAsia="宋体" w:cs="宋体"/>
          <w:b/>
          <w:bCs/>
          <w:color w:val="auto"/>
          <w:kern w:val="0"/>
          <w:szCs w:val="21"/>
          <w:lang w:eastAsia="zh-CN"/>
        </w:rPr>
      </w:pPr>
      <w:r>
        <w:rPr>
          <w:rFonts w:hint="default" w:ascii="宋体" w:hAnsi="宋体" w:eastAsia="宋体" w:cs="宋体"/>
          <w:b/>
          <w:bCs/>
          <w:color w:val="auto"/>
          <w:kern w:val="0"/>
          <w:szCs w:val="21"/>
          <w:lang w:eastAsia="zh-CN"/>
        </w:rPr>
        <w:t>本项目履约保证金统一由东莞市水务集团管网有限公司收取,存入以下指定银行账户,转账时备注“履行《东莞</w:t>
      </w:r>
      <w:r>
        <w:rPr>
          <w:rFonts w:hint="eastAsia" w:ascii="宋体" w:hAnsi="宋体" w:eastAsia="宋体" w:cs="宋体"/>
          <w:b/>
          <w:bCs/>
          <w:color w:val="auto"/>
          <w:kern w:val="0"/>
          <w:szCs w:val="21"/>
          <w:lang w:val="en-US" w:eastAsia="zh-CN"/>
        </w:rPr>
        <w:t>市</w:t>
      </w:r>
      <w:r>
        <w:rPr>
          <w:rFonts w:hint="default" w:ascii="宋体" w:hAnsi="宋体" w:eastAsia="宋体" w:cs="宋体"/>
          <w:b/>
          <w:bCs/>
          <w:color w:val="auto"/>
          <w:kern w:val="0"/>
          <w:szCs w:val="21"/>
          <w:lang w:eastAsia="zh-CN"/>
        </w:rPr>
        <w:t>水务集团管网有限公司2025年保安服务采购项目采购合同》的保证金”</w:t>
      </w:r>
      <w:r>
        <w:rPr>
          <w:rFonts w:hint="eastAsia" w:ascii="宋体" w:hAnsi="宋体" w:eastAsia="宋体" w:cs="宋体"/>
          <w:b/>
          <w:bCs/>
          <w:color w:val="auto"/>
          <w:kern w:val="0"/>
          <w:szCs w:val="21"/>
          <w:lang w:eastAsia="zh-CN"/>
        </w:rPr>
        <w:t>。</w:t>
      </w:r>
    </w:p>
    <w:p w14:paraId="4D8050B3">
      <w:pPr>
        <w:tabs>
          <w:tab w:val="left" w:pos="360"/>
          <w:tab w:val="left" w:pos="4725"/>
        </w:tabs>
        <w:autoSpaceDE w:val="0"/>
        <w:autoSpaceDN w:val="0"/>
        <w:adjustRightInd w:val="0"/>
        <w:spacing w:line="360" w:lineRule="auto"/>
        <w:ind w:firstLine="632" w:firstLineChars="300"/>
        <w:jc w:val="left"/>
        <w:outlineLvl w:val="0"/>
        <w:rPr>
          <w:rFonts w:ascii="宋体" w:hAnsi="宋体" w:eastAsia="宋体" w:cs="宋体"/>
          <w:b/>
          <w:color w:val="auto"/>
          <w:kern w:val="0"/>
          <w:szCs w:val="21"/>
          <w:highlight w:val="none"/>
        </w:rPr>
      </w:pPr>
      <w:bookmarkStart w:id="365" w:name="_Toc30510"/>
      <w:r>
        <w:rPr>
          <w:rFonts w:hint="eastAsia" w:ascii="宋体" w:hAnsi="宋体" w:eastAsia="宋体" w:cs="宋体"/>
          <w:b/>
          <w:color w:val="auto"/>
          <w:kern w:val="0"/>
          <w:szCs w:val="21"/>
          <w:highlight w:val="none"/>
        </w:rPr>
        <w:t>履约保证金账户：</w:t>
      </w:r>
      <w:bookmarkEnd w:id="365"/>
    </w:p>
    <w:p w14:paraId="58CB4DBE">
      <w:pPr>
        <w:autoSpaceDE w:val="0"/>
        <w:autoSpaceDN w:val="0"/>
        <w:adjustRightInd w:val="0"/>
        <w:spacing w:line="360" w:lineRule="auto"/>
        <w:ind w:left="838" w:leftChars="304" w:hanging="200" w:hangingChars="95"/>
        <w:jc w:val="left"/>
        <w:rPr>
          <w:rFonts w:ascii="宋体" w:hAnsi="宋体" w:eastAsia="宋体" w:cs="宋体"/>
          <w:b/>
          <w:bCs/>
          <w:color w:val="auto"/>
          <w:kern w:val="0"/>
          <w:szCs w:val="21"/>
        </w:rPr>
      </w:pPr>
      <w:r>
        <w:rPr>
          <w:rFonts w:hint="eastAsia" w:ascii="宋体" w:hAnsi="宋体" w:eastAsia="宋体" w:cs="宋体"/>
          <w:b/>
          <w:bCs/>
          <w:color w:val="auto"/>
          <w:kern w:val="0"/>
          <w:szCs w:val="21"/>
        </w:rPr>
        <w:t>开户名称：东莞市水务集团管网有限公司</w:t>
      </w:r>
    </w:p>
    <w:p w14:paraId="6755A008">
      <w:pPr>
        <w:autoSpaceDE w:val="0"/>
        <w:autoSpaceDN w:val="0"/>
        <w:adjustRightInd w:val="0"/>
        <w:spacing w:line="360" w:lineRule="auto"/>
        <w:ind w:left="838" w:leftChars="304" w:hanging="200" w:hangingChars="95"/>
        <w:jc w:val="left"/>
        <w:rPr>
          <w:rFonts w:ascii="宋体" w:hAnsi="宋体" w:eastAsia="宋体" w:cs="宋体"/>
          <w:b/>
          <w:bCs/>
          <w:color w:val="auto"/>
          <w:kern w:val="0"/>
          <w:szCs w:val="21"/>
        </w:rPr>
      </w:pPr>
      <w:r>
        <w:rPr>
          <w:rFonts w:hint="eastAsia" w:ascii="宋体" w:hAnsi="宋体" w:eastAsia="宋体" w:cs="宋体"/>
          <w:b/>
          <w:bCs/>
          <w:color w:val="auto"/>
          <w:kern w:val="0"/>
          <w:szCs w:val="21"/>
        </w:rPr>
        <w:t>银行账号：8114801014000043052</w:t>
      </w:r>
    </w:p>
    <w:p w14:paraId="580903F3">
      <w:pPr>
        <w:autoSpaceDE w:val="0"/>
        <w:autoSpaceDN w:val="0"/>
        <w:adjustRightInd w:val="0"/>
        <w:spacing w:line="360" w:lineRule="auto"/>
        <w:ind w:left="838" w:leftChars="304" w:hanging="200" w:hangingChars="95"/>
        <w:jc w:val="left"/>
        <w:rPr>
          <w:rFonts w:ascii="宋体" w:hAnsi="宋体" w:eastAsia="宋体" w:cs="宋体"/>
          <w:b/>
          <w:bCs/>
          <w:color w:val="auto"/>
          <w:kern w:val="0"/>
          <w:szCs w:val="21"/>
        </w:rPr>
      </w:pPr>
      <w:r>
        <w:rPr>
          <w:rFonts w:hint="eastAsia" w:ascii="宋体" w:hAnsi="宋体" w:eastAsia="宋体" w:cs="宋体"/>
          <w:b/>
          <w:bCs/>
          <w:color w:val="auto"/>
          <w:kern w:val="0"/>
          <w:szCs w:val="21"/>
        </w:rPr>
        <w:t>开户银行：中信银行东莞分行营业部</w:t>
      </w:r>
    </w:p>
    <w:p w14:paraId="791E5138">
      <w:pPr>
        <w:autoSpaceDE w:val="0"/>
        <w:autoSpaceDN w:val="0"/>
        <w:adjustRightInd w:val="0"/>
        <w:snapToGrid w:val="0"/>
        <w:spacing w:line="360" w:lineRule="auto"/>
        <w:ind w:left="315" w:leftChars="150" w:firstLine="422" w:firstLineChars="200"/>
        <w:jc w:val="left"/>
        <w:rPr>
          <w:rFonts w:ascii="宋体" w:hAnsi="宋体" w:eastAsia="宋体" w:cs="宋体"/>
          <w:b/>
          <w:bCs/>
          <w:color w:val="auto"/>
        </w:rPr>
      </w:pPr>
      <w:r>
        <w:rPr>
          <w:rFonts w:hint="eastAsia" w:ascii="宋体" w:hAnsi="宋体" w:eastAsia="宋体" w:cs="宋体"/>
          <w:b/>
          <w:bCs/>
          <w:color w:val="auto"/>
          <w:szCs w:val="21"/>
        </w:rPr>
        <w:t>特别约定：</w:t>
      </w:r>
      <w:r>
        <w:rPr>
          <w:rFonts w:hint="eastAsia" w:ascii="宋体" w:hAnsi="宋体" w:eastAsia="宋体" w:cs="宋体"/>
          <w:b/>
          <w:bCs/>
          <w:color w:val="auto"/>
        </w:rPr>
        <w:t>任何一个合同甲方（东莞市水务集团管网有限公司、东莞市东信水环境投资有限公司、东莞市东泽水环境投资有限公司）均有权就全部的履约保证金金额进行索赔。</w:t>
      </w:r>
    </w:p>
    <w:p w14:paraId="6C348688">
      <w:pPr>
        <w:autoSpaceDE w:val="0"/>
        <w:autoSpaceDN w:val="0"/>
        <w:adjustRightInd w:val="0"/>
        <w:spacing w:line="360" w:lineRule="auto"/>
        <w:ind w:firstLine="632" w:firstLineChars="300"/>
        <w:jc w:val="left"/>
        <w:rPr>
          <w:rFonts w:ascii="宋体" w:hAnsi="宋体" w:eastAsia="宋体" w:cs="宋体"/>
          <w:b/>
          <w:bCs/>
          <w:color w:val="auto"/>
        </w:rPr>
      </w:pPr>
      <w:r>
        <w:rPr>
          <w:rFonts w:hint="eastAsia" w:ascii="宋体" w:hAnsi="宋体" w:eastAsia="宋体" w:cs="宋体"/>
          <w:b/>
          <w:bCs/>
          <w:color w:val="auto"/>
        </w:rPr>
        <w:t>发生违约行为时，中标人应当按照合同约定和合同甲方的要求向对应的合同甲方支付违约金；否则，相</w:t>
      </w:r>
    </w:p>
    <w:p w14:paraId="6AD45E14">
      <w:pPr>
        <w:autoSpaceDE w:val="0"/>
        <w:autoSpaceDN w:val="0"/>
        <w:adjustRightInd w:val="0"/>
        <w:spacing w:line="360" w:lineRule="auto"/>
        <w:ind w:left="199" w:leftChars="95"/>
        <w:jc w:val="left"/>
        <w:rPr>
          <w:rFonts w:ascii="宋体" w:hAnsi="宋体" w:eastAsia="宋体" w:cs="宋体"/>
          <w:color w:val="auto"/>
          <w:kern w:val="0"/>
          <w:szCs w:val="21"/>
        </w:rPr>
      </w:pPr>
      <w:r>
        <w:rPr>
          <w:rFonts w:hint="eastAsia" w:ascii="宋体" w:hAnsi="宋体" w:eastAsia="宋体" w:cs="宋体"/>
          <w:b/>
          <w:bCs/>
          <w:color w:val="auto"/>
        </w:rPr>
        <w:t>应的合同甲方有权从履约保证金中扣除违约金，并由东莞市水务集团管网有限公司将对应金额转入相应甲方的银行账户，同时中标人应在招标人指定期限内及时补足履约保证金金额。</w:t>
      </w:r>
    </w:p>
    <w:p w14:paraId="55F9043D">
      <w:pPr>
        <w:autoSpaceDE w:val="0"/>
        <w:autoSpaceDN w:val="0"/>
        <w:adjustRightInd w:val="0"/>
        <w:spacing w:line="360" w:lineRule="auto"/>
        <w:ind w:left="420" w:leftChars="-100" w:hanging="630" w:hanging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35.6</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中标</w:t>
      </w:r>
      <w:r>
        <w:rPr>
          <w:rFonts w:hint="eastAsia" w:ascii="宋体" w:hAnsi="宋体" w:eastAsia="宋体" w:cs="Times New Roman"/>
          <w:color w:val="auto"/>
          <w:kern w:val="0"/>
          <w:szCs w:val="24"/>
          <w:highlight w:val="none"/>
        </w:rPr>
        <w:t>单位提交了履约担保后，当履约保证金转达招标人履约保证金账户后，</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人将履约保证金的汇款凭证用A4纸复印件（</w:t>
      </w:r>
      <w:r>
        <w:rPr>
          <w:rFonts w:hint="eastAsia" w:ascii="宋体" w:hAnsi="宋体" w:eastAsia="宋体" w:cs="Times New Roman"/>
          <w:bCs/>
          <w:color w:val="auto"/>
          <w:kern w:val="0"/>
          <w:szCs w:val="24"/>
          <w:highlight w:val="none"/>
        </w:rPr>
        <w:t>注明</w:t>
      </w:r>
      <w:r>
        <w:rPr>
          <w:rFonts w:hint="eastAsia" w:ascii="宋体" w:hAnsi="宋体" w:eastAsia="宋体" w:cs="Times New Roman"/>
          <w:bCs/>
          <w:color w:val="auto"/>
          <w:szCs w:val="21"/>
          <w:highlight w:val="none"/>
          <w:lang w:val="zh-CN"/>
        </w:rPr>
        <w:t>招标</w:t>
      </w:r>
      <w:r>
        <w:rPr>
          <w:rFonts w:hint="eastAsia" w:ascii="宋体" w:hAnsi="宋体" w:eastAsia="宋体" w:cs="Times New Roman"/>
          <w:bCs/>
          <w:color w:val="auto"/>
          <w:kern w:val="0"/>
          <w:szCs w:val="24"/>
          <w:highlight w:val="none"/>
        </w:rPr>
        <w:t>编号</w:t>
      </w:r>
      <w:r>
        <w:rPr>
          <w:rFonts w:hint="eastAsia" w:ascii="宋体" w:hAnsi="宋体" w:eastAsia="宋体" w:cs="Times New Roman"/>
          <w:color w:val="auto"/>
          <w:kern w:val="0"/>
          <w:szCs w:val="24"/>
          <w:highlight w:val="none"/>
        </w:rPr>
        <w:t>）一式二份并加盖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人的公章送招标代理机构，[或当中标人采取不可撤销银行履约保函（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或担保公司履约担保书）的方式缴纳履约担保时，中标人将不可撤销银行履约保函（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或担保公司履约担保书）原件</w:t>
      </w:r>
      <w:r>
        <w:rPr>
          <w:rFonts w:hint="eastAsia" w:ascii="宋体" w:hAnsi="宋体" w:eastAsia="宋体" w:cs="Times New Roman"/>
          <w:color w:val="auto"/>
          <w:szCs w:val="21"/>
          <w:highlight w:val="none"/>
          <w:lang w:val="zh-CN"/>
        </w:rPr>
        <w:t>交给招标人，由招标人在</w:t>
      </w:r>
      <w:r>
        <w:rPr>
          <w:rFonts w:hint="eastAsia" w:ascii="宋体" w:hAnsi="宋体" w:eastAsia="宋体" w:cs="Times New Roman"/>
          <w:color w:val="auto"/>
          <w:kern w:val="0"/>
          <w:szCs w:val="24"/>
          <w:highlight w:val="none"/>
        </w:rPr>
        <w:t>履约保函一式两份复印件上</w:t>
      </w:r>
      <w:r>
        <w:rPr>
          <w:rFonts w:hint="eastAsia" w:ascii="宋体" w:hAnsi="宋体" w:eastAsia="宋体" w:cs="Times New Roman"/>
          <w:color w:val="auto"/>
          <w:szCs w:val="21"/>
          <w:highlight w:val="none"/>
          <w:lang w:val="zh-CN"/>
        </w:rPr>
        <w:t>注明“原件已收”及签收人、日期后，中标人在每份复印件上</w:t>
      </w:r>
      <w:r>
        <w:rPr>
          <w:rFonts w:hint="eastAsia" w:ascii="宋体" w:hAnsi="宋体" w:eastAsia="宋体" w:cs="Times New Roman"/>
          <w:color w:val="auto"/>
          <w:kern w:val="0"/>
          <w:szCs w:val="24"/>
          <w:highlight w:val="none"/>
        </w:rPr>
        <w:t>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w:t>
      </w:r>
      <w:r>
        <w:rPr>
          <w:rFonts w:hint="eastAsia" w:ascii="宋体" w:hAnsi="宋体" w:eastAsia="宋体" w:cs="宋体"/>
          <w:color w:val="auto"/>
          <w:kern w:val="0"/>
          <w:szCs w:val="21"/>
          <w:highlight w:val="none"/>
        </w:rPr>
        <w:t>。</w:t>
      </w:r>
    </w:p>
    <w:p w14:paraId="5E77E0C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35.7</w:t>
      </w:r>
      <w:r>
        <w:rPr>
          <w:rFonts w:ascii="宋体" w:hAnsi="宋体" w:eastAsia="宋体" w:cs="Times New Roman"/>
          <w:color w:val="auto"/>
          <w:kern w:val="0"/>
          <w:szCs w:val="24"/>
          <w:highlight w:val="none"/>
        </w:rPr>
        <w:t xml:space="preserve">  </w:t>
      </w:r>
      <w:r>
        <w:rPr>
          <w:rFonts w:hint="eastAsia" w:ascii="宋体" w:hAnsi="宋体" w:eastAsia="宋体" w:cs="宋体"/>
          <w:color w:val="auto"/>
          <w:kern w:val="0"/>
          <w:szCs w:val="21"/>
          <w:highlight w:val="none"/>
        </w:rPr>
        <w:t>中标人以履约保证金（银行转账形式）提供履约担保的</w:t>
      </w:r>
      <w:r>
        <w:rPr>
          <w:rFonts w:hint="eastAsia" w:ascii="宋体" w:hAnsi="宋体" w:eastAsia="宋体" w:cs="宋体"/>
          <w:color w:val="auto"/>
          <w:kern w:val="0"/>
          <w:szCs w:val="21"/>
          <w:highlight w:val="none"/>
          <w:lang w:eastAsia="zh-CN"/>
        </w:rPr>
        <w:t>，在依法完成本项目的所有合同义务，且扣除相应费用（若有）后</w:t>
      </w:r>
      <w:r>
        <w:rPr>
          <w:rFonts w:hint="eastAsia" w:ascii="宋体" w:hAnsi="宋体" w:eastAsia="宋体" w:cs="宋体"/>
          <w:color w:val="auto"/>
          <w:kern w:val="0"/>
          <w:szCs w:val="21"/>
          <w:highlight w:val="none"/>
        </w:rPr>
        <w:t>，经招标人</w:t>
      </w:r>
      <w:r>
        <w:rPr>
          <w:rFonts w:hint="eastAsia" w:ascii="宋体" w:hAnsi="宋体" w:eastAsia="宋体" w:cs="Times New Roman"/>
          <w:color w:val="auto"/>
          <w:kern w:val="0"/>
          <w:szCs w:val="21"/>
          <w:highlight w:val="none"/>
          <w:lang w:eastAsia="zh-CN"/>
        </w:rPr>
        <w:t>（含其下属子公司）</w:t>
      </w:r>
      <w:r>
        <w:rPr>
          <w:rFonts w:hint="eastAsia" w:ascii="宋体" w:hAnsi="宋体" w:eastAsia="宋体" w:cs="宋体"/>
          <w:color w:val="auto"/>
          <w:kern w:val="0"/>
          <w:szCs w:val="21"/>
          <w:highlight w:val="none"/>
        </w:rPr>
        <w:t>确认，中标人可向招标人提交退回履约担保的申请。招标人</w:t>
      </w:r>
      <w:r>
        <w:rPr>
          <w:rFonts w:hint="eastAsia" w:ascii="宋体" w:hAnsi="宋体" w:eastAsia="宋体" w:cs="Times New Roman"/>
          <w:color w:val="auto"/>
          <w:kern w:val="0"/>
          <w:szCs w:val="21"/>
          <w:highlight w:val="none"/>
          <w:lang w:eastAsia="zh-CN"/>
        </w:rPr>
        <w:t>（含其下属子公司）</w:t>
      </w:r>
      <w:r>
        <w:rPr>
          <w:rFonts w:hint="eastAsia" w:ascii="宋体" w:hAnsi="宋体" w:eastAsia="宋体" w:cs="宋体"/>
          <w:color w:val="auto"/>
          <w:kern w:val="0"/>
          <w:szCs w:val="21"/>
          <w:highlight w:val="none"/>
        </w:rPr>
        <w:t>审核无异议后，办理履约担保退还手续，退回时一律以银行转账的形式无息退回到中标人的</w:t>
      </w:r>
      <w:r>
        <w:rPr>
          <w:rFonts w:hint="eastAsia" w:ascii="宋体" w:hAnsi="宋体" w:eastAsia="宋体" w:cs="宋体"/>
          <w:color w:val="auto"/>
          <w:kern w:val="0"/>
          <w:szCs w:val="21"/>
          <w:highlight w:val="none"/>
          <w:lang w:val="en-US" w:eastAsia="zh-CN"/>
        </w:rPr>
        <w:t>账户</w:t>
      </w:r>
      <w:r>
        <w:rPr>
          <w:rFonts w:hint="eastAsia" w:ascii="宋体" w:hAnsi="宋体" w:eastAsia="宋体" w:cs="宋体"/>
          <w:color w:val="auto"/>
          <w:kern w:val="0"/>
          <w:szCs w:val="21"/>
          <w:highlight w:val="none"/>
        </w:rPr>
        <w:t>。</w:t>
      </w:r>
    </w:p>
    <w:p w14:paraId="524D40F3">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14:paraId="544838EA">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66" w:name="_Toc27162"/>
      <w:bookmarkStart w:id="367" w:name="_Toc486167702"/>
      <w:bookmarkStart w:id="368" w:name="_Toc142508353"/>
      <w:bookmarkStart w:id="369" w:name="_Toc31765"/>
      <w:bookmarkStart w:id="370" w:name="_Toc10548"/>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361"/>
      <w:bookmarkEnd w:id="362"/>
      <w:bookmarkEnd w:id="366"/>
      <w:bookmarkEnd w:id="367"/>
      <w:bookmarkEnd w:id="368"/>
      <w:bookmarkEnd w:id="369"/>
      <w:bookmarkEnd w:id="370"/>
    </w:p>
    <w:p w14:paraId="62FE1534">
      <w:pPr>
        <w:autoSpaceDE w:val="0"/>
        <w:autoSpaceDN w:val="0"/>
        <w:adjustRightInd w:val="0"/>
        <w:spacing w:line="360" w:lineRule="auto"/>
        <w:ind w:left="328" w:leftChars="-114"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合同履行中</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招标</w:t>
      </w:r>
      <w:r>
        <w:rPr>
          <w:rFonts w:ascii="宋体" w:hAnsi="宋体" w:eastAsia="宋体" w:cs="宋体"/>
          <w:color w:val="auto"/>
          <w:kern w:val="0"/>
          <w:szCs w:val="21"/>
          <w:highlight w:val="none"/>
        </w:rPr>
        <w:t>人</w:t>
      </w:r>
      <w:r>
        <w:rPr>
          <w:rFonts w:hint="eastAsia" w:ascii="宋体" w:hAnsi="宋体" w:eastAsia="宋体" w:cs="Times New Roman"/>
          <w:color w:val="auto"/>
          <w:kern w:val="0"/>
          <w:szCs w:val="21"/>
          <w:highlight w:val="none"/>
          <w:lang w:eastAsia="zh-CN"/>
        </w:rPr>
        <w:t>（含其下属子公司）</w:t>
      </w:r>
      <w:r>
        <w:rPr>
          <w:rFonts w:hint="eastAsia" w:ascii="宋体" w:hAnsi="宋体" w:eastAsia="宋体" w:cs="宋体"/>
          <w:color w:val="auto"/>
          <w:kern w:val="0"/>
          <w:szCs w:val="21"/>
          <w:highlight w:val="none"/>
        </w:rPr>
        <w:t>在合同约定的范围内，招标人</w:t>
      </w:r>
      <w:r>
        <w:rPr>
          <w:rFonts w:hint="eastAsia" w:ascii="宋体" w:hAnsi="宋体" w:eastAsia="宋体" w:cs="Times New Roman"/>
          <w:color w:val="auto"/>
          <w:kern w:val="0"/>
          <w:szCs w:val="21"/>
          <w:highlight w:val="none"/>
          <w:lang w:eastAsia="zh-CN"/>
        </w:rPr>
        <w:t>（含其下属子公司）</w:t>
      </w:r>
      <w:r>
        <w:rPr>
          <w:rFonts w:hint="eastAsia" w:ascii="宋体" w:hAnsi="宋体" w:eastAsia="宋体" w:cs="宋体"/>
          <w:color w:val="auto"/>
          <w:kern w:val="0"/>
          <w:szCs w:val="21"/>
          <w:highlight w:val="none"/>
        </w:rPr>
        <w:t>有权根据项目实际情况及有关法律法规、政策的规定对采购范围进行变更调整，变更采购范围后，投标人应遵照执行。</w:t>
      </w:r>
    </w:p>
    <w:p w14:paraId="5EC85BD3">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71" w:name="_Toc450662888"/>
    </w:p>
    <w:p w14:paraId="5FE9D32A">
      <w:pPr>
        <w:tabs>
          <w:tab w:val="left" w:pos="46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72" w:name="_Toc486167703"/>
      <w:bookmarkStart w:id="373" w:name="_Toc142508354"/>
      <w:bookmarkStart w:id="374" w:name="_Toc23218"/>
      <w:bookmarkStart w:id="375" w:name="_Toc28921_WPSOffice_Level3"/>
      <w:bookmarkStart w:id="376" w:name="_Toc2401"/>
      <w:bookmarkStart w:id="377" w:name="_Toc12066"/>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bookmarkEnd w:id="371"/>
      <w:bookmarkEnd w:id="372"/>
      <w:bookmarkEnd w:id="373"/>
      <w:bookmarkEnd w:id="374"/>
      <w:bookmarkEnd w:id="375"/>
      <w:bookmarkEnd w:id="376"/>
      <w:bookmarkEnd w:id="377"/>
    </w:p>
    <w:p w14:paraId="1396830E">
      <w:pPr>
        <w:autoSpaceDE w:val="0"/>
        <w:autoSpaceDN w:val="0"/>
        <w:adjustRightInd w:val="0"/>
        <w:spacing w:line="360" w:lineRule="auto"/>
        <w:ind w:left="357" w:leftChars="-100" w:hanging="567" w:hangingChars="270"/>
        <w:jc w:val="left"/>
        <w:outlineLvl w:val="1"/>
        <w:rPr>
          <w:rFonts w:ascii="宋体" w:hAnsi="宋体" w:eastAsia="宋体" w:cs="宋体"/>
          <w:color w:val="auto"/>
          <w:kern w:val="0"/>
          <w:szCs w:val="21"/>
          <w:highlight w:val="none"/>
        </w:rPr>
      </w:pPr>
      <w:bookmarkStart w:id="378" w:name="_Toc22049"/>
      <w:r>
        <w:rPr>
          <w:rFonts w:hint="eastAsia" w:ascii="宋体" w:hAnsi="宋体" w:eastAsia="宋体" w:cs="宋体"/>
          <w:color w:val="auto"/>
          <w:szCs w:val="21"/>
          <w:highlight w:val="none"/>
          <w:lang w:val="zh-CN"/>
        </w:rPr>
        <w:t>37.1 本项目中标服务费由招标人向招标代理机构支付。</w:t>
      </w:r>
      <w:bookmarkEnd w:id="378"/>
    </w:p>
    <w:p w14:paraId="5DCB06A0">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79" w:name="_Toc450662889"/>
    </w:p>
    <w:p w14:paraId="0754FC12">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80" w:name="_Toc6764_WPSOffice_Level3"/>
      <w:bookmarkStart w:id="381" w:name="_Toc142508355"/>
      <w:bookmarkStart w:id="382" w:name="_Toc486167704"/>
      <w:bookmarkStart w:id="383" w:name="_Toc21985"/>
      <w:bookmarkStart w:id="384" w:name="_Toc20572"/>
      <w:bookmarkStart w:id="385" w:name="_Toc6796"/>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379"/>
      <w:bookmarkEnd w:id="380"/>
      <w:bookmarkEnd w:id="381"/>
      <w:bookmarkEnd w:id="382"/>
      <w:bookmarkEnd w:id="383"/>
      <w:bookmarkEnd w:id="384"/>
      <w:bookmarkEnd w:id="385"/>
    </w:p>
    <w:p w14:paraId="12E9FFB6">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bookmarkStart w:id="386" w:name="_Toc486167705"/>
      <w:bookmarkStart w:id="387" w:name="_Toc31106_WPSOffice_Level3"/>
      <w:r>
        <w:rPr>
          <w:rFonts w:hint="eastAsia" w:ascii="宋体" w:hAnsi="宋体" w:eastAsia="宋体" w:cs="Times New Roman"/>
          <w:color w:val="auto"/>
          <w:szCs w:val="21"/>
          <w:highlight w:val="none"/>
          <w:lang w:val="zh-CN"/>
        </w:rPr>
        <w:t>该项目获得中标的中标人在执行合同过程中，向招标人</w:t>
      </w:r>
      <w:r>
        <w:rPr>
          <w:rFonts w:hint="eastAsia" w:ascii="宋体" w:hAnsi="宋体" w:eastAsia="宋体" w:cs="Times New Roman"/>
          <w:color w:val="auto"/>
          <w:kern w:val="0"/>
          <w:szCs w:val="21"/>
          <w:highlight w:val="none"/>
          <w:lang w:eastAsia="zh-CN"/>
        </w:rPr>
        <w:t>（含其下属子公司）</w:t>
      </w:r>
      <w:r>
        <w:rPr>
          <w:rFonts w:hint="eastAsia" w:ascii="宋体" w:hAnsi="宋体" w:eastAsia="宋体" w:cs="Times New Roman"/>
          <w:color w:val="auto"/>
          <w:szCs w:val="21"/>
          <w:highlight w:val="none"/>
          <w:lang w:val="zh-CN"/>
        </w:rPr>
        <w:t>出具的发票必须是由中标人开具，不得以其他单位或个人名义出具，本项目中标人向招标人</w:t>
      </w:r>
      <w:r>
        <w:rPr>
          <w:rFonts w:hint="eastAsia" w:ascii="宋体" w:hAnsi="宋体" w:eastAsia="宋体" w:cs="Times New Roman"/>
          <w:color w:val="auto"/>
          <w:kern w:val="0"/>
          <w:szCs w:val="21"/>
          <w:highlight w:val="none"/>
          <w:lang w:eastAsia="zh-CN"/>
        </w:rPr>
        <w:t>（含其下属子公司）</w:t>
      </w:r>
      <w:r>
        <w:rPr>
          <w:rFonts w:hint="eastAsia" w:ascii="宋体" w:hAnsi="宋体" w:eastAsia="宋体" w:cs="Times New Roman"/>
          <w:color w:val="auto"/>
          <w:szCs w:val="21"/>
          <w:highlight w:val="none"/>
          <w:lang w:val="zh-CN"/>
        </w:rPr>
        <w:t>出具的发票类型为增值税专用发票。</w:t>
      </w:r>
    </w:p>
    <w:p w14:paraId="226FF662">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6CAB9C8A">
      <w:pPr>
        <w:tabs>
          <w:tab w:val="left" w:pos="360"/>
        </w:tabs>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rPr>
      </w:pPr>
      <w:bookmarkStart w:id="388" w:name="_Toc8619"/>
      <w:bookmarkStart w:id="389" w:name="_Toc24547"/>
      <w:bookmarkStart w:id="390" w:name="_Toc142508356"/>
      <w:bookmarkStart w:id="391" w:name="_Toc17654"/>
      <w:r>
        <w:rPr>
          <w:rFonts w:ascii="宋体" w:hAnsi="宋体" w:eastAsia="宋体" w:cs="宋体"/>
          <w:b/>
          <w:color w:val="auto"/>
          <w:szCs w:val="21"/>
          <w:highlight w:val="none"/>
        </w:rPr>
        <w:t>39 招标相关补充约定</w:t>
      </w:r>
      <w:bookmarkEnd w:id="388"/>
      <w:bookmarkEnd w:id="389"/>
      <w:bookmarkEnd w:id="390"/>
      <w:bookmarkEnd w:id="391"/>
    </w:p>
    <w:p w14:paraId="482A3723">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39.1</w:t>
      </w:r>
      <w:r>
        <w:rPr>
          <w:rFonts w:ascii="宋体" w:hAnsi="宋体" w:eastAsia="宋体" w:cs="Times New Roman"/>
          <w:b/>
          <w:color w:val="auto"/>
          <w:szCs w:val="21"/>
          <w:highlight w:val="none"/>
        </w:rPr>
        <w:tab/>
      </w:r>
      <w:r>
        <w:rPr>
          <w:rFonts w:ascii="宋体" w:hAnsi="宋体" w:eastAsia="宋体" w:cs="Times New Roman"/>
          <w:b/>
          <w:color w:val="auto"/>
          <w:szCs w:val="21"/>
          <w:highlight w:val="none"/>
        </w:rPr>
        <w:t>本项目投标人须知第2条所述行政处罚信息，以开标</w:t>
      </w:r>
      <w:r>
        <w:rPr>
          <w:rFonts w:hint="eastAsia" w:ascii="宋体" w:hAnsi="宋体" w:eastAsia="宋体" w:cs="Times New Roman"/>
          <w:b/>
          <w:color w:val="auto"/>
          <w:szCs w:val="21"/>
          <w:highlight w:val="none"/>
          <w:lang w:val="en-US" w:eastAsia="zh-CN"/>
        </w:rPr>
        <w:t>当天</w:t>
      </w:r>
      <w:r>
        <w:rPr>
          <w:rFonts w:ascii="宋体" w:hAnsi="宋体" w:eastAsia="宋体" w:cs="Times New Roman"/>
          <w:b/>
          <w:color w:val="auto"/>
          <w:szCs w:val="21"/>
          <w:highlight w:val="none"/>
        </w:rPr>
        <w:t>在“信用中国”网站（www.creditchina.gov.cn）查询结果为准</w:t>
      </w:r>
      <w:r>
        <w:rPr>
          <w:rFonts w:hint="eastAsia" w:ascii="宋体" w:hAnsi="宋体" w:eastAsia="宋体" w:cs="Times New Roman"/>
          <w:b/>
          <w:color w:val="auto"/>
          <w:szCs w:val="21"/>
          <w:highlight w:val="none"/>
        </w:rPr>
        <w:t>，或以司法、仲裁机构等出具的生效文件予以认定,时间以认定文件的落款时间为准</w:t>
      </w:r>
      <w:r>
        <w:rPr>
          <w:rFonts w:ascii="宋体" w:hAnsi="宋体" w:eastAsia="宋体" w:cs="Times New Roman"/>
          <w:b/>
          <w:color w:val="auto"/>
          <w:szCs w:val="21"/>
          <w:highlight w:val="none"/>
        </w:rPr>
        <w:t>。开标结束后，有关投标单位的行政处罚信息，以</w:t>
      </w:r>
      <w:r>
        <w:rPr>
          <w:rFonts w:hint="eastAsia" w:ascii="宋体" w:hAnsi="宋体" w:eastAsia="宋体" w:cs="Times New Roman"/>
          <w:b/>
          <w:color w:val="auto"/>
          <w:szCs w:val="21"/>
          <w:highlight w:val="none"/>
          <w:lang w:val="en-US" w:eastAsia="zh-CN"/>
        </w:rPr>
        <w:t>开标当天查询</w:t>
      </w:r>
      <w:r>
        <w:rPr>
          <w:rFonts w:ascii="宋体" w:hAnsi="宋体" w:eastAsia="宋体" w:cs="Times New Roman"/>
          <w:b/>
          <w:color w:val="auto"/>
          <w:szCs w:val="21"/>
          <w:highlight w:val="none"/>
        </w:rPr>
        <w:t>结果为准；结果公示期间，如投标人对有关投标单位的行政处罚信息存在异议，但不涉及第一中标候选人的，视为对中标结果没有造成实质影响。</w:t>
      </w:r>
    </w:p>
    <w:p w14:paraId="4E9D4923">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4ED750A9">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rPr>
      </w:pPr>
      <w:bookmarkStart w:id="392" w:name="_Toc29758"/>
      <w:bookmarkStart w:id="393" w:name="_Toc142508357"/>
      <w:bookmarkStart w:id="394" w:name="_Toc26594"/>
      <w:bookmarkStart w:id="395" w:name="_Toc27258"/>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bookmarkEnd w:id="386"/>
      <w:bookmarkEnd w:id="387"/>
      <w:bookmarkEnd w:id="392"/>
      <w:bookmarkEnd w:id="393"/>
      <w:bookmarkEnd w:id="394"/>
      <w:bookmarkEnd w:id="395"/>
    </w:p>
    <w:p w14:paraId="5EEBD1B6">
      <w:pPr>
        <w:pageBreakBefore/>
        <w:tabs>
          <w:tab w:val="left" w:pos="1080"/>
        </w:tabs>
        <w:autoSpaceDE w:val="0"/>
        <w:autoSpaceDN w:val="0"/>
        <w:adjustRightInd w:val="0"/>
        <w:spacing w:line="360" w:lineRule="auto"/>
        <w:ind w:left="357" w:leftChars="-100" w:hanging="567"/>
        <w:jc w:val="center"/>
        <w:outlineLvl w:val="1"/>
        <w:rPr>
          <w:rFonts w:ascii="宋体" w:hAnsi="宋体" w:eastAsia="宋体" w:cs="宋体"/>
          <w:b/>
          <w:bCs/>
          <w:color w:val="auto"/>
          <w:kern w:val="44"/>
          <w:sz w:val="32"/>
          <w:szCs w:val="32"/>
          <w:highlight w:val="none"/>
          <w:lang w:val="zh-CN"/>
        </w:rPr>
      </w:pPr>
      <w:bookmarkStart w:id="396" w:name="_Toc10341"/>
      <w:bookmarkStart w:id="397" w:name="_Toc450662891"/>
      <w:bookmarkStart w:id="398" w:name="_Toc21446"/>
      <w:bookmarkStart w:id="399" w:name="_Toc14879"/>
      <w:bookmarkStart w:id="400" w:name="_Toc486167706"/>
      <w:bookmarkStart w:id="401" w:name="_Toc27939_WPSOffice_Level1"/>
      <w:bookmarkStart w:id="402" w:name="_Toc142508358"/>
      <w:r>
        <w:rPr>
          <w:rFonts w:hint="eastAsia" w:ascii="宋体" w:hAnsi="宋体" w:eastAsia="宋体" w:cs="宋体"/>
          <w:b/>
          <w:bCs/>
          <w:color w:val="auto"/>
          <w:kern w:val="44"/>
          <w:sz w:val="32"/>
          <w:szCs w:val="32"/>
          <w:highlight w:val="none"/>
          <w:lang w:val="zh-CN"/>
        </w:rPr>
        <w:t>第三篇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用户需求书</w:t>
      </w:r>
      <w:bookmarkEnd w:id="396"/>
      <w:bookmarkEnd w:id="397"/>
      <w:bookmarkEnd w:id="398"/>
      <w:bookmarkEnd w:id="399"/>
      <w:bookmarkEnd w:id="400"/>
      <w:bookmarkEnd w:id="401"/>
      <w:bookmarkEnd w:id="402"/>
    </w:p>
    <w:p w14:paraId="31C5352B">
      <w:pPr>
        <w:keepNext w:val="0"/>
        <w:keepLines w:val="0"/>
        <w:pageBreakBefore w:val="0"/>
        <w:widowControl/>
        <w:kinsoku/>
        <w:wordWrap/>
        <w:overflowPunct/>
        <w:topLinePunct w:val="0"/>
        <w:autoSpaceDE w:val="0"/>
        <w:autoSpaceDN w:val="0"/>
        <w:bidi w:val="0"/>
        <w:adjustRightInd w:val="0"/>
        <w:snapToGrid/>
        <w:spacing w:line="400" w:lineRule="exact"/>
        <w:ind w:firstLine="422" w:firstLineChars="200"/>
        <w:textAlignment w:val="auto"/>
        <w:outlineLvl w:val="1"/>
        <w:rPr>
          <w:rFonts w:hint="eastAsia" w:ascii="宋体" w:hAnsi="宋体" w:eastAsia="宋体" w:cs="宋体"/>
          <w:b/>
          <w:bCs/>
          <w:color w:val="auto"/>
          <w:kern w:val="0"/>
          <w:sz w:val="21"/>
          <w:szCs w:val="21"/>
        </w:rPr>
      </w:pPr>
      <w:bookmarkStart w:id="403" w:name="_Toc31217"/>
      <w:r>
        <w:rPr>
          <w:rFonts w:hint="eastAsia" w:ascii="宋体" w:hAnsi="宋体" w:eastAsia="宋体" w:cs="宋体"/>
          <w:b/>
          <w:bCs/>
          <w:color w:val="auto"/>
          <w:kern w:val="0"/>
          <w:sz w:val="21"/>
          <w:szCs w:val="21"/>
          <w:lang w:val="en-US" w:eastAsia="zh-CN"/>
        </w:rPr>
        <w:t>一</w:t>
      </w:r>
      <w:r>
        <w:rPr>
          <w:rFonts w:hint="eastAsia" w:ascii="宋体" w:hAnsi="宋体" w:eastAsia="宋体" w:cs="宋体"/>
          <w:b/>
          <w:bCs/>
          <w:color w:val="auto"/>
          <w:kern w:val="0"/>
          <w:sz w:val="21"/>
          <w:szCs w:val="21"/>
        </w:rPr>
        <w:t>、采购内容</w:t>
      </w:r>
      <w:bookmarkEnd w:id="403"/>
      <w:r>
        <w:rPr>
          <w:rFonts w:hint="eastAsia" w:ascii="宋体" w:hAnsi="宋体" w:eastAsia="宋体" w:cs="宋体"/>
          <w:b/>
          <w:bCs/>
          <w:color w:val="auto"/>
          <w:kern w:val="0"/>
          <w:sz w:val="21"/>
          <w:szCs w:val="21"/>
        </w:rPr>
        <w:t xml:space="preserve"> </w:t>
      </w:r>
    </w:p>
    <w:p w14:paraId="6ADDC556">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一</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项目名称：</w:t>
      </w:r>
      <w:r>
        <w:rPr>
          <w:rFonts w:hint="eastAsia" w:ascii="宋体" w:hAnsi="宋体" w:eastAsia="宋体" w:cs="宋体"/>
          <w:color w:val="auto"/>
          <w:kern w:val="0"/>
          <w:sz w:val="21"/>
          <w:szCs w:val="21"/>
          <w:lang w:eastAsia="zh-CN"/>
        </w:rPr>
        <w:t>东莞市水务集团</w:t>
      </w:r>
      <w:r>
        <w:rPr>
          <w:rFonts w:hint="eastAsia" w:ascii="宋体" w:hAnsi="宋体" w:eastAsia="宋体" w:cs="宋体"/>
          <w:color w:val="auto"/>
          <w:kern w:val="0"/>
          <w:sz w:val="21"/>
          <w:szCs w:val="21"/>
          <w:lang w:val="en-US" w:eastAsia="zh-CN"/>
        </w:rPr>
        <w:t>管网</w:t>
      </w:r>
      <w:r>
        <w:rPr>
          <w:rFonts w:hint="eastAsia" w:ascii="宋体" w:hAnsi="宋体" w:eastAsia="宋体" w:cs="宋体"/>
          <w:color w:val="auto"/>
          <w:kern w:val="0"/>
          <w:sz w:val="21"/>
          <w:szCs w:val="21"/>
          <w:lang w:eastAsia="zh-CN"/>
        </w:rPr>
        <w:t>有限公司</w:t>
      </w:r>
      <w:r>
        <w:rPr>
          <w:rFonts w:hint="eastAsia" w:ascii="宋体" w:hAnsi="宋体" w:eastAsia="宋体" w:cs="宋体"/>
          <w:color w:val="auto"/>
          <w:kern w:val="0"/>
          <w:sz w:val="21"/>
          <w:szCs w:val="21"/>
          <w:lang w:val="en-US" w:eastAsia="zh-CN"/>
        </w:rPr>
        <w:t>2025年保安服务采购</w:t>
      </w:r>
      <w:r>
        <w:rPr>
          <w:rFonts w:hint="eastAsia" w:ascii="宋体" w:hAnsi="宋体" w:eastAsia="宋体" w:cs="宋体"/>
          <w:color w:val="auto"/>
          <w:kern w:val="0"/>
          <w:sz w:val="21"/>
          <w:szCs w:val="21"/>
          <w:lang w:eastAsia="zh-CN"/>
        </w:rPr>
        <w:t>项目</w:t>
      </w:r>
    </w:p>
    <w:p w14:paraId="78CC52F2">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二</w:t>
      </w:r>
      <w:r>
        <w:rPr>
          <w:rFonts w:hint="eastAsia" w:ascii="宋体" w:hAnsi="宋体" w:eastAsia="宋体" w:cs="宋体"/>
          <w:color w:val="auto"/>
          <w:kern w:val="0"/>
          <w:sz w:val="21"/>
          <w:szCs w:val="21"/>
        </w:rPr>
        <w:t>）采购内容：根据</w:t>
      </w:r>
      <w:r>
        <w:rPr>
          <w:rFonts w:hint="eastAsia" w:ascii="宋体" w:hAnsi="宋体" w:eastAsia="宋体" w:cs="宋体"/>
          <w:color w:val="auto"/>
          <w:kern w:val="0"/>
          <w:sz w:val="21"/>
          <w:szCs w:val="21"/>
          <w:lang w:val="en-US" w:eastAsia="zh-CN"/>
        </w:rPr>
        <w:t>管网公司</w:t>
      </w:r>
      <w:r>
        <w:rPr>
          <w:rFonts w:hint="eastAsia" w:ascii="宋体" w:hAnsi="宋体" w:eastAsia="宋体" w:cs="宋体"/>
          <w:color w:val="auto"/>
          <w:kern w:val="0"/>
          <w:sz w:val="21"/>
          <w:szCs w:val="21"/>
        </w:rPr>
        <w:t>经营情况，</w:t>
      </w:r>
      <w:r>
        <w:rPr>
          <w:rFonts w:hint="eastAsia" w:ascii="宋体" w:hAnsi="宋体" w:eastAsia="宋体" w:cs="宋体"/>
          <w:color w:val="auto"/>
          <w:kern w:val="0"/>
          <w:sz w:val="21"/>
          <w:szCs w:val="21"/>
          <w:lang w:val="en-US" w:eastAsia="zh-CN"/>
        </w:rPr>
        <w:t>目前管网公司分公司本部办公场所及驻点存有大量公司固定资产、运维物资，</w:t>
      </w:r>
      <w:r>
        <w:rPr>
          <w:rFonts w:hint="eastAsia" w:ascii="宋体" w:hAnsi="宋体" w:eastAsia="宋体" w:cs="宋体"/>
          <w:color w:val="auto"/>
          <w:kern w:val="0"/>
          <w:sz w:val="21"/>
          <w:szCs w:val="21"/>
        </w:rPr>
        <w:t>需要保安人员值守。为保障</w:t>
      </w:r>
      <w:r>
        <w:rPr>
          <w:rFonts w:hint="eastAsia" w:ascii="宋体" w:hAnsi="宋体" w:eastAsia="宋体" w:cs="宋体"/>
          <w:color w:val="auto"/>
          <w:kern w:val="0"/>
          <w:sz w:val="21"/>
          <w:szCs w:val="21"/>
          <w:lang w:val="en-US" w:eastAsia="zh-CN"/>
        </w:rPr>
        <w:t>管网公司分公司本部办公场所及驻点</w:t>
      </w:r>
      <w:r>
        <w:rPr>
          <w:rFonts w:hint="eastAsia" w:ascii="宋体" w:hAnsi="宋体" w:eastAsia="宋体" w:cs="宋体"/>
          <w:color w:val="auto"/>
          <w:kern w:val="0"/>
          <w:sz w:val="21"/>
          <w:szCs w:val="21"/>
        </w:rPr>
        <w:t>办公</w:t>
      </w:r>
      <w:r>
        <w:rPr>
          <w:rFonts w:hint="eastAsia" w:ascii="宋体" w:hAnsi="宋体" w:eastAsia="宋体" w:cs="宋体"/>
          <w:color w:val="auto"/>
          <w:kern w:val="0"/>
          <w:sz w:val="21"/>
          <w:szCs w:val="21"/>
          <w:lang w:val="en-US" w:eastAsia="zh-CN"/>
        </w:rPr>
        <w:t>人员、</w:t>
      </w:r>
      <w:r>
        <w:rPr>
          <w:rFonts w:hint="eastAsia" w:ascii="宋体" w:hAnsi="宋体" w:eastAsia="宋体" w:cs="宋体"/>
          <w:color w:val="auto"/>
          <w:kern w:val="0"/>
          <w:sz w:val="21"/>
          <w:szCs w:val="21"/>
        </w:rPr>
        <w:t>财产安全，拟通过</w:t>
      </w:r>
      <w:r>
        <w:rPr>
          <w:rFonts w:hint="eastAsia" w:ascii="宋体" w:hAnsi="宋体" w:eastAsia="宋体" w:cs="宋体"/>
          <w:color w:val="auto"/>
          <w:kern w:val="0"/>
          <w:sz w:val="21"/>
          <w:szCs w:val="21"/>
          <w:lang w:val="en-US" w:eastAsia="zh-CN"/>
        </w:rPr>
        <w:t>公开招标的方式确定一</w:t>
      </w:r>
      <w:r>
        <w:rPr>
          <w:rFonts w:hint="eastAsia" w:ascii="宋体" w:hAnsi="宋体" w:eastAsia="宋体" w:cs="宋体"/>
          <w:color w:val="auto"/>
          <w:kern w:val="0"/>
          <w:sz w:val="21"/>
          <w:szCs w:val="21"/>
        </w:rPr>
        <w:t>家专业的保安服务公司，为分公司</w:t>
      </w:r>
      <w:r>
        <w:rPr>
          <w:rFonts w:hint="eastAsia" w:ascii="宋体" w:hAnsi="宋体" w:eastAsia="宋体" w:cs="宋体"/>
          <w:color w:val="auto"/>
          <w:kern w:val="0"/>
          <w:sz w:val="21"/>
          <w:szCs w:val="21"/>
          <w:lang w:val="en-US" w:eastAsia="zh-CN"/>
        </w:rPr>
        <w:t>及驻点</w:t>
      </w:r>
      <w:r>
        <w:rPr>
          <w:rFonts w:hint="eastAsia" w:ascii="宋体" w:hAnsi="宋体" w:eastAsia="宋体" w:cs="宋体"/>
          <w:color w:val="auto"/>
          <w:kern w:val="0"/>
          <w:sz w:val="21"/>
          <w:szCs w:val="21"/>
        </w:rPr>
        <w:t>提供专业的</w:t>
      </w:r>
      <w:r>
        <w:rPr>
          <w:rFonts w:hint="eastAsia" w:ascii="宋体" w:hAnsi="宋体" w:eastAsia="宋体" w:cs="宋体"/>
          <w:color w:val="auto"/>
          <w:kern w:val="0"/>
          <w:sz w:val="21"/>
          <w:szCs w:val="21"/>
          <w:lang w:val="en-US" w:eastAsia="zh-CN"/>
        </w:rPr>
        <w:t>保安</w:t>
      </w:r>
      <w:r>
        <w:rPr>
          <w:rFonts w:hint="eastAsia" w:ascii="宋体" w:hAnsi="宋体" w:eastAsia="宋体" w:cs="宋体"/>
          <w:color w:val="auto"/>
          <w:kern w:val="0"/>
          <w:sz w:val="21"/>
          <w:szCs w:val="21"/>
        </w:rPr>
        <w:t>服务，合同期限为</w:t>
      </w:r>
      <w:r>
        <w:rPr>
          <w:rFonts w:hint="eastAsia" w:ascii="宋体" w:hAnsi="宋体" w:eastAsia="宋体" w:cs="宋体"/>
          <w:color w:val="auto"/>
          <w:kern w:val="0"/>
          <w:sz w:val="21"/>
          <w:szCs w:val="21"/>
          <w:lang w:val="en-US" w:eastAsia="zh-CN"/>
        </w:rPr>
        <w:t>1年</w:t>
      </w:r>
      <w:r>
        <w:rPr>
          <w:rFonts w:hint="eastAsia" w:ascii="宋体" w:hAnsi="宋体" w:eastAsia="宋体" w:cs="宋体"/>
          <w:color w:val="auto"/>
          <w:kern w:val="0"/>
          <w:sz w:val="21"/>
          <w:szCs w:val="21"/>
        </w:rPr>
        <w:t>。</w:t>
      </w:r>
    </w:p>
    <w:p w14:paraId="4B734295">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三</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服务合同期：</w:t>
      </w:r>
      <w:r>
        <w:rPr>
          <w:rFonts w:hint="eastAsia" w:ascii="宋体" w:hAnsi="宋体" w:eastAsia="宋体" w:cs="宋体"/>
          <w:b/>
          <w:bCs/>
          <w:color w:val="auto"/>
          <w:kern w:val="0"/>
          <w:sz w:val="21"/>
          <w:szCs w:val="21"/>
        </w:rPr>
        <w:t>自</w:t>
      </w:r>
      <w:r>
        <w:rPr>
          <w:rFonts w:hint="eastAsia" w:ascii="宋体" w:hAnsi="宋体" w:eastAsia="宋体" w:cs="宋体"/>
          <w:b/>
          <w:bCs/>
          <w:color w:val="auto"/>
          <w:kern w:val="0"/>
          <w:sz w:val="21"/>
          <w:szCs w:val="21"/>
          <w:lang w:val="en-US" w:eastAsia="zh-CN"/>
        </w:rPr>
        <w:t>合同签订</w:t>
      </w:r>
      <w:r>
        <w:rPr>
          <w:rFonts w:hint="eastAsia" w:ascii="宋体" w:hAnsi="宋体" w:eastAsia="宋体" w:cs="宋体"/>
          <w:b/>
          <w:bCs/>
          <w:color w:val="auto"/>
          <w:kern w:val="0"/>
          <w:sz w:val="21"/>
          <w:szCs w:val="21"/>
        </w:rPr>
        <w:t>之日起</w:t>
      </w:r>
      <w:r>
        <w:rPr>
          <w:rFonts w:hint="eastAsia" w:ascii="宋体" w:hAnsi="宋体" w:eastAsia="宋体" w:cs="宋体"/>
          <w:b/>
          <w:bCs/>
          <w:color w:val="auto"/>
          <w:kern w:val="0"/>
          <w:sz w:val="21"/>
          <w:szCs w:val="21"/>
          <w:lang w:val="en-US" w:eastAsia="zh-CN"/>
        </w:rPr>
        <w:t>一年</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服务期限满后，双方经友好协商一致之后，可在保持综合单价不变的情况下，签订补充协议延长服务资格期限，延长的服务资格期限原则上不超过三个月。</w:t>
      </w:r>
    </w:p>
    <w:p w14:paraId="0B1EBD15">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四</w:t>
      </w:r>
      <w:r>
        <w:rPr>
          <w:rFonts w:hint="eastAsia" w:ascii="宋体" w:hAnsi="宋体" w:eastAsia="宋体" w:cs="宋体"/>
          <w:color w:val="auto"/>
          <w:kern w:val="0"/>
          <w:sz w:val="21"/>
          <w:szCs w:val="21"/>
          <w:lang w:eastAsia="zh-CN"/>
        </w:rPr>
        <w:t>）采购</w:t>
      </w:r>
      <w:r>
        <w:rPr>
          <w:rFonts w:hint="eastAsia" w:ascii="宋体" w:hAnsi="宋体" w:eastAsia="宋体" w:cs="宋体"/>
          <w:color w:val="auto"/>
          <w:kern w:val="0"/>
          <w:sz w:val="21"/>
          <w:szCs w:val="21"/>
          <w:lang w:val="en-US" w:eastAsia="zh-CN"/>
        </w:rPr>
        <w:t>单位</w:t>
      </w:r>
      <w:r>
        <w:rPr>
          <w:rFonts w:hint="eastAsia" w:ascii="宋体" w:hAnsi="宋体" w:eastAsia="宋体" w:cs="宋体"/>
          <w:color w:val="auto"/>
          <w:kern w:val="0"/>
          <w:sz w:val="21"/>
          <w:szCs w:val="21"/>
          <w:lang w:eastAsia="zh-CN"/>
        </w:rPr>
        <w:t>：东莞市</w:t>
      </w:r>
      <w:r>
        <w:rPr>
          <w:rFonts w:hint="eastAsia" w:ascii="宋体" w:hAnsi="宋体" w:eastAsia="宋体" w:cs="宋体"/>
          <w:color w:val="auto"/>
          <w:kern w:val="0"/>
          <w:sz w:val="21"/>
          <w:szCs w:val="21"/>
          <w:lang w:val="en-US" w:eastAsia="zh-CN"/>
        </w:rPr>
        <w:t>水务集团管网有限公司</w:t>
      </w:r>
    </w:p>
    <w:p w14:paraId="5CAFAE27">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五</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服务地点</w:t>
      </w:r>
      <w:r>
        <w:rPr>
          <w:rFonts w:hint="eastAsia" w:ascii="宋体" w:hAnsi="宋体" w:eastAsia="宋体" w:cs="宋体"/>
          <w:color w:val="auto"/>
          <w:kern w:val="0"/>
          <w:sz w:val="21"/>
          <w:szCs w:val="21"/>
          <w:lang w:val="en-US" w:eastAsia="zh-CN"/>
        </w:rPr>
        <w:t>：详见下表</w:t>
      </w:r>
    </w:p>
    <w:p w14:paraId="38F2268B">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六</w:t>
      </w:r>
      <w:r>
        <w:rPr>
          <w:rFonts w:hint="eastAsia" w:ascii="宋体" w:hAnsi="宋体" w:eastAsia="宋体" w:cs="宋体"/>
          <w:color w:val="auto"/>
          <w:kern w:val="0"/>
          <w:sz w:val="21"/>
          <w:szCs w:val="21"/>
          <w:lang w:eastAsia="zh-CN"/>
        </w:rPr>
        <w:t>）东莞市水务集团</w:t>
      </w:r>
      <w:r>
        <w:rPr>
          <w:rFonts w:hint="eastAsia" w:ascii="宋体" w:hAnsi="宋体" w:eastAsia="宋体" w:cs="宋体"/>
          <w:color w:val="auto"/>
          <w:kern w:val="0"/>
          <w:sz w:val="21"/>
          <w:szCs w:val="21"/>
          <w:lang w:val="en-US" w:eastAsia="zh-CN"/>
        </w:rPr>
        <w:t>管网</w:t>
      </w:r>
      <w:r>
        <w:rPr>
          <w:rFonts w:hint="eastAsia" w:ascii="宋体" w:hAnsi="宋体" w:eastAsia="宋体" w:cs="宋体"/>
          <w:color w:val="auto"/>
          <w:kern w:val="0"/>
          <w:sz w:val="21"/>
          <w:szCs w:val="21"/>
          <w:lang w:eastAsia="zh-CN"/>
        </w:rPr>
        <w:t>有限公司</w:t>
      </w:r>
      <w:r>
        <w:rPr>
          <w:rFonts w:hint="eastAsia" w:ascii="宋体" w:hAnsi="宋体" w:eastAsia="宋体" w:cs="宋体"/>
          <w:color w:val="auto"/>
          <w:kern w:val="0"/>
          <w:sz w:val="21"/>
          <w:szCs w:val="21"/>
          <w:lang w:val="en-US" w:eastAsia="zh-CN"/>
        </w:rPr>
        <w:t>2025年保安服务采购</w:t>
      </w:r>
      <w:r>
        <w:rPr>
          <w:rFonts w:hint="eastAsia" w:ascii="宋体" w:hAnsi="宋体" w:eastAsia="宋体" w:cs="宋体"/>
          <w:color w:val="auto"/>
          <w:kern w:val="0"/>
          <w:sz w:val="21"/>
          <w:szCs w:val="21"/>
          <w:lang w:eastAsia="zh-CN"/>
        </w:rPr>
        <w:t>项目保安服务人员安排及采购预算一览表：</w:t>
      </w:r>
    </w:p>
    <w:tbl>
      <w:tblPr>
        <w:tblStyle w:val="37"/>
        <w:tblW w:w="49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7"/>
        <w:gridCol w:w="655"/>
        <w:gridCol w:w="697"/>
        <w:gridCol w:w="886"/>
        <w:gridCol w:w="724"/>
        <w:gridCol w:w="989"/>
        <w:gridCol w:w="689"/>
        <w:gridCol w:w="1108"/>
        <w:gridCol w:w="1037"/>
        <w:gridCol w:w="1117"/>
        <w:gridCol w:w="1027"/>
        <w:gridCol w:w="1006"/>
      </w:tblGrid>
      <w:tr w14:paraId="67A7B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3" w:hRule="atLeast"/>
          <w:jc w:val="center"/>
        </w:trPr>
        <w:tc>
          <w:tcPr>
            <w:tcW w:w="20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2E4FFE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316" w:type="pct"/>
            <w:tcBorders>
              <w:top w:val="single" w:color="000000" w:sz="8" w:space="0"/>
              <w:left w:val="nil"/>
              <w:bottom w:val="single" w:color="000000" w:sz="8" w:space="0"/>
              <w:right w:val="single" w:color="000000" w:sz="8" w:space="0"/>
            </w:tcBorders>
            <w:shd w:val="clear" w:color="auto" w:fill="auto"/>
            <w:vAlign w:val="center"/>
          </w:tcPr>
          <w:p w14:paraId="340C438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需求公司</w:t>
            </w:r>
          </w:p>
        </w:tc>
        <w:tc>
          <w:tcPr>
            <w:tcW w:w="336" w:type="pct"/>
            <w:tcBorders>
              <w:top w:val="single" w:color="000000" w:sz="8" w:space="0"/>
              <w:left w:val="nil"/>
              <w:bottom w:val="single" w:color="000000" w:sz="8" w:space="0"/>
              <w:right w:val="single" w:color="000000" w:sz="8" w:space="0"/>
            </w:tcBorders>
            <w:shd w:val="clear" w:color="auto" w:fill="auto"/>
            <w:vAlign w:val="center"/>
          </w:tcPr>
          <w:p w14:paraId="7B6474C4">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地址</w:t>
            </w:r>
          </w:p>
        </w:tc>
        <w:tc>
          <w:tcPr>
            <w:tcW w:w="427" w:type="pct"/>
            <w:tcBorders>
              <w:top w:val="single" w:color="000000" w:sz="8" w:space="0"/>
              <w:left w:val="nil"/>
              <w:bottom w:val="single" w:color="000000" w:sz="8" w:space="0"/>
              <w:right w:val="single" w:color="000000" w:sz="8" w:space="0"/>
            </w:tcBorders>
            <w:shd w:val="clear" w:color="auto" w:fill="auto"/>
            <w:vAlign w:val="center"/>
          </w:tcPr>
          <w:p w14:paraId="63728D18">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地点名称</w:t>
            </w:r>
          </w:p>
        </w:tc>
        <w:tc>
          <w:tcPr>
            <w:tcW w:w="349" w:type="pct"/>
            <w:tcBorders>
              <w:top w:val="single" w:color="000000" w:sz="8" w:space="0"/>
              <w:left w:val="nil"/>
              <w:bottom w:val="single" w:color="000000" w:sz="8" w:space="0"/>
              <w:right w:val="single" w:color="000000" w:sz="8" w:space="0"/>
            </w:tcBorders>
            <w:shd w:val="clear" w:color="auto" w:fill="auto"/>
            <w:vAlign w:val="center"/>
          </w:tcPr>
          <w:p w14:paraId="7C67DE1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值守面积</w:t>
            </w:r>
          </w:p>
        </w:tc>
        <w:tc>
          <w:tcPr>
            <w:tcW w:w="477" w:type="pct"/>
            <w:tcBorders>
              <w:top w:val="single" w:color="000000" w:sz="8" w:space="0"/>
              <w:left w:val="nil"/>
              <w:bottom w:val="single" w:color="000000" w:sz="8" w:space="0"/>
              <w:right w:val="single" w:color="000000" w:sz="8" w:space="0"/>
            </w:tcBorders>
            <w:shd w:val="clear" w:color="auto" w:fill="auto"/>
            <w:vAlign w:val="center"/>
          </w:tcPr>
          <w:p w14:paraId="5A528B13">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值守地详情</w:t>
            </w:r>
          </w:p>
        </w:tc>
        <w:tc>
          <w:tcPr>
            <w:tcW w:w="332" w:type="pct"/>
            <w:tcBorders>
              <w:top w:val="single" w:color="000000" w:sz="8" w:space="0"/>
              <w:left w:val="nil"/>
              <w:bottom w:val="single" w:color="000000" w:sz="8" w:space="0"/>
              <w:right w:val="single" w:color="000000" w:sz="8" w:space="0"/>
            </w:tcBorders>
            <w:shd w:val="clear" w:color="auto" w:fill="auto"/>
            <w:vAlign w:val="center"/>
          </w:tcPr>
          <w:p w14:paraId="5E96E905">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暂定配置人数（人）</w:t>
            </w:r>
          </w:p>
        </w:tc>
        <w:tc>
          <w:tcPr>
            <w:tcW w:w="534" w:type="pct"/>
            <w:tcBorders>
              <w:top w:val="single" w:color="000000" w:sz="8" w:space="0"/>
              <w:left w:val="nil"/>
              <w:bottom w:val="single" w:color="000000" w:sz="8" w:space="0"/>
              <w:right w:val="single" w:color="000000" w:sz="8" w:space="0"/>
            </w:tcBorders>
            <w:shd w:val="clear" w:color="auto" w:fill="auto"/>
            <w:vAlign w:val="center"/>
          </w:tcPr>
          <w:p w14:paraId="34C1E976">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不含税预算综合单价（元/人/月）</w:t>
            </w:r>
          </w:p>
        </w:tc>
        <w:tc>
          <w:tcPr>
            <w:tcW w:w="500" w:type="pct"/>
            <w:tcBorders>
              <w:top w:val="single" w:color="000000" w:sz="8" w:space="0"/>
              <w:left w:val="nil"/>
              <w:bottom w:val="single" w:color="000000" w:sz="8" w:space="0"/>
              <w:right w:val="single" w:color="000000" w:sz="8" w:space="0"/>
            </w:tcBorders>
            <w:shd w:val="clear" w:color="auto" w:fill="auto"/>
            <w:vAlign w:val="center"/>
          </w:tcPr>
          <w:p w14:paraId="3FBE135A">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含税预算综合单价（税率6%）（元/人/月）</w:t>
            </w:r>
          </w:p>
        </w:tc>
        <w:tc>
          <w:tcPr>
            <w:tcW w:w="538" w:type="pct"/>
            <w:tcBorders>
              <w:top w:val="single" w:color="000000" w:sz="8" w:space="0"/>
              <w:left w:val="nil"/>
              <w:bottom w:val="single" w:color="000000" w:sz="8" w:space="0"/>
              <w:right w:val="single" w:color="000000" w:sz="8" w:space="0"/>
            </w:tcBorders>
            <w:shd w:val="clear" w:color="auto" w:fill="auto"/>
            <w:vAlign w:val="center"/>
          </w:tcPr>
          <w:p w14:paraId="4D5FE51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暂定不含税采购预算总价（元）</w:t>
            </w:r>
          </w:p>
        </w:tc>
        <w:tc>
          <w:tcPr>
            <w:tcW w:w="495" w:type="pct"/>
            <w:tcBorders>
              <w:top w:val="single" w:color="000000" w:sz="8" w:space="0"/>
              <w:left w:val="nil"/>
              <w:bottom w:val="single" w:color="000000" w:sz="8" w:space="0"/>
              <w:right w:val="single" w:color="000000" w:sz="8" w:space="0"/>
            </w:tcBorders>
            <w:shd w:val="clear" w:color="auto" w:fill="auto"/>
            <w:vAlign w:val="center"/>
          </w:tcPr>
          <w:p w14:paraId="61330D7A">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暂定含税采购预算总价（税率6%）（元）</w:t>
            </w:r>
          </w:p>
        </w:tc>
        <w:tc>
          <w:tcPr>
            <w:tcW w:w="485" w:type="pct"/>
            <w:tcBorders>
              <w:top w:val="single" w:color="000000" w:sz="8" w:space="0"/>
              <w:left w:val="nil"/>
              <w:bottom w:val="single" w:color="000000" w:sz="8" w:space="0"/>
              <w:right w:val="single" w:color="000000" w:sz="8" w:space="0"/>
            </w:tcBorders>
            <w:shd w:val="clear" w:color="auto" w:fill="auto"/>
            <w:vAlign w:val="center"/>
          </w:tcPr>
          <w:p w14:paraId="3A46009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保安配置安排</w:t>
            </w:r>
          </w:p>
        </w:tc>
      </w:tr>
      <w:tr w14:paraId="609F8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5" w:hRule="atLeast"/>
          <w:jc w:val="center"/>
        </w:trPr>
        <w:tc>
          <w:tcPr>
            <w:tcW w:w="206" w:type="pct"/>
            <w:vMerge w:val="restart"/>
            <w:tcBorders>
              <w:top w:val="nil"/>
              <w:left w:val="single" w:color="000000" w:sz="8" w:space="0"/>
              <w:bottom w:val="single" w:color="000000" w:sz="8" w:space="0"/>
              <w:right w:val="single" w:color="000000" w:sz="8" w:space="0"/>
            </w:tcBorders>
            <w:shd w:val="clear" w:color="auto" w:fill="auto"/>
            <w:vAlign w:val="center"/>
          </w:tcPr>
          <w:p w14:paraId="70E82B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16" w:type="pct"/>
            <w:vMerge w:val="restart"/>
            <w:tcBorders>
              <w:top w:val="nil"/>
              <w:left w:val="nil"/>
              <w:bottom w:val="single" w:color="000000" w:sz="8" w:space="0"/>
              <w:right w:val="single" w:color="000000" w:sz="8" w:space="0"/>
            </w:tcBorders>
            <w:shd w:val="clear" w:color="auto" w:fill="auto"/>
            <w:vAlign w:val="center"/>
          </w:tcPr>
          <w:p w14:paraId="13CD85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东莞市东泽水环境投资有限公司</w:t>
            </w:r>
          </w:p>
        </w:tc>
        <w:tc>
          <w:tcPr>
            <w:tcW w:w="336" w:type="pct"/>
            <w:vMerge w:val="restart"/>
            <w:tcBorders>
              <w:top w:val="nil"/>
              <w:left w:val="nil"/>
              <w:bottom w:val="single" w:color="000000" w:sz="8" w:space="0"/>
              <w:right w:val="single" w:color="000000" w:sz="8" w:space="0"/>
            </w:tcBorders>
            <w:shd w:val="clear" w:color="auto" w:fill="auto"/>
            <w:vAlign w:val="center"/>
          </w:tcPr>
          <w:p w14:paraId="5726DD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广东省东莞市东城区梨川村周屋围街</w:t>
            </w:r>
          </w:p>
        </w:tc>
        <w:tc>
          <w:tcPr>
            <w:tcW w:w="427" w:type="pct"/>
            <w:vMerge w:val="restart"/>
            <w:tcBorders>
              <w:top w:val="nil"/>
              <w:left w:val="nil"/>
              <w:bottom w:val="single" w:color="000000" w:sz="8" w:space="0"/>
              <w:right w:val="single" w:color="000000" w:sz="8" w:space="0"/>
            </w:tcBorders>
            <w:shd w:val="clear" w:color="auto" w:fill="auto"/>
            <w:vAlign w:val="center"/>
          </w:tcPr>
          <w:p w14:paraId="1EFF53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东莞市水务集团供水有限公司制水分公司第二水厂</w:t>
            </w:r>
          </w:p>
        </w:tc>
        <w:tc>
          <w:tcPr>
            <w:tcW w:w="349" w:type="pct"/>
            <w:vMerge w:val="restart"/>
            <w:tcBorders>
              <w:top w:val="nil"/>
              <w:left w:val="nil"/>
              <w:bottom w:val="single" w:color="000000" w:sz="8" w:space="0"/>
              <w:right w:val="single" w:color="000000" w:sz="8" w:space="0"/>
            </w:tcBorders>
            <w:shd w:val="clear" w:color="auto" w:fill="auto"/>
            <w:vAlign w:val="center"/>
          </w:tcPr>
          <w:p w14:paraId="5C36C0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约2172㎡</w:t>
            </w:r>
          </w:p>
        </w:tc>
        <w:tc>
          <w:tcPr>
            <w:tcW w:w="477" w:type="pct"/>
            <w:tcBorders>
              <w:top w:val="nil"/>
              <w:left w:val="nil"/>
              <w:bottom w:val="single" w:color="000000" w:sz="8" w:space="0"/>
              <w:right w:val="single" w:color="000000" w:sz="8" w:space="0"/>
            </w:tcBorders>
            <w:shd w:val="clear" w:color="auto" w:fill="auto"/>
            <w:vAlign w:val="center"/>
          </w:tcPr>
          <w:p w14:paraId="613567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厂区办公场所建面约2086㎡（含办公楼3层，宿舍楼3层以及饭堂）</w:t>
            </w:r>
          </w:p>
        </w:tc>
        <w:tc>
          <w:tcPr>
            <w:tcW w:w="332" w:type="pct"/>
            <w:vMerge w:val="restart"/>
            <w:tcBorders>
              <w:top w:val="nil"/>
              <w:left w:val="nil"/>
              <w:bottom w:val="single" w:color="000000" w:sz="8" w:space="0"/>
              <w:right w:val="single" w:color="000000" w:sz="8" w:space="0"/>
            </w:tcBorders>
            <w:shd w:val="clear" w:color="auto" w:fill="auto"/>
            <w:vAlign w:val="center"/>
          </w:tcPr>
          <w:p w14:paraId="44A3AD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534" w:type="pct"/>
            <w:vMerge w:val="restart"/>
            <w:tcBorders>
              <w:top w:val="nil"/>
              <w:left w:val="nil"/>
              <w:bottom w:val="single" w:color="000000" w:sz="8" w:space="0"/>
              <w:right w:val="single" w:color="000000" w:sz="8" w:space="0"/>
            </w:tcBorders>
            <w:shd w:val="clear" w:color="auto" w:fill="auto"/>
            <w:vAlign w:val="center"/>
          </w:tcPr>
          <w:p w14:paraId="6E168E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kern w:val="0"/>
                <w:sz w:val="21"/>
                <w:szCs w:val="21"/>
                <w:u w:val="none"/>
                <w:lang w:val="en-US" w:eastAsia="zh-CN" w:bidi="ar"/>
              </w:rPr>
              <w:t>4245.28</w:t>
            </w:r>
          </w:p>
        </w:tc>
        <w:tc>
          <w:tcPr>
            <w:tcW w:w="500" w:type="pct"/>
            <w:vMerge w:val="restart"/>
            <w:tcBorders>
              <w:top w:val="nil"/>
              <w:left w:val="nil"/>
              <w:bottom w:val="single" w:color="000000" w:sz="8" w:space="0"/>
              <w:right w:val="single" w:color="000000" w:sz="8" w:space="0"/>
            </w:tcBorders>
            <w:shd w:val="clear" w:color="auto" w:fill="auto"/>
            <w:vAlign w:val="center"/>
          </w:tcPr>
          <w:p w14:paraId="2E917416">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4</w:t>
            </w:r>
            <w:r>
              <w:rPr>
                <w:rFonts w:hint="default" w:ascii="宋体" w:hAnsi="宋体" w:eastAsia="宋体" w:cs="宋体"/>
                <w:i w:val="0"/>
                <w:iCs w:val="0"/>
                <w:color w:val="auto"/>
                <w:kern w:val="0"/>
                <w:sz w:val="21"/>
                <w:szCs w:val="21"/>
                <w:u w:val="none"/>
                <w:lang w:val="en-US" w:eastAsia="zh-CN" w:bidi="ar"/>
              </w:rPr>
              <w:t>500</w:t>
            </w:r>
          </w:p>
        </w:tc>
        <w:tc>
          <w:tcPr>
            <w:tcW w:w="538" w:type="pct"/>
            <w:vMerge w:val="restart"/>
            <w:tcBorders>
              <w:top w:val="nil"/>
              <w:left w:val="nil"/>
              <w:bottom w:val="single" w:color="000000" w:sz="8" w:space="0"/>
              <w:right w:val="single" w:color="000000" w:sz="8" w:space="0"/>
            </w:tcBorders>
            <w:shd w:val="clear" w:color="auto" w:fill="auto"/>
            <w:vAlign w:val="center"/>
          </w:tcPr>
          <w:p w14:paraId="0AA6BA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kern w:val="0"/>
                <w:sz w:val="21"/>
                <w:szCs w:val="21"/>
                <w:u w:val="none"/>
                <w:lang w:val="en-US" w:eastAsia="zh-CN" w:bidi="ar"/>
              </w:rPr>
              <w:t>305660.16</w:t>
            </w:r>
          </w:p>
        </w:tc>
        <w:tc>
          <w:tcPr>
            <w:tcW w:w="495" w:type="pct"/>
            <w:vMerge w:val="restart"/>
            <w:tcBorders>
              <w:top w:val="nil"/>
              <w:left w:val="nil"/>
              <w:bottom w:val="single" w:color="000000" w:sz="8" w:space="0"/>
              <w:right w:val="single" w:color="000000" w:sz="8" w:space="0"/>
            </w:tcBorders>
            <w:shd w:val="clear" w:color="auto" w:fill="auto"/>
            <w:vAlign w:val="center"/>
          </w:tcPr>
          <w:p w14:paraId="0B610C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kern w:val="0"/>
                <w:sz w:val="21"/>
                <w:szCs w:val="21"/>
                <w:u w:val="none"/>
                <w:lang w:val="en-US" w:eastAsia="zh-CN" w:bidi="ar"/>
              </w:rPr>
              <w:t>324000.00</w:t>
            </w:r>
            <w:r>
              <w:rPr>
                <w:rFonts w:hint="eastAsia" w:ascii="宋体" w:hAnsi="宋体" w:eastAsia="宋体" w:cs="宋体"/>
                <w:i w:val="0"/>
                <w:iCs w:val="0"/>
                <w:color w:val="auto"/>
                <w:kern w:val="0"/>
                <w:sz w:val="21"/>
                <w:szCs w:val="21"/>
                <w:u w:val="none"/>
                <w:lang w:val="en-US" w:eastAsia="zh-CN" w:bidi="ar"/>
              </w:rPr>
              <w:t xml:space="preserve"> </w:t>
            </w:r>
          </w:p>
        </w:tc>
        <w:tc>
          <w:tcPr>
            <w:tcW w:w="485" w:type="pct"/>
            <w:vMerge w:val="restart"/>
            <w:tcBorders>
              <w:top w:val="nil"/>
              <w:left w:val="nil"/>
              <w:right w:val="single" w:color="000000" w:sz="8" w:space="0"/>
            </w:tcBorders>
            <w:shd w:val="clear" w:color="auto" w:fill="auto"/>
            <w:vAlign w:val="center"/>
          </w:tcPr>
          <w:p w14:paraId="604E21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每班2人值守（每处地方1人值守），三班倒，其中1人兼职保安队长，合计6人。</w:t>
            </w:r>
          </w:p>
        </w:tc>
      </w:tr>
      <w:tr w14:paraId="60A23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8" w:hRule="atLeast"/>
          <w:jc w:val="center"/>
        </w:trPr>
        <w:tc>
          <w:tcPr>
            <w:tcW w:w="206" w:type="pct"/>
            <w:vMerge w:val="continue"/>
            <w:tcBorders>
              <w:top w:val="nil"/>
              <w:left w:val="single" w:color="000000" w:sz="8" w:space="0"/>
              <w:bottom w:val="single" w:color="000000" w:sz="8" w:space="0"/>
              <w:right w:val="single" w:color="000000" w:sz="8" w:space="0"/>
            </w:tcBorders>
            <w:shd w:val="clear" w:color="auto" w:fill="auto"/>
            <w:vAlign w:val="center"/>
          </w:tcPr>
          <w:p w14:paraId="32F8C747">
            <w:pPr>
              <w:jc w:val="center"/>
              <w:rPr>
                <w:rFonts w:hint="eastAsia" w:ascii="宋体" w:hAnsi="宋体" w:eastAsia="宋体" w:cs="宋体"/>
                <w:i w:val="0"/>
                <w:iCs w:val="0"/>
                <w:color w:val="auto"/>
                <w:sz w:val="21"/>
                <w:szCs w:val="21"/>
                <w:u w:val="none"/>
              </w:rPr>
            </w:pPr>
          </w:p>
        </w:tc>
        <w:tc>
          <w:tcPr>
            <w:tcW w:w="316" w:type="pct"/>
            <w:vMerge w:val="continue"/>
            <w:tcBorders>
              <w:top w:val="nil"/>
              <w:left w:val="nil"/>
              <w:bottom w:val="single" w:color="000000" w:sz="8" w:space="0"/>
              <w:right w:val="single" w:color="000000" w:sz="8" w:space="0"/>
            </w:tcBorders>
            <w:shd w:val="clear" w:color="auto" w:fill="auto"/>
            <w:vAlign w:val="center"/>
          </w:tcPr>
          <w:p w14:paraId="52E1D505">
            <w:pPr>
              <w:jc w:val="center"/>
              <w:rPr>
                <w:rFonts w:hint="eastAsia" w:ascii="宋体" w:hAnsi="宋体" w:eastAsia="宋体" w:cs="宋体"/>
                <w:i w:val="0"/>
                <w:iCs w:val="0"/>
                <w:color w:val="auto"/>
                <w:sz w:val="21"/>
                <w:szCs w:val="21"/>
                <w:u w:val="none"/>
              </w:rPr>
            </w:pPr>
          </w:p>
        </w:tc>
        <w:tc>
          <w:tcPr>
            <w:tcW w:w="336" w:type="pct"/>
            <w:vMerge w:val="continue"/>
            <w:tcBorders>
              <w:top w:val="nil"/>
              <w:left w:val="nil"/>
              <w:bottom w:val="single" w:color="000000" w:sz="8" w:space="0"/>
              <w:right w:val="single" w:color="000000" w:sz="8" w:space="0"/>
            </w:tcBorders>
            <w:shd w:val="clear" w:color="auto" w:fill="auto"/>
            <w:vAlign w:val="center"/>
          </w:tcPr>
          <w:p w14:paraId="53B65129">
            <w:pPr>
              <w:jc w:val="center"/>
              <w:rPr>
                <w:rFonts w:hint="eastAsia" w:ascii="宋体" w:hAnsi="宋体" w:eastAsia="宋体" w:cs="宋体"/>
                <w:i w:val="0"/>
                <w:iCs w:val="0"/>
                <w:color w:val="auto"/>
                <w:sz w:val="21"/>
                <w:szCs w:val="21"/>
                <w:u w:val="none"/>
              </w:rPr>
            </w:pPr>
          </w:p>
        </w:tc>
        <w:tc>
          <w:tcPr>
            <w:tcW w:w="427" w:type="pct"/>
            <w:vMerge w:val="continue"/>
            <w:tcBorders>
              <w:top w:val="nil"/>
              <w:left w:val="nil"/>
              <w:bottom w:val="single" w:color="000000" w:sz="8" w:space="0"/>
              <w:right w:val="single" w:color="000000" w:sz="8" w:space="0"/>
            </w:tcBorders>
            <w:shd w:val="clear" w:color="auto" w:fill="auto"/>
            <w:vAlign w:val="center"/>
          </w:tcPr>
          <w:p w14:paraId="44F830E5">
            <w:pPr>
              <w:jc w:val="center"/>
              <w:rPr>
                <w:rFonts w:hint="eastAsia" w:ascii="宋体" w:hAnsi="宋体" w:eastAsia="宋体" w:cs="宋体"/>
                <w:i w:val="0"/>
                <w:iCs w:val="0"/>
                <w:color w:val="auto"/>
                <w:sz w:val="21"/>
                <w:szCs w:val="21"/>
                <w:u w:val="none"/>
              </w:rPr>
            </w:pPr>
          </w:p>
        </w:tc>
        <w:tc>
          <w:tcPr>
            <w:tcW w:w="349" w:type="pct"/>
            <w:vMerge w:val="continue"/>
            <w:tcBorders>
              <w:top w:val="nil"/>
              <w:left w:val="nil"/>
              <w:bottom w:val="single" w:color="000000" w:sz="8" w:space="0"/>
              <w:right w:val="single" w:color="000000" w:sz="8" w:space="0"/>
            </w:tcBorders>
            <w:shd w:val="clear" w:color="auto" w:fill="auto"/>
            <w:vAlign w:val="center"/>
          </w:tcPr>
          <w:p w14:paraId="3AF7E581">
            <w:pPr>
              <w:jc w:val="center"/>
              <w:rPr>
                <w:rFonts w:hint="eastAsia" w:ascii="宋体" w:hAnsi="宋体" w:eastAsia="宋体" w:cs="宋体"/>
                <w:i w:val="0"/>
                <w:iCs w:val="0"/>
                <w:color w:val="auto"/>
                <w:sz w:val="21"/>
                <w:szCs w:val="21"/>
                <w:u w:val="none"/>
              </w:rPr>
            </w:pPr>
          </w:p>
        </w:tc>
        <w:tc>
          <w:tcPr>
            <w:tcW w:w="477" w:type="pct"/>
            <w:tcBorders>
              <w:top w:val="nil"/>
              <w:left w:val="nil"/>
              <w:bottom w:val="single" w:color="000000" w:sz="8" w:space="0"/>
              <w:right w:val="single" w:color="000000" w:sz="8" w:space="0"/>
            </w:tcBorders>
            <w:shd w:val="clear" w:color="auto" w:fill="auto"/>
            <w:vAlign w:val="center"/>
          </w:tcPr>
          <w:p w14:paraId="7F4104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取水泵房值班室建面约86㎡</w:t>
            </w:r>
          </w:p>
        </w:tc>
        <w:tc>
          <w:tcPr>
            <w:tcW w:w="332" w:type="pct"/>
            <w:vMerge w:val="continue"/>
            <w:tcBorders>
              <w:top w:val="nil"/>
              <w:left w:val="nil"/>
              <w:bottom w:val="single" w:color="000000" w:sz="8" w:space="0"/>
              <w:right w:val="single" w:color="000000" w:sz="8" w:space="0"/>
            </w:tcBorders>
            <w:shd w:val="clear" w:color="auto" w:fill="auto"/>
            <w:vAlign w:val="center"/>
          </w:tcPr>
          <w:p w14:paraId="7AD1DEC6">
            <w:pPr>
              <w:jc w:val="center"/>
              <w:rPr>
                <w:rFonts w:hint="eastAsia" w:ascii="宋体" w:hAnsi="宋体" w:eastAsia="宋体" w:cs="宋体"/>
                <w:i w:val="0"/>
                <w:iCs w:val="0"/>
                <w:color w:val="auto"/>
                <w:sz w:val="21"/>
                <w:szCs w:val="21"/>
                <w:u w:val="none"/>
              </w:rPr>
            </w:pPr>
          </w:p>
        </w:tc>
        <w:tc>
          <w:tcPr>
            <w:tcW w:w="534" w:type="pct"/>
            <w:vMerge w:val="continue"/>
            <w:tcBorders>
              <w:top w:val="nil"/>
              <w:left w:val="nil"/>
              <w:bottom w:val="single" w:color="000000" w:sz="8" w:space="0"/>
              <w:right w:val="single" w:color="000000" w:sz="8" w:space="0"/>
            </w:tcBorders>
            <w:shd w:val="clear" w:color="auto" w:fill="auto"/>
            <w:vAlign w:val="center"/>
          </w:tcPr>
          <w:p w14:paraId="59738F54">
            <w:pPr>
              <w:jc w:val="center"/>
              <w:rPr>
                <w:rFonts w:hint="eastAsia" w:ascii="宋体" w:hAnsi="宋体" w:eastAsia="宋体" w:cs="宋体"/>
                <w:i w:val="0"/>
                <w:iCs w:val="0"/>
                <w:color w:val="auto"/>
                <w:sz w:val="21"/>
                <w:szCs w:val="21"/>
                <w:u w:val="none"/>
              </w:rPr>
            </w:pPr>
          </w:p>
        </w:tc>
        <w:tc>
          <w:tcPr>
            <w:tcW w:w="500" w:type="pct"/>
            <w:vMerge w:val="continue"/>
            <w:tcBorders>
              <w:top w:val="nil"/>
              <w:left w:val="nil"/>
              <w:bottom w:val="single" w:color="000000" w:sz="8" w:space="0"/>
              <w:right w:val="single" w:color="000000" w:sz="8" w:space="0"/>
            </w:tcBorders>
            <w:shd w:val="clear" w:color="auto" w:fill="auto"/>
            <w:vAlign w:val="center"/>
          </w:tcPr>
          <w:p w14:paraId="3EFADBDC">
            <w:pPr>
              <w:jc w:val="center"/>
              <w:rPr>
                <w:rFonts w:hint="eastAsia" w:ascii="宋体" w:hAnsi="宋体" w:eastAsia="宋体" w:cs="宋体"/>
                <w:i w:val="0"/>
                <w:iCs w:val="0"/>
                <w:color w:val="auto"/>
                <w:sz w:val="21"/>
                <w:szCs w:val="21"/>
                <w:u w:val="none"/>
              </w:rPr>
            </w:pPr>
          </w:p>
        </w:tc>
        <w:tc>
          <w:tcPr>
            <w:tcW w:w="538" w:type="pct"/>
            <w:vMerge w:val="continue"/>
            <w:tcBorders>
              <w:top w:val="nil"/>
              <w:left w:val="nil"/>
              <w:bottom w:val="single" w:color="000000" w:sz="8" w:space="0"/>
              <w:right w:val="single" w:color="000000" w:sz="8" w:space="0"/>
            </w:tcBorders>
            <w:shd w:val="clear" w:color="auto" w:fill="auto"/>
            <w:vAlign w:val="center"/>
          </w:tcPr>
          <w:p w14:paraId="7151048F">
            <w:pPr>
              <w:jc w:val="center"/>
              <w:rPr>
                <w:rFonts w:hint="eastAsia" w:ascii="宋体" w:hAnsi="宋体" w:eastAsia="宋体" w:cs="宋体"/>
                <w:i w:val="0"/>
                <w:iCs w:val="0"/>
                <w:color w:val="auto"/>
                <w:sz w:val="21"/>
                <w:szCs w:val="21"/>
                <w:u w:val="none"/>
              </w:rPr>
            </w:pPr>
          </w:p>
        </w:tc>
        <w:tc>
          <w:tcPr>
            <w:tcW w:w="495" w:type="pct"/>
            <w:vMerge w:val="continue"/>
            <w:tcBorders>
              <w:top w:val="nil"/>
              <w:left w:val="nil"/>
              <w:bottom w:val="single" w:color="000000" w:sz="8" w:space="0"/>
              <w:right w:val="single" w:color="000000" w:sz="8" w:space="0"/>
            </w:tcBorders>
            <w:shd w:val="clear" w:color="auto" w:fill="auto"/>
            <w:vAlign w:val="center"/>
          </w:tcPr>
          <w:p w14:paraId="078744C2">
            <w:pPr>
              <w:jc w:val="center"/>
              <w:rPr>
                <w:rFonts w:hint="eastAsia" w:ascii="宋体" w:hAnsi="宋体" w:eastAsia="宋体" w:cs="宋体"/>
                <w:i w:val="0"/>
                <w:iCs w:val="0"/>
                <w:color w:val="auto"/>
                <w:sz w:val="21"/>
                <w:szCs w:val="21"/>
                <w:u w:val="none"/>
              </w:rPr>
            </w:pPr>
          </w:p>
        </w:tc>
        <w:tc>
          <w:tcPr>
            <w:tcW w:w="485" w:type="pct"/>
            <w:vMerge w:val="continue"/>
            <w:tcBorders>
              <w:left w:val="nil"/>
              <w:bottom w:val="single" w:color="000000" w:sz="8" w:space="0"/>
              <w:right w:val="single" w:color="000000" w:sz="8" w:space="0"/>
            </w:tcBorders>
            <w:shd w:val="clear" w:color="auto" w:fill="auto"/>
            <w:vAlign w:val="center"/>
          </w:tcPr>
          <w:p w14:paraId="3FAA0A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14:paraId="76124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jc w:val="center"/>
        </w:trPr>
        <w:tc>
          <w:tcPr>
            <w:tcW w:w="206" w:type="pct"/>
            <w:vMerge w:val="restart"/>
            <w:tcBorders>
              <w:top w:val="nil"/>
              <w:left w:val="single" w:color="000000" w:sz="8" w:space="0"/>
              <w:bottom w:val="single" w:color="000000" w:sz="8" w:space="0"/>
              <w:right w:val="single" w:color="000000" w:sz="8" w:space="0"/>
            </w:tcBorders>
            <w:shd w:val="clear" w:color="auto" w:fill="auto"/>
            <w:vAlign w:val="center"/>
          </w:tcPr>
          <w:p w14:paraId="0949A6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316" w:type="pct"/>
            <w:vMerge w:val="restart"/>
            <w:tcBorders>
              <w:top w:val="nil"/>
              <w:left w:val="nil"/>
              <w:bottom w:val="single" w:color="000000" w:sz="8" w:space="0"/>
              <w:right w:val="single" w:color="000000" w:sz="8" w:space="0"/>
            </w:tcBorders>
            <w:shd w:val="clear" w:color="auto" w:fill="auto"/>
            <w:vAlign w:val="center"/>
          </w:tcPr>
          <w:p w14:paraId="7A9EE2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东莞市东信水环境投资有限公司</w:t>
            </w:r>
          </w:p>
        </w:tc>
        <w:tc>
          <w:tcPr>
            <w:tcW w:w="336" w:type="pct"/>
            <w:vMerge w:val="restart"/>
            <w:tcBorders>
              <w:top w:val="nil"/>
              <w:left w:val="nil"/>
              <w:bottom w:val="single" w:color="000000" w:sz="8" w:space="0"/>
              <w:right w:val="single" w:color="000000" w:sz="8" w:space="0"/>
            </w:tcBorders>
            <w:shd w:val="clear" w:color="auto" w:fill="auto"/>
            <w:vAlign w:val="center"/>
          </w:tcPr>
          <w:p w14:paraId="61AD5B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广东省东莞市大岭山镇华侨工业区（莞长路东）</w:t>
            </w:r>
          </w:p>
        </w:tc>
        <w:tc>
          <w:tcPr>
            <w:tcW w:w="427" w:type="pct"/>
            <w:vMerge w:val="restart"/>
            <w:tcBorders>
              <w:top w:val="nil"/>
              <w:left w:val="nil"/>
              <w:bottom w:val="single" w:color="000000" w:sz="8" w:space="0"/>
              <w:right w:val="single" w:color="000000" w:sz="8" w:space="0"/>
            </w:tcBorders>
            <w:shd w:val="clear" w:color="auto" w:fill="auto"/>
            <w:vAlign w:val="center"/>
          </w:tcPr>
          <w:p w14:paraId="1D59DA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东莞市水务集团供水有限公司第三水厂（大岭山加压泵站）</w:t>
            </w:r>
          </w:p>
        </w:tc>
        <w:tc>
          <w:tcPr>
            <w:tcW w:w="349" w:type="pct"/>
            <w:vMerge w:val="restart"/>
            <w:tcBorders>
              <w:top w:val="nil"/>
              <w:left w:val="nil"/>
              <w:bottom w:val="single" w:color="000000" w:sz="8" w:space="0"/>
              <w:right w:val="single" w:color="000000" w:sz="8" w:space="0"/>
            </w:tcBorders>
            <w:shd w:val="clear" w:color="auto" w:fill="auto"/>
            <w:vAlign w:val="center"/>
          </w:tcPr>
          <w:p w14:paraId="7BA59B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约404.1㎡</w:t>
            </w:r>
          </w:p>
        </w:tc>
        <w:tc>
          <w:tcPr>
            <w:tcW w:w="477" w:type="pct"/>
            <w:tcBorders>
              <w:top w:val="nil"/>
              <w:left w:val="nil"/>
              <w:bottom w:val="single" w:color="000000" w:sz="8" w:space="0"/>
              <w:right w:val="single" w:color="000000" w:sz="8" w:space="0"/>
            </w:tcBorders>
            <w:shd w:val="clear" w:color="auto" w:fill="auto"/>
            <w:vAlign w:val="center"/>
          </w:tcPr>
          <w:p w14:paraId="463E17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办公楼面积约316.1㎡（地上2层）</w:t>
            </w:r>
          </w:p>
        </w:tc>
        <w:tc>
          <w:tcPr>
            <w:tcW w:w="332" w:type="pct"/>
            <w:vMerge w:val="restart"/>
            <w:tcBorders>
              <w:top w:val="nil"/>
              <w:left w:val="nil"/>
              <w:bottom w:val="single" w:color="000000" w:sz="8" w:space="0"/>
              <w:right w:val="single" w:color="000000" w:sz="8" w:space="0"/>
            </w:tcBorders>
            <w:shd w:val="clear" w:color="auto" w:fill="auto"/>
            <w:vAlign w:val="center"/>
          </w:tcPr>
          <w:p w14:paraId="2D9794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534" w:type="pct"/>
            <w:vMerge w:val="restart"/>
            <w:tcBorders>
              <w:top w:val="nil"/>
              <w:left w:val="nil"/>
              <w:bottom w:val="single" w:color="000000" w:sz="8" w:space="0"/>
              <w:right w:val="single" w:color="000000" w:sz="8" w:space="0"/>
            </w:tcBorders>
            <w:shd w:val="clear" w:color="auto" w:fill="auto"/>
            <w:vAlign w:val="center"/>
          </w:tcPr>
          <w:p w14:paraId="6B6F3D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4245.28</w:t>
            </w:r>
          </w:p>
        </w:tc>
        <w:tc>
          <w:tcPr>
            <w:tcW w:w="500" w:type="pct"/>
            <w:vMerge w:val="restart"/>
            <w:tcBorders>
              <w:top w:val="nil"/>
              <w:left w:val="nil"/>
              <w:bottom w:val="single" w:color="000000" w:sz="8" w:space="0"/>
              <w:right w:val="single" w:color="000000" w:sz="8" w:space="0"/>
            </w:tcBorders>
            <w:shd w:val="clear" w:color="auto" w:fill="auto"/>
            <w:vAlign w:val="center"/>
          </w:tcPr>
          <w:p w14:paraId="08A4CE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4500</w:t>
            </w:r>
          </w:p>
        </w:tc>
        <w:tc>
          <w:tcPr>
            <w:tcW w:w="538" w:type="pct"/>
            <w:vMerge w:val="restart"/>
            <w:tcBorders>
              <w:top w:val="nil"/>
              <w:left w:val="nil"/>
              <w:bottom w:val="single" w:color="000000" w:sz="8" w:space="0"/>
              <w:right w:val="single" w:color="000000" w:sz="8" w:space="0"/>
            </w:tcBorders>
            <w:shd w:val="clear" w:color="auto" w:fill="auto"/>
            <w:vAlign w:val="center"/>
          </w:tcPr>
          <w:p w14:paraId="0FCB7B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152830.08 </w:t>
            </w:r>
          </w:p>
        </w:tc>
        <w:tc>
          <w:tcPr>
            <w:tcW w:w="495" w:type="pct"/>
            <w:vMerge w:val="restart"/>
            <w:tcBorders>
              <w:top w:val="nil"/>
              <w:left w:val="nil"/>
              <w:bottom w:val="single" w:color="000000" w:sz="8" w:space="0"/>
              <w:right w:val="single" w:color="000000" w:sz="8" w:space="0"/>
            </w:tcBorders>
            <w:shd w:val="clear" w:color="auto" w:fill="auto"/>
            <w:vAlign w:val="center"/>
          </w:tcPr>
          <w:p w14:paraId="6AC9D0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162000.00 </w:t>
            </w:r>
          </w:p>
        </w:tc>
        <w:tc>
          <w:tcPr>
            <w:tcW w:w="485" w:type="pct"/>
            <w:vMerge w:val="restart"/>
            <w:tcBorders>
              <w:top w:val="nil"/>
              <w:left w:val="nil"/>
              <w:bottom w:val="single" w:color="000000" w:sz="8" w:space="0"/>
              <w:right w:val="single" w:color="000000" w:sz="8" w:space="0"/>
            </w:tcBorders>
            <w:shd w:val="clear" w:color="auto" w:fill="auto"/>
            <w:vAlign w:val="center"/>
          </w:tcPr>
          <w:p w14:paraId="23FB56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每班1人值守，三班倒，其中1人兼职保安队长，合计3人。</w:t>
            </w:r>
          </w:p>
        </w:tc>
      </w:tr>
      <w:tr w14:paraId="747BF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06" w:type="pct"/>
            <w:vMerge w:val="continue"/>
            <w:tcBorders>
              <w:top w:val="nil"/>
              <w:left w:val="single" w:color="000000" w:sz="8" w:space="0"/>
              <w:bottom w:val="single" w:color="auto" w:sz="4" w:space="0"/>
              <w:right w:val="single" w:color="000000" w:sz="8" w:space="0"/>
            </w:tcBorders>
            <w:shd w:val="clear" w:color="auto" w:fill="auto"/>
            <w:vAlign w:val="center"/>
          </w:tcPr>
          <w:p w14:paraId="4F336A4C">
            <w:pPr>
              <w:jc w:val="center"/>
              <w:rPr>
                <w:rFonts w:hint="eastAsia" w:ascii="宋体" w:hAnsi="宋体" w:eastAsia="宋体" w:cs="宋体"/>
                <w:i w:val="0"/>
                <w:iCs w:val="0"/>
                <w:color w:val="auto"/>
                <w:sz w:val="21"/>
                <w:szCs w:val="21"/>
                <w:u w:val="none"/>
              </w:rPr>
            </w:pPr>
          </w:p>
        </w:tc>
        <w:tc>
          <w:tcPr>
            <w:tcW w:w="316" w:type="pct"/>
            <w:vMerge w:val="continue"/>
            <w:tcBorders>
              <w:top w:val="nil"/>
              <w:left w:val="nil"/>
              <w:bottom w:val="single" w:color="auto" w:sz="4" w:space="0"/>
              <w:right w:val="single" w:color="000000" w:sz="8" w:space="0"/>
            </w:tcBorders>
            <w:shd w:val="clear" w:color="auto" w:fill="auto"/>
            <w:vAlign w:val="center"/>
          </w:tcPr>
          <w:p w14:paraId="792E14F1">
            <w:pPr>
              <w:jc w:val="center"/>
              <w:rPr>
                <w:rFonts w:hint="eastAsia" w:ascii="宋体" w:hAnsi="宋体" w:eastAsia="宋体" w:cs="宋体"/>
                <w:i w:val="0"/>
                <w:iCs w:val="0"/>
                <w:color w:val="auto"/>
                <w:sz w:val="21"/>
                <w:szCs w:val="21"/>
                <w:u w:val="none"/>
              </w:rPr>
            </w:pPr>
          </w:p>
        </w:tc>
        <w:tc>
          <w:tcPr>
            <w:tcW w:w="336" w:type="pct"/>
            <w:vMerge w:val="continue"/>
            <w:tcBorders>
              <w:top w:val="nil"/>
              <w:left w:val="nil"/>
              <w:bottom w:val="single" w:color="auto" w:sz="4" w:space="0"/>
              <w:right w:val="single" w:color="000000" w:sz="8" w:space="0"/>
            </w:tcBorders>
            <w:shd w:val="clear" w:color="auto" w:fill="auto"/>
            <w:vAlign w:val="center"/>
          </w:tcPr>
          <w:p w14:paraId="00C63FB8">
            <w:pPr>
              <w:jc w:val="center"/>
              <w:rPr>
                <w:rFonts w:hint="eastAsia" w:ascii="宋体" w:hAnsi="宋体" w:eastAsia="宋体" w:cs="宋体"/>
                <w:i w:val="0"/>
                <w:iCs w:val="0"/>
                <w:color w:val="auto"/>
                <w:sz w:val="21"/>
                <w:szCs w:val="21"/>
                <w:u w:val="none"/>
              </w:rPr>
            </w:pPr>
          </w:p>
        </w:tc>
        <w:tc>
          <w:tcPr>
            <w:tcW w:w="427" w:type="pct"/>
            <w:vMerge w:val="continue"/>
            <w:tcBorders>
              <w:top w:val="nil"/>
              <w:left w:val="nil"/>
              <w:bottom w:val="single" w:color="auto" w:sz="4" w:space="0"/>
              <w:right w:val="single" w:color="000000" w:sz="8" w:space="0"/>
            </w:tcBorders>
            <w:shd w:val="clear" w:color="auto" w:fill="auto"/>
            <w:vAlign w:val="center"/>
          </w:tcPr>
          <w:p w14:paraId="74CE28B1">
            <w:pPr>
              <w:jc w:val="center"/>
              <w:rPr>
                <w:rFonts w:hint="eastAsia" w:ascii="宋体" w:hAnsi="宋体" w:eastAsia="宋体" w:cs="宋体"/>
                <w:i w:val="0"/>
                <w:iCs w:val="0"/>
                <w:color w:val="auto"/>
                <w:sz w:val="21"/>
                <w:szCs w:val="21"/>
                <w:u w:val="none"/>
              </w:rPr>
            </w:pPr>
          </w:p>
        </w:tc>
        <w:tc>
          <w:tcPr>
            <w:tcW w:w="349" w:type="pct"/>
            <w:vMerge w:val="continue"/>
            <w:tcBorders>
              <w:top w:val="nil"/>
              <w:left w:val="nil"/>
              <w:bottom w:val="single" w:color="auto" w:sz="4" w:space="0"/>
              <w:right w:val="single" w:color="000000" w:sz="8" w:space="0"/>
            </w:tcBorders>
            <w:shd w:val="clear" w:color="auto" w:fill="auto"/>
            <w:vAlign w:val="center"/>
          </w:tcPr>
          <w:p w14:paraId="50470570">
            <w:pPr>
              <w:jc w:val="center"/>
              <w:rPr>
                <w:rFonts w:hint="eastAsia" w:ascii="宋体" w:hAnsi="宋体" w:eastAsia="宋体" w:cs="宋体"/>
                <w:i w:val="0"/>
                <w:iCs w:val="0"/>
                <w:color w:val="auto"/>
                <w:sz w:val="21"/>
                <w:szCs w:val="21"/>
                <w:u w:val="none"/>
              </w:rPr>
            </w:pPr>
          </w:p>
        </w:tc>
        <w:tc>
          <w:tcPr>
            <w:tcW w:w="477" w:type="pct"/>
            <w:tcBorders>
              <w:top w:val="nil"/>
              <w:left w:val="nil"/>
              <w:bottom w:val="single" w:color="auto" w:sz="4" w:space="0"/>
              <w:right w:val="single" w:color="000000" w:sz="8" w:space="0"/>
            </w:tcBorders>
            <w:shd w:val="clear" w:color="auto" w:fill="auto"/>
            <w:vAlign w:val="center"/>
          </w:tcPr>
          <w:p w14:paraId="71ADDE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值守室面积约88㎡</w:t>
            </w:r>
          </w:p>
        </w:tc>
        <w:tc>
          <w:tcPr>
            <w:tcW w:w="332" w:type="pct"/>
            <w:vMerge w:val="continue"/>
            <w:tcBorders>
              <w:top w:val="nil"/>
              <w:left w:val="nil"/>
              <w:bottom w:val="single" w:color="auto" w:sz="4" w:space="0"/>
              <w:right w:val="single" w:color="000000" w:sz="8" w:space="0"/>
            </w:tcBorders>
            <w:shd w:val="clear" w:color="auto" w:fill="auto"/>
            <w:vAlign w:val="center"/>
          </w:tcPr>
          <w:p w14:paraId="55367841">
            <w:pPr>
              <w:jc w:val="center"/>
              <w:rPr>
                <w:rFonts w:hint="eastAsia" w:ascii="宋体" w:hAnsi="宋体" w:eastAsia="宋体" w:cs="宋体"/>
                <w:i w:val="0"/>
                <w:iCs w:val="0"/>
                <w:color w:val="auto"/>
                <w:sz w:val="21"/>
                <w:szCs w:val="21"/>
                <w:u w:val="none"/>
              </w:rPr>
            </w:pPr>
          </w:p>
        </w:tc>
        <w:tc>
          <w:tcPr>
            <w:tcW w:w="534" w:type="pct"/>
            <w:vMerge w:val="continue"/>
            <w:tcBorders>
              <w:top w:val="nil"/>
              <w:left w:val="nil"/>
              <w:bottom w:val="single" w:color="auto" w:sz="4" w:space="0"/>
              <w:right w:val="single" w:color="000000" w:sz="8" w:space="0"/>
            </w:tcBorders>
            <w:shd w:val="clear" w:color="auto" w:fill="auto"/>
            <w:vAlign w:val="center"/>
          </w:tcPr>
          <w:p w14:paraId="5655C6F3">
            <w:pPr>
              <w:jc w:val="center"/>
              <w:rPr>
                <w:rFonts w:hint="eastAsia" w:ascii="宋体" w:hAnsi="宋体" w:eastAsia="宋体" w:cs="宋体"/>
                <w:i w:val="0"/>
                <w:iCs w:val="0"/>
                <w:color w:val="auto"/>
                <w:sz w:val="21"/>
                <w:szCs w:val="21"/>
                <w:u w:val="none"/>
              </w:rPr>
            </w:pPr>
          </w:p>
        </w:tc>
        <w:tc>
          <w:tcPr>
            <w:tcW w:w="500" w:type="pct"/>
            <w:vMerge w:val="continue"/>
            <w:tcBorders>
              <w:top w:val="nil"/>
              <w:left w:val="nil"/>
              <w:bottom w:val="single" w:color="auto" w:sz="4" w:space="0"/>
              <w:right w:val="single" w:color="000000" w:sz="8" w:space="0"/>
            </w:tcBorders>
            <w:shd w:val="clear" w:color="auto" w:fill="auto"/>
            <w:vAlign w:val="center"/>
          </w:tcPr>
          <w:p w14:paraId="5B1BCBFF">
            <w:pPr>
              <w:jc w:val="center"/>
              <w:rPr>
                <w:rFonts w:hint="eastAsia" w:ascii="宋体" w:hAnsi="宋体" w:eastAsia="宋体" w:cs="宋体"/>
                <w:i w:val="0"/>
                <w:iCs w:val="0"/>
                <w:color w:val="auto"/>
                <w:sz w:val="21"/>
                <w:szCs w:val="21"/>
                <w:u w:val="none"/>
              </w:rPr>
            </w:pPr>
          </w:p>
        </w:tc>
        <w:tc>
          <w:tcPr>
            <w:tcW w:w="538" w:type="pct"/>
            <w:vMerge w:val="continue"/>
            <w:tcBorders>
              <w:top w:val="nil"/>
              <w:left w:val="nil"/>
              <w:bottom w:val="single" w:color="auto" w:sz="4" w:space="0"/>
              <w:right w:val="single" w:color="000000" w:sz="8" w:space="0"/>
            </w:tcBorders>
            <w:shd w:val="clear" w:color="auto" w:fill="auto"/>
            <w:vAlign w:val="center"/>
          </w:tcPr>
          <w:p w14:paraId="6A758B6F">
            <w:pPr>
              <w:jc w:val="center"/>
              <w:rPr>
                <w:rFonts w:hint="eastAsia" w:ascii="宋体" w:hAnsi="宋体" w:eastAsia="宋体" w:cs="宋体"/>
                <w:i w:val="0"/>
                <w:iCs w:val="0"/>
                <w:color w:val="auto"/>
                <w:sz w:val="21"/>
                <w:szCs w:val="21"/>
                <w:u w:val="none"/>
              </w:rPr>
            </w:pPr>
          </w:p>
        </w:tc>
        <w:tc>
          <w:tcPr>
            <w:tcW w:w="495" w:type="pct"/>
            <w:vMerge w:val="continue"/>
            <w:tcBorders>
              <w:top w:val="nil"/>
              <w:left w:val="nil"/>
              <w:bottom w:val="single" w:color="auto" w:sz="4" w:space="0"/>
              <w:right w:val="single" w:color="000000" w:sz="8" w:space="0"/>
            </w:tcBorders>
            <w:shd w:val="clear" w:color="auto" w:fill="auto"/>
            <w:vAlign w:val="center"/>
          </w:tcPr>
          <w:p w14:paraId="08079697">
            <w:pPr>
              <w:jc w:val="center"/>
              <w:rPr>
                <w:rFonts w:hint="eastAsia" w:ascii="宋体" w:hAnsi="宋体" w:eastAsia="宋体" w:cs="宋体"/>
                <w:i w:val="0"/>
                <w:iCs w:val="0"/>
                <w:color w:val="auto"/>
                <w:sz w:val="21"/>
                <w:szCs w:val="21"/>
                <w:u w:val="none"/>
              </w:rPr>
            </w:pPr>
          </w:p>
        </w:tc>
        <w:tc>
          <w:tcPr>
            <w:tcW w:w="485" w:type="pct"/>
            <w:vMerge w:val="continue"/>
            <w:tcBorders>
              <w:top w:val="nil"/>
              <w:left w:val="nil"/>
              <w:bottom w:val="single" w:color="auto" w:sz="4" w:space="0"/>
              <w:right w:val="single" w:color="000000" w:sz="8" w:space="0"/>
            </w:tcBorders>
            <w:shd w:val="clear" w:color="auto" w:fill="auto"/>
            <w:vAlign w:val="center"/>
          </w:tcPr>
          <w:p w14:paraId="26B09912">
            <w:pPr>
              <w:jc w:val="center"/>
              <w:rPr>
                <w:rFonts w:hint="eastAsia" w:ascii="宋体" w:hAnsi="宋体" w:eastAsia="宋体" w:cs="宋体"/>
                <w:i w:val="0"/>
                <w:iCs w:val="0"/>
                <w:color w:val="auto"/>
                <w:sz w:val="21"/>
                <w:szCs w:val="21"/>
                <w:u w:val="none"/>
              </w:rPr>
            </w:pPr>
          </w:p>
        </w:tc>
      </w:tr>
      <w:tr w14:paraId="39459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jc w:val="center"/>
        </w:trPr>
        <w:tc>
          <w:tcPr>
            <w:tcW w:w="2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13E7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31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E157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东莞市水务集团管网有限公司</w:t>
            </w:r>
          </w:p>
        </w:tc>
        <w:tc>
          <w:tcPr>
            <w:tcW w:w="33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43AD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广东省东莞市茶山镇15号路（博头村桑辉能源内）</w:t>
            </w:r>
          </w:p>
        </w:tc>
        <w:tc>
          <w:tcPr>
            <w:tcW w:w="42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A1EC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东莞市水务集团供水有限公司茶山分公司原供水一厂</w:t>
            </w:r>
          </w:p>
        </w:tc>
        <w:tc>
          <w:tcPr>
            <w:tcW w:w="34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EDCB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约596.36㎡</w:t>
            </w:r>
          </w:p>
        </w:tc>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14:paraId="645283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办公楼面积约296.36㎡（地上2层）</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69C9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5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39E3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4245.28</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E179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4500</w:t>
            </w:r>
          </w:p>
        </w:tc>
        <w:tc>
          <w:tcPr>
            <w:tcW w:w="5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D2A1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color w:val="auto"/>
              </w:rPr>
              <w:t>152830.08</w:t>
            </w:r>
          </w:p>
        </w:tc>
        <w:tc>
          <w:tcPr>
            <w:tcW w:w="49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0475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162000.00 </w:t>
            </w:r>
          </w:p>
        </w:tc>
        <w:tc>
          <w:tcPr>
            <w:tcW w:w="48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D586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每班1人值守，三班倒，其中1人兼职保安队长，合计3人。</w:t>
            </w:r>
          </w:p>
        </w:tc>
      </w:tr>
      <w:tr w14:paraId="01135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206" w:type="pct"/>
            <w:vMerge w:val="continue"/>
            <w:tcBorders>
              <w:top w:val="single" w:color="auto" w:sz="4" w:space="0"/>
              <w:left w:val="single" w:color="auto" w:sz="4" w:space="0"/>
              <w:bottom w:val="single" w:color="000000" w:sz="8" w:space="0"/>
              <w:right w:val="single" w:color="000000" w:sz="8" w:space="0"/>
            </w:tcBorders>
            <w:shd w:val="clear" w:color="auto" w:fill="auto"/>
            <w:vAlign w:val="center"/>
          </w:tcPr>
          <w:p w14:paraId="209FEE7C">
            <w:pPr>
              <w:jc w:val="center"/>
              <w:rPr>
                <w:rFonts w:hint="eastAsia" w:ascii="宋体" w:hAnsi="宋体" w:eastAsia="宋体" w:cs="宋体"/>
                <w:i w:val="0"/>
                <w:iCs w:val="0"/>
                <w:color w:val="auto"/>
                <w:sz w:val="21"/>
                <w:szCs w:val="21"/>
                <w:u w:val="none"/>
              </w:rPr>
            </w:pPr>
          </w:p>
        </w:tc>
        <w:tc>
          <w:tcPr>
            <w:tcW w:w="316" w:type="pct"/>
            <w:vMerge w:val="continue"/>
            <w:tcBorders>
              <w:top w:val="single" w:color="auto" w:sz="4" w:space="0"/>
              <w:left w:val="nil"/>
              <w:bottom w:val="single" w:color="000000" w:sz="8" w:space="0"/>
              <w:right w:val="single" w:color="000000" w:sz="8" w:space="0"/>
            </w:tcBorders>
            <w:shd w:val="clear" w:color="auto" w:fill="auto"/>
            <w:vAlign w:val="center"/>
          </w:tcPr>
          <w:p w14:paraId="3231F689">
            <w:pPr>
              <w:jc w:val="center"/>
              <w:rPr>
                <w:rFonts w:hint="eastAsia" w:ascii="宋体" w:hAnsi="宋体" w:eastAsia="宋体" w:cs="宋体"/>
                <w:i w:val="0"/>
                <w:iCs w:val="0"/>
                <w:color w:val="auto"/>
                <w:sz w:val="21"/>
                <w:szCs w:val="21"/>
                <w:u w:val="none"/>
              </w:rPr>
            </w:pPr>
          </w:p>
        </w:tc>
        <w:tc>
          <w:tcPr>
            <w:tcW w:w="336" w:type="pct"/>
            <w:vMerge w:val="continue"/>
            <w:tcBorders>
              <w:top w:val="single" w:color="auto" w:sz="4" w:space="0"/>
              <w:left w:val="nil"/>
              <w:bottom w:val="single" w:color="000000" w:sz="8" w:space="0"/>
              <w:right w:val="single" w:color="000000" w:sz="8" w:space="0"/>
            </w:tcBorders>
            <w:shd w:val="clear" w:color="auto" w:fill="auto"/>
            <w:vAlign w:val="center"/>
          </w:tcPr>
          <w:p w14:paraId="168347FD">
            <w:pPr>
              <w:jc w:val="center"/>
              <w:rPr>
                <w:rFonts w:hint="eastAsia" w:ascii="宋体" w:hAnsi="宋体" w:eastAsia="宋体" w:cs="宋体"/>
                <w:i w:val="0"/>
                <w:iCs w:val="0"/>
                <w:color w:val="auto"/>
                <w:sz w:val="21"/>
                <w:szCs w:val="21"/>
                <w:u w:val="none"/>
              </w:rPr>
            </w:pPr>
          </w:p>
        </w:tc>
        <w:tc>
          <w:tcPr>
            <w:tcW w:w="427" w:type="pct"/>
            <w:vMerge w:val="continue"/>
            <w:tcBorders>
              <w:top w:val="single" w:color="auto" w:sz="4" w:space="0"/>
              <w:left w:val="nil"/>
              <w:bottom w:val="single" w:color="000000" w:sz="8" w:space="0"/>
              <w:right w:val="single" w:color="000000" w:sz="8" w:space="0"/>
            </w:tcBorders>
            <w:shd w:val="clear" w:color="auto" w:fill="auto"/>
            <w:vAlign w:val="center"/>
          </w:tcPr>
          <w:p w14:paraId="122B8AC7">
            <w:pPr>
              <w:jc w:val="center"/>
              <w:rPr>
                <w:rFonts w:hint="eastAsia" w:ascii="宋体" w:hAnsi="宋体" w:eastAsia="宋体" w:cs="宋体"/>
                <w:i w:val="0"/>
                <w:iCs w:val="0"/>
                <w:color w:val="auto"/>
                <w:sz w:val="21"/>
                <w:szCs w:val="21"/>
                <w:u w:val="none"/>
              </w:rPr>
            </w:pPr>
          </w:p>
        </w:tc>
        <w:tc>
          <w:tcPr>
            <w:tcW w:w="349" w:type="pct"/>
            <w:vMerge w:val="continue"/>
            <w:tcBorders>
              <w:top w:val="single" w:color="auto" w:sz="4" w:space="0"/>
              <w:left w:val="nil"/>
              <w:bottom w:val="single" w:color="000000" w:sz="8" w:space="0"/>
              <w:right w:val="single" w:color="000000" w:sz="8" w:space="0"/>
            </w:tcBorders>
            <w:shd w:val="clear" w:color="auto" w:fill="auto"/>
            <w:vAlign w:val="center"/>
          </w:tcPr>
          <w:p w14:paraId="7B1EC6BA">
            <w:pPr>
              <w:jc w:val="center"/>
              <w:rPr>
                <w:rFonts w:hint="eastAsia" w:ascii="宋体" w:hAnsi="宋体" w:eastAsia="宋体" w:cs="宋体"/>
                <w:i w:val="0"/>
                <w:iCs w:val="0"/>
                <w:color w:val="auto"/>
                <w:sz w:val="21"/>
                <w:szCs w:val="21"/>
                <w:u w:val="none"/>
              </w:rPr>
            </w:pPr>
          </w:p>
        </w:tc>
        <w:tc>
          <w:tcPr>
            <w:tcW w:w="477" w:type="pct"/>
            <w:tcBorders>
              <w:top w:val="single" w:color="auto" w:sz="4" w:space="0"/>
              <w:left w:val="nil"/>
              <w:bottom w:val="single" w:color="000000" w:sz="8" w:space="0"/>
              <w:right w:val="single" w:color="000000" w:sz="8" w:space="0"/>
            </w:tcBorders>
            <w:shd w:val="clear" w:color="auto" w:fill="auto"/>
            <w:vAlign w:val="center"/>
          </w:tcPr>
          <w:p w14:paraId="65C07F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值守室面积约300㎡</w:t>
            </w:r>
          </w:p>
        </w:tc>
        <w:tc>
          <w:tcPr>
            <w:tcW w:w="332" w:type="pct"/>
            <w:vMerge w:val="continue"/>
            <w:tcBorders>
              <w:top w:val="single" w:color="auto" w:sz="4" w:space="0"/>
              <w:left w:val="nil"/>
              <w:bottom w:val="single" w:color="000000" w:sz="8" w:space="0"/>
              <w:right w:val="single" w:color="000000" w:sz="8" w:space="0"/>
            </w:tcBorders>
            <w:shd w:val="clear" w:color="auto" w:fill="auto"/>
            <w:vAlign w:val="center"/>
          </w:tcPr>
          <w:p w14:paraId="61E41E20">
            <w:pPr>
              <w:jc w:val="center"/>
              <w:rPr>
                <w:rFonts w:hint="eastAsia" w:ascii="宋体" w:hAnsi="宋体" w:eastAsia="宋体" w:cs="宋体"/>
                <w:i w:val="0"/>
                <w:iCs w:val="0"/>
                <w:color w:val="auto"/>
                <w:sz w:val="21"/>
                <w:szCs w:val="21"/>
                <w:u w:val="none"/>
              </w:rPr>
            </w:pPr>
          </w:p>
        </w:tc>
        <w:tc>
          <w:tcPr>
            <w:tcW w:w="534" w:type="pct"/>
            <w:vMerge w:val="continue"/>
            <w:tcBorders>
              <w:top w:val="single" w:color="auto" w:sz="4" w:space="0"/>
              <w:left w:val="nil"/>
              <w:bottom w:val="single" w:color="000000" w:sz="8" w:space="0"/>
              <w:right w:val="single" w:color="000000" w:sz="8" w:space="0"/>
            </w:tcBorders>
            <w:shd w:val="clear" w:color="auto" w:fill="auto"/>
            <w:vAlign w:val="center"/>
          </w:tcPr>
          <w:p w14:paraId="4F65BC04">
            <w:pPr>
              <w:jc w:val="center"/>
              <w:rPr>
                <w:rFonts w:hint="eastAsia" w:ascii="宋体" w:hAnsi="宋体" w:eastAsia="宋体" w:cs="宋体"/>
                <w:i w:val="0"/>
                <w:iCs w:val="0"/>
                <w:color w:val="auto"/>
                <w:sz w:val="21"/>
                <w:szCs w:val="21"/>
                <w:u w:val="none"/>
              </w:rPr>
            </w:pPr>
          </w:p>
        </w:tc>
        <w:tc>
          <w:tcPr>
            <w:tcW w:w="500" w:type="pct"/>
            <w:vMerge w:val="continue"/>
            <w:tcBorders>
              <w:top w:val="single" w:color="auto" w:sz="4" w:space="0"/>
              <w:left w:val="nil"/>
              <w:bottom w:val="single" w:color="000000" w:sz="8" w:space="0"/>
              <w:right w:val="single" w:color="000000" w:sz="8" w:space="0"/>
            </w:tcBorders>
            <w:shd w:val="clear" w:color="auto" w:fill="auto"/>
            <w:vAlign w:val="center"/>
          </w:tcPr>
          <w:p w14:paraId="3DDF3CB2">
            <w:pPr>
              <w:jc w:val="center"/>
              <w:rPr>
                <w:rFonts w:hint="eastAsia" w:ascii="宋体" w:hAnsi="宋体" w:eastAsia="宋体" w:cs="宋体"/>
                <w:i w:val="0"/>
                <w:iCs w:val="0"/>
                <w:color w:val="auto"/>
                <w:sz w:val="21"/>
                <w:szCs w:val="21"/>
                <w:u w:val="none"/>
              </w:rPr>
            </w:pPr>
          </w:p>
        </w:tc>
        <w:tc>
          <w:tcPr>
            <w:tcW w:w="538" w:type="pct"/>
            <w:vMerge w:val="continue"/>
            <w:tcBorders>
              <w:top w:val="single" w:color="auto" w:sz="4" w:space="0"/>
              <w:left w:val="nil"/>
              <w:bottom w:val="single" w:color="000000" w:sz="8" w:space="0"/>
              <w:right w:val="single" w:color="000000" w:sz="8" w:space="0"/>
            </w:tcBorders>
            <w:shd w:val="clear" w:color="auto" w:fill="auto"/>
            <w:vAlign w:val="center"/>
          </w:tcPr>
          <w:p w14:paraId="132C48AB">
            <w:pPr>
              <w:jc w:val="center"/>
              <w:rPr>
                <w:rFonts w:hint="eastAsia" w:ascii="宋体" w:hAnsi="宋体" w:eastAsia="宋体" w:cs="宋体"/>
                <w:i w:val="0"/>
                <w:iCs w:val="0"/>
                <w:color w:val="auto"/>
                <w:sz w:val="21"/>
                <w:szCs w:val="21"/>
                <w:u w:val="none"/>
              </w:rPr>
            </w:pPr>
          </w:p>
        </w:tc>
        <w:tc>
          <w:tcPr>
            <w:tcW w:w="495" w:type="pct"/>
            <w:vMerge w:val="continue"/>
            <w:tcBorders>
              <w:top w:val="single" w:color="auto" w:sz="4" w:space="0"/>
              <w:left w:val="nil"/>
              <w:bottom w:val="single" w:color="000000" w:sz="8" w:space="0"/>
              <w:right w:val="single" w:color="000000" w:sz="8" w:space="0"/>
            </w:tcBorders>
            <w:shd w:val="clear" w:color="auto" w:fill="auto"/>
            <w:vAlign w:val="center"/>
          </w:tcPr>
          <w:p w14:paraId="6F9C1153">
            <w:pPr>
              <w:jc w:val="center"/>
              <w:rPr>
                <w:rFonts w:hint="eastAsia" w:ascii="宋体" w:hAnsi="宋体" w:eastAsia="宋体" w:cs="宋体"/>
                <w:i w:val="0"/>
                <w:iCs w:val="0"/>
                <w:color w:val="auto"/>
                <w:sz w:val="21"/>
                <w:szCs w:val="21"/>
                <w:u w:val="none"/>
              </w:rPr>
            </w:pPr>
          </w:p>
        </w:tc>
        <w:tc>
          <w:tcPr>
            <w:tcW w:w="485" w:type="pct"/>
            <w:vMerge w:val="continue"/>
            <w:tcBorders>
              <w:top w:val="single" w:color="auto" w:sz="4" w:space="0"/>
              <w:left w:val="nil"/>
              <w:bottom w:val="single" w:color="000000" w:sz="8" w:space="0"/>
              <w:right w:val="single" w:color="auto" w:sz="4" w:space="0"/>
            </w:tcBorders>
            <w:shd w:val="clear" w:color="auto" w:fill="auto"/>
            <w:vAlign w:val="center"/>
          </w:tcPr>
          <w:p w14:paraId="11093999">
            <w:pPr>
              <w:jc w:val="center"/>
              <w:rPr>
                <w:rFonts w:hint="eastAsia" w:ascii="宋体" w:hAnsi="宋体" w:eastAsia="宋体" w:cs="宋体"/>
                <w:i w:val="0"/>
                <w:iCs w:val="0"/>
                <w:color w:val="auto"/>
                <w:sz w:val="21"/>
                <w:szCs w:val="21"/>
                <w:u w:val="none"/>
              </w:rPr>
            </w:pPr>
          </w:p>
        </w:tc>
      </w:tr>
      <w:tr w14:paraId="33AEA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jc w:val="center"/>
        </w:trPr>
        <w:tc>
          <w:tcPr>
            <w:tcW w:w="206" w:type="pct"/>
            <w:vMerge w:val="restart"/>
            <w:tcBorders>
              <w:top w:val="nil"/>
              <w:left w:val="single" w:color="000000" w:sz="8" w:space="0"/>
              <w:bottom w:val="single" w:color="000000" w:sz="8" w:space="0"/>
              <w:right w:val="single" w:color="000000" w:sz="8" w:space="0"/>
            </w:tcBorders>
            <w:shd w:val="clear" w:color="auto" w:fill="auto"/>
            <w:vAlign w:val="center"/>
          </w:tcPr>
          <w:p w14:paraId="6EED5B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316" w:type="pct"/>
            <w:vMerge w:val="restart"/>
            <w:tcBorders>
              <w:top w:val="nil"/>
              <w:left w:val="nil"/>
              <w:bottom w:val="single" w:color="000000" w:sz="8" w:space="0"/>
              <w:right w:val="single" w:color="000000" w:sz="8" w:space="0"/>
            </w:tcBorders>
            <w:shd w:val="clear" w:color="auto" w:fill="auto"/>
            <w:vAlign w:val="center"/>
          </w:tcPr>
          <w:p w14:paraId="3C3742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东莞市东泽水环境投资有限公司</w:t>
            </w:r>
          </w:p>
        </w:tc>
        <w:tc>
          <w:tcPr>
            <w:tcW w:w="336" w:type="pct"/>
            <w:vMerge w:val="restart"/>
            <w:tcBorders>
              <w:top w:val="nil"/>
              <w:left w:val="nil"/>
              <w:bottom w:val="single" w:color="000000" w:sz="8" w:space="0"/>
              <w:right w:val="single" w:color="000000" w:sz="8" w:space="0"/>
            </w:tcBorders>
            <w:shd w:val="clear" w:color="auto" w:fill="auto"/>
            <w:vAlign w:val="center"/>
          </w:tcPr>
          <w:p w14:paraId="4708BD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东莞市虎门镇东引路10号</w:t>
            </w:r>
          </w:p>
        </w:tc>
        <w:tc>
          <w:tcPr>
            <w:tcW w:w="427" w:type="pct"/>
            <w:tcBorders>
              <w:top w:val="nil"/>
              <w:left w:val="nil"/>
              <w:bottom w:val="single" w:color="000000" w:sz="8" w:space="0"/>
              <w:right w:val="single" w:color="000000" w:sz="8" w:space="0"/>
            </w:tcBorders>
            <w:shd w:val="clear" w:color="auto" w:fill="auto"/>
            <w:vAlign w:val="center"/>
          </w:tcPr>
          <w:p w14:paraId="3DFE7D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东莞市水务集团管网有限公司第三分公司东引办公楼</w:t>
            </w:r>
          </w:p>
        </w:tc>
        <w:tc>
          <w:tcPr>
            <w:tcW w:w="349" w:type="pct"/>
            <w:vMerge w:val="restart"/>
            <w:tcBorders>
              <w:top w:val="nil"/>
              <w:left w:val="nil"/>
              <w:bottom w:val="single" w:color="000000" w:sz="8" w:space="0"/>
              <w:right w:val="single" w:color="000000" w:sz="8" w:space="0"/>
            </w:tcBorders>
            <w:shd w:val="clear" w:color="auto" w:fill="auto"/>
            <w:vAlign w:val="center"/>
          </w:tcPr>
          <w:p w14:paraId="4DD197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约11450㎡</w:t>
            </w:r>
          </w:p>
        </w:tc>
        <w:tc>
          <w:tcPr>
            <w:tcW w:w="477" w:type="pct"/>
            <w:tcBorders>
              <w:top w:val="nil"/>
              <w:left w:val="nil"/>
              <w:bottom w:val="single" w:color="000000" w:sz="8" w:space="0"/>
              <w:right w:val="single" w:color="000000" w:sz="8" w:space="0"/>
            </w:tcBorders>
            <w:shd w:val="clear" w:color="auto" w:fill="auto"/>
            <w:vAlign w:val="center"/>
          </w:tcPr>
          <w:p w14:paraId="0C2729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建面约5800m</w:t>
            </w:r>
            <w:r>
              <w:rPr>
                <w:rFonts w:hint="eastAsia" w:ascii="宋体" w:hAnsi="宋体" w:eastAsia="宋体" w:cs="宋体"/>
                <w:i w:val="0"/>
                <w:iCs w:val="0"/>
                <w:color w:val="auto"/>
                <w:kern w:val="0"/>
                <w:sz w:val="21"/>
                <w:szCs w:val="21"/>
                <w:u w:val="none"/>
                <w:vertAlign w:val="superscript"/>
                <w:lang w:val="en-US" w:eastAsia="zh-CN" w:bidi="ar"/>
              </w:rPr>
              <w:t>2</w:t>
            </w:r>
            <w:r>
              <w:rPr>
                <w:rFonts w:hint="eastAsia" w:ascii="宋体" w:hAnsi="宋体" w:eastAsia="宋体" w:cs="宋体"/>
                <w:i w:val="0"/>
                <w:iCs w:val="0"/>
                <w:color w:val="auto"/>
                <w:kern w:val="0"/>
                <w:sz w:val="21"/>
                <w:szCs w:val="21"/>
                <w:u w:val="none"/>
                <w:lang w:val="en-US" w:eastAsia="zh-CN" w:bidi="ar"/>
              </w:rPr>
              <w:t>（含办公楼地上地下5层</w:t>
            </w:r>
          </w:p>
        </w:tc>
        <w:tc>
          <w:tcPr>
            <w:tcW w:w="332" w:type="pct"/>
            <w:vMerge w:val="restart"/>
            <w:tcBorders>
              <w:top w:val="nil"/>
              <w:left w:val="nil"/>
              <w:bottom w:val="single" w:color="000000" w:sz="8" w:space="0"/>
              <w:right w:val="single" w:color="000000" w:sz="8" w:space="0"/>
            </w:tcBorders>
            <w:shd w:val="clear" w:color="auto" w:fill="auto"/>
            <w:vAlign w:val="center"/>
          </w:tcPr>
          <w:p w14:paraId="69D95F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534" w:type="pct"/>
            <w:vMerge w:val="restart"/>
            <w:tcBorders>
              <w:top w:val="nil"/>
              <w:left w:val="nil"/>
              <w:bottom w:val="single" w:color="000000" w:sz="8" w:space="0"/>
              <w:right w:val="single" w:color="000000" w:sz="8" w:space="0"/>
            </w:tcBorders>
            <w:shd w:val="clear" w:color="auto" w:fill="auto"/>
            <w:vAlign w:val="center"/>
          </w:tcPr>
          <w:p w14:paraId="5C40F0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4245.28</w:t>
            </w:r>
          </w:p>
        </w:tc>
        <w:tc>
          <w:tcPr>
            <w:tcW w:w="500" w:type="pct"/>
            <w:vMerge w:val="restart"/>
            <w:tcBorders>
              <w:top w:val="nil"/>
              <w:left w:val="nil"/>
              <w:bottom w:val="single" w:color="000000" w:sz="8" w:space="0"/>
              <w:right w:val="single" w:color="000000" w:sz="8" w:space="0"/>
            </w:tcBorders>
            <w:shd w:val="clear" w:color="auto" w:fill="auto"/>
            <w:vAlign w:val="center"/>
          </w:tcPr>
          <w:p w14:paraId="2E9D67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4500</w:t>
            </w:r>
          </w:p>
        </w:tc>
        <w:tc>
          <w:tcPr>
            <w:tcW w:w="538" w:type="pct"/>
            <w:vMerge w:val="restart"/>
            <w:tcBorders>
              <w:top w:val="nil"/>
              <w:left w:val="nil"/>
              <w:bottom w:val="single" w:color="000000" w:sz="8" w:space="0"/>
              <w:right w:val="single" w:color="000000" w:sz="8" w:space="0"/>
            </w:tcBorders>
            <w:shd w:val="clear" w:color="auto" w:fill="auto"/>
            <w:vAlign w:val="center"/>
          </w:tcPr>
          <w:p w14:paraId="51827A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305660.16</w:t>
            </w:r>
          </w:p>
        </w:tc>
        <w:tc>
          <w:tcPr>
            <w:tcW w:w="495" w:type="pct"/>
            <w:vMerge w:val="restart"/>
            <w:tcBorders>
              <w:top w:val="nil"/>
              <w:left w:val="nil"/>
              <w:bottom w:val="single" w:color="000000" w:sz="8" w:space="0"/>
              <w:right w:val="single" w:color="000000" w:sz="8" w:space="0"/>
            </w:tcBorders>
            <w:shd w:val="clear" w:color="auto" w:fill="auto"/>
            <w:vAlign w:val="center"/>
          </w:tcPr>
          <w:p w14:paraId="7EAFB1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324000.00 </w:t>
            </w:r>
          </w:p>
        </w:tc>
        <w:tc>
          <w:tcPr>
            <w:tcW w:w="485" w:type="pct"/>
            <w:vMerge w:val="restart"/>
            <w:tcBorders>
              <w:top w:val="nil"/>
              <w:left w:val="nil"/>
              <w:bottom w:val="single" w:color="000000" w:sz="8" w:space="0"/>
              <w:right w:val="single" w:color="000000" w:sz="8" w:space="0"/>
            </w:tcBorders>
            <w:shd w:val="clear" w:color="auto" w:fill="auto"/>
            <w:vAlign w:val="center"/>
          </w:tcPr>
          <w:p w14:paraId="255320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每班</w:t>
            </w:r>
            <w:r>
              <w:rPr>
                <w:rFonts w:hint="eastAsia" w:ascii="宋体" w:hAnsi="宋体" w:eastAsia="宋体" w:cs="宋体"/>
                <w:b w:val="0"/>
                <w:bCs w:val="0"/>
                <w:i w:val="0"/>
                <w:iCs w:val="0"/>
                <w:color w:val="auto"/>
                <w:kern w:val="0"/>
                <w:sz w:val="21"/>
                <w:szCs w:val="21"/>
                <w:u w:val="none"/>
                <w:lang w:val="en-US" w:eastAsia="zh-CN" w:bidi="ar"/>
              </w:rPr>
              <w:t>2人</w:t>
            </w:r>
            <w:r>
              <w:rPr>
                <w:rFonts w:hint="eastAsia" w:ascii="宋体" w:hAnsi="宋体" w:eastAsia="宋体" w:cs="宋体"/>
                <w:i w:val="0"/>
                <w:iCs w:val="0"/>
                <w:color w:val="auto"/>
                <w:kern w:val="0"/>
                <w:sz w:val="21"/>
                <w:szCs w:val="21"/>
                <w:u w:val="none"/>
                <w:lang w:val="en-US" w:eastAsia="zh-CN" w:bidi="ar"/>
              </w:rPr>
              <w:t>值守，三班倒，其中1人兼职保安队长，合计6人。</w:t>
            </w:r>
          </w:p>
        </w:tc>
      </w:tr>
      <w:tr w14:paraId="16534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206" w:type="pct"/>
            <w:vMerge w:val="continue"/>
            <w:tcBorders>
              <w:top w:val="nil"/>
              <w:left w:val="single" w:color="000000" w:sz="8" w:space="0"/>
              <w:bottom w:val="single" w:color="000000" w:sz="8" w:space="0"/>
              <w:right w:val="single" w:color="000000" w:sz="8" w:space="0"/>
            </w:tcBorders>
            <w:shd w:val="clear" w:color="auto" w:fill="auto"/>
            <w:vAlign w:val="center"/>
          </w:tcPr>
          <w:p w14:paraId="2F10681F">
            <w:pPr>
              <w:jc w:val="center"/>
              <w:rPr>
                <w:rFonts w:hint="eastAsia" w:ascii="宋体" w:hAnsi="宋体" w:eastAsia="宋体" w:cs="宋体"/>
                <w:i w:val="0"/>
                <w:iCs w:val="0"/>
                <w:color w:val="auto"/>
                <w:sz w:val="21"/>
                <w:szCs w:val="21"/>
                <w:u w:val="none"/>
              </w:rPr>
            </w:pPr>
          </w:p>
        </w:tc>
        <w:tc>
          <w:tcPr>
            <w:tcW w:w="316" w:type="pct"/>
            <w:vMerge w:val="continue"/>
            <w:tcBorders>
              <w:top w:val="nil"/>
              <w:left w:val="nil"/>
              <w:bottom w:val="single" w:color="000000" w:sz="8" w:space="0"/>
              <w:right w:val="single" w:color="000000" w:sz="8" w:space="0"/>
            </w:tcBorders>
            <w:shd w:val="clear" w:color="auto" w:fill="auto"/>
            <w:vAlign w:val="center"/>
          </w:tcPr>
          <w:p w14:paraId="06FC4FBD">
            <w:pPr>
              <w:jc w:val="center"/>
              <w:rPr>
                <w:rFonts w:hint="eastAsia" w:ascii="宋体" w:hAnsi="宋体" w:eastAsia="宋体" w:cs="宋体"/>
                <w:i w:val="0"/>
                <w:iCs w:val="0"/>
                <w:color w:val="auto"/>
                <w:sz w:val="21"/>
                <w:szCs w:val="21"/>
                <w:u w:val="none"/>
              </w:rPr>
            </w:pPr>
          </w:p>
        </w:tc>
        <w:tc>
          <w:tcPr>
            <w:tcW w:w="336" w:type="pct"/>
            <w:vMerge w:val="continue"/>
            <w:tcBorders>
              <w:top w:val="nil"/>
              <w:left w:val="nil"/>
              <w:bottom w:val="single" w:color="000000" w:sz="8" w:space="0"/>
              <w:right w:val="single" w:color="000000" w:sz="8" w:space="0"/>
            </w:tcBorders>
            <w:shd w:val="clear" w:color="auto" w:fill="auto"/>
            <w:vAlign w:val="center"/>
          </w:tcPr>
          <w:p w14:paraId="6A9A2A89">
            <w:pPr>
              <w:jc w:val="center"/>
              <w:rPr>
                <w:rFonts w:hint="eastAsia" w:ascii="宋体" w:hAnsi="宋体" w:eastAsia="宋体" w:cs="宋体"/>
                <w:i w:val="0"/>
                <w:iCs w:val="0"/>
                <w:color w:val="auto"/>
                <w:sz w:val="21"/>
                <w:szCs w:val="21"/>
                <w:u w:val="none"/>
              </w:rPr>
            </w:pPr>
          </w:p>
        </w:tc>
        <w:tc>
          <w:tcPr>
            <w:tcW w:w="427" w:type="pct"/>
            <w:tcBorders>
              <w:top w:val="nil"/>
              <w:left w:val="nil"/>
              <w:bottom w:val="single" w:color="000000" w:sz="8" w:space="0"/>
              <w:right w:val="single" w:color="000000" w:sz="8" w:space="0"/>
            </w:tcBorders>
            <w:shd w:val="clear" w:color="auto" w:fill="auto"/>
            <w:vAlign w:val="center"/>
          </w:tcPr>
          <w:p w14:paraId="7DD968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东引办公楼三层附属楼，大院场地及后山地</w:t>
            </w:r>
          </w:p>
        </w:tc>
        <w:tc>
          <w:tcPr>
            <w:tcW w:w="349" w:type="pct"/>
            <w:vMerge w:val="continue"/>
            <w:tcBorders>
              <w:top w:val="nil"/>
              <w:left w:val="nil"/>
              <w:bottom w:val="single" w:color="000000" w:sz="8" w:space="0"/>
              <w:right w:val="single" w:color="000000" w:sz="8" w:space="0"/>
            </w:tcBorders>
            <w:shd w:val="clear" w:color="auto" w:fill="auto"/>
            <w:vAlign w:val="center"/>
          </w:tcPr>
          <w:p w14:paraId="40C2CE52">
            <w:pPr>
              <w:jc w:val="center"/>
              <w:rPr>
                <w:rFonts w:hint="eastAsia" w:ascii="宋体" w:hAnsi="宋体" w:eastAsia="宋体" w:cs="宋体"/>
                <w:i w:val="0"/>
                <w:iCs w:val="0"/>
                <w:color w:val="auto"/>
                <w:sz w:val="21"/>
                <w:szCs w:val="21"/>
                <w:u w:val="none"/>
              </w:rPr>
            </w:pPr>
          </w:p>
        </w:tc>
        <w:tc>
          <w:tcPr>
            <w:tcW w:w="477" w:type="pct"/>
            <w:tcBorders>
              <w:top w:val="nil"/>
              <w:left w:val="nil"/>
              <w:bottom w:val="single" w:color="000000" w:sz="8" w:space="0"/>
              <w:right w:val="single" w:color="000000" w:sz="8" w:space="0"/>
            </w:tcBorders>
            <w:shd w:val="clear" w:color="auto" w:fill="auto"/>
            <w:vAlign w:val="center"/>
          </w:tcPr>
          <w:p w14:paraId="606925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约5650㎡</w:t>
            </w:r>
          </w:p>
        </w:tc>
        <w:tc>
          <w:tcPr>
            <w:tcW w:w="332" w:type="pct"/>
            <w:vMerge w:val="continue"/>
            <w:tcBorders>
              <w:top w:val="nil"/>
              <w:left w:val="nil"/>
              <w:bottom w:val="single" w:color="000000" w:sz="8" w:space="0"/>
              <w:right w:val="single" w:color="000000" w:sz="8" w:space="0"/>
            </w:tcBorders>
            <w:shd w:val="clear" w:color="auto" w:fill="auto"/>
            <w:vAlign w:val="center"/>
          </w:tcPr>
          <w:p w14:paraId="3A100526">
            <w:pPr>
              <w:jc w:val="center"/>
              <w:rPr>
                <w:rFonts w:hint="eastAsia" w:ascii="宋体" w:hAnsi="宋体" w:eastAsia="宋体" w:cs="宋体"/>
                <w:i w:val="0"/>
                <w:iCs w:val="0"/>
                <w:color w:val="auto"/>
                <w:sz w:val="21"/>
                <w:szCs w:val="21"/>
                <w:u w:val="none"/>
              </w:rPr>
            </w:pPr>
          </w:p>
        </w:tc>
        <w:tc>
          <w:tcPr>
            <w:tcW w:w="534" w:type="pct"/>
            <w:vMerge w:val="continue"/>
            <w:tcBorders>
              <w:top w:val="nil"/>
              <w:left w:val="nil"/>
              <w:bottom w:val="single" w:color="000000" w:sz="8" w:space="0"/>
              <w:right w:val="single" w:color="000000" w:sz="8" w:space="0"/>
            </w:tcBorders>
            <w:shd w:val="clear" w:color="auto" w:fill="auto"/>
            <w:vAlign w:val="center"/>
          </w:tcPr>
          <w:p w14:paraId="79871F1F">
            <w:pPr>
              <w:jc w:val="center"/>
              <w:rPr>
                <w:rFonts w:hint="eastAsia" w:ascii="宋体" w:hAnsi="宋体" w:eastAsia="宋体" w:cs="宋体"/>
                <w:i w:val="0"/>
                <w:iCs w:val="0"/>
                <w:color w:val="auto"/>
                <w:sz w:val="21"/>
                <w:szCs w:val="21"/>
                <w:u w:val="none"/>
              </w:rPr>
            </w:pPr>
          </w:p>
        </w:tc>
        <w:tc>
          <w:tcPr>
            <w:tcW w:w="500" w:type="pct"/>
            <w:vMerge w:val="continue"/>
            <w:tcBorders>
              <w:top w:val="nil"/>
              <w:left w:val="nil"/>
              <w:bottom w:val="single" w:color="000000" w:sz="8" w:space="0"/>
              <w:right w:val="single" w:color="000000" w:sz="8" w:space="0"/>
            </w:tcBorders>
            <w:shd w:val="clear" w:color="auto" w:fill="auto"/>
            <w:vAlign w:val="center"/>
          </w:tcPr>
          <w:p w14:paraId="1E3B665E">
            <w:pPr>
              <w:jc w:val="center"/>
              <w:rPr>
                <w:rFonts w:hint="eastAsia" w:ascii="宋体" w:hAnsi="宋体" w:eastAsia="宋体" w:cs="宋体"/>
                <w:i w:val="0"/>
                <w:iCs w:val="0"/>
                <w:color w:val="auto"/>
                <w:sz w:val="21"/>
                <w:szCs w:val="21"/>
                <w:u w:val="none"/>
              </w:rPr>
            </w:pPr>
          </w:p>
        </w:tc>
        <w:tc>
          <w:tcPr>
            <w:tcW w:w="538" w:type="pct"/>
            <w:vMerge w:val="continue"/>
            <w:tcBorders>
              <w:top w:val="nil"/>
              <w:left w:val="nil"/>
              <w:bottom w:val="single" w:color="000000" w:sz="8" w:space="0"/>
              <w:right w:val="single" w:color="000000" w:sz="8" w:space="0"/>
            </w:tcBorders>
            <w:shd w:val="clear" w:color="auto" w:fill="auto"/>
            <w:vAlign w:val="center"/>
          </w:tcPr>
          <w:p w14:paraId="307C037D">
            <w:pPr>
              <w:jc w:val="center"/>
              <w:rPr>
                <w:rFonts w:hint="eastAsia" w:ascii="宋体" w:hAnsi="宋体" w:eastAsia="宋体" w:cs="宋体"/>
                <w:i w:val="0"/>
                <w:iCs w:val="0"/>
                <w:color w:val="auto"/>
                <w:sz w:val="21"/>
                <w:szCs w:val="21"/>
                <w:u w:val="none"/>
              </w:rPr>
            </w:pPr>
          </w:p>
        </w:tc>
        <w:tc>
          <w:tcPr>
            <w:tcW w:w="495" w:type="pct"/>
            <w:vMerge w:val="continue"/>
            <w:tcBorders>
              <w:top w:val="nil"/>
              <w:left w:val="nil"/>
              <w:bottom w:val="single" w:color="000000" w:sz="8" w:space="0"/>
              <w:right w:val="single" w:color="000000" w:sz="8" w:space="0"/>
            </w:tcBorders>
            <w:shd w:val="clear" w:color="auto" w:fill="auto"/>
            <w:vAlign w:val="center"/>
          </w:tcPr>
          <w:p w14:paraId="3E6D221C">
            <w:pPr>
              <w:jc w:val="center"/>
              <w:rPr>
                <w:rFonts w:hint="eastAsia" w:ascii="宋体" w:hAnsi="宋体" w:eastAsia="宋体" w:cs="宋体"/>
                <w:i w:val="0"/>
                <w:iCs w:val="0"/>
                <w:color w:val="auto"/>
                <w:sz w:val="21"/>
                <w:szCs w:val="21"/>
                <w:u w:val="none"/>
              </w:rPr>
            </w:pPr>
          </w:p>
        </w:tc>
        <w:tc>
          <w:tcPr>
            <w:tcW w:w="485" w:type="pct"/>
            <w:vMerge w:val="continue"/>
            <w:tcBorders>
              <w:top w:val="nil"/>
              <w:left w:val="nil"/>
              <w:bottom w:val="single" w:color="000000" w:sz="8" w:space="0"/>
              <w:right w:val="single" w:color="000000" w:sz="8" w:space="0"/>
            </w:tcBorders>
            <w:shd w:val="clear" w:color="auto" w:fill="auto"/>
            <w:vAlign w:val="center"/>
          </w:tcPr>
          <w:p w14:paraId="3E9BE52C">
            <w:pPr>
              <w:jc w:val="center"/>
              <w:rPr>
                <w:rFonts w:hint="eastAsia" w:ascii="宋体" w:hAnsi="宋体" w:eastAsia="宋体" w:cs="宋体"/>
                <w:i w:val="0"/>
                <w:iCs w:val="0"/>
                <w:color w:val="auto"/>
                <w:sz w:val="21"/>
                <w:szCs w:val="21"/>
                <w:u w:val="none"/>
              </w:rPr>
            </w:pPr>
          </w:p>
        </w:tc>
      </w:tr>
      <w:tr w14:paraId="6A3C3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3480" w:type="pct"/>
            <w:gridSpan w:val="9"/>
            <w:tcBorders>
              <w:top w:val="nil"/>
              <w:left w:val="single" w:color="000000" w:sz="8" w:space="0"/>
              <w:bottom w:val="single" w:color="000000" w:sz="8" w:space="0"/>
              <w:right w:val="single" w:color="000000" w:sz="8" w:space="0"/>
            </w:tcBorders>
            <w:shd w:val="clear" w:color="auto" w:fill="auto"/>
            <w:vAlign w:val="center"/>
          </w:tcPr>
          <w:p w14:paraId="50CC24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合计（元）</w:t>
            </w:r>
          </w:p>
        </w:tc>
        <w:tc>
          <w:tcPr>
            <w:tcW w:w="538" w:type="pct"/>
            <w:tcBorders>
              <w:top w:val="nil"/>
              <w:left w:val="nil"/>
              <w:bottom w:val="single" w:color="000000" w:sz="8" w:space="0"/>
              <w:right w:val="single" w:color="000000" w:sz="8" w:space="0"/>
            </w:tcBorders>
            <w:shd w:val="clear" w:color="auto" w:fill="auto"/>
            <w:vAlign w:val="center"/>
          </w:tcPr>
          <w:p w14:paraId="4770C1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color w:val="auto"/>
                <w:kern w:val="0"/>
                <w:szCs w:val="21"/>
                <w:u w:val="none"/>
                <w:lang w:val="en-US" w:eastAsia="zh-CN" w:bidi="ar"/>
              </w:rPr>
              <w:t>916,980.48</w:t>
            </w:r>
          </w:p>
        </w:tc>
        <w:tc>
          <w:tcPr>
            <w:tcW w:w="495" w:type="pct"/>
            <w:tcBorders>
              <w:top w:val="nil"/>
              <w:left w:val="nil"/>
              <w:bottom w:val="single" w:color="000000" w:sz="8" w:space="0"/>
              <w:right w:val="single" w:color="000000" w:sz="8" w:space="0"/>
            </w:tcBorders>
            <w:shd w:val="clear" w:color="auto" w:fill="auto"/>
            <w:vAlign w:val="center"/>
          </w:tcPr>
          <w:p w14:paraId="5EA09D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 xml:space="preserve">972000.00 </w:t>
            </w:r>
          </w:p>
        </w:tc>
        <w:tc>
          <w:tcPr>
            <w:tcW w:w="485" w:type="pct"/>
            <w:tcBorders>
              <w:top w:val="nil"/>
              <w:left w:val="nil"/>
              <w:bottom w:val="single" w:color="000000" w:sz="8" w:space="0"/>
              <w:right w:val="single" w:color="000000" w:sz="8" w:space="0"/>
            </w:tcBorders>
            <w:shd w:val="clear" w:color="auto" w:fill="auto"/>
            <w:noWrap/>
            <w:vAlign w:val="center"/>
          </w:tcPr>
          <w:p w14:paraId="00E45724">
            <w:pPr>
              <w:rPr>
                <w:rFonts w:hint="eastAsia" w:ascii="宋体" w:hAnsi="宋体" w:eastAsia="宋体" w:cs="宋体"/>
                <w:i w:val="0"/>
                <w:iCs w:val="0"/>
                <w:color w:val="auto"/>
                <w:sz w:val="21"/>
                <w:szCs w:val="21"/>
                <w:u w:val="none"/>
              </w:rPr>
            </w:pPr>
          </w:p>
        </w:tc>
      </w:tr>
    </w:tbl>
    <w:p w14:paraId="20D41FE0">
      <w:pPr>
        <w:keepNext w:val="0"/>
        <w:keepLines w:val="0"/>
        <w:pageBreakBefore w:val="0"/>
        <w:widowControl/>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备注：</w:t>
      </w:r>
    </w:p>
    <w:p w14:paraId="15EEC1A4">
      <w:pPr>
        <w:keepNext w:val="0"/>
        <w:keepLines w:val="0"/>
        <w:pageBreakBefore w:val="0"/>
        <w:widowControl/>
        <w:numPr>
          <w:ilvl w:val="0"/>
          <w:numId w:val="2"/>
        </w:numPr>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上述地点及人员数量，均为暂定，</w:t>
      </w:r>
      <w:r>
        <w:rPr>
          <w:rFonts w:hint="eastAsia" w:ascii="宋体" w:hAnsi="宋体" w:eastAsia="宋体" w:cs="宋体"/>
          <w:b w:val="0"/>
          <w:bCs w:val="0"/>
          <w:color w:val="auto"/>
          <w:kern w:val="0"/>
          <w:sz w:val="21"/>
          <w:szCs w:val="21"/>
          <w:lang w:val="en-US" w:eastAsia="zh-CN"/>
        </w:rPr>
        <w:t>招标人</w:t>
      </w:r>
      <w:r>
        <w:rPr>
          <w:rFonts w:hint="eastAsia" w:ascii="宋体" w:hAnsi="宋体" w:eastAsia="宋体" w:cs="宋体"/>
          <w:b w:val="0"/>
          <w:bCs w:val="0"/>
          <w:color w:val="auto"/>
          <w:kern w:val="0"/>
          <w:sz w:val="21"/>
          <w:szCs w:val="21"/>
        </w:rPr>
        <w:t>有权根据实际经营情况对服务地点及人数进行调整，</w:t>
      </w:r>
      <w:r>
        <w:rPr>
          <w:rFonts w:hint="eastAsia" w:ascii="宋体" w:hAnsi="宋体" w:eastAsia="宋体" w:cs="宋体"/>
          <w:b w:val="0"/>
          <w:bCs w:val="0"/>
          <w:color w:val="auto"/>
          <w:kern w:val="0"/>
          <w:sz w:val="21"/>
          <w:szCs w:val="21"/>
          <w:lang w:val="en-US" w:eastAsia="zh-CN"/>
        </w:rPr>
        <w:t>且</w:t>
      </w:r>
      <w:r>
        <w:rPr>
          <w:rFonts w:hint="eastAsia" w:ascii="宋体" w:hAnsi="宋体" w:eastAsia="宋体" w:cs="宋体"/>
          <w:b w:val="0"/>
          <w:bCs w:val="0"/>
          <w:color w:val="auto"/>
          <w:kern w:val="0"/>
          <w:sz w:val="21"/>
          <w:szCs w:val="21"/>
        </w:rPr>
        <w:t>不承担</w:t>
      </w:r>
      <w:r>
        <w:rPr>
          <w:rFonts w:hint="eastAsia" w:ascii="宋体" w:hAnsi="宋体" w:eastAsia="宋体" w:cs="宋体"/>
          <w:b w:val="0"/>
          <w:bCs w:val="0"/>
          <w:color w:val="auto"/>
          <w:kern w:val="0"/>
          <w:sz w:val="21"/>
          <w:szCs w:val="21"/>
          <w:lang w:val="en-US" w:eastAsia="zh-CN"/>
        </w:rPr>
        <w:t>投标</w:t>
      </w:r>
      <w:r>
        <w:rPr>
          <w:rFonts w:hint="eastAsia" w:ascii="宋体" w:hAnsi="宋体" w:eastAsia="宋体" w:cs="宋体"/>
          <w:b w:val="0"/>
          <w:bCs w:val="0"/>
          <w:color w:val="auto"/>
          <w:kern w:val="0"/>
          <w:sz w:val="21"/>
          <w:szCs w:val="21"/>
        </w:rPr>
        <w:t>人的任何损失，请各</w:t>
      </w:r>
      <w:r>
        <w:rPr>
          <w:rFonts w:hint="eastAsia" w:ascii="宋体" w:hAnsi="宋体" w:eastAsia="宋体" w:cs="宋体"/>
          <w:b w:val="0"/>
          <w:bCs w:val="0"/>
          <w:color w:val="auto"/>
          <w:kern w:val="0"/>
          <w:sz w:val="21"/>
          <w:szCs w:val="21"/>
          <w:lang w:val="en-US" w:eastAsia="zh-CN"/>
        </w:rPr>
        <w:t>投标人</w:t>
      </w:r>
      <w:r>
        <w:rPr>
          <w:rFonts w:hint="eastAsia" w:ascii="宋体" w:hAnsi="宋体" w:eastAsia="宋体" w:cs="宋体"/>
          <w:b w:val="0"/>
          <w:bCs w:val="0"/>
          <w:color w:val="auto"/>
          <w:kern w:val="0"/>
          <w:sz w:val="21"/>
          <w:szCs w:val="21"/>
        </w:rPr>
        <w:t>在投标报价时充分考虑。</w:t>
      </w:r>
    </w:p>
    <w:p w14:paraId="0E640855">
      <w:pPr>
        <w:keepNext w:val="0"/>
        <w:keepLines w:val="0"/>
        <w:pageBreakBefore w:val="0"/>
        <w:widowControl/>
        <w:numPr>
          <w:ilvl w:val="0"/>
          <w:numId w:val="2"/>
        </w:numPr>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服务辖区内如有值守室或饭堂的，提供值守室及就餐，但费用由中标人自行支付给服务辖区内的值守室或饭堂，餐费按照外来人员收费标准进行支付(暂按早餐:7.00元，午餐28.00元，晚餐15.00元，如以上价格有浮动，按招标人最新标准进行支付)。如无提供值守室及饭堂的，则由中标人自行解决餐宿问题，费用由中标人自理。</w:t>
      </w:r>
    </w:p>
    <w:p w14:paraId="33E4DAA1">
      <w:pPr>
        <w:keepNext w:val="0"/>
        <w:keepLines w:val="0"/>
        <w:pageBreakBefore w:val="0"/>
        <w:widowControl/>
        <w:kinsoku/>
        <w:wordWrap/>
        <w:overflowPunct/>
        <w:topLinePunct w:val="0"/>
        <w:autoSpaceDE w:val="0"/>
        <w:autoSpaceDN w:val="0"/>
        <w:bidi w:val="0"/>
        <w:adjustRightInd w:val="0"/>
        <w:spacing w:line="360" w:lineRule="auto"/>
        <w:ind w:firstLine="422" w:firstLineChars="200"/>
        <w:textAlignment w:val="auto"/>
        <w:outlineLvl w:val="1"/>
        <w:rPr>
          <w:rFonts w:hint="eastAsia" w:ascii="宋体" w:hAnsi="宋体" w:eastAsia="宋体" w:cs="宋体"/>
          <w:b w:val="0"/>
          <w:bCs w:val="0"/>
          <w:color w:val="auto"/>
          <w:sz w:val="21"/>
          <w:szCs w:val="21"/>
        </w:rPr>
      </w:pPr>
      <w:bookmarkStart w:id="404" w:name="_Toc24404"/>
      <w:r>
        <w:rPr>
          <w:rFonts w:hint="eastAsia" w:ascii="宋体" w:hAnsi="宋体" w:eastAsia="宋体" w:cs="宋体"/>
          <w:b/>
          <w:bCs/>
          <w:color w:val="auto"/>
          <w:kern w:val="0"/>
          <w:sz w:val="21"/>
          <w:szCs w:val="21"/>
          <w:lang w:val="en-US" w:eastAsia="zh-CN"/>
        </w:rPr>
        <w:t>二</w:t>
      </w:r>
      <w:r>
        <w:rPr>
          <w:rFonts w:hint="eastAsia" w:ascii="宋体" w:hAnsi="宋体" w:eastAsia="宋体" w:cs="宋体"/>
          <w:b/>
          <w:bCs/>
          <w:color w:val="auto"/>
          <w:kern w:val="0"/>
          <w:sz w:val="21"/>
          <w:szCs w:val="21"/>
        </w:rPr>
        <w:t>、保安服务质量要求</w:t>
      </w:r>
      <w:bookmarkEnd w:id="404"/>
      <w:r>
        <w:rPr>
          <w:rFonts w:hint="eastAsia" w:ascii="宋体" w:hAnsi="宋体" w:eastAsia="宋体" w:cs="宋体"/>
          <w:b w:val="0"/>
          <w:bCs w:val="0"/>
          <w:color w:val="auto"/>
          <w:kern w:val="0"/>
          <w:sz w:val="21"/>
          <w:szCs w:val="21"/>
        </w:rPr>
        <w:t xml:space="preserve"> </w:t>
      </w:r>
    </w:p>
    <w:p w14:paraId="3197F713">
      <w:pPr>
        <w:keepNext w:val="0"/>
        <w:keepLines w:val="0"/>
        <w:pageBreakBefore w:val="0"/>
        <w:widowControl/>
        <w:kinsoku/>
        <w:wordWrap/>
        <w:overflowPunct/>
        <w:topLinePunct w:val="0"/>
        <w:autoSpaceDE w:val="0"/>
        <w:autoSpaceDN w:val="0"/>
        <w:bidi w:val="0"/>
        <w:adjustRightInd w:val="0"/>
        <w:spacing w:line="360" w:lineRule="auto"/>
        <w:ind w:firstLine="420" w:firstLineChars="200"/>
        <w:textAlignment w:val="auto"/>
        <w:outlineLvl w:val="2"/>
        <w:rPr>
          <w:rFonts w:hint="eastAsia" w:ascii="宋体" w:hAnsi="宋体" w:eastAsia="宋体" w:cs="宋体"/>
          <w:b w:val="0"/>
          <w:bCs w:val="0"/>
          <w:color w:val="auto"/>
          <w:sz w:val="21"/>
          <w:szCs w:val="21"/>
        </w:rPr>
      </w:pPr>
      <w:bookmarkStart w:id="405" w:name="_Toc27978"/>
      <w:r>
        <w:rPr>
          <w:rFonts w:hint="eastAsia" w:ascii="宋体" w:hAnsi="宋体" w:eastAsia="宋体" w:cs="宋体"/>
          <w:b w:val="0"/>
          <w:bCs w:val="0"/>
          <w:color w:val="auto"/>
          <w:kern w:val="0"/>
          <w:sz w:val="21"/>
          <w:szCs w:val="21"/>
        </w:rPr>
        <w:t>（一）项目采购服务范围</w:t>
      </w:r>
      <w:bookmarkEnd w:id="405"/>
      <w:r>
        <w:rPr>
          <w:rFonts w:hint="eastAsia" w:ascii="宋体" w:hAnsi="宋体" w:eastAsia="宋体" w:cs="宋体"/>
          <w:b w:val="0"/>
          <w:bCs w:val="0"/>
          <w:color w:val="auto"/>
          <w:kern w:val="0"/>
          <w:sz w:val="21"/>
          <w:szCs w:val="21"/>
        </w:rPr>
        <w:t xml:space="preserve"> </w:t>
      </w:r>
    </w:p>
    <w:p w14:paraId="135F5BAC">
      <w:pPr>
        <w:keepNext w:val="0"/>
        <w:keepLines w:val="0"/>
        <w:pageBreakBefore w:val="0"/>
        <w:widowControl/>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rPr>
        <w:t>本次项目</w:t>
      </w:r>
      <w:r>
        <w:rPr>
          <w:rFonts w:hint="eastAsia" w:ascii="宋体" w:hAnsi="宋体" w:eastAsia="宋体" w:cs="宋体"/>
          <w:b w:val="0"/>
          <w:bCs w:val="0"/>
          <w:color w:val="auto"/>
          <w:kern w:val="0"/>
          <w:sz w:val="21"/>
          <w:szCs w:val="21"/>
          <w:lang w:val="en-US" w:eastAsia="zh-CN"/>
        </w:rPr>
        <w:t>通过公开招标的方式确定</w:t>
      </w:r>
      <w:r>
        <w:rPr>
          <w:rFonts w:hint="eastAsia" w:ascii="宋体" w:hAnsi="宋体" w:eastAsia="宋体" w:cs="宋体"/>
          <w:b w:val="0"/>
          <w:bCs w:val="0"/>
          <w:color w:val="auto"/>
          <w:kern w:val="0"/>
          <w:sz w:val="21"/>
          <w:szCs w:val="21"/>
        </w:rPr>
        <w:t>一家专业</w:t>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rPr>
        <w:t>正规的保安服务公司，承担</w:t>
      </w:r>
      <w:r>
        <w:rPr>
          <w:rFonts w:hint="eastAsia" w:ascii="宋体" w:hAnsi="宋体" w:eastAsia="宋体" w:cs="宋体"/>
          <w:b w:val="0"/>
          <w:bCs w:val="0"/>
          <w:color w:val="auto"/>
          <w:kern w:val="0"/>
          <w:sz w:val="21"/>
          <w:szCs w:val="21"/>
          <w:lang w:val="en-US" w:eastAsia="zh-CN"/>
        </w:rPr>
        <w:t>服务场地</w:t>
      </w:r>
      <w:r>
        <w:rPr>
          <w:rFonts w:hint="eastAsia" w:ascii="宋体" w:hAnsi="宋体" w:eastAsia="宋体" w:cs="宋体"/>
          <w:b w:val="0"/>
          <w:bCs w:val="0"/>
          <w:color w:val="auto"/>
          <w:kern w:val="0"/>
          <w:sz w:val="21"/>
          <w:szCs w:val="21"/>
        </w:rPr>
        <w:t>的安全保卫工作，保安服务范围包括：</w:t>
      </w:r>
      <w:r>
        <w:rPr>
          <w:rFonts w:hint="eastAsia" w:ascii="宋体" w:hAnsi="宋体" w:eastAsia="宋体" w:cs="宋体"/>
          <w:b w:val="0"/>
          <w:bCs w:val="0"/>
          <w:color w:val="auto"/>
          <w:kern w:val="0"/>
          <w:sz w:val="21"/>
          <w:szCs w:val="21"/>
          <w:lang w:val="en-US" w:eastAsia="zh-CN"/>
        </w:rPr>
        <w:t>管理</w:t>
      </w:r>
      <w:r>
        <w:rPr>
          <w:rFonts w:hint="eastAsia" w:ascii="宋体" w:hAnsi="宋体" w:eastAsia="宋体" w:cs="宋体"/>
          <w:b w:val="0"/>
          <w:bCs w:val="0"/>
          <w:color w:val="auto"/>
          <w:kern w:val="0"/>
          <w:sz w:val="21"/>
          <w:szCs w:val="21"/>
        </w:rPr>
        <w:t>范围内的防火、防盗、防破坏、防治安灾害事故、消防、</w:t>
      </w:r>
      <w:r>
        <w:rPr>
          <w:rFonts w:hint="eastAsia" w:ascii="宋体" w:hAnsi="宋体" w:eastAsia="宋体" w:cs="宋体"/>
          <w:b w:val="0"/>
          <w:bCs w:val="0"/>
          <w:color w:val="auto"/>
          <w:kern w:val="0"/>
          <w:sz w:val="21"/>
          <w:szCs w:val="21"/>
          <w:lang w:val="en-US" w:eastAsia="zh-CN"/>
        </w:rPr>
        <w:t>车辆有序停放、</w:t>
      </w:r>
      <w:r>
        <w:rPr>
          <w:rFonts w:hint="eastAsia" w:ascii="宋体" w:hAnsi="宋体" w:eastAsia="宋体" w:cs="宋体"/>
          <w:b w:val="0"/>
          <w:bCs w:val="0"/>
          <w:color w:val="auto"/>
          <w:kern w:val="0"/>
          <w:sz w:val="21"/>
          <w:szCs w:val="21"/>
        </w:rPr>
        <w:t>应急抢险工作及演练，</w:t>
      </w:r>
      <w:r>
        <w:rPr>
          <w:rFonts w:hint="eastAsia" w:ascii="宋体" w:hAnsi="宋体" w:eastAsia="宋体" w:cs="宋体"/>
          <w:b w:val="0"/>
          <w:bCs w:val="0"/>
          <w:color w:val="auto"/>
          <w:kern w:val="0"/>
          <w:sz w:val="21"/>
          <w:szCs w:val="21"/>
          <w:lang w:val="en-US" w:eastAsia="zh-CN"/>
        </w:rPr>
        <w:t>并</w:t>
      </w:r>
      <w:r>
        <w:rPr>
          <w:rFonts w:hint="eastAsia" w:ascii="宋体" w:hAnsi="宋体" w:eastAsia="宋体" w:cs="宋体"/>
          <w:b w:val="0"/>
          <w:bCs w:val="0"/>
          <w:color w:val="auto"/>
          <w:kern w:val="0"/>
          <w:sz w:val="21"/>
          <w:szCs w:val="21"/>
        </w:rPr>
        <w:t>配合属地公安</w:t>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lang w:val="en-US" w:eastAsia="zh-CN"/>
        </w:rPr>
        <w:t>消防</w:t>
      </w:r>
      <w:r>
        <w:rPr>
          <w:rFonts w:hint="eastAsia" w:ascii="宋体" w:hAnsi="宋体" w:eastAsia="宋体" w:cs="宋体"/>
          <w:b w:val="0"/>
          <w:bCs w:val="0"/>
          <w:color w:val="auto"/>
          <w:kern w:val="0"/>
          <w:sz w:val="21"/>
          <w:szCs w:val="21"/>
        </w:rPr>
        <w:t>部门的反恐工作及突发事件演练。</w:t>
      </w:r>
    </w:p>
    <w:p w14:paraId="4EB9FC87">
      <w:pPr>
        <w:keepNext w:val="0"/>
        <w:keepLines w:val="0"/>
        <w:pageBreakBefore w:val="0"/>
        <w:widowControl/>
        <w:kinsoku/>
        <w:wordWrap/>
        <w:overflowPunct/>
        <w:topLinePunct w:val="0"/>
        <w:autoSpaceDE w:val="0"/>
        <w:autoSpaceDN w:val="0"/>
        <w:bidi w:val="0"/>
        <w:adjustRightInd w:val="0"/>
        <w:spacing w:line="360" w:lineRule="auto"/>
        <w:ind w:firstLine="420" w:firstLineChars="200"/>
        <w:textAlignment w:val="auto"/>
        <w:outlineLvl w:val="2"/>
        <w:rPr>
          <w:rFonts w:hint="eastAsia" w:ascii="宋体" w:hAnsi="宋体" w:eastAsia="宋体" w:cs="宋体"/>
          <w:b w:val="0"/>
          <w:bCs w:val="0"/>
          <w:color w:val="auto"/>
          <w:sz w:val="21"/>
          <w:szCs w:val="21"/>
        </w:rPr>
      </w:pPr>
      <w:bookmarkStart w:id="406" w:name="_Toc25720"/>
      <w:r>
        <w:rPr>
          <w:rFonts w:hint="eastAsia" w:ascii="宋体" w:hAnsi="宋体" w:eastAsia="宋体" w:cs="宋体"/>
          <w:b w:val="0"/>
          <w:bCs w:val="0"/>
          <w:color w:val="auto"/>
          <w:kern w:val="0"/>
          <w:sz w:val="21"/>
          <w:szCs w:val="21"/>
        </w:rPr>
        <w:t>（二）保安服务工作内容</w:t>
      </w:r>
      <w:bookmarkEnd w:id="406"/>
      <w:r>
        <w:rPr>
          <w:rFonts w:hint="eastAsia" w:ascii="宋体" w:hAnsi="宋体" w:eastAsia="宋体" w:cs="宋体"/>
          <w:b w:val="0"/>
          <w:bCs w:val="0"/>
          <w:color w:val="auto"/>
          <w:kern w:val="0"/>
          <w:sz w:val="21"/>
          <w:szCs w:val="21"/>
        </w:rPr>
        <w:t xml:space="preserve"> </w:t>
      </w:r>
    </w:p>
    <w:p w14:paraId="6947C9AE">
      <w:pPr>
        <w:keepNext w:val="0"/>
        <w:keepLines w:val="0"/>
        <w:pageBreakBefore w:val="0"/>
        <w:widowControl/>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1.保安员值勤时，必须穿着公司规定的制服，佩带工作证，凡离开保安室时必须戴保安帽，仪态端正、精神充沛、和蔼可亲，形象严肃威武，领导进门时要敬礼；</w:t>
      </w:r>
    </w:p>
    <w:p w14:paraId="0AF35AB7">
      <w:pPr>
        <w:keepNext w:val="0"/>
        <w:keepLines w:val="0"/>
        <w:pageBreakBefore w:val="0"/>
        <w:widowControl/>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2.接待来宾、客户、送货人员时</w:t>
      </w:r>
      <w:r>
        <w:rPr>
          <w:rFonts w:hint="eastAsia" w:ascii="宋体" w:hAnsi="宋体" w:eastAsia="宋体" w:cs="宋体"/>
          <w:b w:val="0"/>
          <w:bCs w:val="0"/>
          <w:color w:val="auto"/>
          <w:kern w:val="0"/>
          <w:sz w:val="21"/>
          <w:szCs w:val="21"/>
          <w:lang w:val="en-US" w:eastAsia="zh-CN"/>
        </w:rPr>
        <w:t>须</w:t>
      </w:r>
      <w:r>
        <w:rPr>
          <w:rFonts w:hint="eastAsia" w:ascii="宋体" w:hAnsi="宋体" w:eastAsia="宋体" w:cs="宋体"/>
          <w:b w:val="0"/>
          <w:bCs w:val="0"/>
          <w:color w:val="auto"/>
          <w:kern w:val="0"/>
          <w:sz w:val="21"/>
          <w:szCs w:val="21"/>
        </w:rPr>
        <w:t>礼貌热情，不得粗暴待人；</w:t>
      </w:r>
    </w:p>
    <w:p w14:paraId="6C780D88">
      <w:pPr>
        <w:keepNext w:val="0"/>
        <w:keepLines w:val="0"/>
        <w:pageBreakBefore w:val="0"/>
        <w:widowControl/>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3.值勤时不得乱打电话，乱用对讲机，影响勤务；</w:t>
      </w:r>
    </w:p>
    <w:p w14:paraId="45967EA4">
      <w:pPr>
        <w:keepNext w:val="0"/>
        <w:keepLines w:val="0"/>
        <w:pageBreakBefore w:val="0"/>
        <w:widowControl/>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4.值勤时提前10—15分钟交接班，并详细交接未完成事项；</w:t>
      </w:r>
    </w:p>
    <w:p w14:paraId="6778C033">
      <w:pPr>
        <w:keepNext w:val="0"/>
        <w:keepLines w:val="0"/>
        <w:pageBreakBefore w:val="0"/>
        <w:widowControl/>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5.未经队长同意不得擅自调班、换岗、休假；</w:t>
      </w:r>
    </w:p>
    <w:p w14:paraId="6CE0D79F">
      <w:pPr>
        <w:keepNext w:val="0"/>
        <w:keepLines w:val="0"/>
        <w:pageBreakBefore w:val="0"/>
        <w:widowControl/>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6.值勤保安严格控制闲杂人员进入各自值勤辖区；</w:t>
      </w:r>
    </w:p>
    <w:p w14:paraId="0238B56D">
      <w:pPr>
        <w:keepNext w:val="0"/>
        <w:keepLines w:val="0"/>
        <w:pageBreakBefore w:val="0"/>
        <w:widowControl/>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7.值勤时不得</w:t>
      </w:r>
      <w:r>
        <w:rPr>
          <w:rFonts w:hint="eastAsia" w:ascii="宋体" w:hAnsi="宋体" w:eastAsia="宋体" w:cs="宋体"/>
          <w:b w:val="0"/>
          <w:bCs w:val="0"/>
          <w:color w:val="auto"/>
          <w:kern w:val="0"/>
          <w:sz w:val="21"/>
          <w:szCs w:val="21"/>
          <w:lang w:val="en-US" w:eastAsia="zh-CN"/>
        </w:rPr>
        <w:t>出现</w:t>
      </w:r>
      <w:r>
        <w:rPr>
          <w:rFonts w:hint="eastAsia" w:ascii="宋体" w:hAnsi="宋体" w:eastAsia="宋体" w:cs="宋体"/>
          <w:b w:val="0"/>
          <w:bCs w:val="0"/>
          <w:color w:val="auto"/>
          <w:kern w:val="0"/>
          <w:sz w:val="21"/>
          <w:szCs w:val="21"/>
        </w:rPr>
        <w:t>吸烟、喝酒、吃零食、聚众聊天、听音乐、站坐姿不端正、离岗、打磕睡、玩手机或打游戏等不良行为；</w:t>
      </w:r>
    </w:p>
    <w:p w14:paraId="699EBE35">
      <w:pPr>
        <w:keepNext w:val="0"/>
        <w:keepLines w:val="0"/>
        <w:pageBreakBefore w:val="0"/>
        <w:widowControl/>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8.值勤保安接待来访人员，应进行证件检查与登记，无证拒绝来访；</w:t>
      </w:r>
    </w:p>
    <w:p w14:paraId="3F80C0AC">
      <w:pPr>
        <w:keepNext w:val="0"/>
        <w:keepLines w:val="0"/>
        <w:pageBreakBefore w:val="0"/>
        <w:widowControl/>
        <w:kinsoku/>
        <w:wordWrap/>
        <w:overflowPunct/>
        <w:topLinePunct w:val="0"/>
        <w:autoSpaceDE w:val="0"/>
        <w:autoSpaceDN w:val="0"/>
        <w:bidi w:val="0"/>
        <w:adjustRightInd w:val="0"/>
        <w:spacing w:line="360" w:lineRule="auto"/>
        <w:ind w:firstLine="420" w:firstLineChars="200"/>
        <w:textAlignment w:val="auto"/>
        <w:outlineLvl w:val="0"/>
        <w:rPr>
          <w:rFonts w:hint="eastAsia" w:ascii="宋体" w:hAnsi="宋体" w:eastAsia="宋体" w:cs="宋体"/>
          <w:b w:val="0"/>
          <w:bCs w:val="0"/>
          <w:color w:val="auto"/>
          <w:kern w:val="0"/>
          <w:sz w:val="21"/>
          <w:szCs w:val="21"/>
        </w:rPr>
      </w:pPr>
      <w:bookmarkStart w:id="407" w:name="_Toc18798"/>
      <w:r>
        <w:rPr>
          <w:rFonts w:hint="eastAsia" w:ascii="宋体" w:hAnsi="宋体" w:eastAsia="宋体" w:cs="宋体"/>
          <w:b w:val="0"/>
          <w:bCs w:val="0"/>
          <w:color w:val="auto"/>
          <w:kern w:val="0"/>
          <w:sz w:val="21"/>
          <w:szCs w:val="21"/>
        </w:rPr>
        <w:t>9.严禁对员工、来宾、送货者、应聘者索取好处，贪小便宜；</w:t>
      </w:r>
      <w:bookmarkEnd w:id="407"/>
    </w:p>
    <w:p w14:paraId="24F33433">
      <w:pPr>
        <w:keepNext w:val="0"/>
        <w:keepLines w:val="0"/>
        <w:pageBreakBefore w:val="0"/>
        <w:widowControl/>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10.值勤保安如遇突发事件，要及时灵活处理，并速报队长或相关人员，需要备勤保安支援的立即通知，不得拖延时间或误报；</w:t>
      </w:r>
    </w:p>
    <w:p w14:paraId="70C1E66B">
      <w:pPr>
        <w:keepNext w:val="0"/>
        <w:keepLines w:val="0"/>
        <w:pageBreakBefore w:val="0"/>
        <w:widowControl/>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11.夜班值勤保安要注意电话来访，不能及时交办的要详细记录以便次日及时转告；</w:t>
      </w:r>
    </w:p>
    <w:p w14:paraId="39DE1AD2">
      <w:pPr>
        <w:keepNext w:val="0"/>
        <w:keepLines w:val="0"/>
        <w:pageBreakBefore w:val="0"/>
        <w:widowControl/>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12.值勤保安不得监守自盗、营私舞弊、假公济私，若有违法之情节，将依法</w:t>
      </w:r>
      <w:r>
        <w:rPr>
          <w:rFonts w:hint="eastAsia" w:ascii="宋体" w:hAnsi="宋体" w:eastAsia="宋体" w:cs="宋体"/>
          <w:b w:val="0"/>
          <w:bCs w:val="0"/>
          <w:color w:val="auto"/>
          <w:kern w:val="0"/>
          <w:sz w:val="21"/>
          <w:szCs w:val="21"/>
          <w:lang w:val="en-US" w:eastAsia="zh-CN"/>
        </w:rPr>
        <w:t>追究</w:t>
      </w:r>
      <w:r>
        <w:rPr>
          <w:rFonts w:hint="eastAsia" w:ascii="宋体" w:hAnsi="宋体" w:eastAsia="宋体" w:cs="宋体"/>
          <w:b w:val="0"/>
          <w:bCs w:val="0"/>
          <w:color w:val="auto"/>
          <w:kern w:val="0"/>
          <w:sz w:val="21"/>
          <w:szCs w:val="21"/>
        </w:rPr>
        <w:t>；</w:t>
      </w:r>
    </w:p>
    <w:p w14:paraId="4B07C332">
      <w:pPr>
        <w:keepNext w:val="0"/>
        <w:keepLines w:val="0"/>
        <w:pageBreakBefore w:val="0"/>
        <w:widowControl/>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13.文明执勤，严禁秽言污语，粗野暴蛮和其它有损</w:t>
      </w:r>
      <w:r>
        <w:rPr>
          <w:rFonts w:hint="eastAsia" w:ascii="宋体" w:hAnsi="宋体" w:eastAsia="宋体" w:cs="宋体"/>
          <w:b w:val="0"/>
          <w:bCs w:val="0"/>
          <w:color w:val="auto"/>
          <w:kern w:val="0"/>
          <w:sz w:val="21"/>
          <w:szCs w:val="21"/>
          <w:lang w:val="en-US" w:eastAsia="zh-CN"/>
        </w:rPr>
        <w:t>招标人</w:t>
      </w:r>
      <w:r>
        <w:rPr>
          <w:rFonts w:hint="eastAsia" w:ascii="宋体" w:hAnsi="宋体" w:eastAsia="宋体" w:cs="宋体"/>
          <w:b w:val="0"/>
          <w:bCs w:val="0"/>
          <w:color w:val="auto"/>
          <w:kern w:val="0"/>
          <w:sz w:val="21"/>
          <w:szCs w:val="21"/>
        </w:rPr>
        <w:t>形象之行为；</w:t>
      </w:r>
    </w:p>
    <w:p w14:paraId="13CE78FB">
      <w:pPr>
        <w:keepNext w:val="0"/>
        <w:keepLines w:val="0"/>
        <w:pageBreakBefore w:val="0"/>
        <w:widowControl/>
        <w:kinsoku/>
        <w:wordWrap/>
        <w:overflowPunct/>
        <w:topLinePunct w:val="0"/>
        <w:autoSpaceDE w:val="0"/>
        <w:autoSpaceDN w:val="0"/>
        <w:bidi w:val="0"/>
        <w:adjustRightInd w:val="0"/>
        <w:spacing w:line="360" w:lineRule="auto"/>
        <w:ind w:firstLine="420" w:firstLineChars="200"/>
        <w:textAlignment w:val="auto"/>
        <w:outlineLvl w:val="0"/>
        <w:rPr>
          <w:rFonts w:hint="eastAsia" w:ascii="宋体" w:hAnsi="宋体" w:eastAsia="宋体" w:cs="宋体"/>
          <w:b w:val="0"/>
          <w:bCs w:val="0"/>
          <w:color w:val="auto"/>
          <w:kern w:val="0"/>
          <w:sz w:val="21"/>
          <w:szCs w:val="21"/>
        </w:rPr>
      </w:pPr>
      <w:bookmarkStart w:id="408" w:name="_Toc29177"/>
      <w:r>
        <w:rPr>
          <w:rFonts w:hint="eastAsia" w:ascii="宋体" w:hAnsi="宋体" w:eastAsia="宋体" w:cs="宋体"/>
          <w:b w:val="0"/>
          <w:bCs w:val="0"/>
          <w:color w:val="auto"/>
          <w:kern w:val="0"/>
          <w:sz w:val="21"/>
          <w:szCs w:val="21"/>
        </w:rPr>
        <w:t>14.保安员务必服从命令，听从指挥严禁暴行犯上；</w:t>
      </w:r>
      <w:bookmarkEnd w:id="408"/>
    </w:p>
    <w:p w14:paraId="62DBD124">
      <w:pPr>
        <w:keepNext w:val="0"/>
        <w:keepLines w:val="0"/>
        <w:pageBreakBefore w:val="0"/>
        <w:widowControl/>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xml:space="preserve">15.派驻保安员值班，保障服务范围内工作人员的人身安全和财产安全，维护正常治安秩序，以预防为主，做好防火、防盗、防破坏、防治安灾害事故工作，提高警惕，尽力避免事故的发生，文明、规范，安全、高效地履行工作职责； </w:t>
      </w:r>
    </w:p>
    <w:p w14:paraId="4D7B0ECE">
      <w:pPr>
        <w:keepNext w:val="0"/>
        <w:keepLines w:val="0"/>
        <w:pageBreakBefore w:val="0"/>
        <w:widowControl/>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16.熟悉安保设备、设施的安置地点，实行定时定点巡逻检查，如视频监控、110联网防盗报警系统、电子围栏（红外对射）设备检测及巡查，发现问题及时上报相关维修人员；</w:t>
      </w:r>
    </w:p>
    <w:p w14:paraId="4BACF58B">
      <w:pPr>
        <w:keepNext w:val="0"/>
        <w:keepLines w:val="0"/>
        <w:pageBreakBefore w:val="0"/>
        <w:widowControl/>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17.熟悉服务场地环境，服务场地内外的巡查（固定或不固定）路线，每天巡查不少于12次，每2个小时巡查一次，包括但不限于按要求定期巡逻定点打卡，如厂区外墙巡查及厂区内安保巡查；</w:t>
      </w:r>
    </w:p>
    <w:p w14:paraId="09700501">
      <w:pPr>
        <w:keepNext w:val="0"/>
        <w:keepLines w:val="0"/>
        <w:pageBreakBefore w:val="0"/>
        <w:widowControl/>
        <w:kinsoku/>
        <w:wordWrap/>
        <w:overflowPunct/>
        <w:topLinePunct w:val="0"/>
        <w:autoSpaceDE w:val="0"/>
        <w:autoSpaceDN w:val="0"/>
        <w:bidi w:val="0"/>
        <w:adjustRightInd w:val="0"/>
        <w:spacing w:line="360" w:lineRule="auto"/>
        <w:ind w:firstLine="420" w:firstLineChars="200"/>
        <w:textAlignment w:val="auto"/>
        <w:outlineLvl w:val="0"/>
        <w:rPr>
          <w:rFonts w:hint="eastAsia" w:ascii="宋体" w:hAnsi="宋体" w:eastAsia="宋体" w:cs="宋体"/>
          <w:b w:val="0"/>
          <w:bCs w:val="0"/>
          <w:color w:val="auto"/>
          <w:kern w:val="0"/>
          <w:sz w:val="21"/>
          <w:szCs w:val="21"/>
        </w:rPr>
      </w:pPr>
      <w:bookmarkStart w:id="409" w:name="_Toc3393"/>
      <w:r>
        <w:rPr>
          <w:rFonts w:hint="eastAsia" w:ascii="宋体" w:hAnsi="宋体" w:eastAsia="宋体" w:cs="宋体"/>
          <w:b w:val="0"/>
          <w:bCs w:val="0"/>
          <w:color w:val="auto"/>
          <w:kern w:val="0"/>
          <w:sz w:val="21"/>
          <w:szCs w:val="21"/>
        </w:rPr>
        <w:t>18.负责服务场地信件、报刊杂志派送工作；</w:t>
      </w:r>
      <w:bookmarkEnd w:id="409"/>
    </w:p>
    <w:p w14:paraId="38DA8062">
      <w:pPr>
        <w:keepNext w:val="0"/>
        <w:keepLines w:val="0"/>
        <w:pageBreakBefore w:val="0"/>
        <w:widowControl/>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19.对服务范围安全隐患的检查、排查、制止人员破坏行为，清理无关人员逗留招标人物业场所；制止流氓滋事，打架斗殴、敲诈勒索等各类案件；</w:t>
      </w:r>
    </w:p>
    <w:p w14:paraId="00436206">
      <w:pPr>
        <w:keepNext w:val="0"/>
        <w:keepLines w:val="0"/>
        <w:pageBreakBefore w:val="0"/>
        <w:widowControl/>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20.承担招标人提供的保安业务使用的办公及安保设施、设备，如桌椅、凳、对讲机、电话等维护保养工作，故意或过失破坏上述设施、设备的，由</w:t>
      </w:r>
      <w:r>
        <w:rPr>
          <w:rFonts w:hint="eastAsia" w:ascii="宋体" w:hAnsi="宋体" w:eastAsia="宋体" w:cs="宋体"/>
          <w:b w:val="0"/>
          <w:bCs w:val="0"/>
          <w:color w:val="auto"/>
          <w:kern w:val="0"/>
          <w:sz w:val="21"/>
          <w:szCs w:val="21"/>
          <w:lang w:val="en-US" w:eastAsia="zh-CN"/>
        </w:rPr>
        <w:t>中标人</w:t>
      </w:r>
      <w:r>
        <w:rPr>
          <w:rFonts w:hint="eastAsia" w:ascii="宋体" w:hAnsi="宋体" w:eastAsia="宋体" w:cs="宋体"/>
          <w:b w:val="0"/>
          <w:bCs w:val="0"/>
          <w:color w:val="auto"/>
          <w:kern w:val="0"/>
          <w:sz w:val="21"/>
          <w:szCs w:val="21"/>
        </w:rPr>
        <w:t>照价赔偿；</w:t>
      </w:r>
    </w:p>
    <w:p w14:paraId="2A29133E">
      <w:pPr>
        <w:keepNext w:val="0"/>
        <w:keepLines w:val="0"/>
        <w:pageBreakBefore w:val="0"/>
        <w:widowControl/>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21.配合属地公安部门的巡检、及时响应、反恐等工作及突发事件演练；</w:t>
      </w:r>
    </w:p>
    <w:p w14:paraId="3E7C3D85">
      <w:pPr>
        <w:keepNext w:val="0"/>
        <w:keepLines w:val="0"/>
        <w:pageBreakBefore w:val="0"/>
        <w:widowControl/>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22.按招标人要求做好外来人员（车辆）出入检查、登记、停放等工作；</w:t>
      </w:r>
    </w:p>
    <w:p w14:paraId="2FF1B686">
      <w:pPr>
        <w:keepNext w:val="0"/>
        <w:keepLines w:val="0"/>
        <w:pageBreakBefore w:val="0"/>
        <w:widowControl/>
        <w:kinsoku/>
        <w:wordWrap/>
        <w:overflowPunct/>
        <w:topLinePunct w:val="0"/>
        <w:autoSpaceDE w:val="0"/>
        <w:autoSpaceDN w:val="0"/>
        <w:bidi w:val="0"/>
        <w:adjustRightInd w:val="0"/>
        <w:spacing w:line="360" w:lineRule="auto"/>
        <w:ind w:firstLine="420" w:firstLineChars="200"/>
        <w:textAlignment w:val="auto"/>
        <w:outlineLvl w:val="0"/>
        <w:rPr>
          <w:rFonts w:hint="eastAsia" w:ascii="宋体" w:hAnsi="宋体" w:eastAsia="宋体" w:cs="宋体"/>
          <w:b w:val="0"/>
          <w:bCs w:val="0"/>
          <w:color w:val="auto"/>
          <w:kern w:val="0"/>
          <w:sz w:val="21"/>
          <w:szCs w:val="21"/>
        </w:rPr>
      </w:pPr>
      <w:bookmarkStart w:id="410" w:name="_Toc27423"/>
      <w:r>
        <w:rPr>
          <w:rFonts w:hint="eastAsia" w:ascii="宋体" w:hAnsi="宋体" w:eastAsia="宋体" w:cs="宋体"/>
          <w:b w:val="0"/>
          <w:bCs w:val="0"/>
          <w:color w:val="auto"/>
          <w:kern w:val="0"/>
          <w:sz w:val="21"/>
          <w:szCs w:val="21"/>
        </w:rPr>
        <w:t>23.其它属于保安服务范围内的招标人临时交办的任务。</w:t>
      </w:r>
      <w:bookmarkEnd w:id="410"/>
    </w:p>
    <w:p w14:paraId="666F2EAA">
      <w:pPr>
        <w:keepNext w:val="0"/>
        <w:keepLines w:val="0"/>
        <w:pageBreakBefore w:val="0"/>
        <w:widowControl/>
        <w:kinsoku/>
        <w:wordWrap/>
        <w:overflowPunct/>
        <w:topLinePunct w:val="0"/>
        <w:autoSpaceDE w:val="0"/>
        <w:autoSpaceDN w:val="0"/>
        <w:bidi w:val="0"/>
        <w:adjustRightInd w:val="0"/>
        <w:spacing w:line="360" w:lineRule="auto"/>
        <w:ind w:firstLine="420" w:firstLineChars="200"/>
        <w:textAlignment w:val="auto"/>
        <w:outlineLvl w:val="1"/>
        <w:rPr>
          <w:rFonts w:hint="eastAsia" w:ascii="宋体" w:hAnsi="宋体" w:eastAsia="宋体" w:cs="宋体"/>
          <w:b w:val="0"/>
          <w:bCs w:val="0"/>
          <w:color w:val="auto"/>
          <w:sz w:val="21"/>
          <w:szCs w:val="21"/>
        </w:rPr>
      </w:pPr>
      <w:bookmarkStart w:id="411" w:name="_Toc14100"/>
      <w:r>
        <w:rPr>
          <w:rFonts w:hint="eastAsia" w:ascii="宋体" w:hAnsi="宋体" w:eastAsia="宋体" w:cs="宋体"/>
          <w:b w:val="0"/>
          <w:bCs w:val="0"/>
          <w:color w:val="auto"/>
          <w:kern w:val="0"/>
          <w:sz w:val="21"/>
          <w:szCs w:val="21"/>
        </w:rPr>
        <w:t>（三）工作质量要求</w:t>
      </w:r>
      <w:bookmarkEnd w:id="411"/>
      <w:r>
        <w:rPr>
          <w:rFonts w:hint="eastAsia" w:ascii="宋体" w:hAnsi="宋体" w:eastAsia="宋体" w:cs="宋体"/>
          <w:b w:val="0"/>
          <w:bCs w:val="0"/>
          <w:color w:val="auto"/>
          <w:kern w:val="0"/>
          <w:sz w:val="21"/>
          <w:szCs w:val="21"/>
        </w:rPr>
        <w:t xml:space="preserve"> </w:t>
      </w:r>
    </w:p>
    <w:p w14:paraId="2B71FB58">
      <w:pPr>
        <w:keepNext w:val="0"/>
        <w:keepLines w:val="0"/>
        <w:pageBreakBefore w:val="0"/>
        <w:widowControl/>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rPr>
        <w:t>1．安全保卫工作和维持办公秩序的整体设施和应急器械完备、实用；</w:t>
      </w:r>
    </w:p>
    <w:p w14:paraId="2273959D">
      <w:pPr>
        <w:keepNext w:val="0"/>
        <w:keepLines w:val="0"/>
        <w:pageBreakBefore w:val="0"/>
        <w:widowControl/>
        <w:kinsoku/>
        <w:wordWrap/>
        <w:overflowPunct/>
        <w:topLinePunct w:val="0"/>
        <w:autoSpaceDE w:val="0"/>
        <w:autoSpaceDN w:val="0"/>
        <w:bidi w:val="0"/>
        <w:adjustRightInd w:val="0"/>
        <w:spacing w:line="360" w:lineRule="auto"/>
        <w:ind w:firstLine="420" w:firstLineChars="200"/>
        <w:textAlignment w:val="auto"/>
        <w:outlineLvl w:val="0"/>
        <w:rPr>
          <w:rFonts w:hint="eastAsia" w:ascii="宋体" w:hAnsi="宋体" w:eastAsia="宋体" w:cs="宋体"/>
          <w:b w:val="0"/>
          <w:bCs w:val="0"/>
          <w:color w:val="auto"/>
          <w:sz w:val="21"/>
          <w:szCs w:val="21"/>
        </w:rPr>
      </w:pPr>
      <w:bookmarkStart w:id="412" w:name="_Toc1142"/>
      <w:r>
        <w:rPr>
          <w:rFonts w:hint="eastAsia" w:ascii="宋体" w:hAnsi="宋体" w:eastAsia="宋体" w:cs="宋体"/>
          <w:b w:val="0"/>
          <w:bCs w:val="0"/>
          <w:color w:val="auto"/>
          <w:kern w:val="0"/>
          <w:sz w:val="21"/>
          <w:szCs w:val="21"/>
        </w:rPr>
        <w:t>2．管理服务中突击性工作与长效管理相结合且有计划性；</w:t>
      </w:r>
      <w:bookmarkEnd w:id="412"/>
    </w:p>
    <w:p w14:paraId="25D70EF2">
      <w:pPr>
        <w:keepNext w:val="0"/>
        <w:keepLines w:val="0"/>
        <w:pageBreakBefore w:val="0"/>
        <w:widowControl/>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rPr>
        <w:t>3．管理服务质量目标需满足本用户需求规定的标准，并且能够在管理中随时接受行业主管部门的质量审核；</w:t>
      </w:r>
    </w:p>
    <w:p w14:paraId="2AF70647">
      <w:pPr>
        <w:keepNext w:val="0"/>
        <w:keepLines w:val="0"/>
        <w:pageBreakBefore w:val="0"/>
        <w:widowControl/>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rPr>
        <w:t>4．</w:t>
      </w:r>
      <w:r>
        <w:rPr>
          <w:rFonts w:hint="eastAsia" w:ascii="宋体" w:hAnsi="宋体" w:eastAsia="宋体" w:cs="宋体"/>
          <w:b w:val="0"/>
          <w:bCs w:val="0"/>
          <w:color w:val="auto"/>
          <w:kern w:val="0"/>
          <w:sz w:val="21"/>
          <w:szCs w:val="21"/>
          <w:lang w:val="en-US" w:eastAsia="zh-CN"/>
        </w:rPr>
        <w:t>中标人</w:t>
      </w:r>
      <w:r>
        <w:rPr>
          <w:rFonts w:hint="eastAsia" w:ascii="宋体" w:hAnsi="宋体" w:eastAsia="宋体" w:cs="宋体"/>
          <w:b w:val="0"/>
          <w:bCs w:val="0"/>
          <w:color w:val="auto"/>
          <w:kern w:val="0"/>
          <w:sz w:val="21"/>
          <w:szCs w:val="21"/>
        </w:rPr>
        <w:t>须对其派驻的保安人员自身在服务期内所发生的</w:t>
      </w:r>
      <w:r>
        <w:rPr>
          <w:rFonts w:hint="eastAsia" w:ascii="宋体" w:hAnsi="宋体" w:eastAsia="宋体" w:cs="宋体"/>
          <w:b w:val="0"/>
          <w:bCs w:val="0"/>
          <w:color w:val="auto"/>
          <w:kern w:val="0"/>
          <w:sz w:val="21"/>
          <w:szCs w:val="21"/>
          <w:lang w:val="en-US" w:eastAsia="zh-CN"/>
        </w:rPr>
        <w:t>人身</w:t>
      </w:r>
      <w:r>
        <w:rPr>
          <w:rFonts w:hint="eastAsia" w:ascii="宋体" w:hAnsi="宋体" w:eastAsia="宋体" w:cs="宋体"/>
          <w:b w:val="0"/>
          <w:bCs w:val="0"/>
          <w:color w:val="auto"/>
          <w:kern w:val="0"/>
          <w:sz w:val="21"/>
          <w:szCs w:val="21"/>
        </w:rPr>
        <w:t>安全和交通事故负责，</w:t>
      </w:r>
      <w:r>
        <w:rPr>
          <w:rFonts w:hint="eastAsia" w:ascii="宋体" w:hAnsi="宋体" w:eastAsia="宋体" w:cs="宋体"/>
          <w:b w:val="0"/>
          <w:bCs w:val="0"/>
          <w:color w:val="auto"/>
          <w:kern w:val="0"/>
          <w:sz w:val="21"/>
          <w:szCs w:val="21"/>
          <w:lang w:val="en-US" w:eastAsia="zh-CN"/>
        </w:rPr>
        <w:t>招标人</w:t>
      </w:r>
      <w:r>
        <w:rPr>
          <w:rFonts w:hint="eastAsia" w:ascii="宋体" w:hAnsi="宋体" w:eastAsia="宋体" w:cs="宋体"/>
          <w:b w:val="0"/>
          <w:bCs w:val="0"/>
          <w:color w:val="auto"/>
          <w:kern w:val="0"/>
          <w:sz w:val="21"/>
          <w:szCs w:val="21"/>
        </w:rPr>
        <w:t>不承担任何责任。</w:t>
      </w:r>
    </w:p>
    <w:p w14:paraId="68D5496F">
      <w:pPr>
        <w:widowControl/>
        <w:spacing w:line="360" w:lineRule="auto"/>
        <w:ind w:firstLine="422" w:firstLineChars="200"/>
        <w:outlineLvl w:val="1"/>
        <w:rPr>
          <w:rFonts w:hint="eastAsia" w:ascii="宋体" w:hAnsi="宋体" w:eastAsia="宋体" w:cs="宋体"/>
          <w:b/>
          <w:bCs/>
          <w:color w:val="auto"/>
          <w:sz w:val="21"/>
          <w:szCs w:val="21"/>
          <w:highlight w:val="none"/>
        </w:rPr>
      </w:pPr>
      <w:bookmarkStart w:id="413" w:name="_Toc8893"/>
      <w:r>
        <w:rPr>
          <w:rFonts w:hint="eastAsia" w:ascii="宋体" w:hAnsi="宋体" w:eastAsia="宋体" w:cs="宋体"/>
          <w:b/>
          <w:bCs/>
          <w:color w:val="auto"/>
          <w:sz w:val="21"/>
          <w:szCs w:val="21"/>
          <w:highlight w:val="none"/>
        </w:rPr>
        <w:t>★（四）服务成果要求</w:t>
      </w:r>
      <w:bookmarkEnd w:id="413"/>
      <w:r>
        <w:rPr>
          <w:rFonts w:hint="eastAsia" w:ascii="宋体" w:hAnsi="宋体" w:eastAsia="宋体" w:cs="宋体"/>
          <w:b/>
          <w:bCs/>
          <w:color w:val="auto"/>
          <w:sz w:val="21"/>
          <w:szCs w:val="21"/>
          <w:highlight w:val="none"/>
        </w:rPr>
        <w:t xml:space="preserve"> </w:t>
      </w:r>
    </w:p>
    <w:p w14:paraId="16C5D9BA">
      <w:pPr>
        <w:widowControl/>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1．在服务期内无因</w:t>
      </w:r>
      <w:r>
        <w:rPr>
          <w:rFonts w:hint="eastAsia" w:ascii="宋体" w:hAnsi="宋体" w:eastAsia="宋体" w:cs="宋体"/>
          <w:b/>
          <w:bCs/>
          <w:color w:val="auto"/>
          <w:sz w:val="21"/>
          <w:szCs w:val="21"/>
          <w:highlight w:val="none"/>
          <w:lang w:val="en-US" w:eastAsia="zh-CN"/>
        </w:rPr>
        <w:t>中标人的安保原因而</w:t>
      </w:r>
      <w:r>
        <w:rPr>
          <w:rFonts w:hint="eastAsia" w:ascii="宋体" w:hAnsi="宋体" w:eastAsia="宋体" w:cs="宋体"/>
          <w:b/>
          <w:bCs/>
          <w:color w:val="auto"/>
          <w:sz w:val="21"/>
          <w:szCs w:val="21"/>
          <w:highlight w:val="none"/>
        </w:rPr>
        <w:t>造成的重大安全事故发生、</w:t>
      </w:r>
      <w:r>
        <w:rPr>
          <w:rFonts w:hint="eastAsia" w:ascii="宋体" w:hAnsi="宋体" w:eastAsia="宋体" w:cs="宋体"/>
          <w:b/>
          <w:bCs/>
          <w:color w:val="auto"/>
          <w:sz w:val="21"/>
          <w:szCs w:val="21"/>
          <w:highlight w:val="none"/>
          <w:lang w:val="en-US" w:eastAsia="zh-CN"/>
        </w:rPr>
        <w:t>中标人</w:t>
      </w:r>
      <w:r>
        <w:rPr>
          <w:rFonts w:hint="eastAsia" w:ascii="宋体" w:hAnsi="宋体" w:eastAsia="宋体" w:cs="宋体"/>
          <w:b/>
          <w:bCs/>
          <w:color w:val="auto"/>
          <w:sz w:val="21"/>
          <w:szCs w:val="21"/>
          <w:highlight w:val="none"/>
        </w:rPr>
        <w:t>派驻的保安人员无重大安全事故发生。</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重大安全事故是指造成重大人身伤亡或者造成重大经济损失的事故：①一次死亡1人；②一次重伤3人以上；③重大火灾事故（着火面积达到300㎡以上）；④一次造成重大直接经济损失的（5万元以上）。</w:t>
      </w:r>
      <w:r>
        <w:rPr>
          <w:rFonts w:hint="eastAsia" w:ascii="宋体" w:hAnsi="宋体" w:eastAsia="宋体" w:cs="宋体"/>
          <w:b/>
          <w:bCs/>
          <w:color w:val="auto"/>
          <w:sz w:val="21"/>
          <w:szCs w:val="21"/>
          <w:highlight w:val="none"/>
          <w:lang w:eastAsia="zh-CN"/>
        </w:rPr>
        <w:t>】</w:t>
      </w:r>
    </w:p>
    <w:p w14:paraId="7E894343">
      <w:pPr>
        <w:widowControl/>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中标人</w:t>
      </w:r>
      <w:r>
        <w:rPr>
          <w:rFonts w:hint="eastAsia" w:ascii="宋体" w:hAnsi="宋体" w:eastAsia="宋体" w:cs="宋体"/>
          <w:b/>
          <w:bCs/>
          <w:color w:val="auto"/>
          <w:sz w:val="21"/>
          <w:szCs w:val="21"/>
          <w:highlight w:val="none"/>
        </w:rPr>
        <w:t>要制定保安管理发展规划，使招标人满意率达90%以上（即考核取得90分或以上）。</w:t>
      </w:r>
    </w:p>
    <w:p w14:paraId="7204A408">
      <w:pPr>
        <w:widowControl/>
        <w:spacing w:line="360" w:lineRule="auto"/>
        <w:ind w:firstLine="420" w:firstLineChars="200"/>
        <w:outlineLvl w:val="1"/>
        <w:rPr>
          <w:rFonts w:hint="eastAsia" w:ascii="宋体" w:hAnsi="宋体" w:eastAsia="宋体" w:cs="宋体"/>
          <w:color w:val="auto"/>
          <w:sz w:val="21"/>
          <w:szCs w:val="21"/>
          <w:highlight w:val="none"/>
        </w:rPr>
      </w:pPr>
      <w:bookmarkStart w:id="414" w:name="_Toc9743"/>
      <w:r>
        <w:rPr>
          <w:rFonts w:hint="eastAsia" w:ascii="宋体" w:hAnsi="宋体" w:eastAsia="宋体" w:cs="宋体"/>
          <w:color w:val="auto"/>
          <w:sz w:val="21"/>
          <w:szCs w:val="21"/>
          <w:highlight w:val="none"/>
        </w:rPr>
        <w:t>（五）项目参考标准</w:t>
      </w:r>
      <w:bookmarkEnd w:id="414"/>
    </w:p>
    <w:p w14:paraId="19E2F12A">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《保安服务管理条例》《中华人民共和国治安管理处罚法》等法律法规。</w:t>
      </w:r>
    </w:p>
    <w:p w14:paraId="39E64EA4">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 xml:space="preserve">（六）保安人员配置说明 </w:t>
      </w:r>
    </w:p>
    <w:p w14:paraId="723A7E14">
      <w:pPr>
        <w:widowControl/>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基于</w:t>
      </w:r>
      <w:r>
        <w:rPr>
          <w:rFonts w:hint="eastAsia" w:ascii="宋体" w:hAnsi="宋体" w:eastAsia="宋体" w:cs="宋体"/>
          <w:b/>
          <w:bCs/>
          <w:color w:val="auto"/>
          <w:sz w:val="21"/>
          <w:szCs w:val="21"/>
          <w:highlight w:val="none"/>
          <w:lang w:val="en-US" w:eastAsia="zh-CN"/>
        </w:rPr>
        <w:t>管网公司实际经营</w:t>
      </w:r>
      <w:r>
        <w:rPr>
          <w:rFonts w:hint="eastAsia" w:ascii="宋体" w:hAnsi="宋体" w:eastAsia="宋体" w:cs="宋体"/>
          <w:b/>
          <w:bCs/>
          <w:color w:val="auto"/>
          <w:sz w:val="21"/>
          <w:szCs w:val="21"/>
          <w:highlight w:val="none"/>
        </w:rPr>
        <w:t>情况，人员配置按以下安排：（1）保安执行三班</w:t>
      </w:r>
      <w:r>
        <w:rPr>
          <w:rFonts w:hint="eastAsia" w:ascii="宋体" w:hAnsi="宋体" w:eastAsia="宋体" w:cs="宋体"/>
          <w:b/>
          <w:bCs/>
          <w:color w:val="auto"/>
          <w:sz w:val="21"/>
          <w:szCs w:val="21"/>
          <w:highlight w:val="none"/>
          <w:lang w:val="en-US" w:eastAsia="zh-CN"/>
        </w:rPr>
        <w:t>倒</w:t>
      </w:r>
      <w:r>
        <w:rPr>
          <w:rFonts w:hint="eastAsia" w:ascii="宋体" w:hAnsi="宋体" w:eastAsia="宋体" w:cs="宋体"/>
          <w:b/>
          <w:bCs/>
          <w:color w:val="auto"/>
          <w:sz w:val="21"/>
          <w:szCs w:val="21"/>
          <w:highlight w:val="none"/>
        </w:rPr>
        <w:t>工作制，实行 24 小时值班，每班次8小时，按用户需求书的人员配置分配到每班中，或根据招标人运营</w:t>
      </w:r>
      <w:r>
        <w:rPr>
          <w:rFonts w:hint="eastAsia" w:ascii="宋体" w:hAnsi="宋体" w:eastAsia="宋体" w:cs="宋体"/>
          <w:b/>
          <w:bCs/>
          <w:color w:val="auto"/>
          <w:sz w:val="21"/>
          <w:szCs w:val="21"/>
          <w:highlight w:val="none"/>
          <w:lang w:val="en-US" w:eastAsia="zh-CN"/>
        </w:rPr>
        <w:t>地</w:t>
      </w:r>
      <w:r>
        <w:rPr>
          <w:rFonts w:hint="eastAsia" w:ascii="宋体" w:hAnsi="宋体" w:eastAsia="宋体" w:cs="宋体"/>
          <w:b/>
          <w:bCs/>
          <w:color w:val="auto"/>
          <w:sz w:val="21"/>
          <w:szCs w:val="21"/>
          <w:highlight w:val="none"/>
        </w:rPr>
        <w:t>的工作要求合理安排每班次安保岗位的人数；（</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）每班人员不能重复，严格按照保安人员配置表要求人数上班，保证服务范围内的人员财产安全，</w:t>
      </w:r>
      <w:r>
        <w:rPr>
          <w:rFonts w:hint="eastAsia" w:ascii="宋体" w:hAnsi="宋体" w:eastAsia="宋体" w:cs="宋体"/>
          <w:b/>
          <w:bCs/>
          <w:color w:val="auto"/>
          <w:sz w:val="21"/>
          <w:szCs w:val="21"/>
          <w:highlight w:val="none"/>
          <w:lang w:val="en-US" w:eastAsia="zh-CN"/>
        </w:rPr>
        <w:t>每个服务地</w:t>
      </w:r>
      <w:r>
        <w:rPr>
          <w:rFonts w:hint="eastAsia" w:ascii="宋体" w:hAnsi="宋体" w:eastAsia="宋体" w:cs="宋体"/>
          <w:b/>
          <w:bCs/>
          <w:color w:val="auto"/>
          <w:sz w:val="21"/>
          <w:szCs w:val="21"/>
          <w:highlight w:val="none"/>
        </w:rPr>
        <w:t>应设保安队长1名。</w:t>
      </w:r>
    </w:p>
    <w:p w14:paraId="26FCBCEF">
      <w:pPr>
        <w:widowControl/>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（七）</w:t>
      </w:r>
      <w:r>
        <w:rPr>
          <w:rFonts w:hint="eastAsia" w:ascii="宋体" w:hAnsi="宋体" w:eastAsia="宋体" w:cs="宋体"/>
          <w:b/>
          <w:color w:val="auto"/>
          <w:sz w:val="21"/>
          <w:szCs w:val="21"/>
          <w:highlight w:val="none"/>
          <w:lang w:val="en-US" w:eastAsia="zh-CN"/>
        </w:rPr>
        <w:t>中标人</w:t>
      </w:r>
      <w:r>
        <w:rPr>
          <w:rFonts w:hint="eastAsia" w:ascii="宋体" w:hAnsi="宋体" w:eastAsia="宋体" w:cs="宋体"/>
          <w:b/>
          <w:color w:val="auto"/>
          <w:sz w:val="21"/>
          <w:szCs w:val="21"/>
          <w:highlight w:val="none"/>
        </w:rPr>
        <w:t xml:space="preserve">派驻服务范围内的保安员素质要求 </w:t>
      </w:r>
    </w:p>
    <w:p w14:paraId="74AC421E">
      <w:pPr>
        <w:widowControl/>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1．身高 165cm 以上，</w:t>
      </w:r>
      <w:r>
        <w:rPr>
          <w:rFonts w:hint="eastAsia" w:ascii="宋体" w:hAnsi="宋体" w:eastAsia="宋体" w:cs="宋体"/>
          <w:b/>
          <w:color w:val="auto"/>
          <w:sz w:val="21"/>
          <w:szCs w:val="21"/>
          <w:highlight w:val="none"/>
          <w:lang w:val="en-US" w:eastAsia="zh-CN"/>
        </w:rPr>
        <w:t>年龄在25-50岁之间，</w:t>
      </w:r>
      <w:r>
        <w:rPr>
          <w:rFonts w:hint="eastAsia" w:ascii="宋体" w:hAnsi="宋体" w:eastAsia="宋体" w:cs="宋体"/>
          <w:b/>
          <w:color w:val="auto"/>
          <w:sz w:val="21"/>
          <w:szCs w:val="21"/>
          <w:highlight w:val="none"/>
        </w:rPr>
        <w:t>五官端正，身体健康无残疾，无色盲，双眼裸视 0.8 以上；</w:t>
      </w:r>
    </w:p>
    <w:p w14:paraId="78097866">
      <w:pPr>
        <w:widowControl/>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2．无纹身，男性不得留长发、长胡须、不染发；</w:t>
      </w:r>
    </w:p>
    <w:p w14:paraId="0B32A8EC">
      <w:pPr>
        <w:widowControl/>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3．具备一定语言和文字表达能力；</w:t>
      </w:r>
    </w:p>
    <w:p w14:paraId="3B0E7B18">
      <w:pPr>
        <w:widowControl/>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4．注重仪容仪表，文明执勤，礼貌服务；</w:t>
      </w:r>
    </w:p>
    <w:p w14:paraId="14AC4130">
      <w:pPr>
        <w:widowControl/>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5．所有人员培训合格并持证上岗；</w:t>
      </w:r>
    </w:p>
    <w:p w14:paraId="712AA6B9">
      <w:pPr>
        <w:widowControl/>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6．热爱保安工作，具有较强的工作责任心，并具有敏锐的洞察力，具备与岗位职责相应的观察、发现、处置问题能力；</w:t>
      </w:r>
    </w:p>
    <w:p w14:paraId="7BC9AF5D">
      <w:pPr>
        <w:widowControl/>
        <w:spacing w:line="360" w:lineRule="auto"/>
        <w:ind w:firstLine="422" w:firstLineChars="200"/>
        <w:outlineLvl w:val="0"/>
        <w:rPr>
          <w:rFonts w:hint="eastAsia" w:ascii="宋体" w:hAnsi="宋体" w:eastAsia="宋体" w:cs="宋体"/>
          <w:b/>
          <w:color w:val="auto"/>
          <w:sz w:val="21"/>
          <w:szCs w:val="21"/>
          <w:highlight w:val="none"/>
        </w:rPr>
      </w:pPr>
      <w:bookmarkStart w:id="415" w:name="_Toc27988"/>
      <w:r>
        <w:rPr>
          <w:rFonts w:hint="eastAsia" w:ascii="宋体" w:hAnsi="宋体" w:eastAsia="宋体" w:cs="宋体"/>
          <w:b/>
          <w:color w:val="auto"/>
          <w:sz w:val="21"/>
          <w:szCs w:val="21"/>
          <w:highlight w:val="none"/>
        </w:rPr>
        <w:t>7．遵纪守法，没有违法犯罪前科；</w:t>
      </w:r>
      <w:bookmarkEnd w:id="415"/>
    </w:p>
    <w:p w14:paraId="5FEA6BAF">
      <w:pPr>
        <w:widowControl/>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8．具备基本法律知识及保安专业相关的政策，纪律性强，保证绝对遵守招标人及</w:t>
      </w:r>
      <w:r>
        <w:rPr>
          <w:rFonts w:hint="eastAsia" w:ascii="宋体" w:hAnsi="宋体" w:eastAsia="宋体" w:cs="宋体"/>
          <w:b/>
          <w:color w:val="auto"/>
          <w:sz w:val="21"/>
          <w:szCs w:val="21"/>
          <w:highlight w:val="none"/>
          <w:lang w:val="en-US" w:eastAsia="zh-CN"/>
        </w:rPr>
        <w:t>本采购</w:t>
      </w:r>
      <w:r>
        <w:rPr>
          <w:rFonts w:hint="eastAsia" w:ascii="宋体" w:hAnsi="宋体" w:eastAsia="宋体" w:cs="宋体"/>
          <w:b/>
          <w:color w:val="auto"/>
          <w:sz w:val="21"/>
          <w:szCs w:val="21"/>
          <w:highlight w:val="none"/>
        </w:rPr>
        <w:t>项目的工作规章制度与内部管理规定；</w:t>
      </w:r>
    </w:p>
    <w:p w14:paraId="56E40FBE">
      <w:pPr>
        <w:widowControl/>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9．具备使用基本消防设备、通讯器材、技术防范设施设备和相关防卫器械技能；</w:t>
      </w:r>
    </w:p>
    <w:p w14:paraId="3B05F396">
      <w:pPr>
        <w:widowControl/>
        <w:spacing w:line="360" w:lineRule="auto"/>
        <w:ind w:firstLine="422" w:firstLineChars="200"/>
        <w:outlineLvl w:val="0"/>
        <w:rPr>
          <w:rFonts w:hint="eastAsia" w:ascii="宋体" w:hAnsi="宋体" w:eastAsia="宋体" w:cs="宋体"/>
          <w:b/>
          <w:color w:val="auto"/>
          <w:sz w:val="21"/>
          <w:szCs w:val="21"/>
          <w:highlight w:val="none"/>
        </w:rPr>
      </w:pPr>
      <w:bookmarkStart w:id="416" w:name="_Toc8389"/>
      <w:r>
        <w:rPr>
          <w:rFonts w:hint="eastAsia" w:ascii="宋体" w:hAnsi="宋体" w:eastAsia="宋体" w:cs="宋体"/>
          <w:b/>
          <w:color w:val="auto"/>
          <w:sz w:val="21"/>
          <w:szCs w:val="21"/>
          <w:highlight w:val="none"/>
        </w:rPr>
        <w:t>10．掌握一定防卫和擒敌技能。</w:t>
      </w:r>
      <w:bookmarkEnd w:id="416"/>
    </w:p>
    <w:p w14:paraId="48FD6AC7">
      <w:pPr>
        <w:widowControl/>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（八）</w:t>
      </w:r>
      <w:r>
        <w:rPr>
          <w:rFonts w:hint="eastAsia" w:ascii="宋体" w:hAnsi="宋体" w:eastAsia="宋体" w:cs="宋体"/>
          <w:b/>
          <w:color w:val="auto"/>
          <w:sz w:val="21"/>
          <w:szCs w:val="21"/>
          <w:highlight w:val="none"/>
          <w:lang w:val="en-US" w:eastAsia="zh-CN"/>
        </w:rPr>
        <w:t>中标人</w:t>
      </w:r>
      <w:r>
        <w:rPr>
          <w:rFonts w:hint="eastAsia" w:ascii="宋体" w:hAnsi="宋体" w:eastAsia="宋体" w:cs="宋体"/>
          <w:b/>
          <w:color w:val="auto"/>
          <w:sz w:val="21"/>
          <w:szCs w:val="21"/>
          <w:highlight w:val="none"/>
        </w:rPr>
        <w:t xml:space="preserve">派驻服务范围内保安员的保障要求 </w:t>
      </w:r>
    </w:p>
    <w:p w14:paraId="516A1259">
      <w:pPr>
        <w:widowControl/>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1．统一配发带标志的保安制服，工作用皮鞋；</w:t>
      </w:r>
    </w:p>
    <w:p w14:paraId="1B1FAAE9">
      <w:pPr>
        <w:widowControl/>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2．配备足够的雨伞、雨衣、雨鞋、探照灯；</w:t>
      </w:r>
    </w:p>
    <w:p w14:paraId="07242FE3">
      <w:pPr>
        <w:widowControl/>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3．配备能适应服务范围内安保工作需要的保安器械；</w:t>
      </w:r>
    </w:p>
    <w:p w14:paraId="356D9758">
      <w:pPr>
        <w:widowControl/>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w:t>
      </w:r>
      <w:r>
        <w:rPr>
          <w:rFonts w:hint="eastAsia" w:ascii="宋体" w:hAnsi="宋体" w:eastAsia="宋体" w:cs="宋体"/>
          <w:b/>
          <w:bCs/>
          <w:color w:val="auto"/>
          <w:sz w:val="21"/>
          <w:szCs w:val="21"/>
          <w:highlight w:val="none"/>
          <w:lang w:val="en-US" w:eastAsia="zh-CN"/>
        </w:rPr>
        <w:t>中标人</w:t>
      </w:r>
      <w:r>
        <w:rPr>
          <w:rFonts w:hint="eastAsia" w:ascii="宋体" w:hAnsi="宋体" w:eastAsia="宋体" w:cs="宋体"/>
          <w:b/>
          <w:bCs/>
          <w:color w:val="auto"/>
          <w:sz w:val="21"/>
          <w:szCs w:val="21"/>
          <w:highlight w:val="none"/>
        </w:rPr>
        <w:t>派驻的保安人员的工作、福利、加班费、社保等不得低于东莞市用工的法定标准，并在报价时应予充分测算；</w:t>
      </w:r>
    </w:p>
    <w:p w14:paraId="4CBDF456">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w:t>
      </w:r>
      <w:r>
        <w:rPr>
          <w:rFonts w:hint="eastAsia" w:ascii="宋体" w:hAnsi="宋体" w:eastAsia="宋体" w:cs="宋体"/>
          <w:b/>
          <w:bCs/>
          <w:color w:val="auto"/>
          <w:sz w:val="21"/>
          <w:szCs w:val="21"/>
          <w:highlight w:val="none"/>
          <w:lang w:val="en-US" w:eastAsia="zh-CN"/>
        </w:rPr>
        <w:t>中标人</w:t>
      </w:r>
      <w:r>
        <w:rPr>
          <w:rFonts w:hint="eastAsia" w:ascii="宋体" w:hAnsi="宋体" w:eastAsia="宋体" w:cs="宋体"/>
          <w:b/>
          <w:bCs/>
          <w:color w:val="auto"/>
          <w:sz w:val="21"/>
          <w:szCs w:val="21"/>
          <w:highlight w:val="none"/>
        </w:rPr>
        <w:t>派驻的保安人员必须是已签订劳动合同的人员，并购买足额的人身意外伤害保险及社会保险；</w:t>
      </w:r>
    </w:p>
    <w:p w14:paraId="1827B5EC">
      <w:pPr>
        <w:widowControl/>
        <w:spacing w:line="360" w:lineRule="auto"/>
        <w:ind w:firstLine="422" w:firstLineChars="200"/>
        <w:rPr>
          <w:rFonts w:hint="eastAsia" w:ascii="宋体" w:hAnsi="宋体" w:eastAsia="宋体" w:cs="宋体"/>
          <w:b/>
          <w:bCs/>
          <w:color w:val="auto"/>
          <w:sz w:val="21"/>
          <w:szCs w:val="21"/>
          <w:highlight w:val="yellow"/>
        </w:rPr>
      </w:pPr>
      <w:r>
        <w:rPr>
          <w:rFonts w:hint="eastAsia" w:ascii="宋体" w:hAnsi="宋体" w:eastAsia="宋体" w:cs="宋体"/>
          <w:b/>
          <w:bCs/>
          <w:color w:val="auto"/>
          <w:sz w:val="21"/>
          <w:szCs w:val="21"/>
          <w:highlight w:val="none"/>
        </w:rPr>
        <w:t>6．</w:t>
      </w:r>
      <w:r>
        <w:rPr>
          <w:rFonts w:hint="eastAsia" w:ascii="宋体" w:hAnsi="宋体" w:eastAsia="宋体" w:cs="宋体"/>
          <w:b/>
          <w:bCs/>
          <w:color w:val="auto"/>
          <w:sz w:val="21"/>
          <w:szCs w:val="21"/>
          <w:highlight w:val="none"/>
          <w:lang w:val="en-US" w:eastAsia="zh-CN"/>
        </w:rPr>
        <w:t>中标人</w:t>
      </w:r>
      <w:r>
        <w:rPr>
          <w:rFonts w:hint="eastAsia" w:ascii="宋体" w:hAnsi="宋体" w:eastAsia="宋体" w:cs="宋体"/>
          <w:b/>
          <w:bCs/>
          <w:color w:val="auto"/>
          <w:sz w:val="21"/>
          <w:szCs w:val="21"/>
          <w:highlight w:val="none"/>
        </w:rPr>
        <w:t>不得将本管理项目分包给其它单位</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同时</w:t>
      </w:r>
      <w:r>
        <w:rPr>
          <w:rFonts w:hint="eastAsia" w:ascii="宋体" w:hAnsi="宋体" w:eastAsia="宋体" w:cs="宋体"/>
          <w:b/>
          <w:bCs/>
          <w:color w:val="auto"/>
          <w:sz w:val="21"/>
          <w:szCs w:val="21"/>
          <w:highlight w:val="none"/>
        </w:rPr>
        <w:t>应做好元旦、春节、清明、五一、端午、中秋、十一等长假和临时工作任务的加班安排；保安应全勤值班，加班费由保安</w:t>
      </w:r>
      <w:r>
        <w:rPr>
          <w:rFonts w:hint="eastAsia" w:ascii="宋体" w:hAnsi="宋体" w:eastAsia="宋体" w:cs="宋体"/>
          <w:b/>
          <w:bCs/>
          <w:color w:val="auto"/>
          <w:sz w:val="21"/>
          <w:szCs w:val="21"/>
          <w:highlight w:val="none"/>
          <w:lang w:val="en-US" w:eastAsia="zh-CN"/>
        </w:rPr>
        <w:t>中标人</w:t>
      </w:r>
      <w:r>
        <w:rPr>
          <w:rFonts w:hint="eastAsia" w:ascii="宋体" w:hAnsi="宋体" w:eastAsia="宋体" w:cs="宋体"/>
          <w:b/>
          <w:bCs/>
          <w:color w:val="auto"/>
          <w:sz w:val="21"/>
          <w:szCs w:val="21"/>
          <w:highlight w:val="none"/>
        </w:rPr>
        <w:t>承担并保障节假日及重要节点的安保工作。</w:t>
      </w:r>
    </w:p>
    <w:p w14:paraId="61A0A28A">
      <w:pPr>
        <w:widowControl/>
        <w:spacing w:line="360" w:lineRule="auto"/>
        <w:outlineLvl w:val="1"/>
        <w:rPr>
          <w:rFonts w:hint="eastAsia" w:ascii="宋体" w:hAnsi="宋体" w:eastAsia="宋体" w:cs="宋体"/>
          <w:color w:val="auto"/>
          <w:sz w:val="21"/>
          <w:szCs w:val="21"/>
          <w:highlight w:val="none"/>
        </w:rPr>
      </w:pPr>
      <w:bookmarkStart w:id="417" w:name="_Toc13282"/>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、服务具体要求</w:t>
      </w:r>
      <w:bookmarkEnd w:id="417"/>
      <w:r>
        <w:rPr>
          <w:rFonts w:hint="eastAsia" w:ascii="宋体" w:hAnsi="宋体" w:eastAsia="宋体" w:cs="宋体"/>
          <w:color w:val="auto"/>
          <w:sz w:val="21"/>
          <w:szCs w:val="21"/>
          <w:highlight w:val="none"/>
        </w:rPr>
        <w:t xml:space="preserve"> </w:t>
      </w:r>
    </w:p>
    <w:p w14:paraId="65DF7A0C">
      <w:pPr>
        <w:widowControl/>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w:t>
      </w:r>
      <w:r>
        <w:rPr>
          <w:rFonts w:hint="eastAsia" w:ascii="宋体" w:hAnsi="宋体" w:eastAsia="宋体" w:cs="宋体"/>
          <w:b w:val="0"/>
          <w:bCs w:val="0"/>
          <w:color w:val="auto"/>
          <w:sz w:val="21"/>
          <w:szCs w:val="21"/>
          <w:highlight w:val="none"/>
          <w:lang w:val="en-US" w:eastAsia="zh-CN"/>
        </w:rPr>
        <w:t>中标人</w:t>
      </w:r>
      <w:r>
        <w:rPr>
          <w:rFonts w:hint="eastAsia" w:ascii="宋体" w:hAnsi="宋体" w:eastAsia="宋体" w:cs="宋体"/>
          <w:b w:val="0"/>
          <w:bCs w:val="0"/>
          <w:color w:val="auto"/>
          <w:sz w:val="21"/>
          <w:szCs w:val="21"/>
          <w:highlight w:val="none"/>
        </w:rPr>
        <w:t>应对项目服务人员进行培训及专项指导，待培训合格并经招标人认可后的保安员方可上岗（必须持有公安部门认可的保安员证），</w:t>
      </w:r>
      <w:r>
        <w:rPr>
          <w:rFonts w:hint="eastAsia" w:ascii="宋体" w:hAnsi="宋体" w:eastAsia="宋体" w:cs="宋体"/>
          <w:b w:val="0"/>
          <w:bCs w:val="0"/>
          <w:color w:val="auto"/>
          <w:sz w:val="21"/>
          <w:szCs w:val="21"/>
          <w:highlight w:val="none"/>
          <w:lang w:val="zh-CN"/>
        </w:rPr>
        <w:t>保安人员</w:t>
      </w:r>
      <w:r>
        <w:rPr>
          <w:rFonts w:hint="eastAsia" w:ascii="宋体" w:hAnsi="宋体" w:eastAsia="宋体" w:cs="宋体"/>
          <w:b w:val="0"/>
          <w:bCs w:val="0"/>
          <w:color w:val="auto"/>
          <w:sz w:val="21"/>
          <w:szCs w:val="21"/>
          <w:highlight w:val="none"/>
        </w:rPr>
        <w:t>必须严格按照三班</w:t>
      </w:r>
      <w:r>
        <w:rPr>
          <w:rFonts w:hint="eastAsia" w:ascii="宋体" w:hAnsi="宋体" w:eastAsia="宋体" w:cs="宋体"/>
          <w:b w:val="0"/>
          <w:bCs w:val="0"/>
          <w:color w:val="auto"/>
          <w:sz w:val="21"/>
          <w:szCs w:val="21"/>
          <w:highlight w:val="none"/>
          <w:lang w:val="en-US" w:eastAsia="zh-CN"/>
        </w:rPr>
        <w:t>倒</w:t>
      </w:r>
      <w:r>
        <w:rPr>
          <w:rFonts w:hint="eastAsia" w:ascii="宋体" w:hAnsi="宋体" w:eastAsia="宋体" w:cs="宋体"/>
          <w:b w:val="0"/>
          <w:bCs w:val="0"/>
          <w:color w:val="auto"/>
          <w:sz w:val="21"/>
          <w:szCs w:val="21"/>
          <w:highlight w:val="none"/>
        </w:rPr>
        <w:t>工作</w:t>
      </w:r>
      <w:r>
        <w:rPr>
          <w:rFonts w:hint="eastAsia" w:ascii="宋体" w:hAnsi="宋体" w:eastAsia="宋体" w:cs="宋体"/>
          <w:b w:val="0"/>
          <w:bCs w:val="0"/>
          <w:color w:val="auto"/>
          <w:sz w:val="21"/>
          <w:szCs w:val="21"/>
          <w:highlight w:val="none"/>
          <w:lang w:val="zh-CN"/>
        </w:rPr>
        <w:t>制配置，以确保服务场地的</w:t>
      </w:r>
      <w:r>
        <w:rPr>
          <w:rFonts w:hint="eastAsia" w:ascii="宋体" w:hAnsi="宋体" w:eastAsia="宋体" w:cs="宋体"/>
          <w:b w:val="0"/>
          <w:bCs w:val="0"/>
          <w:color w:val="auto"/>
          <w:sz w:val="21"/>
          <w:szCs w:val="21"/>
          <w:highlight w:val="none"/>
        </w:rPr>
        <w:t>安全</w:t>
      </w:r>
      <w:r>
        <w:rPr>
          <w:rFonts w:hint="eastAsia" w:ascii="宋体" w:hAnsi="宋体" w:eastAsia="宋体" w:cs="宋体"/>
          <w:b w:val="0"/>
          <w:bCs w:val="0"/>
          <w:color w:val="auto"/>
          <w:sz w:val="21"/>
          <w:szCs w:val="21"/>
          <w:highlight w:val="none"/>
          <w:lang w:val="zh-CN"/>
        </w:rPr>
        <w:t>保障；</w:t>
      </w:r>
    </w:p>
    <w:p w14:paraId="08DB4572">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（二）</w:t>
      </w:r>
      <w:r>
        <w:rPr>
          <w:rFonts w:hint="eastAsia" w:ascii="宋体" w:hAnsi="宋体" w:eastAsia="宋体" w:cs="宋体"/>
          <w:b w:val="0"/>
          <w:bCs w:val="0"/>
          <w:color w:val="auto"/>
          <w:sz w:val="21"/>
          <w:szCs w:val="21"/>
          <w:highlight w:val="none"/>
          <w:lang w:val="en-US" w:eastAsia="zh-CN"/>
        </w:rPr>
        <w:t>中标人</w:t>
      </w:r>
      <w:r>
        <w:rPr>
          <w:rFonts w:hint="eastAsia" w:ascii="宋体" w:hAnsi="宋体" w:eastAsia="宋体" w:cs="宋体"/>
          <w:b w:val="0"/>
          <w:bCs w:val="0"/>
          <w:color w:val="auto"/>
          <w:sz w:val="21"/>
          <w:szCs w:val="21"/>
          <w:highlight w:val="none"/>
        </w:rPr>
        <w:t>应加</w:t>
      </w:r>
      <w:r>
        <w:rPr>
          <w:rFonts w:hint="eastAsia" w:ascii="宋体" w:hAnsi="宋体" w:eastAsia="宋体" w:cs="宋体"/>
          <w:color w:val="auto"/>
          <w:sz w:val="21"/>
          <w:szCs w:val="21"/>
          <w:highlight w:val="none"/>
        </w:rPr>
        <w:t>强对保安员的在岗培训、监督和管理，确保保安服务的优质高效，负责保安员的思想教育、业务培训等日常管理和保安员违纪问题的处理；</w:t>
      </w:r>
    </w:p>
    <w:p w14:paraId="0E996415">
      <w:pPr>
        <w:widowControl/>
        <w:spacing w:line="360" w:lineRule="auto"/>
        <w:ind w:firstLine="420" w:firstLineChars="200"/>
        <w:outlineLvl w:val="2"/>
        <w:rPr>
          <w:rFonts w:hint="eastAsia" w:ascii="宋体" w:hAnsi="宋体" w:eastAsia="宋体" w:cs="宋体"/>
          <w:color w:val="auto"/>
          <w:sz w:val="21"/>
          <w:szCs w:val="21"/>
          <w:highlight w:val="none"/>
        </w:rPr>
      </w:pPr>
      <w:bookmarkStart w:id="418" w:name="_Toc22192"/>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应切实做好派驻的保安员的日常管理工作；</w:t>
      </w:r>
      <w:bookmarkEnd w:id="418"/>
    </w:p>
    <w:p w14:paraId="434630C4">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（四）发生在执勤范围内的刑事案件、治安案件和治安灾害事故，</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应及时处理并报告招标人相关负责人和当地公安机关，采取措施保护案发现场，协助公安机关侦查各类治安刑事案件，依法妥善处理在责任范围内的其它突发事件；</w:t>
      </w:r>
    </w:p>
    <w:p w14:paraId="1F90C18B">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应落实防火、防盗、防破坏等安全防范措施，发现安全隐患，及时报告招标人相关负责人并协助予以处理；</w:t>
      </w:r>
    </w:p>
    <w:p w14:paraId="3486B2A9">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（六）本项目</w:t>
      </w:r>
      <w:r>
        <w:rPr>
          <w:rFonts w:hint="eastAsia" w:ascii="宋体" w:hAnsi="宋体" w:eastAsia="宋体" w:cs="宋体"/>
          <w:color w:val="auto"/>
          <w:sz w:val="21"/>
          <w:szCs w:val="21"/>
          <w:highlight w:val="none"/>
          <w:lang w:val="en-US" w:eastAsia="zh-CN"/>
        </w:rPr>
        <w:t>设置一名项目</w:t>
      </w:r>
      <w:r>
        <w:rPr>
          <w:rFonts w:hint="eastAsia" w:ascii="宋体" w:hAnsi="宋体" w:eastAsia="宋体" w:cs="宋体"/>
          <w:color w:val="auto"/>
          <w:sz w:val="21"/>
          <w:szCs w:val="21"/>
          <w:highlight w:val="none"/>
        </w:rPr>
        <w:t>管理</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员</w:t>
      </w:r>
      <w:r>
        <w:rPr>
          <w:rFonts w:hint="eastAsia" w:ascii="宋体" w:hAnsi="宋体" w:eastAsia="宋体" w:cs="宋体"/>
          <w:color w:val="auto"/>
          <w:sz w:val="21"/>
          <w:szCs w:val="21"/>
          <w:highlight w:val="none"/>
          <w:lang w:val="en-US" w:eastAsia="zh-CN"/>
        </w:rPr>
        <w:t>负责对接此项目，该项目管理人员</w:t>
      </w:r>
      <w:r>
        <w:rPr>
          <w:rFonts w:hint="eastAsia" w:ascii="宋体" w:hAnsi="宋体" w:eastAsia="宋体" w:cs="宋体"/>
          <w:color w:val="auto"/>
          <w:sz w:val="21"/>
          <w:szCs w:val="21"/>
          <w:highlight w:val="none"/>
        </w:rPr>
        <w:t>不得随意更换，如确需更换，须经招标人书面同意。</w:t>
      </w:r>
    </w:p>
    <w:p w14:paraId="4CE6E21C">
      <w:pPr>
        <w:widowControl/>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未经招标人同意，</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不得调换派驻的保安员，招标人提出的不称职的保安员</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应在5日内撤换</w:t>
      </w:r>
      <w:r>
        <w:rPr>
          <w:rFonts w:hint="eastAsia" w:ascii="宋体" w:hAnsi="宋体" w:eastAsia="宋体" w:cs="宋体"/>
          <w:color w:val="auto"/>
          <w:sz w:val="21"/>
          <w:szCs w:val="21"/>
          <w:highlight w:val="none"/>
          <w:lang w:eastAsia="zh-CN"/>
        </w:rPr>
        <w:t>。</w:t>
      </w:r>
    </w:p>
    <w:p w14:paraId="13F6CA9F">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及派驻的保安员必须严格按照《保安服务管理条例》及国家、省、市法律法规</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政府规章流程、履行职责，同时应严格遵守招标人及招标人权属子公司的管理规定；</w:t>
      </w:r>
    </w:p>
    <w:p w14:paraId="182CCCBE">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需对招标人管辖区进行安全防卫，及时发现并制止偷盗、抢劫等其他破坏行为，确保正常的办公秩序、生产秩序和安全秩序，如发生因</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任何疏忽行为造成招标人及任何第三方设施、设备、其他财产损坏、损失、丢失、被盗等，</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应照价赔偿；</w:t>
      </w:r>
    </w:p>
    <w:p w14:paraId="31C32FB2">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需对招标人运营项目管辖区域的人员及设备设施进行 24 小时安全护卫，严厉打击偷盗、破坏设施的行为；</w:t>
      </w:r>
    </w:p>
    <w:p w14:paraId="15C0F1BF">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加强对招标人运营项目管辖区内重要设备的安全防范工作，严禁无关人员进入办公楼和生活区等区域，发现问题及时处理并上报招标人相关负责人，严格按招标人工作制度的要求对来访人员进行登记、引导，指挥车辆停泊等工作；</w:t>
      </w:r>
    </w:p>
    <w:p w14:paraId="6B3CA79C">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（十一）对突发事件的处理：1.立即汇报；2.采取有效措施防止事态扩大；3.听从招标人指挥，参加对突发事件的处理，具体按招标人突发事件应急预案执行；</w:t>
      </w:r>
    </w:p>
    <w:p w14:paraId="26D4774C">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（十二）按照岗位安排，保安队实行 24 小时安全保卫，采取轮班交接的方式进行，确保无漏岗、脱岗、睡岗、酒后上岗等失职现象，保证防卫工作时刻到位，记录完整；</w:t>
      </w:r>
    </w:p>
    <w:p w14:paraId="217C02B5">
      <w:pPr>
        <w:widowControl/>
        <w:spacing w:line="360" w:lineRule="auto"/>
        <w:ind w:firstLine="420" w:firstLineChars="200"/>
        <w:outlineLvl w:val="2"/>
        <w:rPr>
          <w:rFonts w:hint="eastAsia" w:ascii="宋体" w:hAnsi="宋体" w:eastAsia="宋体" w:cs="宋体"/>
          <w:b/>
          <w:bCs/>
          <w:color w:val="auto"/>
          <w:sz w:val="21"/>
          <w:szCs w:val="21"/>
          <w:highlight w:val="none"/>
        </w:rPr>
      </w:pPr>
      <w:bookmarkStart w:id="419" w:name="_Toc27784"/>
      <w:r>
        <w:rPr>
          <w:rFonts w:hint="eastAsia" w:ascii="宋体" w:hAnsi="宋体" w:eastAsia="宋体" w:cs="宋体"/>
          <w:color w:val="auto"/>
          <w:sz w:val="21"/>
          <w:szCs w:val="21"/>
          <w:highlight w:val="none"/>
        </w:rPr>
        <w:t>（十三）服从招标人运营项目的其他安全保卫服务工作安排。</w:t>
      </w:r>
      <w:bookmarkEnd w:id="419"/>
    </w:p>
    <w:p w14:paraId="3844186D">
      <w:pPr>
        <w:widowControl/>
        <w:spacing w:line="360" w:lineRule="auto"/>
        <w:outlineLvl w:val="1"/>
        <w:rPr>
          <w:rFonts w:hint="eastAsia" w:ascii="宋体" w:hAnsi="宋体" w:eastAsia="宋体" w:cs="宋体"/>
          <w:b/>
          <w:bCs/>
          <w:color w:val="auto"/>
          <w:sz w:val="21"/>
          <w:szCs w:val="21"/>
          <w:highlight w:val="none"/>
        </w:rPr>
      </w:pPr>
      <w:bookmarkStart w:id="420" w:name="_Toc14380"/>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、投标报价及服务费支付</w:t>
      </w:r>
      <w:bookmarkEnd w:id="420"/>
      <w:r>
        <w:rPr>
          <w:rFonts w:hint="eastAsia" w:ascii="宋体" w:hAnsi="宋体" w:eastAsia="宋体" w:cs="宋体"/>
          <w:b/>
          <w:bCs/>
          <w:color w:val="auto"/>
          <w:sz w:val="21"/>
          <w:szCs w:val="21"/>
          <w:highlight w:val="none"/>
        </w:rPr>
        <w:t xml:space="preserve"> </w:t>
      </w:r>
    </w:p>
    <w:p w14:paraId="62EFFAB0">
      <w:pPr>
        <w:pStyle w:val="1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（一）采取填报单个保安人员（不区分保安队长和普通保安人员）的月综合单价的形式进行报价，投标人中标后，由招标人</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招标人权属子公司与中标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分别签订服务采购单项合同，确定保安人员的综合单价及服务费用。</w:t>
      </w:r>
    </w:p>
    <w:p w14:paraId="3DA3F8AF">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（二）报价应包括</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完成本合同服务所需的全部费用，包括但不限于人工费（工资及加班工资、福利、社保、劳保、服装、膳食、住宿、意外伤害保险等）、办公费、交通费、管理费用、对讲机、防卫器械、手电筒雨衣水鞋等装备购置费、</w:t>
      </w:r>
      <w:r>
        <w:rPr>
          <w:rFonts w:hint="eastAsia" w:ascii="宋体" w:hAnsi="宋体" w:eastAsia="宋体" w:cs="宋体"/>
          <w:color w:val="auto"/>
          <w:kern w:val="2"/>
          <w:sz w:val="21"/>
          <w:szCs w:val="21"/>
          <w:highlight w:val="none"/>
          <w:lang w:val="zh-CN"/>
        </w:rPr>
        <w:t>投标人销项税额以外的税费</w:t>
      </w:r>
      <w:r>
        <w:rPr>
          <w:rFonts w:hint="eastAsia" w:ascii="宋体" w:hAnsi="宋体" w:eastAsia="宋体" w:cs="宋体"/>
          <w:color w:val="auto"/>
          <w:sz w:val="21"/>
          <w:szCs w:val="21"/>
          <w:highlight w:val="none"/>
        </w:rPr>
        <w:t>、利润等。服务费在服务期内不因最低工资标准上调，劳务成本、物价成本等的变动或其他任何原因而做调整。在合同履行期间，如发生税收政策变动、税率波动等情形，招标人有权调整服务费。</w:t>
      </w:r>
    </w:p>
    <w:p w14:paraId="257BF4F5">
      <w:pPr>
        <w:widowControl/>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（三）服务费根据考评结果及实际到岗人数</w:t>
      </w:r>
      <w:r>
        <w:rPr>
          <w:rFonts w:hint="eastAsia" w:ascii="宋体" w:hAnsi="宋体" w:eastAsia="宋体" w:cs="宋体"/>
          <w:b w:val="0"/>
          <w:bCs/>
          <w:color w:val="auto"/>
          <w:sz w:val="21"/>
          <w:szCs w:val="21"/>
          <w:highlight w:val="none"/>
          <w:lang w:val="en-US" w:eastAsia="zh-CN"/>
        </w:rPr>
        <w:t>按月</w:t>
      </w:r>
      <w:r>
        <w:rPr>
          <w:rFonts w:hint="eastAsia" w:ascii="宋体" w:hAnsi="宋体" w:eastAsia="宋体" w:cs="宋体"/>
          <w:b w:val="0"/>
          <w:bCs/>
          <w:color w:val="auto"/>
          <w:sz w:val="21"/>
          <w:szCs w:val="21"/>
          <w:highlight w:val="none"/>
        </w:rPr>
        <w:t>支付，在招标人完成对</w:t>
      </w:r>
      <w:r>
        <w:rPr>
          <w:rFonts w:hint="eastAsia" w:ascii="宋体" w:hAnsi="宋体" w:eastAsia="宋体" w:cs="宋体"/>
          <w:b w:val="0"/>
          <w:bCs/>
          <w:color w:val="auto"/>
          <w:sz w:val="21"/>
          <w:szCs w:val="21"/>
          <w:highlight w:val="none"/>
          <w:lang w:val="en-US" w:eastAsia="zh-CN"/>
        </w:rPr>
        <w:t>中标人</w:t>
      </w:r>
      <w:r>
        <w:rPr>
          <w:rFonts w:hint="eastAsia" w:ascii="宋体" w:hAnsi="宋体" w:eastAsia="宋体" w:cs="宋体"/>
          <w:b w:val="0"/>
          <w:bCs/>
          <w:color w:val="auto"/>
          <w:sz w:val="21"/>
          <w:szCs w:val="21"/>
          <w:highlight w:val="none"/>
        </w:rPr>
        <w:t>上月的服务考核评分后，由</w:t>
      </w:r>
      <w:r>
        <w:rPr>
          <w:rFonts w:hint="eastAsia" w:ascii="宋体" w:hAnsi="宋体" w:eastAsia="宋体" w:cs="宋体"/>
          <w:b w:val="0"/>
          <w:bCs/>
          <w:color w:val="auto"/>
          <w:sz w:val="21"/>
          <w:szCs w:val="21"/>
          <w:highlight w:val="none"/>
          <w:lang w:val="en-US" w:eastAsia="zh-CN"/>
        </w:rPr>
        <w:t>中标人</w:t>
      </w:r>
      <w:r>
        <w:rPr>
          <w:rFonts w:hint="eastAsia" w:ascii="宋体" w:hAnsi="宋体" w:eastAsia="宋体" w:cs="宋体"/>
          <w:b w:val="0"/>
          <w:bCs/>
          <w:color w:val="auto"/>
          <w:sz w:val="21"/>
          <w:szCs w:val="21"/>
          <w:highlight w:val="none"/>
        </w:rPr>
        <w:t>开具合法、有效、符合</w:t>
      </w:r>
      <w:r>
        <w:rPr>
          <w:rFonts w:hint="eastAsia" w:ascii="宋体" w:hAnsi="宋体" w:eastAsia="宋体" w:cs="宋体"/>
          <w:b w:val="0"/>
          <w:bCs/>
          <w:color w:val="auto"/>
          <w:sz w:val="21"/>
          <w:szCs w:val="21"/>
          <w:highlight w:val="none"/>
          <w:lang w:val="en-US" w:eastAsia="zh-CN"/>
        </w:rPr>
        <w:t>招标人</w:t>
      </w:r>
      <w:r>
        <w:rPr>
          <w:rFonts w:hint="eastAsia" w:ascii="宋体" w:hAnsi="宋体" w:eastAsia="宋体" w:cs="宋体"/>
          <w:b w:val="0"/>
          <w:bCs/>
          <w:color w:val="auto"/>
          <w:sz w:val="21"/>
          <w:szCs w:val="21"/>
          <w:highlight w:val="none"/>
        </w:rPr>
        <w:t>要求的增值税专用发票，招标人在完成考核并提交请款报告、发票等请款资料后15个工作日内采用转账或银行承兑汇票</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汇票期限不超过三个月</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的支付方式</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每期款项支付方式由</w:t>
      </w:r>
      <w:r>
        <w:rPr>
          <w:rFonts w:hint="eastAsia" w:ascii="宋体" w:hAnsi="宋体" w:eastAsia="宋体" w:cs="宋体"/>
          <w:b w:val="0"/>
          <w:bCs/>
          <w:color w:val="auto"/>
          <w:sz w:val="21"/>
          <w:szCs w:val="21"/>
          <w:highlight w:val="none"/>
          <w:lang w:val="en-US" w:eastAsia="zh-CN"/>
        </w:rPr>
        <w:t>招标人</w:t>
      </w:r>
      <w:r>
        <w:rPr>
          <w:rFonts w:hint="eastAsia" w:ascii="宋体" w:hAnsi="宋体" w:eastAsia="宋体" w:cs="宋体"/>
          <w:b w:val="0"/>
          <w:bCs/>
          <w:color w:val="auto"/>
          <w:sz w:val="21"/>
          <w:szCs w:val="21"/>
          <w:highlight w:val="none"/>
        </w:rPr>
        <w:t>决定</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向</w:t>
      </w:r>
      <w:r>
        <w:rPr>
          <w:rFonts w:hint="eastAsia" w:ascii="宋体" w:hAnsi="宋体" w:eastAsia="宋体" w:cs="宋体"/>
          <w:b w:val="0"/>
          <w:bCs/>
          <w:color w:val="auto"/>
          <w:sz w:val="21"/>
          <w:szCs w:val="21"/>
          <w:highlight w:val="none"/>
          <w:lang w:val="en-US" w:eastAsia="zh-CN"/>
        </w:rPr>
        <w:t>中标人</w:t>
      </w:r>
      <w:r>
        <w:rPr>
          <w:rFonts w:hint="eastAsia" w:ascii="宋体" w:hAnsi="宋体" w:eastAsia="宋体" w:cs="宋体"/>
          <w:b w:val="0"/>
          <w:bCs/>
          <w:color w:val="auto"/>
          <w:sz w:val="21"/>
          <w:szCs w:val="21"/>
          <w:highlight w:val="none"/>
        </w:rPr>
        <w:t>支付上月实际应付的保安服务费用。</w:t>
      </w:r>
    </w:p>
    <w:p w14:paraId="377B8BEE">
      <w:pPr>
        <w:widowControl/>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（四）合同履约过程中，如招标人有需要或有新增的服务场地需要保安服务，可按中标综合单价与</w:t>
      </w:r>
      <w:r>
        <w:rPr>
          <w:rFonts w:hint="eastAsia" w:ascii="宋体" w:hAnsi="宋体" w:eastAsia="宋体" w:cs="宋体"/>
          <w:b w:val="0"/>
          <w:bCs/>
          <w:color w:val="auto"/>
          <w:sz w:val="21"/>
          <w:szCs w:val="21"/>
          <w:highlight w:val="none"/>
          <w:lang w:val="en-US" w:eastAsia="zh-CN"/>
        </w:rPr>
        <w:t>中标人</w:t>
      </w:r>
      <w:r>
        <w:rPr>
          <w:rFonts w:hint="eastAsia" w:ascii="宋体" w:hAnsi="宋体" w:eastAsia="宋体" w:cs="宋体"/>
          <w:b w:val="0"/>
          <w:bCs/>
          <w:color w:val="auto"/>
          <w:sz w:val="21"/>
          <w:szCs w:val="21"/>
          <w:highlight w:val="none"/>
        </w:rPr>
        <w:t>签订补充协议。</w:t>
      </w:r>
    </w:p>
    <w:p w14:paraId="32D5797B">
      <w:pPr>
        <w:widowControl/>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（五）本项目的保安服务按照“</w:t>
      </w:r>
      <w:r>
        <w:rPr>
          <w:rFonts w:hint="eastAsia" w:ascii="宋体" w:hAnsi="宋体" w:eastAsia="宋体" w:cs="宋体"/>
          <w:b w:val="0"/>
          <w:bCs/>
          <w:color w:val="auto"/>
          <w:sz w:val="21"/>
          <w:szCs w:val="21"/>
          <w:highlight w:val="none"/>
          <w:lang w:eastAsia="zh-CN"/>
        </w:rPr>
        <w:t>东莞市水务集团</w:t>
      </w:r>
      <w:r>
        <w:rPr>
          <w:rFonts w:hint="eastAsia" w:ascii="宋体" w:hAnsi="宋体" w:eastAsia="宋体" w:cs="宋体"/>
          <w:b w:val="0"/>
          <w:bCs/>
          <w:color w:val="auto"/>
          <w:sz w:val="21"/>
          <w:szCs w:val="21"/>
          <w:highlight w:val="none"/>
          <w:lang w:val="en-US" w:eastAsia="zh-CN"/>
        </w:rPr>
        <w:t>管网</w:t>
      </w:r>
      <w:r>
        <w:rPr>
          <w:rFonts w:hint="eastAsia" w:ascii="宋体" w:hAnsi="宋体" w:eastAsia="宋体" w:cs="宋体"/>
          <w:b w:val="0"/>
          <w:bCs/>
          <w:color w:val="auto"/>
          <w:sz w:val="21"/>
          <w:szCs w:val="21"/>
          <w:highlight w:val="none"/>
          <w:lang w:eastAsia="zh-CN"/>
        </w:rPr>
        <w:t>有限公司</w:t>
      </w:r>
      <w:r>
        <w:rPr>
          <w:rFonts w:hint="eastAsia" w:ascii="宋体" w:hAnsi="宋体" w:eastAsia="宋体" w:cs="宋体"/>
          <w:b w:val="0"/>
          <w:bCs/>
          <w:color w:val="auto"/>
          <w:sz w:val="21"/>
          <w:szCs w:val="21"/>
          <w:highlight w:val="none"/>
          <w:lang w:val="en-US" w:eastAsia="zh-CN"/>
        </w:rPr>
        <w:t>2025年保安服务采购</w:t>
      </w:r>
      <w:r>
        <w:rPr>
          <w:rFonts w:hint="eastAsia" w:ascii="宋体" w:hAnsi="宋体" w:eastAsia="宋体" w:cs="宋体"/>
          <w:b w:val="0"/>
          <w:bCs/>
          <w:color w:val="auto"/>
          <w:sz w:val="21"/>
          <w:szCs w:val="21"/>
          <w:highlight w:val="none"/>
          <w:lang w:eastAsia="zh-CN"/>
        </w:rPr>
        <w:t>项目保安服务人员安排及采购预算一览表</w:t>
      </w:r>
      <w:r>
        <w:rPr>
          <w:rFonts w:hint="eastAsia" w:ascii="宋体" w:hAnsi="宋体" w:eastAsia="宋体" w:cs="宋体"/>
          <w:b w:val="0"/>
          <w:bCs/>
          <w:color w:val="auto"/>
          <w:sz w:val="21"/>
          <w:szCs w:val="21"/>
          <w:highlight w:val="none"/>
        </w:rPr>
        <w:t>”进行分区。</w:t>
      </w:r>
    </w:p>
    <w:p w14:paraId="5DE1FC51">
      <w:pPr>
        <w:widowControl/>
        <w:shd w:val="clear"/>
        <w:spacing w:line="360" w:lineRule="auto"/>
        <w:outlineLvl w:val="1"/>
        <w:rPr>
          <w:rFonts w:hint="eastAsia" w:ascii="宋体" w:hAnsi="宋体" w:eastAsia="宋体" w:cs="宋体"/>
          <w:b/>
          <w:bCs/>
          <w:color w:val="auto"/>
          <w:sz w:val="21"/>
          <w:szCs w:val="21"/>
          <w:highlight w:val="none"/>
        </w:rPr>
      </w:pPr>
      <w:bookmarkStart w:id="421" w:name="_Toc21994"/>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、考核办法</w:t>
      </w:r>
      <w:bookmarkEnd w:id="421"/>
      <w:r>
        <w:rPr>
          <w:rFonts w:hint="eastAsia" w:ascii="宋体" w:hAnsi="宋体" w:eastAsia="宋体" w:cs="宋体"/>
          <w:b/>
          <w:bCs/>
          <w:color w:val="auto"/>
          <w:sz w:val="21"/>
          <w:szCs w:val="21"/>
          <w:highlight w:val="none"/>
        </w:rPr>
        <w:t xml:space="preserve"> </w:t>
      </w:r>
    </w:p>
    <w:p w14:paraId="0386EB67">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每月需与招标人各服务场地主管人员共同对月度保安服务工作进行总结，听取各服务场地意见，完善服务工作，每月10日前，由招标人各</w:t>
      </w:r>
      <w:r>
        <w:rPr>
          <w:rFonts w:hint="eastAsia" w:ascii="宋体" w:hAnsi="宋体" w:eastAsia="宋体" w:cs="宋体"/>
          <w:color w:val="auto"/>
          <w:sz w:val="21"/>
          <w:szCs w:val="21"/>
          <w:highlight w:val="none"/>
          <w:lang w:val="en-US" w:eastAsia="zh-CN"/>
        </w:rPr>
        <w:t>服务地</w:t>
      </w:r>
      <w:r>
        <w:rPr>
          <w:rFonts w:hint="eastAsia" w:ascii="宋体" w:hAnsi="宋体" w:eastAsia="宋体" w:cs="宋体"/>
          <w:color w:val="auto"/>
          <w:sz w:val="21"/>
          <w:szCs w:val="21"/>
          <w:highlight w:val="none"/>
        </w:rPr>
        <w:t>按照下表对中标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上月的保安服务进行考核，考核结果经双方确认后再行结算相关费用。</w:t>
      </w:r>
    </w:p>
    <w:p w14:paraId="25271C61">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附件</w:t>
      </w:r>
      <w:r>
        <w:rPr>
          <w:rFonts w:hint="eastAsia" w:ascii="宋体" w:hAnsi="宋体" w:eastAsia="宋体" w:cs="宋体"/>
          <w:color w:val="auto"/>
          <w:sz w:val="21"/>
          <w:szCs w:val="21"/>
          <w:highlight w:val="none"/>
        </w:rPr>
        <w:t>《东莞市水务集团</w:t>
      </w:r>
      <w:r>
        <w:rPr>
          <w:rFonts w:hint="eastAsia" w:ascii="宋体" w:hAnsi="宋体" w:eastAsia="宋体" w:cs="宋体"/>
          <w:color w:val="auto"/>
          <w:sz w:val="21"/>
          <w:szCs w:val="21"/>
          <w:highlight w:val="none"/>
          <w:lang w:val="en-US" w:eastAsia="zh-CN"/>
        </w:rPr>
        <w:t>管网</w:t>
      </w:r>
      <w:r>
        <w:rPr>
          <w:rFonts w:hint="eastAsia" w:ascii="宋体" w:hAnsi="宋体" w:eastAsia="宋体" w:cs="宋体"/>
          <w:color w:val="auto"/>
          <w:sz w:val="21"/>
          <w:szCs w:val="21"/>
          <w:highlight w:val="none"/>
        </w:rPr>
        <w:t>有限公司保安服务检查考核评分标准》</w:t>
      </w:r>
    </w:p>
    <w:tbl>
      <w:tblPr>
        <w:tblStyle w:val="37"/>
        <w:tblW w:w="5072" w:type="pct"/>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0"/>
        <w:gridCol w:w="954"/>
        <w:gridCol w:w="693"/>
        <w:gridCol w:w="1004"/>
        <w:gridCol w:w="1696"/>
        <w:gridCol w:w="1696"/>
        <w:gridCol w:w="275"/>
        <w:gridCol w:w="1420"/>
        <w:gridCol w:w="425"/>
        <w:gridCol w:w="810"/>
        <w:gridCol w:w="618"/>
      </w:tblGrid>
      <w:tr w14:paraId="016B7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5000" w:type="pct"/>
            <w:gridSpan w:val="11"/>
            <w:noWrap/>
            <w:tcMar>
              <w:top w:w="15" w:type="dxa"/>
              <w:left w:w="15" w:type="dxa"/>
              <w:right w:w="15" w:type="dxa"/>
            </w:tcMar>
            <w:vAlign w:val="center"/>
          </w:tcPr>
          <w:p w14:paraId="2B883753">
            <w:pPr>
              <w:widowControl/>
              <w:spacing w:line="360" w:lineRule="auto"/>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东莞市水务集团</w:t>
            </w:r>
            <w:r>
              <w:rPr>
                <w:rFonts w:hint="eastAsia" w:ascii="宋体" w:hAnsi="宋体" w:eastAsia="宋体" w:cs="宋体"/>
                <w:b/>
                <w:color w:val="auto"/>
                <w:sz w:val="21"/>
                <w:szCs w:val="21"/>
                <w:highlight w:val="none"/>
                <w:lang w:val="en-US" w:eastAsia="zh-CN" w:bidi="ar"/>
              </w:rPr>
              <w:t>管网</w:t>
            </w:r>
            <w:r>
              <w:rPr>
                <w:rFonts w:hint="eastAsia" w:ascii="宋体" w:hAnsi="宋体" w:eastAsia="宋体" w:cs="宋体"/>
                <w:b/>
                <w:color w:val="auto"/>
                <w:sz w:val="21"/>
                <w:szCs w:val="21"/>
                <w:highlight w:val="none"/>
                <w:lang w:bidi="ar"/>
              </w:rPr>
              <w:t>有限公司保安服务检查考核评分标准</w:t>
            </w:r>
          </w:p>
        </w:tc>
      </w:tr>
      <w:tr w14:paraId="3A2B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trPr>
        <w:tc>
          <w:tcPr>
            <w:tcW w:w="358" w:type="pct"/>
            <w:tcMar>
              <w:top w:w="15" w:type="dxa"/>
              <w:left w:w="15" w:type="dxa"/>
              <w:right w:w="15" w:type="dxa"/>
            </w:tcMar>
          </w:tcPr>
          <w:p w14:paraId="6A226C9B">
            <w:pPr>
              <w:widowControl/>
              <w:spacing w:line="360" w:lineRule="auto"/>
              <w:jc w:val="center"/>
              <w:textAlignment w:val="top"/>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序号</w:t>
            </w:r>
          </w:p>
        </w:tc>
        <w:tc>
          <w:tcPr>
            <w:tcW w:w="797" w:type="pct"/>
            <w:gridSpan w:val="2"/>
            <w:tcMar>
              <w:top w:w="15" w:type="dxa"/>
              <w:left w:w="15" w:type="dxa"/>
              <w:right w:w="15" w:type="dxa"/>
            </w:tcMar>
          </w:tcPr>
          <w:p w14:paraId="2C29C986">
            <w:pPr>
              <w:widowControl/>
              <w:spacing w:line="360" w:lineRule="auto"/>
              <w:jc w:val="center"/>
              <w:textAlignment w:val="top"/>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项目</w:t>
            </w:r>
          </w:p>
        </w:tc>
        <w:tc>
          <w:tcPr>
            <w:tcW w:w="2261" w:type="pct"/>
            <w:gridSpan w:val="4"/>
            <w:tcMar>
              <w:top w:w="15" w:type="dxa"/>
              <w:left w:w="15" w:type="dxa"/>
              <w:right w:w="15" w:type="dxa"/>
            </w:tcMar>
          </w:tcPr>
          <w:p w14:paraId="2EFB1A68">
            <w:pPr>
              <w:widowControl/>
              <w:spacing w:line="360" w:lineRule="auto"/>
              <w:jc w:val="center"/>
              <w:textAlignment w:val="top"/>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内容</w:t>
            </w:r>
          </w:p>
        </w:tc>
        <w:tc>
          <w:tcPr>
            <w:tcW w:w="891" w:type="pct"/>
            <w:gridSpan w:val="2"/>
            <w:tcMar>
              <w:top w:w="15" w:type="dxa"/>
              <w:left w:w="15" w:type="dxa"/>
              <w:right w:w="15" w:type="dxa"/>
            </w:tcMar>
          </w:tcPr>
          <w:p w14:paraId="38B9FB7F">
            <w:pPr>
              <w:widowControl/>
              <w:spacing w:line="360" w:lineRule="auto"/>
              <w:jc w:val="center"/>
              <w:textAlignment w:val="top"/>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考核原则</w:t>
            </w:r>
          </w:p>
        </w:tc>
        <w:tc>
          <w:tcPr>
            <w:tcW w:w="392" w:type="pct"/>
            <w:tcMar>
              <w:top w:w="15" w:type="dxa"/>
              <w:left w:w="15" w:type="dxa"/>
              <w:right w:w="15" w:type="dxa"/>
            </w:tcMar>
          </w:tcPr>
          <w:p w14:paraId="0FF49727">
            <w:pPr>
              <w:widowControl/>
              <w:spacing w:line="360" w:lineRule="auto"/>
              <w:jc w:val="center"/>
              <w:textAlignment w:val="top"/>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分值</w:t>
            </w:r>
          </w:p>
        </w:tc>
        <w:tc>
          <w:tcPr>
            <w:tcW w:w="297" w:type="pct"/>
          </w:tcPr>
          <w:p w14:paraId="52F51E48">
            <w:pPr>
              <w:widowControl/>
              <w:spacing w:line="360" w:lineRule="auto"/>
              <w:jc w:val="center"/>
              <w:textAlignment w:val="top"/>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得分</w:t>
            </w:r>
          </w:p>
        </w:tc>
      </w:tr>
      <w:tr w14:paraId="24EDA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2" w:hRule="atLeast"/>
        </w:trPr>
        <w:tc>
          <w:tcPr>
            <w:tcW w:w="358" w:type="pct"/>
            <w:tcMar>
              <w:top w:w="15" w:type="dxa"/>
              <w:left w:w="15" w:type="dxa"/>
              <w:right w:w="15" w:type="dxa"/>
            </w:tcMar>
            <w:vAlign w:val="center"/>
          </w:tcPr>
          <w:p w14:paraId="43D33B04">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w:t>
            </w:r>
          </w:p>
        </w:tc>
        <w:tc>
          <w:tcPr>
            <w:tcW w:w="797" w:type="pct"/>
            <w:gridSpan w:val="2"/>
            <w:tcMar>
              <w:top w:w="15" w:type="dxa"/>
              <w:left w:w="15" w:type="dxa"/>
              <w:right w:w="15" w:type="dxa"/>
            </w:tcMar>
            <w:vAlign w:val="center"/>
          </w:tcPr>
          <w:p w14:paraId="459D7EB5">
            <w:pPr>
              <w:widowControl/>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管理制度的制定与实施</w:t>
            </w:r>
          </w:p>
        </w:tc>
        <w:tc>
          <w:tcPr>
            <w:tcW w:w="2261" w:type="pct"/>
            <w:gridSpan w:val="4"/>
            <w:tcMar>
              <w:top w:w="15" w:type="dxa"/>
              <w:left w:w="15" w:type="dxa"/>
              <w:right w:w="15" w:type="dxa"/>
            </w:tcMar>
            <w:vAlign w:val="center"/>
          </w:tcPr>
          <w:p w14:paraId="1E527557">
            <w:pPr>
              <w:widowControl/>
              <w:spacing w:line="360" w:lineRule="auto"/>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《日常管理制度》《人员配置制度》《岗位责任制度》《勤务制度》《档案制度》《人员培训》《节假日管理制度》《突发事件防范预案》《防火预案》《防盗预案》</w:t>
            </w:r>
          </w:p>
        </w:tc>
        <w:tc>
          <w:tcPr>
            <w:tcW w:w="891" w:type="pct"/>
            <w:gridSpan w:val="2"/>
            <w:tcMar>
              <w:top w:w="15" w:type="dxa"/>
              <w:left w:w="15" w:type="dxa"/>
              <w:right w:w="15" w:type="dxa"/>
            </w:tcMar>
            <w:vAlign w:val="center"/>
          </w:tcPr>
          <w:p w14:paraId="26B2F0EC">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每项制度 1 分，未建立扣 1 分，制度不完善或实施不力酌情扣分，扣完为止。</w:t>
            </w:r>
          </w:p>
        </w:tc>
        <w:tc>
          <w:tcPr>
            <w:tcW w:w="392" w:type="pct"/>
            <w:tcMar>
              <w:top w:w="15" w:type="dxa"/>
              <w:left w:w="15" w:type="dxa"/>
              <w:right w:w="15" w:type="dxa"/>
            </w:tcMar>
            <w:vAlign w:val="center"/>
          </w:tcPr>
          <w:p w14:paraId="6BA60DB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297" w:type="pct"/>
            <w:vAlign w:val="center"/>
          </w:tcPr>
          <w:p w14:paraId="1C18B48F">
            <w:pPr>
              <w:spacing w:line="360" w:lineRule="auto"/>
              <w:rPr>
                <w:rFonts w:hint="eastAsia" w:ascii="宋体" w:hAnsi="宋体" w:eastAsia="宋体" w:cs="宋体"/>
                <w:color w:val="auto"/>
                <w:sz w:val="21"/>
                <w:szCs w:val="21"/>
                <w:highlight w:val="none"/>
              </w:rPr>
            </w:pPr>
          </w:p>
        </w:tc>
      </w:tr>
      <w:tr w14:paraId="5C2D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2" w:hRule="atLeast"/>
        </w:trPr>
        <w:tc>
          <w:tcPr>
            <w:tcW w:w="358" w:type="pct"/>
            <w:tcMar>
              <w:top w:w="15" w:type="dxa"/>
              <w:left w:w="15" w:type="dxa"/>
              <w:right w:w="15" w:type="dxa"/>
            </w:tcMar>
            <w:vAlign w:val="center"/>
          </w:tcPr>
          <w:p w14:paraId="0E0393BD">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w:t>
            </w:r>
          </w:p>
        </w:tc>
        <w:tc>
          <w:tcPr>
            <w:tcW w:w="797" w:type="pct"/>
            <w:gridSpan w:val="2"/>
            <w:tcMar>
              <w:top w:w="15" w:type="dxa"/>
              <w:left w:w="15" w:type="dxa"/>
              <w:right w:w="15" w:type="dxa"/>
            </w:tcMar>
            <w:vAlign w:val="center"/>
          </w:tcPr>
          <w:p w14:paraId="4B4E7F1F">
            <w:pPr>
              <w:widowControl/>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重大安全事故</w:t>
            </w:r>
          </w:p>
        </w:tc>
        <w:tc>
          <w:tcPr>
            <w:tcW w:w="2261" w:type="pct"/>
            <w:gridSpan w:val="4"/>
            <w:tcMar>
              <w:top w:w="15" w:type="dxa"/>
              <w:left w:w="15" w:type="dxa"/>
              <w:right w:w="15" w:type="dxa"/>
            </w:tcMar>
            <w:vAlign w:val="center"/>
          </w:tcPr>
          <w:p w14:paraId="11345A1D">
            <w:pPr>
              <w:widowControl/>
              <w:spacing w:line="360" w:lineRule="auto"/>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1、一次死亡 1 人；</w:t>
            </w:r>
          </w:p>
          <w:p w14:paraId="49472C13">
            <w:pPr>
              <w:widowControl/>
              <w:spacing w:line="360" w:lineRule="auto"/>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2、一次重伤 3 人以上；</w:t>
            </w:r>
          </w:p>
          <w:p w14:paraId="53665557">
            <w:pPr>
              <w:widowControl/>
              <w:spacing w:line="360" w:lineRule="auto"/>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3、重大火灾事故（着火面积达到 300㎡以上）；</w:t>
            </w:r>
          </w:p>
          <w:p w14:paraId="32558C6A">
            <w:pPr>
              <w:widowControl/>
              <w:spacing w:line="360" w:lineRule="auto"/>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4、一次造成重大直接经济损失的（5 万元以上）。</w:t>
            </w:r>
          </w:p>
        </w:tc>
        <w:tc>
          <w:tcPr>
            <w:tcW w:w="891" w:type="pct"/>
            <w:gridSpan w:val="2"/>
            <w:tcMar>
              <w:top w:w="15" w:type="dxa"/>
              <w:left w:w="15" w:type="dxa"/>
              <w:right w:w="15" w:type="dxa"/>
            </w:tcMar>
            <w:vAlign w:val="center"/>
          </w:tcPr>
          <w:p w14:paraId="73389D16">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违反每项扣10分,扣完为止。</w:t>
            </w:r>
          </w:p>
        </w:tc>
        <w:tc>
          <w:tcPr>
            <w:tcW w:w="392" w:type="pct"/>
            <w:tcMar>
              <w:top w:w="15" w:type="dxa"/>
              <w:left w:w="15" w:type="dxa"/>
              <w:right w:w="15" w:type="dxa"/>
            </w:tcMar>
            <w:vAlign w:val="center"/>
          </w:tcPr>
          <w:p w14:paraId="2DBD03A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20分</w:t>
            </w:r>
          </w:p>
        </w:tc>
        <w:tc>
          <w:tcPr>
            <w:tcW w:w="297" w:type="pct"/>
            <w:vAlign w:val="center"/>
          </w:tcPr>
          <w:p w14:paraId="4CFDDC66">
            <w:pPr>
              <w:spacing w:line="360" w:lineRule="auto"/>
              <w:rPr>
                <w:rFonts w:hint="eastAsia" w:ascii="宋体" w:hAnsi="宋体" w:eastAsia="宋体" w:cs="宋体"/>
                <w:color w:val="auto"/>
                <w:sz w:val="21"/>
                <w:szCs w:val="21"/>
                <w:highlight w:val="none"/>
              </w:rPr>
            </w:pPr>
          </w:p>
        </w:tc>
      </w:tr>
      <w:tr w14:paraId="24A87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7" w:hRule="atLeast"/>
        </w:trPr>
        <w:tc>
          <w:tcPr>
            <w:tcW w:w="358" w:type="pct"/>
            <w:tcMar>
              <w:top w:w="15" w:type="dxa"/>
              <w:left w:w="15" w:type="dxa"/>
              <w:right w:w="15" w:type="dxa"/>
            </w:tcMar>
            <w:vAlign w:val="center"/>
          </w:tcPr>
          <w:p w14:paraId="60DD6334">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w:t>
            </w:r>
          </w:p>
        </w:tc>
        <w:tc>
          <w:tcPr>
            <w:tcW w:w="797" w:type="pct"/>
            <w:gridSpan w:val="2"/>
            <w:tcMar>
              <w:top w:w="15" w:type="dxa"/>
              <w:left w:w="15" w:type="dxa"/>
              <w:right w:w="15" w:type="dxa"/>
            </w:tcMar>
            <w:vAlign w:val="center"/>
          </w:tcPr>
          <w:p w14:paraId="07133425">
            <w:pPr>
              <w:widowControl/>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提供防范性安全服务</w:t>
            </w:r>
          </w:p>
        </w:tc>
        <w:tc>
          <w:tcPr>
            <w:tcW w:w="2261" w:type="pct"/>
            <w:gridSpan w:val="4"/>
            <w:tcMar>
              <w:top w:w="15" w:type="dxa"/>
              <w:left w:w="15" w:type="dxa"/>
              <w:right w:w="15" w:type="dxa"/>
            </w:tcMar>
            <w:vAlign w:val="center"/>
          </w:tcPr>
          <w:p w14:paraId="1AAEBD53">
            <w:pPr>
              <w:widowControl/>
              <w:spacing w:line="360" w:lineRule="auto"/>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 对正在发生的不法侵害行为，应采取相应措施，不予以制止者；</w:t>
            </w:r>
          </w:p>
          <w:p w14:paraId="196C6CE6">
            <w:pPr>
              <w:widowControl/>
              <w:spacing w:line="360" w:lineRule="auto"/>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2、对已经发生的不法侵害案件或灾害事故，不及时报告公安机关或有关部门者；</w:t>
            </w:r>
          </w:p>
          <w:p w14:paraId="616894F1">
            <w:pPr>
              <w:widowControl/>
              <w:spacing w:line="360" w:lineRule="auto"/>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3、在招标人提出的安全隐患没按要求及时整改反馈的；</w:t>
            </w:r>
          </w:p>
          <w:p w14:paraId="5D384049">
            <w:pPr>
              <w:widowControl/>
              <w:spacing w:line="360" w:lineRule="auto"/>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4、发生火灾，立即切断火灾现场电源，撤离易燃易爆物品，启用灭火器材，全力扑灭初起之火。发现重大火情，值班人员应立即拨 119 报警，讲明单位、路线、门牌、同时派人到路口引导消防车辆进入现场；</w:t>
            </w:r>
          </w:p>
          <w:p w14:paraId="75FBF690">
            <w:pPr>
              <w:widowControl/>
              <w:spacing w:line="360" w:lineRule="auto"/>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5、保持高度警惕，加强夜间巡逻，按规定开启报警系统，做好夜巡登记；</w:t>
            </w:r>
          </w:p>
          <w:p w14:paraId="714A95F9">
            <w:pPr>
              <w:widowControl/>
              <w:spacing w:line="360" w:lineRule="auto"/>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6、发生盗窃事件后，要迅速向公安机关报警，并保护好现场，协助公安机关破案，并向相关部门报告。</w:t>
            </w:r>
          </w:p>
        </w:tc>
        <w:tc>
          <w:tcPr>
            <w:tcW w:w="891" w:type="pct"/>
            <w:gridSpan w:val="2"/>
            <w:tcMar>
              <w:top w:w="15" w:type="dxa"/>
              <w:left w:w="15" w:type="dxa"/>
              <w:right w:w="15" w:type="dxa"/>
            </w:tcMar>
            <w:vAlign w:val="center"/>
          </w:tcPr>
          <w:p w14:paraId="73672967">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违反每项扣5分，扣完为止。</w:t>
            </w:r>
          </w:p>
        </w:tc>
        <w:tc>
          <w:tcPr>
            <w:tcW w:w="392" w:type="pct"/>
            <w:tcMar>
              <w:top w:w="15" w:type="dxa"/>
              <w:left w:w="15" w:type="dxa"/>
              <w:right w:w="15" w:type="dxa"/>
            </w:tcMar>
            <w:vAlign w:val="center"/>
          </w:tcPr>
          <w:p w14:paraId="0AD7304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30分</w:t>
            </w:r>
          </w:p>
        </w:tc>
        <w:tc>
          <w:tcPr>
            <w:tcW w:w="297" w:type="pct"/>
            <w:vAlign w:val="center"/>
          </w:tcPr>
          <w:p w14:paraId="6739EBED">
            <w:pPr>
              <w:spacing w:line="360" w:lineRule="auto"/>
              <w:rPr>
                <w:rFonts w:hint="eastAsia" w:ascii="宋体" w:hAnsi="宋体" w:eastAsia="宋体" w:cs="宋体"/>
                <w:color w:val="auto"/>
                <w:sz w:val="21"/>
                <w:szCs w:val="21"/>
                <w:highlight w:val="none"/>
              </w:rPr>
            </w:pPr>
          </w:p>
        </w:tc>
      </w:tr>
      <w:tr w14:paraId="320E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 w:hRule="atLeast"/>
        </w:trPr>
        <w:tc>
          <w:tcPr>
            <w:tcW w:w="358" w:type="pct"/>
            <w:tcMar>
              <w:top w:w="15" w:type="dxa"/>
              <w:left w:w="15" w:type="dxa"/>
              <w:right w:w="15" w:type="dxa"/>
            </w:tcMar>
            <w:vAlign w:val="center"/>
          </w:tcPr>
          <w:p w14:paraId="27D46790">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四</w:t>
            </w:r>
          </w:p>
        </w:tc>
        <w:tc>
          <w:tcPr>
            <w:tcW w:w="797" w:type="pct"/>
            <w:gridSpan w:val="2"/>
            <w:tcMar>
              <w:top w:w="15" w:type="dxa"/>
              <w:left w:w="15" w:type="dxa"/>
              <w:right w:w="15" w:type="dxa"/>
            </w:tcMar>
            <w:vAlign w:val="center"/>
          </w:tcPr>
          <w:p w14:paraId="24F7804D">
            <w:pPr>
              <w:widowControl/>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服务标准</w:t>
            </w:r>
          </w:p>
        </w:tc>
        <w:tc>
          <w:tcPr>
            <w:tcW w:w="2261" w:type="pct"/>
            <w:gridSpan w:val="4"/>
            <w:tcMar>
              <w:top w:w="15" w:type="dxa"/>
              <w:left w:w="15" w:type="dxa"/>
              <w:right w:w="15" w:type="dxa"/>
            </w:tcMar>
            <w:vAlign w:val="center"/>
          </w:tcPr>
          <w:p w14:paraId="2E2858D4">
            <w:pPr>
              <w:widowControl/>
              <w:spacing w:line="360" w:lineRule="auto"/>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1、仪容仪表整洁、待人有礼；</w:t>
            </w:r>
          </w:p>
          <w:p w14:paraId="4C74B9F3">
            <w:pPr>
              <w:widowControl/>
              <w:spacing w:line="360" w:lineRule="auto"/>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2、工作时间不做与工作无关的其它事情，包括但不限于上班玩手机、上班睡觉等。</w:t>
            </w:r>
          </w:p>
          <w:p w14:paraId="58AEA8EF">
            <w:pPr>
              <w:widowControl/>
              <w:spacing w:line="360" w:lineRule="auto"/>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3、每岗都严格按保安工作内容执行任务（注：保安工作内容共23项，每违反一项须扣分，详见用户需求书第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条保安服务质量要求（二）保安服务工作内容）；</w:t>
            </w:r>
          </w:p>
          <w:p w14:paraId="3BED1C57">
            <w:pPr>
              <w:widowControl/>
              <w:spacing w:line="360" w:lineRule="auto"/>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4、保安员务必服从命令，听从指挥严禁暴行犯上。</w:t>
            </w:r>
          </w:p>
          <w:p w14:paraId="70CF5DEE">
            <w:pPr>
              <w:widowControl/>
              <w:spacing w:line="360" w:lineRule="auto"/>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5、按规定登记《外来人员登记表》、《安保人员进出厂区登记表》等相关表格。</w:t>
            </w:r>
          </w:p>
        </w:tc>
        <w:tc>
          <w:tcPr>
            <w:tcW w:w="891" w:type="pct"/>
            <w:gridSpan w:val="2"/>
            <w:tcMar>
              <w:top w:w="15" w:type="dxa"/>
              <w:left w:w="15" w:type="dxa"/>
              <w:right w:w="15" w:type="dxa"/>
            </w:tcMar>
            <w:vAlign w:val="center"/>
          </w:tcPr>
          <w:p w14:paraId="1C966F6F">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违反每项中的任何一项扣5分，扣完为止。</w:t>
            </w:r>
          </w:p>
        </w:tc>
        <w:tc>
          <w:tcPr>
            <w:tcW w:w="392" w:type="pct"/>
            <w:tcMar>
              <w:top w:w="15" w:type="dxa"/>
              <w:left w:w="15" w:type="dxa"/>
              <w:right w:w="15" w:type="dxa"/>
            </w:tcMar>
            <w:vAlign w:val="center"/>
          </w:tcPr>
          <w:p w14:paraId="0F81658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20分</w:t>
            </w:r>
          </w:p>
        </w:tc>
        <w:tc>
          <w:tcPr>
            <w:tcW w:w="297" w:type="pct"/>
            <w:vAlign w:val="center"/>
          </w:tcPr>
          <w:p w14:paraId="5E7E981E">
            <w:pPr>
              <w:spacing w:line="360" w:lineRule="auto"/>
              <w:rPr>
                <w:rFonts w:hint="eastAsia" w:ascii="宋体" w:hAnsi="宋体" w:eastAsia="宋体" w:cs="宋体"/>
                <w:color w:val="auto"/>
                <w:sz w:val="21"/>
                <w:szCs w:val="21"/>
                <w:highlight w:val="none"/>
              </w:rPr>
            </w:pPr>
          </w:p>
        </w:tc>
      </w:tr>
      <w:tr w14:paraId="0E2A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trPr>
        <w:tc>
          <w:tcPr>
            <w:tcW w:w="358" w:type="pct"/>
            <w:tcMar>
              <w:top w:w="15" w:type="dxa"/>
              <w:left w:w="15" w:type="dxa"/>
              <w:right w:w="15" w:type="dxa"/>
            </w:tcMar>
            <w:vAlign w:val="center"/>
          </w:tcPr>
          <w:p w14:paraId="6D78330E">
            <w:pPr>
              <w:widowControl/>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五</w:t>
            </w:r>
          </w:p>
        </w:tc>
        <w:tc>
          <w:tcPr>
            <w:tcW w:w="797" w:type="pct"/>
            <w:gridSpan w:val="2"/>
            <w:tcMar>
              <w:top w:w="15" w:type="dxa"/>
              <w:left w:w="15" w:type="dxa"/>
              <w:right w:w="15" w:type="dxa"/>
            </w:tcMar>
            <w:vAlign w:val="center"/>
          </w:tcPr>
          <w:p w14:paraId="4856BF48">
            <w:pPr>
              <w:widowControl/>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巡逻管理</w:t>
            </w:r>
          </w:p>
        </w:tc>
        <w:tc>
          <w:tcPr>
            <w:tcW w:w="2261" w:type="pct"/>
            <w:gridSpan w:val="4"/>
            <w:tcMar>
              <w:top w:w="15" w:type="dxa"/>
              <w:left w:w="15" w:type="dxa"/>
              <w:right w:w="15" w:type="dxa"/>
            </w:tcMar>
            <w:vAlign w:val="center"/>
          </w:tcPr>
          <w:p w14:paraId="1E722A02">
            <w:pPr>
              <w:widowControl/>
              <w:numPr>
                <w:ilvl w:val="0"/>
                <w:numId w:val="3"/>
              </w:numPr>
              <w:spacing w:line="360" w:lineRule="auto"/>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不熟悉服务场地环境，服务场地内外的巡查路线，每天巡查不少于12次，每2个小时巡查一次，按要求定期巡逻定点打卡。</w:t>
            </w:r>
          </w:p>
        </w:tc>
        <w:tc>
          <w:tcPr>
            <w:tcW w:w="891" w:type="pct"/>
            <w:gridSpan w:val="2"/>
            <w:tcMar>
              <w:top w:w="15" w:type="dxa"/>
              <w:left w:w="15" w:type="dxa"/>
              <w:right w:w="15" w:type="dxa"/>
            </w:tcMar>
            <w:vAlign w:val="center"/>
          </w:tcPr>
          <w:p w14:paraId="3AD33BC4">
            <w:pPr>
              <w:widowControl/>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每缺少巡逻一次扣1分，扣完为止。</w:t>
            </w:r>
          </w:p>
        </w:tc>
        <w:tc>
          <w:tcPr>
            <w:tcW w:w="392" w:type="pct"/>
            <w:tcMar>
              <w:top w:w="15" w:type="dxa"/>
              <w:left w:w="15" w:type="dxa"/>
              <w:right w:w="15" w:type="dxa"/>
            </w:tcMar>
            <w:vAlign w:val="center"/>
          </w:tcPr>
          <w:p w14:paraId="19B5752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25分</w:t>
            </w:r>
          </w:p>
        </w:tc>
        <w:tc>
          <w:tcPr>
            <w:tcW w:w="297" w:type="pct"/>
            <w:vAlign w:val="center"/>
          </w:tcPr>
          <w:p w14:paraId="1F16A0EE">
            <w:pPr>
              <w:spacing w:line="360" w:lineRule="auto"/>
              <w:rPr>
                <w:rFonts w:hint="eastAsia" w:ascii="宋体" w:hAnsi="宋体" w:eastAsia="宋体" w:cs="宋体"/>
                <w:color w:val="auto"/>
                <w:sz w:val="21"/>
                <w:szCs w:val="21"/>
                <w:highlight w:val="none"/>
              </w:rPr>
            </w:pPr>
          </w:p>
        </w:tc>
      </w:tr>
      <w:tr w14:paraId="537FC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trPr>
        <w:tc>
          <w:tcPr>
            <w:tcW w:w="4309" w:type="pct"/>
            <w:gridSpan w:val="9"/>
            <w:tcMar>
              <w:top w:w="15" w:type="dxa"/>
              <w:left w:w="15" w:type="dxa"/>
              <w:right w:w="15" w:type="dxa"/>
            </w:tcMar>
            <w:vAlign w:val="center"/>
          </w:tcPr>
          <w:p w14:paraId="797C1283">
            <w:pPr>
              <w:widowControl/>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分值合计</w:t>
            </w:r>
          </w:p>
        </w:tc>
        <w:tc>
          <w:tcPr>
            <w:tcW w:w="392" w:type="pct"/>
            <w:tcMar>
              <w:top w:w="15" w:type="dxa"/>
              <w:left w:w="15" w:type="dxa"/>
              <w:right w:w="15" w:type="dxa"/>
            </w:tcMar>
            <w:vAlign w:val="center"/>
          </w:tcPr>
          <w:p w14:paraId="220D755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100分</w:t>
            </w:r>
          </w:p>
        </w:tc>
        <w:tc>
          <w:tcPr>
            <w:tcW w:w="297" w:type="pct"/>
            <w:vAlign w:val="center"/>
          </w:tcPr>
          <w:p w14:paraId="6A15EAB6">
            <w:pPr>
              <w:spacing w:line="360" w:lineRule="auto"/>
              <w:rPr>
                <w:rFonts w:hint="eastAsia" w:ascii="宋体" w:hAnsi="宋体" w:eastAsia="宋体" w:cs="宋体"/>
                <w:color w:val="auto"/>
                <w:sz w:val="21"/>
                <w:szCs w:val="21"/>
                <w:highlight w:val="none"/>
              </w:rPr>
            </w:pPr>
          </w:p>
        </w:tc>
      </w:tr>
      <w:tr w14:paraId="54894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820" w:type="pct"/>
            <w:gridSpan w:val="2"/>
            <w:vAlign w:val="center"/>
          </w:tcPr>
          <w:p w14:paraId="591C0F1A">
            <w:pPr>
              <w:spacing w:line="360" w:lineRule="auto"/>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考核结果：</w:t>
            </w:r>
          </w:p>
        </w:tc>
        <w:tc>
          <w:tcPr>
            <w:tcW w:w="821" w:type="pct"/>
            <w:gridSpan w:val="2"/>
            <w:vAlign w:val="center"/>
          </w:tcPr>
          <w:p w14:paraId="311DEE26">
            <w:pPr>
              <w:spacing w:line="360" w:lineRule="auto"/>
              <w:jc w:val="center"/>
              <w:rPr>
                <w:rFonts w:hint="eastAsia" w:ascii="宋体" w:hAnsi="宋体" w:eastAsia="宋体" w:cs="宋体"/>
                <w:color w:val="auto"/>
                <w:sz w:val="21"/>
                <w:szCs w:val="21"/>
                <w:highlight w:val="none"/>
              </w:rPr>
            </w:pPr>
          </w:p>
        </w:tc>
        <w:tc>
          <w:tcPr>
            <w:tcW w:w="821" w:type="pct"/>
            <w:vAlign w:val="center"/>
          </w:tcPr>
          <w:p w14:paraId="6230560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合格</w:t>
            </w:r>
          </w:p>
        </w:tc>
        <w:tc>
          <w:tcPr>
            <w:tcW w:w="821" w:type="pct"/>
            <w:tcMar>
              <w:top w:w="15" w:type="dxa"/>
              <w:left w:w="15" w:type="dxa"/>
              <w:right w:w="15" w:type="dxa"/>
            </w:tcMar>
            <w:vAlign w:val="center"/>
          </w:tcPr>
          <w:p w14:paraId="0F9C8359">
            <w:pPr>
              <w:spacing w:line="360" w:lineRule="auto"/>
              <w:jc w:val="center"/>
              <w:rPr>
                <w:rFonts w:hint="eastAsia" w:ascii="宋体" w:hAnsi="宋体" w:eastAsia="宋体" w:cs="宋体"/>
                <w:color w:val="auto"/>
                <w:sz w:val="21"/>
                <w:szCs w:val="21"/>
                <w:highlight w:val="none"/>
              </w:rPr>
            </w:pPr>
          </w:p>
        </w:tc>
        <w:tc>
          <w:tcPr>
            <w:tcW w:w="820" w:type="pct"/>
            <w:gridSpan w:val="2"/>
            <w:tcMar>
              <w:top w:w="15" w:type="dxa"/>
              <w:left w:w="15" w:type="dxa"/>
              <w:right w:w="15" w:type="dxa"/>
            </w:tcMar>
            <w:vAlign w:val="center"/>
          </w:tcPr>
          <w:p w14:paraId="2F96783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不合格</w:t>
            </w:r>
          </w:p>
        </w:tc>
        <w:tc>
          <w:tcPr>
            <w:tcW w:w="895" w:type="pct"/>
            <w:gridSpan w:val="3"/>
            <w:tcMar>
              <w:top w:w="15" w:type="dxa"/>
              <w:left w:w="15" w:type="dxa"/>
              <w:right w:w="15" w:type="dxa"/>
            </w:tcMar>
            <w:vAlign w:val="center"/>
          </w:tcPr>
          <w:p w14:paraId="71A486EB">
            <w:pPr>
              <w:spacing w:line="360" w:lineRule="auto"/>
              <w:jc w:val="center"/>
              <w:rPr>
                <w:rFonts w:hint="eastAsia" w:ascii="宋体" w:hAnsi="宋体" w:eastAsia="宋体" w:cs="宋体"/>
                <w:color w:val="auto"/>
                <w:sz w:val="21"/>
                <w:szCs w:val="21"/>
                <w:highlight w:val="none"/>
              </w:rPr>
            </w:pPr>
          </w:p>
        </w:tc>
      </w:tr>
      <w:tr w14:paraId="7A3E4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7" w:hRule="atLeast"/>
        </w:trPr>
        <w:tc>
          <w:tcPr>
            <w:tcW w:w="5000" w:type="pct"/>
            <w:gridSpan w:val="11"/>
            <w:tcMar>
              <w:top w:w="15" w:type="dxa"/>
              <w:left w:w="15" w:type="dxa"/>
              <w:right w:w="15" w:type="dxa"/>
            </w:tcMar>
            <w:vAlign w:val="center"/>
          </w:tcPr>
          <w:p w14:paraId="21ED299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意见及建议：</w:t>
            </w:r>
          </w:p>
        </w:tc>
      </w:tr>
    </w:tbl>
    <w:p w14:paraId="40AE219A">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考核单位：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考核人：             考核时间：</w:t>
      </w:r>
    </w:p>
    <w:p w14:paraId="4CA0321E">
      <w:pPr>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201ED445">
      <w:pPr>
        <w:tabs>
          <w:tab w:val="left" w:pos="234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1、本考核评比实行百分制,与实际服务费挂钩。</w:t>
      </w:r>
    </w:p>
    <w:p w14:paraId="0DA8A6DB">
      <w:pPr>
        <w:tabs>
          <w:tab w:val="left" w:pos="234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2、每项考评对应无扣分的，实得分等于应得分。</w:t>
      </w:r>
    </w:p>
    <w:p w14:paraId="6F46DB65">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3、招标人每月根据考评结果及到岗实际人数情况支付实际服务费给中标人：</w:t>
      </w:r>
    </w:p>
    <w:p w14:paraId="23CA2C72">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在到岗人数按合同要求配置的情况下，招标人对中标人的服务考核评分达到90分或以上的，该月的服务费全额支付；招标人对中标人的服务考核评分不足90分的，该月的实际支付的服务费=合同约定到岗人数×服务单价×当月考核所得分数与满分的百分比。</w:t>
      </w:r>
    </w:p>
    <w:p w14:paraId="489BF592">
      <w:pPr>
        <w:spacing w:line="360" w:lineRule="auto"/>
        <w:ind w:firstLine="422" w:firstLineChars="200"/>
        <w:rPr>
          <w:rStyle w:val="44"/>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（2）如到岗人数没按合同要求配置出现缺岗情况的，招标人根据对中标人的服务考核评分，该月的实际支付的服务费=实际到岗人数×服务单价×当月考核所得分数与满分的百分比。</w:t>
      </w:r>
    </w:p>
    <w:p w14:paraId="17A7C38B">
      <w:pPr>
        <w:pStyle w:val="2"/>
        <w:spacing w:line="360" w:lineRule="auto"/>
        <w:ind w:firstLine="422" w:firstLineChars="200"/>
        <w:jc w:val="both"/>
        <w:rPr>
          <w:rFonts w:hint="eastAsia" w:ascii="宋体" w:hAnsi="宋体" w:eastAsia="宋体" w:cs="宋体"/>
          <w:color w:val="auto"/>
          <w:sz w:val="21"/>
          <w:szCs w:val="21"/>
          <w:highlight w:val="none"/>
          <w:lang w:val="en-US" w:eastAsia="zh-CN"/>
        </w:rPr>
      </w:pPr>
      <w:r>
        <w:rPr>
          <w:rStyle w:val="44"/>
          <w:rFonts w:hint="eastAsia" w:ascii="宋体" w:hAnsi="宋体" w:eastAsia="宋体" w:cs="宋体"/>
          <w:color w:val="auto"/>
          <w:sz w:val="21"/>
          <w:szCs w:val="21"/>
          <w:highlight w:val="none"/>
          <w:lang w:val="en-US"/>
        </w:rPr>
        <w:t>（3）</w:t>
      </w:r>
      <w:r>
        <w:rPr>
          <w:rFonts w:hint="eastAsia" w:ascii="宋体" w:hAnsi="宋体" w:eastAsia="宋体" w:cs="宋体"/>
          <w:color w:val="auto"/>
          <w:sz w:val="21"/>
          <w:szCs w:val="21"/>
          <w:highlight w:val="none"/>
        </w:rPr>
        <w:t>如发现累计两个月未达到60分时，招标人有权单方解除合同</w:t>
      </w:r>
      <w:r>
        <w:rPr>
          <w:rFonts w:hint="eastAsia" w:ascii="宋体" w:hAnsi="宋体" w:eastAsia="宋体" w:cs="宋体"/>
          <w:color w:val="auto"/>
          <w:sz w:val="21"/>
          <w:szCs w:val="21"/>
          <w:highlight w:val="none"/>
          <w:lang w:val="en-US" w:eastAsia="zh-CN"/>
        </w:rPr>
        <w:t>并无需承担任何违约责任。</w:t>
      </w:r>
    </w:p>
    <w:p w14:paraId="4C6C96F2">
      <w:pPr>
        <w:spacing w:line="360" w:lineRule="auto"/>
        <w:rPr>
          <w:rFonts w:ascii="宋体" w:hAnsi="宋体" w:eastAsia="宋体" w:cs="Times New Roman"/>
          <w:b/>
          <w:color w:val="auto"/>
          <w:szCs w:val="21"/>
          <w:highlight w:val="none"/>
          <w:lang w:val="zh-CN"/>
        </w:rPr>
      </w:pPr>
    </w:p>
    <w:p w14:paraId="0E3691ED">
      <w:pPr>
        <w:spacing w:line="360" w:lineRule="auto"/>
        <w:rPr>
          <w:rFonts w:ascii="宋体" w:hAnsi="宋体" w:eastAsia="宋体" w:cs="Times New Roman"/>
          <w:color w:val="auto"/>
          <w:szCs w:val="21"/>
          <w:highlight w:val="none"/>
        </w:rPr>
      </w:pPr>
    </w:p>
    <w:p w14:paraId="16FD1CE3">
      <w:pPr>
        <w:rPr>
          <w:rFonts w:ascii="宋体" w:hAnsi="宋体" w:eastAsia="宋体" w:cs="Times New Roman"/>
          <w:b/>
          <w:color w:val="auto"/>
          <w:szCs w:val="21"/>
          <w:highlight w:val="none"/>
        </w:rPr>
      </w:pPr>
    </w:p>
    <w:p w14:paraId="33B8486B">
      <w:pPr>
        <w:pageBreakBefore/>
        <w:tabs>
          <w:tab w:val="left" w:pos="1080"/>
        </w:tabs>
        <w:autoSpaceDE w:val="0"/>
        <w:autoSpaceDN w:val="0"/>
        <w:adjustRightInd w:val="0"/>
        <w:spacing w:line="360" w:lineRule="auto"/>
        <w:ind w:left="357" w:leftChars="-100" w:hanging="567"/>
        <w:jc w:val="center"/>
        <w:outlineLvl w:val="2"/>
        <w:rPr>
          <w:rFonts w:ascii="宋体" w:hAnsi="宋体" w:eastAsia="宋体" w:cs="宋体"/>
          <w:b/>
          <w:bCs/>
          <w:color w:val="auto"/>
          <w:kern w:val="44"/>
          <w:sz w:val="32"/>
          <w:szCs w:val="32"/>
          <w:highlight w:val="none"/>
          <w:lang w:val="zh-CN"/>
        </w:rPr>
      </w:pPr>
      <w:bookmarkStart w:id="422" w:name="_Toc11281_WPSOffice_Level1"/>
      <w:bookmarkStart w:id="423" w:name="_Toc450662892"/>
      <w:bookmarkStart w:id="424" w:name="_Toc142508359"/>
      <w:bookmarkStart w:id="425" w:name="_Toc486167707"/>
      <w:bookmarkStart w:id="426" w:name="_Toc25251"/>
      <w:bookmarkStart w:id="427" w:name="_Toc20401"/>
      <w:bookmarkStart w:id="428" w:name="_Toc16928"/>
      <w:r>
        <w:rPr>
          <w:rFonts w:hint="eastAsia" w:ascii="宋体" w:hAnsi="宋体" w:eastAsia="宋体" w:cs="宋体"/>
          <w:b/>
          <w:bCs/>
          <w:color w:val="auto"/>
          <w:kern w:val="44"/>
          <w:sz w:val="32"/>
          <w:szCs w:val="32"/>
          <w:highlight w:val="none"/>
          <w:lang w:val="zh-CN"/>
        </w:rPr>
        <w:t>第四篇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合同条款格式</w:t>
      </w:r>
      <w:bookmarkEnd w:id="422"/>
      <w:bookmarkEnd w:id="423"/>
      <w:bookmarkEnd w:id="424"/>
      <w:bookmarkEnd w:id="425"/>
      <w:bookmarkEnd w:id="426"/>
      <w:bookmarkEnd w:id="427"/>
      <w:bookmarkEnd w:id="428"/>
    </w:p>
    <w:p w14:paraId="73544B3A">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6AD59E79">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67AD5C77">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003C1E64">
      <w:pPr>
        <w:autoSpaceDE w:val="0"/>
        <w:autoSpaceDN w:val="0"/>
        <w:adjustRightInd w:val="0"/>
        <w:spacing w:line="360" w:lineRule="auto"/>
        <w:jc w:val="center"/>
        <w:rPr>
          <w:rFonts w:hint="eastAsia" w:ascii="宋体" w:hAnsi="宋体" w:eastAsia="宋体" w:cs="Times New Roman"/>
          <w:b/>
          <w:color w:val="auto"/>
          <w:kern w:val="0"/>
          <w:sz w:val="52"/>
          <w:szCs w:val="96"/>
          <w:highlight w:val="none"/>
          <w:lang w:eastAsia="zh-CN"/>
        </w:rPr>
      </w:pPr>
      <w:r>
        <w:rPr>
          <w:rFonts w:hint="eastAsia" w:ascii="宋体" w:hAnsi="宋体" w:eastAsia="宋体" w:cs="Times New Roman"/>
          <w:b/>
          <w:color w:val="auto"/>
          <w:kern w:val="0"/>
          <w:sz w:val="52"/>
          <w:szCs w:val="96"/>
          <w:highlight w:val="none"/>
          <w:lang w:eastAsia="zh-CN"/>
        </w:rPr>
        <w:t>东莞市水务集团管网有限公司2025年保安服务采购项目</w:t>
      </w:r>
    </w:p>
    <w:p w14:paraId="2AB68101">
      <w:pPr>
        <w:autoSpaceDE w:val="0"/>
        <w:autoSpaceDN w:val="0"/>
        <w:adjustRightInd w:val="0"/>
        <w:spacing w:line="360" w:lineRule="auto"/>
        <w:jc w:val="center"/>
        <w:rPr>
          <w:rFonts w:ascii="宋体" w:hAnsi="宋体" w:eastAsia="宋体" w:cs="Times New Roman"/>
          <w:bCs/>
          <w:color w:val="auto"/>
          <w:kern w:val="0"/>
          <w:sz w:val="52"/>
          <w:szCs w:val="52"/>
          <w:highlight w:val="none"/>
        </w:rPr>
      </w:pPr>
    </w:p>
    <w:p w14:paraId="5D77D252">
      <w:pPr>
        <w:autoSpaceDE w:val="0"/>
        <w:autoSpaceDN w:val="0"/>
        <w:adjustRightInd w:val="0"/>
        <w:spacing w:before="840" w:beforeLines="350" w:after="360" w:afterLines="150" w:line="360" w:lineRule="auto"/>
        <w:jc w:val="center"/>
        <w:rPr>
          <w:rFonts w:ascii="宋体" w:hAnsi="宋体" w:eastAsia="宋体" w:cs="Times New Roman"/>
          <w:b/>
          <w:bCs/>
          <w:color w:val="auto"/>
          <w:spacing w:val="60"/>
          <w:kern w:val="0"/>
          <w:sz w:val="52"/>
          <w:szCs w:val="52"/>
          <w:highlight w:val="none"/>
        </w:rPr>
      </w:pPr>
      <w:r>
        <w:rPr>
          <w:rFonts w:hint="eastAsia" w:ascii="宋体" w:hAnsi="宋体" w:eastAsia="宋体" w:cs="Times New Roman"/>
          <w:b/>
          <w:bCs/>
          <w:color w:val="auto"/>
          <w:spacing w:val="60"/>
          <w:kern w:val="0"/>
          <w:sz w:val="52"/>
          <w:szCs w:val="52"/>
          <w:highlight w:val="none"/>
        </w:rPr>
        <w:t>采购合同</w:t>
      </w:r>
    </w:p>
    <w:p w14:paraId="41DA02B1">
      <w:pPr>
        <w:autoSpaceDE w:val="0"/>
        <w:autoSpaceDN w:val="0"/>
        <w:adjustRightInd w:val="0"/>
        <w:spacing w:line="360" w:lineRule="auto"/>
        <w:jc w:val="center"/>
        <w:rPr>
          <w:rFonts w:ascii="宋体" w:hAnsi="宋体" w:eastAsia="宋体" w:cs="Times New Roman"/>
          <w:b/>
          <w:bCs/>
          <w:color w:val="auto"/>
          <w:kern w:val="0"/>
          <w:sz w:val="24"/>
          <w:szCs w:val="21"/>
          <w:highlight w:val="none"/>
        </w:rPr>
      </w:pPr>
      <w:r>
        <w:rPr>
          <w:rFonts w:hint="eastAsia" w:ascii="宋体" w:hAnsi="宋体" w:eastAsia="宋体" w:cs="Times New Roman"/>
          <w:b/>
          <w:bCs/>
          <w:color w:val="auto"/>
          <w:kern w:val="0"/>
          <w:sz w:val="24"/>
          <w:szCs w:val="21"/>
          <w:highlight w:val="none"/>
        </w:rPr>
        <w:t>（合同编号：       ）</w:t>
      </w:r>
    </w:p>
    <w:p w14:paraId="4C13F382">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4F5F1E79">
      <w:pPr>
        <w:keepNext w:val="0"/>
        <w:keepLines w:val="0"/>
        <w:pageBreakBefore w:val="0"/>
        <w:widowControl w:val="0"/>
        <w:kinsoku/>
        <w:wordWrap/>
        <w:overflowPunct/>
        <w:topLinePunct w:val="0"/>
        <w:bidi w:val="0"/>
        <w:snapToGrid/>
        <w:spacing w:line="360" w:lineRule="auto"/>
        <w:ind w:left="0" w:leftChars="0" w:firstLine="2100" w:firstLineChars="750"/>
        <w:textAlignment w:val="auto"/>
        <w:rPr>
          <w:rFonts w:hint="eastAsia" w:ascii="宋体" w:hAnsi="宋体" w:eastAsia="宋体" w:cs="宋体"/>
          <w:b w:val="0"/>
          <w:bCs w:val="0"/>
          <w:color w:val="auto"/>
          <w:kern w:val="0"/>
          <w:sz w:val="28"/>
          <w:szCs w:val="28"/>
          <w:highlight w:val="none"/>
        </w:rPr>
      </w:pPr>
    </w:p>
    <w:p w14:paraId="35C269AB">
      <w:pPr>
        <w:keepNext w:val="0"/>
        <w:keepLines w:val="0"/>
        <w:pageBreakBefore w:val="0"/>
        <w:widowControl w:val="0"/>
        <w:kinsoku/>
        <w:wordWrap/>
        <w:overflowPunct/>
        <w:topLinePunct w:val="0"/>
        <w:bidi w:val="0"/>
        <w:snapToGrid/>
        <w:spacing w:line="480" w:lineRule="auto"/>
        <w:ind w:left="0" w:leftChars="0" w:firstLine="2108" w:firstLineChars="750"/>
        <w:textAlignment w:val="auto"/>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rPr>
        <w:t>甲方</w:t>
      </w:r>
      <w:r>
        <w:rPr>
          <w:rFonts w:hint="eastAsia" w:ascii="宋体" w:hAnsi="宋体" w:eastAsia="宋体" w:cs="宋体"/>
          <w:b/>
          <w:bCs/>
          <w:color w:val="auto"/>
          <w:sz w:val="28"/>
          <w:szCs w:val="28"/>
          <w:lang w:val="en-US" w:eastAsia="zh-CN"/>
        </w:rPr>
        <w:t>1</w:t>
      </w:r>
      <w:r>
        <w:rPr>
          <w:rFonts w:hint="eastAsia" w:ascii="宋体" w:hAnsi="宋体" w:eastAsia="宋体" w:cs="宋体"/>
          <w:b/>
          <w:bCs/>
          <w:color w:val="auto"/>
          <w:sz w:val="28"/>
          <w:szCs w:val="28"/>
        </w:rPr>
        <w:t>（采购方）：</w:t>
      </w:r>
      <w:r>
        <w:rPr>
          <w:rFonts w:hint="eastAsia" w:ascii="宋体" w:hAnsi="宋体" w:eastAsia="宋体" w:cs="宋体"/>
          <w:b/>
          <w:bCs/>
          <w:color w:val="auto"/>
          <w:sz w:val="28"/>
          <w:szCs w:val="28"/>
          <w:u w:val="single"/>
          <w:lang w:val="en-US" w:eastAsia="zh-CN"/>
        </w:rPr>
        <w:t>东莞市水务集团管网有限公司</w:t>
      </w:r>
    </w:p>
    <w:p w14:paraId="7615AA5E">
      <w:pPr>
        <w:keepNext w:val="0"/>
        <w:keepLines w:val="0"/>
        <w:pageBreakBefore w:val="0"/>
        <w:widowControl w:val="0"/>
        <w:kinsoku/>
        <w:wordWrap/>
        <w:overflowPunct/>
        <w:topLinePunct w:val="0"/>
        <w:bidi w:val="0"/>
        <w:snapToGrid/>
        <w:spacing w:line="480" w:lineRule="auto"/>
        <w:ind w:left="0" w:leftChars="0" w:firstLine="2108" w:firstLineChars="750"/>
        <w:textAlignment w:val="auto"/>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rPr>
        <w:t>甲方</w:t>
      </w:r>
      <w:r>
        <w:rPr>
          <w:rFonts w:hint="eastAsia" w:ascii="宋体" w:hAnsi="宋体" w:eastAsia="宋体" w:cs="宋体"/>
          <w:b/>
          <w:bCs/>
          <w:color w:val="auto"/>
          <w:sz w:val="28"/>
          <w:szCs w:val="28"/>
          <w:lang w:val="en-US" w:eastAsia="zh-CN"/>
        </w:rPr>
        <w:t>2</w:t>
      </w:r>
      <w:r>
        <w:rPr>
          <w:rFonts w:hint="eastAsia" w:ascii="宋体" w:hAnsi="宋体" w:eastAsia="宋体" w:cs="宋体"/>
          <w:b/>
          <w:bCs/>
          <w:color w:val="auto"/>
          <w:sz w:val="28"/>
          <w:szCs w:val="28"/>
        </w:rPr>
        <w:t>（采购方）：</w:t>
      </w:r>
      <w:r>
        <w:rPr>
          <w:rFonts w:hint="eastAsia" w:ascii="宋体" w:hAnsi="宋体" w:eastAsia="宋体" w:cs="宋体"/>
          <w:b/>
          <w:bCs/>
          <w:color w:val="auto"/>
          <w:sz w:val="28"/>
          <w:szCs w:val="28"/>
          <w:u w:val="single"/>
          <w:lang w:val="en-US" w:eastAsia="zh-CN"/>
        </w:rPr>
        <w:t>东莞市东信水环境投资有限公司</w:t>
      </w:r>
    </w:p>
    <w:p w14:paraId="2FFA7735">
      <w:pPr>
        <w:pStyle w:val="5"/>
        <w:keepNext w:val="0"/>
        <w:keepLines w:val="0"/>
        <w:pageBreakBefore w:val="0"/>
        <w:widowControl w:val="0"/>
        <w:kinsoku/>
        <w:wordWrap/>
        <w:overflowPunct/>
        <w:topLinePunct w:val="0"/>
        <w:bidi w:val="0"/>
        <w:snapToGrid/>
        <w:spacing w:line="480" w:lineRule="auto"/>
        <w:ind w:left="0" w:leftChars="0" w:firstLine="2108" w:firstLineChars="75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甲方</w:t>
      </w:r>
      <w:r>
        <w:rPr>
          <w:rFonts w:hint="eastAsia" w:ascii="宋体" w:hAnsi="宋体" w:eastAsia="宋体" w:cs="宋体"/>
          <w:b/>
          <w:bCs/>
          <w:color w:val="auto"/>
          <w:sz w:val="28"/>
          <w:szCs w:val="28"/>
          <w:lang w:val="en-US" w:eastAsia="zh-CN"/>
        </w:rPr>
        <w:t>3</w:t>
      </w:r>
      <w:r>
        <w:rPr>
          <w:rFonts w:hint="eastAsia" w:ascii="宋体" w:hAnsi="宋体" w:eastAsia="宋体" w:cs="宋体"/>
          <w:b/>
          <w:bCs/>
          <w:color w:val="auto"/>
          <w:sz w:val="28"/>
          <w:szCs w:val="28"/>
        </w:rPr>
        <w:t>（采购方）：</w:t>
      </w:r>
      <w:r>
        <w:rPr>
          <w:rFonts w:hint="eastAsia" w:ascii="宋体" w:hAnsi="宋体" w:eastAsia="宋体" w:cs="宋体"/>
          <w:b/>
          <w:bCs/>
          <w:color w:val="auto"/>
          <w:sz w:val="28"/>
          <w:szCs w:val="28"/>
          <w:u w:val="single"/>
        </w:rPr>
        <w:t>东莞市</w:t>
      </w:r>
      <w:r>
        <w:rPr>
          <w:rFonts w:hint="eastAsia" w:ascii="宋体" w:hAnsi="宋体" w:eastAsia="宋体" w:cs="宋体"/>
          <w:b/>
          <w:bCs/>
          <w:color w:val="auto"/>
          <w:sz w:val="28"/>
          <w:szCs w:val="28"/>
          <w:u w:val="single"/>
          <w:lang w:val="en-US" w:eastAsia="zh-CN"/>
        </w:rPr>
        <w:t>东泽</w:t>
      </w:r>
      <w:r>
        <w:rPr>
          <w:rFonts w:hint="eastAsia" w:ascii="宋体" w:hAnsi="宋体" w:eastAsia="宋体" w:cs="宋体"/>
          <w:b/>
          <w:bCs/>
          <w:color w:val="auto"/>
          <w:sz w:val="28"/>
          <w:szCs w:val="28"/>
          <w:u w:val="single"/>
        </w:rPr>
        <w:t>水环境投资有限公司</w:t>
      </w:r>
    </w:p>
    <w:p w14:paraId="2D036607">
      <w:pPr>
        <w:keepNext w:val="0"/>
        <w:keepLines w:val="0"/>
        <w:pageBreakBefore w:val="0"/>
        <w:widowControl w:val="0"/>
        <w:kinsoku/>
        <w:wordWrap/>
        <w:overflowPunct/>
        <w:topLinePunct w:val="0"/>
        <w:bidi w:val="0"/>
        <w:snapToGrid/>
        <w:spacing w:line="480" w:lineRule="auto"/>
        <w:ind w:left="0" w:leftChars="0" w:firstLine="2108" w:firstLineChars="750"/>
        <w:textAlignment w:val="auto"/>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rPr>
        <w:t>乙方（供货方）：</w:t>
      </w:r>
    </w:p>
    <w:p w14:paraId="1C3A2979">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4567BA03">
      <w:pPr>
        <w:autoSpaceDE w:val="0"/>
        <w:autoSpaceDN w:val="0"/>
        <w:adjustRightInd w:val="0"/>
        <w:spacing w:line="360" w:lineRule="auto"/>
        <w:ind w:firstLine="1102" w:firstLineChars="392"/>
        <w:jc w:val="left"/>
        <w:rPr>
          <w:rFonts w:ascii="宋体" w:hAnsi="宋体" w:eastAsia="宋体" w:cs="宋体"/>
          <w:b/>
          <w:bCs/>
          <w:color w:val="auto"/>
          <w:kern w:val="0"/>
          <w:sz w:val="28"/>
          <w:szCs w:val="28"/>
          <w:highlight w:val="none"/>
        </w:rPr>
      </w:pPr>
    </w:p>
    <w:p w14:paraId="010056E4">
      <w:pPr>
        <w:autoSpaceDE w:val="0"/>
        <w:autoSpaceDN w:val="0"/>
        <w:adjustRightInd w:val="0"/>
        <w:spacing w:line="480" w:lineRule="auto"/>
        <w:ind w:left="3366" w:leftChars="1600" w:hanging="6" w:firstLineChars="0"/>
        <w:jc w:val="left"/>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签订日期：   年   月   日</w:t>
      </w:r>
    </w:p>
    <w:p w14:paraId="2243D999">
      <w:pPr>
        <w:keepNext w:val="0"/>
        <w:keepLines w:val="0"/>
        <w:pageBreakBefore w:val="0"/>
        <w:kinsoku/>
        <w:wordWrap/>
        <w:overflowPunct/>
        <w:topLinePunct w:val="0"/>
        <w:bidi w:val="0"/>
        <w:snapToGrid/>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甲方</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（采购方）：</w:t>
      </w:r>
      <w:r>
        <w:rPr>
          <w:rFonts w:hint="eastAsia" w:ascii="宋体" w:hAnsi="宋体" w:eastAsia="宋体" w:cs="宋体"/>
          <w:color w:val="auto"/>
          <w:sz w:val="21"/>
          <w:szCs w:val="21"/>
          <w:u w:val="single"/>
          <w:lang w:val="en-US" w:eastAsia="zh-CN"/>
        </w:rPr>
        <w:t>东莞市水务集团管网有限公司</w:t>
      </w:r>
    </w:p>
    <w:p w14:paraId="44EF47B4">
      <w:pPr>
        <w:keepNext w:val="0"/>
        <w:keepLines w:val="0"/>
        <w:pageBreakBefore w:val="0"/>
        <w:kinsoku/>
        <w:wordWrap/>
        <w:overflowPunct/>
        <w:topLinePunct w:val="0"/>
        <w:bidi w:val="0"/>
        <w:snapToGrid/>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甲方</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（采购方）：</w:t>
      </w:r>
      <w:r>
        <w:rPr>
          <w:rFonts w:hint="eastAsia" w:ascii="宋体" w:hAnsi="宋体" w:eastAsia="宋体" w:cs="宋体"/>
          <w:color w:val="auto"/>
          <w:sz w:val="21"/>
          <w:szCs w:val="21"/>
          <w:u w:val="single"/>
          <w:lang w:val="en-US" w:eastAsia="zh-CN"/>
        </w:rPr>
        <w:t>东莞市东信水环境投资有限公司</w:t>
      </w:r>
    </w:p>
    <w:p w14:paraId="6AE106FB">
      <w:pPr>
        <w:pStyle w:val="5"/>
        <w:keepNext w:val="0"/>
        <w:keepLines w:val="0"/>
        <w:pageBreakBefore w:val="0"/>
        <w:kinsoku/>
        <w:wordWrap/>
        <w:overflowPunct/>
        <w:topLinePunct w:val="0"/>
        <w:bidi w:val="0"/>
        <w:snapToGrid/>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甲方</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（采购方）：</w:t>
      </w:r>
      <w:r>
        <w:rPr>
          <w:rFonts w:hint="eastAsia" w:ascii="宋体" w:hAnsi="宋体" w:eastAsia="宋体" w:cs="宋体"/>
          <w:color w:val="auto"/>
          <w:sz w:val="21"/>
          <w:szCs w:val="21"/>
          <w:u w:val="single"/>
        </w:rPr>
        <w:t>东莞市</w:t>
      </w:r>
      <w:r>
        <w:rPr>
          <w:rFonts w:hint="eastAsia" w:ascii="宋体" w:hAnsi="宋体" w:eastAsia="宋体" w:cs="宋体"/>
          <w:color w:val="auto"/>
          <w:sz w:val="21"/>
          <w:szCs w:val="21"/>
          <w:u w:val="single"/>
          <w:lang w:val="en-US" w:eastAsia="zh-CN"/>
        </w:rPr>
        <w:t>东泽</w:t>
      </w:r>
      <w:r>
        <w:rPr>
          <w:rFonts w:hint="eastAsia" w:ascii="宋体" w:hAnsi="宋体" w:eastAsia="宋体" w:cs="宋体"/>
          <w:color w:val="auto"/>
          <w:sz w:val="21"/>
          <w:szCs w:val="21"/>
          <w:u w:val="single"/>
        </w:rPr>
        <w:t>水环境投资有限公司</w:t>
      </w:r>
    </w:p>
    <w:p w14:paraId="44C3B6CD">
      <w:pPr>
        <w:keepNext w:val="0"/>
        <w:keepLines w:val="0"/>
        <w:pageBreakBefore w:val="0"/>
        <w:kinsoku/>
        <w:wordWrap/>
        <w:overflowPunct/>
        <w:topLinePunct w:val="0"/>
        <w:bidi w:val="0"/>
        <w:snapToGrid/>
        <w:spacing w:line="360" w:lineRule="auto"/>
        <w:rPr>
          <w:rFonts w:hint="default" w:ascii="宋体" w:hAnsi="宋体" w:eastAsia="宋体" w:cs="宋体"/>
          <w:color w:val="auto"/>
          <w:sz w:val="21"/>
          <w:szCs w:val="21"/>
          <w:u w:val="single"/>
          <w:lang w:val="en-US" w:eastAsia="zh-CN"/>
        </w:rPr>
      </w:pPr>
      <w:r>
        <w:rPr>
          <w:rFonts w:hint="eastAsia" w:ascii="宋体" w:hAnsi="宋体" w:eastAsia="宋体" w:cs="宋体"/>
          <w:color w:val="auto"/>
          <w:sz w:val="21"/>
          <w:szCs w:val="21"/>
        </w:rPr>
        <w:t>乙方（供货方）：</w:t>
      </w:r>
      <w:r>
        <w:rPr>
          <w:rFonts w:hint="eastAsia" w:ascii="宋体" w:hAnsi="宋体" w:eastAsia="宋体" w:cs="宋体"/>
          <w:color w:val="auto"/>
          <w:sz w:val="21"/>
          <w:szCs w:val="21"/>
          <w:u w:val="single"/>
          <w:lang w:val="en-US" w:eastAsia="zh-CN"/>
        </w:rPr>
        <w:t xml:space="preserve">                              </w:t>
      </w:r>
    </w:p>
    <w:p w14:paraId="1B9557C1">
      <w:pPr>
        <w:keepNext w:val="0"/>
        <w:keepLines w:val="0"/>
        <w:pageBreakBefore w:val="0"/>
        <w:kinsoku/>
        <w:wordWrap/>
        <w:overflowPunct/>
        <w:topLinePunct w:val="0"/>
        <w:bidi w:val="0"/>
        <w:snapToGrid/>
        <w:spacing w:line="360" w:lineRule="auto"/>
        <w:ind w:firstLine="422" w:firstLineChars="200"/>
        <w:rPr>
          <w:rFonts w:hint="eastAsia" w:ascii="宋体" w:hAnsi="宋体" w:eastAsia="宋体" w:cs="宋体"/>
          <w:b/>
          <w:bCs/>
          <w:color w:val="auto"/>
          <w:sz w:val="21"/>
          <w:szCs w:val="21"/>
          <w:u w:val="single"/>
        </w:rPr>
      </w:pPr>
    </w:p>
    <w:p w14:paraId="41A169CC">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根据《中华人民共和国民法典》及    年    月    日通知的东莞市水务集团管网有限公司2025年保安服务采购项目中标结果（招标编号：                ）和招标文件的要求，经双方协商一致，签订本合同。</w:t>
      </w:r>
    </w:p>
    <w:p w14:paraId="7DA04D7C">
      <w:pPr>
        <w:keepNext w:val="0"/>
        <w:keepLines w:val="0"/>
        <w:pageBreakBefore w:val="0"/>
        <w:numPr>
          <w:ilvl w:val="0"/>
          <w:numId w:val="4"/>
        </w:numPr>
        <w:kinsoku/>
        <w:wordWrap/>
        <w:overflowPunct/>
        <w:topLinePunct w:val="0"/>
        <w:bidi w:val="0"/>
        <w:snapToGrid/>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服务内容</w:t>
      </w:r>
    </w:p>
    <w:p w14:paraId="01EF1564">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1.1乙方为甲方提供安保服务，场地情况及人员安排表如下：</w:t>
      </w:r>
    </w:p>
    <w:tbl>
      <w:tblPr>
        <w:tblStyle w:val="37"/>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9"/>
        <w:gridCol w:w="1321"/>
        <w:gridCol w:w="1025"/>
        <w:gridCol w:w="1454"/>
        <w:gridCol w:w="1070"/>
        <w:gridCol w:w="1414"/>
        <w:gridCol w:w="1414"/>
        <w:gridCol w:w="2029"/>
      </w:tblGrid>
      <w:tr w14:paraId="64038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jc w:val="center"/>
        </w:trPr>
        <w:tc>
          <w:tcPr>
            <w:tcW w:w="30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FDADDB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637" w:type="pct"/>
            <w:tcBorders>
              <w:top w:val="single" w:color="000000" w:sz="8" w:space="0"/>
              <w:left w:val="nil"/>
              <w:bottom w:val="single" w:color="000000" w:sz="8" w:space="0"/>
              <w:right w:val="single" w:color="000000" w:sz="8" w:space="0"/>
            </w:tcBorders>
            <w:shd w:val="clear" w:color="auto" w:fill="auto"/>
            <w:vAlign w:val="center"/>
          </w:tcPr>
          <w:p w14:paraId="474A546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需求公司</w:t>
            </w:r>
          </w:p>
        </w:tc>
        <w:tc>
          <w:tcPr>
            <w:tcW w:w="494" w:type="pct"/>
            <w:tcBorders>
              <w:top w:val="single" w:color="000000" w:sz="8" w:space="0"/>
              <w:left w:val="nil"/>
              <w:bottom w:val="single" w:color="000000" w:sz="8" w:space="0"/>
              <w:right w:val="single" w:color="000000" w:sz="8" w:space="0"/>
            </w:tcBorders>
            <w:shd w:val="clear" w:color="auto" w:fill="auto"/>
            <w:vAlign w:val="center"/>
          </w:tcPr>
          <w:p w14:paraId="765B3F4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地址</w:t>
            </w:r>
          </w:p>
        </w:tc>
        <w:tc>
          <w:tcPr>
            <w:tcW w:w="701" w:type="pct"/>
            <w:tcBorders>
              <w:top w:val="single" w:color="000000" w:sz="8" w:space="0"/>
              <w:left w:val="nil"/>
              <w:bottom w:val="single" w:color="000000" w:sz="8" w:space="0"/>
              <w:right w:val="single" w:color="000000" w:sz="8" w:space="0"/>
            </w:tcBorders>
            <w:shd w:val="clear" w:color="auto" w:fill="auto"/>
            <w:vAlign w:val="center"/>
          </w:tcPr>
          <w:p w14:paraId="3AA759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地点名称</w:t>
            </w:r>
          </w:p>
        </w:tc>
        <w:tc>
          <w:tcPr>
            <w:tcW w:w="516" w:type="pct"/>
            <w:tcBorders>
              <w:top w:val="single" w:color="000000" w:sz="8" w:space="0"/>
              <w:left w:val="nil"/>
              <w:bottom w:val="single" w:color="000000" w:sz="8" w:space="0"/>
              <w:right w:val="single" w:color="000000" w:sz="8" w:space="0"/>
            </w:tcBorders>
            <w:shd w:val="clear" w:color="auto" w:fill="auto"/>
            <w:vAlign w:val="center"/>
          </w:tcPr>
          <w:p w14:paraId="2207B9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值守面积</w:t>
            </w:r>
          </w:p>
        </w:tc>
        <w:tc>
          <w:tcPr>
            <w:tcW w:w="682" w:type="pct"/>
            <w:tcBorders>
              <w:top w:val="single" w:color="000000" w:sz="8" w:space="0"/>
              <w:left w:val="nil"/>
              <w:bottom w:val="single" w:color="000000" w:sz="8" w:space="0"/>
              <w:right w:val="single" w:color="000000" w:sz="8" w:space="0"/>
            </w:tcBorders>
            <w:shd w:val="clear" w:color="auto" w:fill="auto"/>
            <w:vAlign w:val="center"/>
          </w:tcPr>
          <w:p w14:paraId="3E71E60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值守地详情</w:t>
            </w:r>
          </w:p>
        </w:tc>
        <w:tc>
          <w:tcPr>
            <w:tcW w:w="682" w:type="pct"/>
            <w:tcBorders>
              <w:top w:val="single" w:color="000000" w:sz="8" w:space="0"/>
              <w:left w:val="nil"/>
              <w:bottom w:val="single" w:color="000000" w:sz="8" w:space="0"/>
              <w:right w:val="single" w:color="000000" w:sz="8" w:space="0"/>
            </w:tcBorders>
            <w:shd w:val="clear" w:color="auto" w:fill="auto"/>
            <w:vAlign w:val="center"/>
          </w:tcPr>
          <w:p w14:paraId="6FBE210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暂定配置人数（人）</w:t>
            </w:r>
          </w:p>
        </w:tc>
        <w:tc>
          <w:tcPr>
            <w:tcW w:w="978" w:type="pct"/>
            <w:tcBorders>
              <w:top w:val="single" w:color="000000" w:sz="8" w:space="0"/>
              <w:left w:val="nil"/>
              <w:bottom w:val="single" w:color="000000" w:sz="8" w:space="0"/>
              <w:right w:val="single" w:color="000000" w:sz="8" w:space="0"/>
            </w:tcBorders>
            <w:shd w:val="clear" w:color="auto" w:fill="auto"/>
            <w:vAlign w:val="center"/>
          </w:tcPr>
          <w:p w14:paraId="22F6F44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保安配置安排</w:t>
            </w:r>
          </w:p>
        </w:tc>
      </w:tr>
      <w:tr w14:paraId="4E031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5" w:hRule="atLeast"/>
          <w:jc w:val="center"/>
        </w:trPr>
        <w:tc>
          <w:tcPr>
            <w:tcW w:w="308" w:type="pct"/>
            <w:vMerge w:val="restart"/>
            <w:tcBorders>
              <w:top w:val="nil"/>
              <w:left w:val="single" w:color="000000" w:sz="8" w:space="0"/>
              <w:bottom w:val="single" w:color="000000" w:sz="8" w:space="0"/>
              <w:right w:val="single" w:color="000000" w:sz="8" w:space="0"/>
            </w:tcBorders>
            <w:shd w:val="clear" w:color="auto" w:fill="auto"/>
            <w:vAlign w:val="center"/>
          </w:tcPr>
          <w:p w14:paraId="26D8A103">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37" w:type="pct"/>
            <w:vMerge w:val="restart"/>
            <w:tcBorders>
              <w:top w:val="nil"/>
              <w:left w:val="nil"/>
              <w:bottom w:val="single" w:color="000000" w:sz="8" w:space="0"/>
              <w:right w:val="single" w:color="000000" w:sz="8" w:space="0"/>
            </w:tcBorders>
            <w:shd w:val="clear" w:color="auto" w:fill="auto"/>
            <w:vAlign w:val="center"/>
          </w:tcPr>
          <w:p w14:paraId="104D78B8">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东莞市东泽水环境投资有限公司</w:t>
            </w:r>
          </w:p>
        </w:tc>
        <w:tc>
          <w:tcPr>
            <w:tcW w:w="494" w:type="pct"/>
            <w:vMerge w:val="restart"/>
            <w:tcBorders>
              <w:top w:val="nil"/>
              <w:left w:val="nil"/>
              <w:bottom w:val="single" w:color="000000" w:sz="8" w:space="0"/>
              <w:right w:val="single" w:color="000000" w:sz="8" w:space="0"/>
            </w:tcBorders>
            <w:shd w:val="clear" w:color="auto" w:fill="auto"/>
            <w:vAlign w:val="center"/>
          </w:tcPr>
          <w:p w14:paraId="425C06A3">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广东省东莞市东城区梨川村周屋围街</w:t>
            </w:r>
          </w:p>
        </w:tc>
        <w:tc>
          <w:tcPr>
            <w:tcW w:w="701" w:type="pct"/>
            <w:vMerge w:val="restart"/>
            <w:tcBorders>
              <w:top w:val="nil"/>
              <w:left w:val="nil"/>
              <w:bottom w:val="single" w:color="000000" w:sz="8" w:space="0"/>
              <w:right w:val="single" w:color="000000" w:sz="8" w:space="0"/>
            </w:tcBorders>
            <w:shd w:val="clear" w:color="auto" w:fill="auto"/>
            <w:vAlign w:val="center"/>
          </w:tcPr>
          <w:p w14:paraId="7AF59E00">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东莞市水务集团供水有限公司制水分公司第二水厂</w:t>
            </w:r>
          </w:p>
        </w:tc>
        <w:tc>
          <w:tcPr>
            <w:tcW w:w="516" w:type="pct"/>
            <w:vMerge w:val="restart"/>
            <w:tcBorders>
              <w:top w:val="nil"/>
              <w:left w:val="nil"/>
              <w:bottom w:val="single" w:color="000000" w:sz="8" w:space="0"/>
              <w:right w:val="single" w:color="000000" w:sz="8" w:space="0"/>
            </w:tcBorders>
            <w:shd w:val="clear" w:color="auto" w:fill="auto"/>
            <w:vAlign w:val="center"/>
          </w:tcPr>
          <w:p w14:paraId="3DEBE666">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约2172㎡</w:t>
            </w:r>
          </w:p>
        </w:tc>
        <w:tc>
          <w:tcPr>
            <w:tcW w:w="682" w:type="pct"/>
            <w:tcBorders>
              <w:top w:val="nil"/>
              <w:left w:val="nil"/>
              <w:bottom w:val="single" w:color="000000" w:sz="8" w:space="0"/>
              <w:right w:val="single" w:color="000000" w:sz="8" w:space="0"/>
            </w:tcBorders>
            <w:shd w:val="clear" w:color="auto" w:fill="auto"/>
            <w:vAlign w:val="center"/>
          </w:tcPr>
          <w:p w14:paraId="5C295AAA">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厂区办公场所建面约2086㎡（含办公楼3层，宿舍楼3层以及饭堂）</w:t>
            </w:r>
          </w:p>
        </w:tc>
        <w:tc>
          <w:tcPr>
            <w:tcW w:w="682" w:type="pct"/>
            <w:vMerge w:val="restart"/>
            <w:tcBorders>
              <w:top w:val="nil"/>
              <w:left w:val="nil"/>
              <w:bottom w:val="single" w:color="000000" w:sz="8" w:space="0"/>
              <w:right w:val="single" w:color="000000" w:sz="8" w:space="0"/>
            </w:tcBorders>
            <w:shd w:val="clear" w:color="auto" w:fill="auto"/>
            <w:vAlign w:val="center"/>
          </w:tcPr>
          <w:p w14:paraId="461CAE88">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978" w:type="pct"/>
            <w:vMerge w:val="restart"/>
            <w:tcBorders>
              <w:top w:val="nil"/>
              <w:left w:val="nil"/>
              <w:right w:val="single" w:color="000000" w:sz="8" w:space="0"/>
            </w:tcBorders>
            <w:shd w:val="clear" w:color="auto" w:fill="auto"/>
            <w:vAlign w:val="center"/>
          </w:tcPr>
          <w:p w14:paraId="35E241BA">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每班2人值守（每处地方1人值守），三班倒，其中1人兼职保安队长，合计6人。</w:t>
            </w:r>
          </w:p>
        </w:tc>
      </w:tr>
      <w:tr w14:paraId="3CA68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jc w:val="center"/>
        </w:trPr>
        <w:tc>
          <w:tcPr>
            <w:tcW w:w="308" w:type="pct"/>
            <w:vMerge w:val="continue"/>
            <w:tcBorders>
              <w:top w:val="nil"/>
              <w:left w:val="single" w:color="000000" w:sz="8" w:space="0"/>
              <w:bottom w:val="single" w:color="000000" w:sz="8" w:space="0"/>
              <w:right w:val="single" w:color="000000" w:sz="8" w:space="0"/>
            </w:tcBorders>
            <w:shd w:val="clear" w:color="auto" w:fill="auto"/>
            <w:vAlign w:val="center"/>
          </w:tcPr>
          <w:p w14:paraId="58EFEBD3">
            <w:pPr>
              <w:keepNext w:val="0"/>
              <w:keepLines w:val="0"/>
              <w:pageBreakBefore w:val="0"/>
              <w:kinsoku/>
              <w:wordWrap/>
              <w:overflowPunct/>
              <w:topLinePunct w:val="0"/>
              <w:bidi w:val="0"/>
              <w:snapToGrid/>
              <w:spacing w:line="360" w:lineRule="auto"/>
              <w:jc w:val="center"/>
              <w:rPr>
                <w:rFonts w:hint="eastAsia" w:ascii="宋体" w:hAnsi="宋体" w:eastAsia="宋体" w:cs="宋体"/>
                <w:i w:val="0"/>
                <w:iCs w:val="0"/>
                <w:color w:val="auto"/>
                <w:sz w:val="21"/>
                <w:szCs w:val="21"/>
                <w:u w:val="none"/>
              </w:rPr>
            </w:pPr>
          </w:p>
        </w:tc>
        <w:tc>
          <w:tcPr>
            <w:tcW w:w="637" w:type="pct"/>
            <w:vMerge w:val="continue"/>
            <w:tcBorders>
              <w:top w:val="nil"/>
              <w:left w:val="nil"/>
              <w:bottom w:val="single" w:color="000000" w:sz="8" w:space="0"/>
              <w:right w:val="single" w:color="000000" w:sz="8" w:space="0"/>
            </w:tcBorders>
            <w:shd w:val="clear" w:color="auto" w:fill="auto"/>
            <w:vAlign w:val="center"/>
          </w:tcPr>
          <w:p w14:paraId="72A6E20D">
            <w:pPr>
              <w:keepNext w:val="0"/>
              <w:keepLines w:val="0"/>
              <w:pageBreakBefore w:val="0"/>
              <w:kinsoku/>
              <w:wordWrap/>
              <w:overflowPunct/>
              <w:topLinePunct w:val="0"/>
              <w:bidi w:val="0"/>
              <w:snapToGrid/>
              <w:spacing w:line="360" w:lineRule="auto"/>
              <w:jc w:val="center"/>
              <w:rPr>
                <w:rFonts w:hint="eastAsia" w:ascii="宋体" w:hAnsi="宋体" w:eastAsia="宋体" w:cs="宋体"/>
                <w:i w:val="0"/>
                <w:iCs w:val="0"/>
                <w:color w:val="auto"/>
                <w:sz w:val="21"/>
                <w:szCs w:val="21"/>
                <w:u w:val="none"/>
              </w:rPr>
            </w:pPr>
          </w:p>
        </w:tc>
        <w:tc>
          <w:tcPr>
            <w:tcW w:w="494" w:type="pct"/>
            <w:vMerge w:val="continue"/>
            <w:tcBorders>
              <w:top w:val="nil"/>
              <w:left w:val="nil"/>
              <w:bottom w:val="single" w:color="000000" w:sz="8" w:space="0"/>
              <w:right w:val="single" w:color="000000" w:sz="8" w:space="0"/>
            </w:tcBorders>
            <w:shd w:val="clear" w:color="auto" w:fill="auto"/>
            <w:vAlign w:val="center"/>
          </w:tcPr>
          <w:p w14:paraId="0C17DF66">
            <w:pPr>
              <w:keepNext w:val="0"/>
              <w:keepLines w:val="0"/>
              <w:pageBreakBefore w:val="0"/>
              <w:kinsoku/>
              <w:wordWrap/>
              <w:overflowPunct/>
              <w:topLinePunct w:val="0"/>
              <w:bidi w:val="0"/>
              <w:snapToGrid/>
              <w:spacing w:line="360" w:lineRule="auto"/>
              <w:jc w:val="center"/>
              <w:rPr>
                <w:rFonts w:hint="eastAsia" w:ascii="宋体" w:hAnsi="宋体" w:eastAsia="宋体" w:cs="宋体"/>
                <w:i w:val="0"/>
                <w:iCs w:val="0"/>
                <w:color w:val="auto"/>
                <w:sz w:val="21"/>
                <w:szCs w:val="21"/>
                <w:u w:val="none"/>
              </w:rPr>
            </w:pPr>
          </w:p>
        </w:tc>
        <w:tc>
          <w:tcPr>
            <w:tcW w:w="701" w:type="pct"/>
            <w:vMerge w:val="continue"/>
            <w:tcBorders>
              <w:top w:val="nil"/>
              <w:left w:val="nil"/>
              <w:bottom w:val="single" w:color="000000" w:sz="8" w:space="0"/>
              <w:right w:val="single" w:color="000000" w:sz="8" w:space="0"/>
            </w:tcBorders>
            <w:shd w:val="clear" w:color="auto" w:fill="auto"/>
            <w:vAlign w:val="center"/>
          </w:tcPr>
          <w:p w14:paraId="38F7B5BF">
            <w:pPr>
              <w:keepNext w:val="0"/>
              <w:keepLines w:val="0"/>
              <w:pageBreakBefore w:val="0"/>
              <w:kinsoku/>
              <w:wordWrap/>
              <w:overflowPunct/>
              <w:topLinePunct w:val="0"/>
              <w:bidi w:val="0"/>
              <w:snapToGrid/>
              <w:spacing w:line="360" w:lineRule="auto"/>
              <w:jc w:val="center"/>
              <w:rPr>
                <w:rFonts w:hint="eastAsia" w:ascii="宋体" w:hAnsi="宋体" w:eastAsia="宋体" w:cs="宋体"/>
                <w:i w:val="0"/>
                <w:iCs w:val="0"/>
                <w:color w:val="auto"/>
                <w:sz w:val="21"/>
                <w:szCs w:val="21"/>
                <w:u w:val="none"/>
              </w:rPr>
            </w:pPr>
          </w:p>
        </w:tc>
        <w:tc>
          <w:tcPr>
            <w:tcW w:w="516" w:type="pct"/>
            <w:vMerge w:val="continue"/>
            <w:tcBorders>
              <w:top w:val="nil"/>
              <w:left w:val="nil"/>
              <w:bottom w:val="single" w:color="000000" w:sz="8" w:space="0"/>
              <w:right w:val="single" w:color="000000" w:sz="8" w:space="0"/>
            </w:tcBorders>
            <w:shd w:val="clear" w:color="auto" w:fill="auto"/>
            <w:vAlign w:val="center"/>
          </w:tcPr>
          <w:p w14:paraId="2942836C">
            <w:pPr>
              <w:keepNext w:val="0"/>
              <w:keepLines w:val="0"/>
              <w:pageBreakBefore w:val="0"/>
              <w:kinsoku/>
              <w:wordWrap/>
              <w:overflowPunct/>
              <w:topLinePunct w:val="0"/>
              <w:bidi w:val="0"/>
              <w:snapToGrid/>
              <w:spacing w:line="360" w:lineRule="auto"/>
              <w:jc w:val="center"/>
              <w:rPr>
                <w:rFonts w:hint="eastAsia" w:ascii="宋体" w:hAnsi="宋体" w:eastAsia="宋体" w:cs="宋体"/>
                <w:i w:val="0"/>
                <w:iCs w:val="0"/>
                <w:color w:val="auto"/>
                <w:sz w:val="21"/>
                <w:szCs w:val="21"/>
                <w:u w:val="none"/>
              </w:rPr>
            </w:pPr>
          </w:p>
        </w:tc>
        <w:tc>
          <w:tcPr>
            <w:tcW w:w="682" w:type="pct"/>
            <w:tcBorders>
              <w:top w:val="nil"/>
              <w:left w:val="nil"/>
              <w:bottom w:val="single" w:color="000000" w:sz="8" w:space="0"/>
              <w:right w:val="single" w:color="000000" w:sz="8" w:space="0"/>
            </w:tcBorders>
            <w:shd w:val="clear" w:color="auto" w:fill="auto"/>
            <w:vAlign w:val="center"/>
          </w:tcPr>
          <w:p w14:paraId="212B178E">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取水泵房值班室建面约86㎡</w:t>
            </w:r>
          </w:p>
        </w:tc>
        <w:tc>
          <w:tcPr>
            <w:tcW w:w="682" w:type="pct"/>
            <w:vMerge w:val="continue"/>
            <w:tcBorders>
              <w:top w:val="nil"/>
              <w:left w:val="nil"/>
              <w:bottom w:val="single" w:color="000000" w:sz="8" w:space="0"/>
              <w:right w:val="single" w:color="000000" w:sz="8" w:space="0"/>
            </w:tcBorders>
            <w:shd w:val="clear" w:color="auto" w:fill="auto"/>
            <w:vAlign w:val="center"/>
          </w:tcPr>
          <w:p w14:paraId="67337FED">
            <w:pPr>
              <w:keepNext w:val="0"/>
              <w:keepLines w:val="0"/>
              <w:pageBreakBefore w:val="0"/>
              <w:kinsoku/>
              <w:wordWrap/>
              <w:overflowPunct/>
              <w:topLinePunct w:val="0"/>
              <w:bidi w:val="0"/>
              <w:snapToGrid/>
              <w:spacing w:line="360" w:lineRule="auto"/>
              <w:jc w:val="center"/>
              <w:rPr>
                <w:rFonts w:hint="eastAsia" w:ascii="宋体" w:hAnsi="宋体" w:eastAsia="宋体" w:cs="宋体"/>
                <w:i w:val="0"/>
                <w:iCs w:val="0"/>
                <w:color w:val="auto"/>
                <w:sz w:val="21"/>
                <w:szCs w:val="21"/>
                <w:u w:val="none"/>
              </w:rPr>
            </w:pPr>
          </w:p>
        </w:tc>
        <w:tc>
          <w:tcPr>
            <w:tcW w:w="978" w:type="pct"/>
            <w:vMerge w:val="continue"/>
            <w:tcBorders>
              <w:left w:val="nil"/>
              <w:bottom w:val="single" w:color="000000" w:sz="8" w:space="0"/>
              <w:right w:val="single" w:color="000000" w:sz="8" w:space="0"/>
            </w:tcBorders>
            <w:shd w:val="clear" w:color="auto" w:fill="auto"/>
            <w:vAlign w:val="center"/>
          </w:tcPr>
          <w:p w14:paraId="09332654">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auto"/>
                <w:sz w:val="21"/>
                <w:szCs w:val="21"/>
                <w:u w:val="none"/>
              </w:rPr>
            </w:pPr>
          </w:p>
        </w:tc>
      </w:tr>
      <w:tr w14:paraId="18514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jc w:val="center"/>
        </w:trPr>
        <w:tc>
          <w:tcPr>
            <w:tcW w:w="308" w:type="pct"/>
            <w:vMerge w:val="restart"/>
            <w:tcBorders>
              <w:top w:val="nil"/>
              <w:left w:val="single" w:color="000000" w:sz="8" w:space="0"/>
              <w:bottom w:val="single" w:color="000000" w:sz="8" w:space="0"/>
              <w:right w:val="single" w:color="000000" w:sz="8" w:space="0"/>
            </w:tcBorders>
            <w:shd w:val="clear" w:color="auto" w:fill="auto"/>
            <w:vAlign w:val="center"/>
          </w:tcPr>
          <w:p w14:paraId="624038EC">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37" w:type="pct"/>
            <w:vMerge w:val="restart"/>
            <w:tcBorders>
              <w:top w:val="nil"/>
              <w:left w:val="nil"/>
              <w:bottom w:val="single" w:color="000000" w:sz="8" w:space="0"/>
              <w:right w:val="single" w:color="000000" w:sz="8" w:space="0"/>
            </w:tcBorders>
            <w:shd w:val="clear" w:color="auto" w:fill="auto"/>
            <w:vAlign w:val="center"/>
          </w:tcPr>
          <w:p w14:paraId="5D25D079">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东莞市东信水环境投资有限公司</w:t>
            </w:r>
          </w:p>
        </w:tc>
        <w:tc>
          <w:tcPr>
            <w:tcW w:w="494" w:type="pct"/>
            <w:vMerge w:val="restart"/>
            <w:tcBorders>
              <w:top w:val="nil"/>
              <w:left w:val="nil"/>
              <w:bottom w:val="single" w:color="000000" w:sz="8" w:space="0"/>
              <w:right w:val="single" w:color="000000" w:sz="8" w:space="0"/>
            </w:tcBorders>
            <w:shd w:val="clear" w:color="auto" w:fill="auto"/>
            <w:vAlign w:val="center"/>
          </w:tcPr>
          <w:p w14:paraId="26344D33">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广东省东莞市大岭山镇华侨工业区（莞长路东）</w:t>
            </w:r>
          </w:p>
        </w:tc>
        <w:tc>
          <w:tcPr>
            <w:tcW w:w="701" w:type="pct"/>
            <w:vMerge w:val="restart"/>
            <w:tcBorders>
              <w:top w:val="nil"/>
              <w:left w:val="nil"/>
              <w:bottom w:val="single" w:color="000000" w:sz="8" w:space="0"/>
              <w:right w:val="single" w:color="000000" w:sz="8" w:space="0"/>
            </w:tcBorders>
            <w:shd w:val="clear" w:color="auto" w:fill="auto"/>
            <w:vAlign w:val="center"/>
          </w:tcPr>
          <w:p w14:paraId="7DB6C674">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东莞市水务集团供水有限公司第三水厂（大岭山加压泵站）</w:t>
            </w:r>
          </w:p>
        </w:tc>
        <w:tc>
          <w:tcPr>
            <w:tcW w:w="516" w:type="pct"/>
            <w:vMerge w:val="restart"/>
            <w:tcBorders>
              <w:top w:val="nil"/>
              <w:left w:val="nil"/>
              <w:bottom w:val="single" w:color="000000" w:sz="8" w:space="0"/>
              <w:right w:val="single" w:color="000000" w:sz="8" w:space="0"/>
            </w:tcBorders>
            <w:shd w:val="clear" w:color="auto" w:fill="auto"/>
            <w:vAlign w:val="center"/>
          </w:tcPr>
          <w:p w14:paraId="26D1B6EE">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约404.1㎡</w:t>
            </w:r>
          </w:p>
        </w:tc>
        <w:tc>
          <w:tcPr>
            <w:tcW w:w="682" w:type="pct"/>
            <w:tcBorders>
              <w:top w:val="nil"/>
              <w:left w:val="nil"/>
              <w:bottom w:val="single" w:color="000000" w:sz="8" w:space="0"/>
              <w:right w:val="single" w:color="000000" w:sz="8" w:space="0"/>
            </w:tcBorders>
            <w:shd w:val="clear" w:color="auto" w:fill="auto"/>
            <w:vAlign w:val="center"/>
          </w:tcPr>
          <w:p w14:paraId="6233B8A2">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办公楼面积约316.1㎡（地上2层）</w:t>
            </w:r>
          </w:p>
        </w:tc>
        <w:tc>
          <w:tcPr>
            <w:tcW w:w="682" w:type="pct"/>
            <w:vMerge w:val="restart"/>
            <w:tcBorders>
              <w:top w:val="nil"/>
              <w:left w:val="nil"/>
              <w:bottom w:val="single" w:color="000000" w:sz="8" w:space="0"/>
              <w:right w:val="single" w:color="000000" w:sz="8" w:space="0"/>
            </w:tcBorders>
            <w:shd w:val="clear" w:color="auto" w:fill="auto"/>
            <w:vAlign w:val="center"/>
          </w:tcPr>
          <w:p w14:paraId="5C496109">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978" w:type="pct"/>
            <w:vMerge w:val="restart"/>
            <w:tcBorders>
              <w:top w:val="nil"/>
              <w:left w:val="nil"/>
              <w:bottom w:val="single" w:color="000000" w:sz="8" w:space="0"/>
              <w:right w:val="single" w:color="000000" w:sz="8" w:space="0"/>
            </w:tcBorders>
            <w:shd w:val="clear" w:color="auto" w:fill="auto"/>
            <w:vAlign w:val="center"/>
          </w:tcPr>
          <w:p w14:paraId="231FEBAB">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每班1人值守，三班倒，其中1人兼职保安队长，合计3人。</w:t>
            </w:r>
          </w:p>
        </w:tc>
      </w:tr>
      <w:tr w14:paraId="65B7D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3" w:hRule="atLeast"/>
          <w:jc w:val="center"/>
        </w:trPr>
        <w:tc>
          <w:tcPr>
            <w:tcW w:w="308" w:type="pct"/>
            <w:vMerge w:val="continue"/>
            <w:tcBorders>
              <w:top w:val="nil"/>
              <w:left w:val="single" w:color="000000" w:sz="8" w:space="0"/>
              <w:bottom w:val="single" w:color="000000" w:sz="8" w:space="0"/>
              <w:right w:val="single" w:color="000000" w:sz="8" w:space="0"/>
            </w:tcBorders>
            <w:shd w:val="clear" w:color="auto" w:fill="auto"/>
            <w:vAlign w:val="center"/>
          </w:tcPr>
          <w:p w14:paraId="7FFA4E56">
            <w:pPr>
              <w:keepNext w:val="0"/>
              <w:keepLines w:val="0"/>
              <w:pageBreakBefore w:val="0"/>
              <w:kinsoku/>
              <w:wordWrap/>
              <w:overflowPunct/>
              <w:topLinePunct w:val="0"/>
              <w:bidi w:val="0"/>
              <w:snapToGrid/>
              <w:spacing w:line="360" w:lineRule="auto"/>
              <w:jc w:val="center"/>
              <w:rPr>
                <w:rFonts w:hint="eastAsia" w:ascii="宋体" w:hAnsi="宋体" w:eastAsia="宋体" w:cs="宋体"/>
                <w:i w:val="0"/>
                <w:iCs w:val="0"/>
                <w:color w:val="auto"/>
                <w:sz w:val="21"/>
                <w:szCs w:val="21"/>
                <w:u w:val="none"/>
              </w:rPr>
            </w:pPr>
          </w:p>
        </w:tc>
        <w:tc>
          <w:tcPr>
            <w:tcW w:w="637" w:type="pct"/>
            <w:vMerge w:val="continue"/>
            <w:tcBorders>
              <w:top w:val="nil"/>
              <w:left w:val="nil"/>
              <w:bottom w:val="single" w:color="000000" w:sz="8" w:space="0"/>
              <w:right w:val="single" w:color="000000" w:sz="8" w:space="0"/>
            </w:tcBorders>
            <w:shd w:val="clear" w:color="auto" w:fill="auto"/>
            <w:vAlign w:val="center"/>
          </w:tcPr>
          <w:p w14:paraId="1B1AC26B">
            <w:pPr>
              <w:keepNext w:val="0"/>
              <w:keepLines w:val="0"/>
              <w:pageBreakBefore w:val="0"/>
              <w:kinsoku/>
              <w:wordWrap/>
              <w:overflowPunct/>
              <w:topLinePunct w:val="0"/>
              <w:bidi w:val="0"/>
              <w:snapToGrid/>
              <w:spacing w:line="360" w:lineRule="auto"/>
              <w:jc w:val="center"/>
              <w:rPr>
                <w:rFonts w:hint="eastAsia" w:ascii="宋体" w:hAnsi="宋体" w:eastAsia="宋体" w:cs="宋体"/>
                <w:i w:val="0"/>
                <w:iCs w:val="0"/>
                <w:color w:val="auto"/>
                <w:sz w:val="21"/>
                <w:szCs w:val="21"/>
                <w:u w:val="none"/>
              </w:rPr>
            </w:pPr>
          </w:p>
        </w:tc>
        <w:tc>
          <w:tcPr>
            <w:tcW w:w="494" w:type="pct"/>
            <w:vMerge w:val="continue"/>
            <w:tcBorders>
              <w:top w:val="nil"/>
              <w:left w:val="nil"/>
              <w:bottom w:val="single" w:color="000000" w:sz="8" w:space="0"/>
              <w:right w:val="single" w:color="000000" w:sz="8" w:space="0"/>
            </w:tcBorders>
            <w:shd w:val="clear" w:color="auto" w:fill="auto"/>
            <w:vAlign w:val="center"/>
          </w:tcPr>
          <w:p w14:paraId="27B30747">
            <w:pPr>
              <w:keepNext w:val="0"/>
              <w:keepLines w:val="0"/>
              <w:pageBreakBefore w:val="0"/>
              <w:kinsoku/>
              <w:wordWrap/>
              <w:overflowPunct/>
              <w:topLinePunct w:val="0"/>
              <w:bidi w:val="0"/>
              <w:snapToGrid/>
              <w:spacing w:line="360" w:lineRule="auto"/>
              <w:jc w:val="center"/>
              <w:rPr>
                <w:rFonts w:hint="eastAsia" w:ascii="宋体" w:hAnsi="宋体" w:eastAsia="宋体" w:cs="宋体"/>
                <w:i w:val="0"/>
                <w:iCs w:val="0"/>
                <w:color w:val="auto"/>
                <w:sz w:val="21"/>
                <w:szCs w:val="21"/>
                <w:u w:val="none"/>
              </w:rPr>
            </w:pPr>
          </w:p>
        </w:tc>
        <w:tc>
          <w:tcPr>
            <w:tcW w:w="701" w:type="pct"/>
            <w:vMerge w:val="continue"/>
            <w:tcBorders>
              <w:top w:val="nil"/>
              <w:left w:val="nil"/>
              <w:bottom w:val="single" w:color="000000" w:sz="8" w:space="0"/>
              <w:right w:val="single" w:color="000000" w:sz="8" w:space="0"/>
            </w:tcBorders>
            <w:shd w:val="clear" w:color="auto" w:fill="auto"/>
            <w:vAlign w:val="center"/>
          </w:tcPr>
          <w:p w14:paraId="58A10565">
            <w:pPr>
              <w:keepNext w:val="0"/>
              <w:keepLines w:val="0"/>
              <w:pageBreakBefore w:val="0"/>
              <w:kinsoku/>
              <w:wordWrap/>
              <w:overflowPunct/>
              <w:topLinePunct w:val="0"/>
              <w:bidi w:val="0"/>
              <w:snapToGrid/>
              <w:spacing w:line="360" w:lineRule="auto"/>
              <w:jc w:val="center"/>
              <w:rPr>
                <w:rFonts w:hint="eastAsia" w:ascii="宋体" w:hAnsi="宋体" w:eastAsia="宋体" w:cs="宋体"/>
                <w:i w:val="0"/>
                <w:iCs w:val="0"/>
                <w:color w:val="auto"/>
                <w:sz w:val="21"/>
                <w:szCs w:val="21"/>
                <w:u w:val="none"/>
              </w:rPr>
            </w:pPr>
          </w:p>
        </w:tc>
        <w:tc>
          <w:tcPr>
            <w:tcW w:w="516" w:type="pct"/>
            <w:vMerge w:val="continue"/>
            <w:tcBorders>
              <w:top w:val="nil"/>
              <w:left w:val="nil"/>
              <w:bottom w:val="single" w:color="000000" w:sz="8" w:space="0"/>
              <w:right w:val="single" w:color="000000" w:sz="8" w:space="0"/>
            </w:tcBorders>
            <w:shd w:val="clear" w:color="auto" w:fill="auto"/>
            <w:vAlign w:val="center"/>
          </w:tcPr>
          <w:p w14:paraId="6319EE4D">
            <w:pPr>
              <w:keepNext w:val="0"/>
              <w:keepLines w:val="0"/>
              <w:pageBreakBefore w:val="0"/>
              <w:kinsoku/>
              <w:wordWrap/>
              <w:overflowPunct/>
              <w:topLinePunct w:val="0"/>
              <w:bidi w:val="0"/>
              <w:snapToGrid/>
              <w:spacing w:line="360" w:lineRule="auto"/>
              <w:jc w:val="center"/>
              <w:rPr>
                <w:rFonts w:hint="eastAsia" w:ascii="宋体" w:hAnsi="宋体" w:eastAsia="宋体" w:cs="宋体"/>
                <w:i w:val="0"/>
                <w:iCs w:val="0"/>
                <w:color w:val="auto"/>
                <w:sz w:val="21"/>
                <w:szCs w:val="21"/>
                <w:u w:val="none"/>
              </w:rPr>
            </w:pPr>
          </w:p>
        </w:tc>
        <w:tc>
          <w:tcPr>
            <w:tcW w:w="682" w:type="pct"/>
            <w:tcBorders>
              <w:top w:val="nil"/>
              <w:left w:val="nil"/>
              <w:bottom w:val="single" w:color="000000" w:sz="8" w:space="0"/>
              <w:right w:val="single" w:color="000000" w:sz="8" w:space="0"/>
            </w:tcBorders>
            <w:shd w:val="clear" w:color="auto" w:fill="auto"/>
            <w:vAlign w:val="center"/>
          </w:tcPr>
          <w:p w14:paraId="58DB5C2C">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值守室面积约88㎡</w:t>
            </w:r>
          </w:p>
        </w:tc>
        <w:tc>
          <w:tcPr>
            <w:tcW w:w="682" w:type="pct"/>
            <w:vMerge w:val="continue"/>
            <w:tcBorders>
              <w:top w:val="nil"/>
              <w:left w:val="nil"/>
              <w:bottom w:val="single" w:color="000000" w:sz="8" w:space="0"/>
              <w:right w:val="single" w:color="000000" w:sz="8" w:space="0"/>
            </w:tcBorders>
            <w:shd w:val="clear" w:color="auto" w:fill="auto"/>
            <w:vAlign w:val="center"/>
          </w:tcPr>
          <w:p w14:paraId="1737D8C9">
            <w:pPr>
              <w:keepNext w:val="0"/>
              <w:keepLines w:val="0"/>
              <w:pageBreakBefore w:val="0"/>
              <w:kinsoku/>
              <w:wordWrap/>
              <w:overflowPunct/>
              <w:topLinePunct w:val="0"/>
              <w:bidi w:val="0"/>
              <w:snapToGrid/>
              <w:spacing w:line="360" w:lineRule="auto"/>
              <w:jc w:val="center"/>
              <w:rPr>
                <w:rFonts w:hint="eastAsia" w:ascii="宋体" w:hAnsi="宋体" w:eastAsia="宋体" w:cs="宋体"/>
                <w:i w:val="0"/>
                <w:iCs w:val="0"/>
                <w:color w:val="auto"/>
                <w:sz w:val="21"/>
                <w:szCs w:val="21"/>
                <w:u w:val="none"/>
              </w:rPr>
            </w:pPr>
          </w:p>
        </w:tc>
        <w:tc>
          <w:tcPr>
            <w:tcW w:w="978" w:type="pct"/>
            <w:vMerge w:val="continue"/>
            <w:tcBorders>
              <w:top w:val="nil"/>
              <w:left w:val="nil"/>
              <w:bottom w:val="single" w:color="000000" w:sz="8" w:space="0"/>
              <w:right w:val="single" w:color="000000" w:sz="8" w:space="0"/>
            </w:tcBorders>
            <w:shd w:val="clear" w:color="auto" w:fill="auto"/>
            <w:vAlign w:val="center"/>
          </w:tcPr>
          <w:p w14:paraId="4ADC2E9C">
            <w:pPr>
              <w:keepNext w:val="0"/>
              <w:keepLines w:val="0"/>
              <w:pageBreakBefore w:val="0"/>
              <w:kinsoku/>
              <w:wordWrap/>
              <w:overflowPunct/>
              <w:topLinePunct w:val="0"/>
              <w:bidi w:val="0"/>
              <w:snapToGrid/>
              <w:spacing w:line="360" w:lineRule="auto"/>
              <w:jc w:val="center"/>
              <w:rPr>
                <w:rFonts w:hint="eastAsia" w:ascii="宋体" w:hAnsi="宋体" w:eastAsia="宋体" w:cs="宋体"/>
                <w:i w:val="0"/>
                <w:iCs w:val="0"/>
                <w:color w:val="auto"/>
                <w:sz w:val="21"/>
                <w:szCs w:val="21"/>
                <w:u w:val="none"/>
              </w:rPr>
            </w:pPr>
          </w:p>
        </w:tc>
      </w:tr>
      <w:tr w14:paraId="38455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5" w:hRule="atLeast"/>
          <w:jc w:val="center"/>
        </w:trPr>
        <w:tc>
          <w:tcPr>
            <w:tcW w:w="308" w:type="pct"/>
            <w:vMerge w:val="restart"/>
            <w:tcBorders>
              <w:top w:val="nil"/>
              <w:left w:val="single" w:color="000000" w:sz="8" w:space="0"/>
              <w:bottom w:val="single" w:color="000000" w:sz="8" w:space="0"/>
              <w:right w:val="single" w:color="000000" w:sz="8" w:space="0"/>
            </w:tcBorders>
            <w:shd w:val="clear" w:color="auto" w:fill="auto"/>
            <w:vAlign w:val="center"/>
          </w:tcPr>
          <w:p w14:paraId="48DFDF0E">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37" w:type="pct"/>
            <w:vMerge w:val="restart"/>
            <w:tcBorders>
              <w:top w:val="nil"/>
              <w:left w:val="nil"/>
              <w:bottom w:val="single" w:color="000000" w:sz="8" w:space="0"/>
              <w:right w:val="single" w:color="000000" w:sz="8" w:space="0"/>
            </w:tcBorders>
            <w:shd w:val="clear" w:color="auto" w:fill="auto"/>
            <w:vAlign w:val="center"/>
          </w:tcPr>
          <w:p w14:paraId="4C4CF7E4">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东莞市水务集团管网有限公司</w:t>
            </w:r>
          </w:p>
        </w:tc>
        <w:tc>
          <w:tcPr>
            <w:tcW w:w="494" w:type="pct"/>
            <w:vMerge w:val="restart"/>
            <w:tcBorders>
              <w:top w:val="nil"/>
              <w:left w:val="nil"/>
              <w:bottom w:val="single" w:color="000000" w:sz="8" w:space="0"/>
              <w:right w:val="single" w:color="000000" w:sz="8" w:space="0"/>
            </w:tcBorders>
            <w:shd w:val="clear" w:color="auto" w:fill="auto"/>
            <w:vAlign w:val="center"/>
          </w:tcPr>
          <w:p w14:paraId="4F490152">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广东省东莞市茶山镇15号路（博头村桑辉能源内）</w:t>
            </w:r>
          </w:p>
        </w:tc>
        <w:tc>
          <w:tcPr>
            <w:tcW w:w="701" w:type="pct"/>
            <w:vMerge w:val="restart"/>
            <w:tcBorders>
              <w:top w:val="nil"/>
              <w:left w:val="nil"/>
              <w:bottom w:val="single" w:color="000000" w:sz="8" w:space="0"/>
              <w:right w:val="single" w:color="000000" w:sz="8" w:space="0"/>
            </w:tcBorders>
            <w:shd w:val="clear" w:color="auto" w:fill="auto"/>
            <w:vAlign w:val="center"/>
          </w:tcPr>
          <w:p w14:paraId="2DF75F02">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东莞市水务集团供水有限公司茶山分公司原供水一厂</w:t>
            </w:r>
          </w:p>
        </w:tc>
        <w:tc>
          <w:tcPr>
            <w:tcW w:w="516" w:type="pct"/>
            <w:vMerge w:val="restart"/>
            <w:tcBorders>
              <w:top w:val="nil"/>
              <w:left w:val="nil"/>
              <w:bottom w:val="single" w:color="000000" w:sz="8" w:space="0"/>
              <w:right w:val="single" w:color="000000" w:sz="8" w:space="0"/>
            </w:tcBorders>
            <w:shd w:val="clear" w:color="auto" w:fill="auto"/>
            <w:vAlign w:val="center"/>
          </w:tcPr>
          <w:p w14:paraId="0932AC25">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约596.36㎡</w:t>
            </w:r>
          </w:p>
        </w:tc>
        <w:tc>
          <w:tcPr>
            <w:tcW w:w="682" w:type="pct"/>
            <w:tcBorders>
              <w:top w:val="nil"/>
              <w:left w:val="nil"/>
              <w:bottom w:val="single" w:color="000000" w:sz="8" w:space="0"/>
              <w:right w:val="single" w:color="000000" w:sz="8" w:space="0"/>
            </w:tcBorders>
            <w:shd w:val="clear" w:color="auto" w:fill="auto"/>
            <w:vAlign w:val="center"/>
          </w:tcPr>
          <w:p w14:paraId="556F552F">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办公楼面积约296.36㎡（地上2层）</w:t>
            </w:r>
          </w:p>
        </w:tc>
        <w:tc>
          <w:tcPr>
            <w:tcW w:w="682" w:type="pct"/>
            <w:vMerge w:val="restart"/>
            <w:tcBorders>
              <w:top w:val="nil"/>
              <w:left w:val="nil"/>
              <w:bottom w:val="single" w:color="000000" w:sz="8" w:space="0"/>
              <w:right w:val="single" w:color="000000" w:sz="8" w:space="0"/>
            </w:tcBorders>
            <w:shd w:val="clear" w:color="auto" w:fill="auto"/>
            <w:vAlign w:val="center"/>
          </w:tcPr>
          <w:p w14:paraId="7B57AE7C">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978" w:type="pct"/>
            <w:vMerge w:val="restart"/>
            <w:tcBorders>
              <w:top w:val="nil"/>
              <w:left w:val="nil"/>
              <w:bottom w:val="single" w:color="000000" w:sz="8" w:space="0"/>
              <w:right w:val="single" w:color="000000" w:sz="8" w:space="0"/>
            </w:tcBorders>
            <w:shd w:val="clear" w:color="auto" w:fill="auto"/>
            <w:vAlign w:val="center"/>
          </w:tcPr>
          <w:p w14:paraId="424E3029">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每班1人值守，三班倒，其中1人兼职保安队长，合计3人。</w:t>
            </w:r>
          </w:p>
        </w:tc>
      </w:tr>
      <w:tr w14:paraId="38425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308" w:type="pct"/>
            <w:vMerge w:val="continue"/>
            <w:tcBorders>
              <w:top w:val="nil"/>
              <w:left w:val="single" w:color="000000" w:sz="8" w:space="0"/>
              <w:bottom w:val="single" w:color="000000" w:sz="8" w:space="0"/>
              <w:right w:val="single" w:color="000000" w:sz="8" w:space="0"/>
            </w:tcBorders>
            <w:shd w:val="clear" w:color="auto" w:fill="auto"/>
            <w:vAlign w:val="center"/>
          </w:tcPr>
          <w:p w14:paraId="2D05E14E">
            <w:pPr>
              <w:keepNext w:val="0"/>
              <w:keepLines w:val="0"/>
              <w:pageBreakBefore w:val="0"/>
              <w:kinsoku/>
              <w:wordWrap/>
              <w:overflowPunct/>
              <w:topLinePunct w:val="0"/>
              <w:bidi w:val="0"/>
              <w:snapToGrid/>
              <w:spacing w:line="360" w:lineRule="auto"/>
              <w:jc w:val="center"/>
              <w:rPr>
                <w:rFonts w:hint="eastAsia" w:ascii="宋体" w:hAnsi="宋体" w:eastAsia="宋体" w:cs="宋体"/>
                <w:i w:val="0"/>
                <w:iCs w:val="0"/>
                <w:color w:val="auto"/>
                <w:sz w:val="21"/>
                <w:szCs w:val="21"/>
                <w:u w:val="none"/>
              </w:rPr>
            </w:pPr>
          </w:p>
        </w:tc>
        <w:tc>
          <w:tcPr>
            <w:tcW w:w="637" w:type="pct"/>
            <w:vMerge w:val="continue"/>
            <w:tcBorders>
              <w:top w:val="nil"/>
              <w:left w:val="nil"/>
              <w:bottom w:val="single" w:color="000000" w:sz="8" w:space="0"/>
              <w:right w:val="single" w:color="000000" w:sz="8" w:space="0"/>
            </w:tcBorders>
            <w:shd w:val="clear" w:color="auto" w:fill="auto"/>
            <w:vAlign w:val="center"/>
          </w:tcPr>
          <w:p w14:paraId="306C9F3D">
            <w:pPr>
              <w:keepNext w:val="0"/>
              <w:keepLines w:val="0"/>
              <w:pageBreakBefore w:val="0"/>
              <w:kinsoku/>
              <w:wordWrap/>
              <w:overflowPunct/>
              <w:topLinePunct w:val="0"/>
              <w:bidi w:val="0"/>
              <w:snapToGrid/>
              <w:spacing w:line="360" w:lineRule="auto"/>
              <w:jc w:val="center"/>
              <w:rPr>
                <w:rFonts w:hint="eastAsia" w:ascii="宋体" w:hAnsi="宋体" w:eastAsia="宋体" w:cs="宋体"/>
                <w:i w:val="0"/>
                <w:iCs w:val="0"/>
                <w:color w:val="auto"/>
                <w:sz w:val="21"/>
                <w:szCs w:val="21"/>
                <w:u w:val="none"/>
              </w:rPr>
            </w:pPr>
          </w:p>
        </w:tc>
        <w:tc>
          <w:tcPr>
            <w:tcW w:w="494" w:type="pct"/>
            <w:vMerge w:val="continue"/>
            <w:tcBorders>
              <w:top w:val="nil"/>
              <w:left w:val="nil"/>
              <w:bottom w:val="single" w:color="000000" w:sz="8" w:space="0"/>
              <w:right w:val="single" w:color="000000" w:sz="8" w:space="0"/>
            </w:tcBorders>
            <w:shd w:val="clear" w:color="auto" w:fill="auto"/>
            <w:vAlign w:val="center"/>
          </w:tcPr>
          <w:p w14:paraId="66E6E1BB">
            <w:pPr>
              <w:keepNext w:val="0"/>
              <w:keepLines w:val="0"/>
              <w:pageBreakBefore w:val="0"/>
              <w:kinsoku/>
              <w:wordWrap/>
              <w:overflowPunct/>
              <w:topLinePunct w:val="0"/>
              <w:bidi w:val="0"/>
              <w:snapToGrid/>
              <w:spacing w:line="360" w:lineRule="auto"/>
              <w:jc w:val="center"/>
              <w:rPr>
                <w:rFonts w:hint="eastAsia" w:ascii="宋体" w:hAnsi="宋体" w:eastAsia="宋体" w:cs="宋体"/>
                <w:i w:val="0"/>
                <w:iCs w:val="0"/>
                <w:color w:val="auto"/>
                <w:sz w:val="21"/>
                <w:szCs w:val="21"/>
                <w:u w:val="none"/>
              </w:rPr>
            </w:pPr>
          </w:p>
        </w:tc>
        <w:tc>
          <w:tcPr>
            <w:tcW w:w="701" w:type="pct"/>
            <w:vMerge w:val="continue"/>
            <w:tcBorders>
              <w:top w:val="nil"/>
              <w:left w:val="nil"/>
              <w:bottom w:val="single" w:color="000000" w:sz="8" w:space="0"/>
              <w:right w:val="single" w:color="000000" w:sz="8" w:space="0"/>
            </w:tcBorders>
            <w:shd w:val="clear" w:color="auto" w:fill="auto"/>
            <w:vAlign w:val="center"/>
          </w:tcPr>
          <w:p w14:paraId="0E26D90D">
            <w:pPr>
              <w:keepNext w:val="0"/>
              <w:keepLines w:val="0"/>
              <w:pageBreakBefore w:val="0"/>
              <w:kinsoku/>
              <w:wordWrap/>
              <w:overflowPunct/>
              <w:topLinePunct w:val="0"/>
              <w:bidi w:val="0"/>
              <w:snapToGrid/>
              <w:spacing w:line="360" w:lineRule="auto"/>
              <w:jc w:val="center"/>
              <w:rPr>
                <w:rFonts w:hint="eastAsia" w:ascii="宋体" w:hAnsi="宋体" w:eastAsia="宋体" w:cs="宋体"/>
                <w:i w:val="0"/>
                <w:iCs w:val="0"/>
                <w:color w:val="auto"/>
                <w:sz w:val="21"/>
                <w:szCs w:val="21"/>
                <w:u w:val="none"/>
              </w:rPr>
            </w:pPr>
          </w:p>
        </w:tc>
        <w:tc>
          <w:tcPr>
            <w:tcW w:w="516" w:type="pct"/>
            <w:vMerge w:val="continue"/>
            <w:tcBorders>
              <w:top w:val="nil"/>
              <w:left w:val="nil"/>
              <w:bottom w:val="single" w:color="000000" w:sz="8" w:space="0"/>
              <w:right w:val="single" w:color="000000" w:sz="8" w:space="0"/>
            </w:tcBorders>
            <w:shd w:val="clear" w:color="auto" w:fill="auto"/>
            <w:vAlign w:val="center"/>
          </w:tcPr>
          <w:p w14:paraId="48EAA1AC">
            <w:pPr>
              <w:keepNext w:val="0"/>
              <w:keepLines w:val="0"/>
              <w:pageBreakBefore w:val="0"/>
              <w:kinsoku/>
              <w:wordWrap/>
              <w:overflowPunct/>
              <w:topLinePunct w:val="0"/>
              <w:bidi w:val="0"/>
              <w:snapToGrid/>
              <w:spacing w:line="360" w:lineRule="auto"/>
              <w:jc w:val="center"/>
              <w:rPr>
                <w:rFonts w:hint="eastAsia" w:ascii="宋体" w:hAnsi="宋体" w:eastAsia="宋体" w:cs="宋体"/>
                <w:i w:val="0"/>
                <w:iCs w:val="0"/>
                <w:color w:val="auto"/>
                <w:sz w:val="21"/>
                <w:szCs w:val="21"/>
                <w:u w:val="none"/>
              </w:rPr>
            </w:pPr>
          </w:p>
        </w:tc>
        <w:tc>
          <w:tcPr>
            <w:tcW w:w="682" w:type="pct"/>
            <w:tcBorders>
              <w:top w:val="nil"/>
              <w:left w:val="nil"/>
              <w:bottom w:val="single" w:color="000000" w:sz="8" w:space="0"/>
              <w:right w:val="single" w:color="000000" w:sz="8" w:space="0"/>
            </w:tcBorders>
            <w:shd w:val="clear" w:color="auto" w:fill="auto"/>
            <w:vAlign w:val="center"/>
          </w:tcPr>
          <w:p w14:paraId="55DC968F">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值守室面积约300㎡</w:t>
            </w:r>
          </w:p>
        </w:tc>
        <w:tc>
          <w:tcPr>
            <w:tcW w:w="682" w:type="pct"/>
            <w:vMerge w:val="continue"/>
            <w:tcBorders>
              <w:top w:val="nil"/>
              <w:left w:val="nil"/>
              <w:bottom w:val="single" w:color="000000" w:sz="8" w:space="0"/>
              <w:right w:val="single" w:color="000000" w:sz="8" w:space="0"/>
            </w:tcBorders>
            <w:shd w:val="clear" w:color="auto" w:fill="auto"/>
            <w:vAlign w:val="center"/>
          </w:tcPr>
          <w:p w14:paraId="3E988477">
            <w:pPr>
              <w:keepNext w:val="0"/>
              <w:keepLines w:val="0"/>
              <w:pageBreakBefore w:val="0"/>
              <w:kinsoku/>
              <w:wordWrap/>
              <w:overflowPunct/>
              <w:topLinePunct w:val="0"/>
              <w:bidi w:val="0"/>
              <w:snapToGrid/>
              <w:spacing w:line="360" w:lineRule="auto"/>
              <w:jc w:val="center"/>
              <w:rPr>
                <w:rFonts w:hint="eastAsia" w:ascii="宋体" w:hAnsi="宋体" w:eastAsia="宋体" w:cs="宋体"/>
                <w:i w:val="0"/>
                <w:iCs w:val="0"/>
                <w:color w:val="auto"/>
                <w:sz w:val="21"/>
                <w:szCs w:val="21"/>
                <w:u w:val="none"/>
              </w:rPr>
            </w:pPr>
          </w:p>
        </w:tc>
        <w:tc>
          <w:tcPr>
            <w:tcW w:w="978" w:type="pct"/>
            <w:vMerge w:val="continue"/>
            <w:tcBorders>
              <w:top w:val="nil"/>
              <w:left w:val="nil"/>
              <w:bottom w:val="single" w:color="000000" w:sz="8" w:space="0"/>
              <w:right w:val="single" w:color="000000" w:sz="8" w:space="0"/>
            </w:tcBorders>
            <w:shd w:val="clear" w:color="auto" w:fill="auto"/>
            <w:vAlign w:val="center"/>
          </w:tcPr>
          <w:p w14:paraId="5A0C08FA">
            <w:pPr>
              <w:keepNext w:val="0"/>
              <w:keepLines w:val="0"/>
              <w:pageBreakBefore w:val="0"/>
              <w:kinsoku/>
              <w:wordWrap/>
              <w:overflowPunct/>
              <w:topLinePunct w:val="0"/>
              <w:bidi w:val="0"/>
              <w:snapToGrid/>
              <w:spacing w:line="360" w:lineRule="auto"/>
              <w:jc w:val="center"/>
              <w:rPr>
                <w:rFonts w:hint="eastAsia" w:ascii="宋体" w:hAnsi="宋体" w:eastAsia="宋体" w:cs="宋体"/>
                <w:i w:val="0"/>
                <w:iCs w:val="0"/>
                <w:color w:val="auto"/>
                <w:sz w:val="21"/>
                <w:szCs w:val="21"/>
                <w:u w:val="none"/>
              </w:rPr>
            </w:pPr>
          </w:p>
        </w:tc>
      </w:tr>
      <w:tr w14:paraId="5F7CD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jc w:val="center"/>
        </w:trPr>
        <w:tc>
          <w:tcPr>
            <w:tcW w:w="308" w:type="pct"/>
            <w:vMerge w:val="restart"/>
            <w:tcBorders>
              <w:top w:val="nil"/>
              <w:left w:val="single" w:color="000000" w:sz="8" w:space="0"/>
              <w:bottom w:val="single" w:color="000000" w:sz="8" w:space="0"/>
              <w:right w:val="single" w:color="000000" w:sz="8" w:space="0"/>
            </w:tcBorders>
            <w:shd w:val="clear" w:color="auto" w:fill="auto"/>
            <w:vAlign w:val="center"/>
          </w:tcPr>
          <w:p w14:paraId="27DEA537">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37" w:type="pct"/>
            <w:vMerge w:val="restart"/>
            <w:tcBorders>
              <w:top w:val="nil"/>
              <w:left w:val="nil"/>
              <w:bottom w:val="single" w:color="000000" w:sz="8" w:space="0"/>
              <w:right w:val="single" w:color="000000" w:sz="8" w:space="0"/>
            </w:tcBorders>
            <w:shd w:val="clear" w:color="auto" w:fill="auto"/>
            <w:vAlign w:val="center"/>
          </w:tcPr>
          <w:p w14:paraId="222D6360">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东莞市东泽水环境投资有限公司</w:t>
            </w:r>
          </w:p>
        </w:tc>
        <w:tc>
          <w:tcPr>
            <w:tcW w:w="494" w:type="pct"/>
            <w:vMerge w:val="restart"/>
            <w:tcBorders>
              <w:top w:val="nil"/>
              <w:left w:val="nil"/>
              <w:bottom w:val="single" w:color="000000" w:sz="8" w:space="0"/>
              <w:right w:val="single" w:color="000000" w:sz="8" w:space="0"/>
            </w:tcBorders>
            <w:shd w:val="clear" w:color="auto" w:fill="auto"/>
            <w:vAlign w:val="center"/>
          </w:tcPr>
          <w:p w14:paraId="13A107C8">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东莞市虎门镇东引路10号</w:t>
            </w:r>
          </w:p>
        </w:tc>
        <w:tc>
          <w:tcPr>
            <w:tcW w:w="701" w:type="pct"/>
            <w:tcBorders>
              <w:top w:val="nil"/>
              <w:left w:val="nil"/>
              <w:bottom w:val="single" w:color="000000" w:sz="8" w:space="0"/>
              <w:right w:val="single" w:color="000000" w:sz="8" w:space="0"/>
            </w:tcBorders>
            <w:shd w:val="clear" w:color="auto" w:fill="auto"/>
            <w:vAlign w:val="center"/>
          </w:tcPr>
          <w:p w14:paraId="317722D9">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东莞市水务集团管网有限公司第三分公司东引办公楼</w:t>
            </w:r>
          </w:p>
        </w:tc>
        <w:tc>
          <w:tcPr>
            <w:tcW w:w="516" w:type="pct"/>
            <w:vMerge w:val="restart"/>
            <w:tcBorders>
              <w:top w:val="nil"/>
              <w:left w:val="nil"/>
              <w:bottom w:val="single" w:color="000000" w:sz="8" w:space="0"/>
              <w:right w:val="single" w:color="000000" w:sz="8" w:space="0"/>
            </w:tcBorders>
            <w:shd w:val="clear" w:color="auto" w:fill="auto"/>
            <w:vAlign w:val="center"/>
          </w:tcPr>
          <w:p w14:paraId="60206DEC">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约11450㎡</w:t>
            </w:r>
          </w:p>
        </w:tc>
        <w:tc>
          <w:tcPr>
            <w:tcW w:w="682" w:type="pct"/>
            <w:tcBorders>
              <w:top w:val="nil"/>
              <w:left w:val="nil"/>
              <w:bottom w:val="single" w:color="000000" w:sz="8" w:space="0"/>
              <w:right w:val="single" w:color="000000" w:sz="8" w:space="0"/>
            </w:tcBorders>
            <w:shd w:val="clear" w:color="auto" w:fill="auto"/>
            <w:vAlign w:val="center"/>
          </w:tcPr>
          <w:p w14:paraId="7248DB5E">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建面约5800m2（含办公楼地上地下5层</w:t>
            </w:r>
          </w:p>
        </w:tc>
        <w:tc>
          <w:tcPr>
            <w:tcW w:w="682" w:type="pct"/>
            <w:vMerge w:val="restart"/>
            <w:tcBorders>
              <w:top w:val="nil"/>
              <w:left w:val="nil"/>
              <w:bottom w:val="single" w:color="000000" w:sz="8" w:space="0"/>
              <w:right w:val="single" w:color="000000" w:sz="8" w:space="0"/>
            </w:tcBorders>
            <w:shd w:val="clear" w:color="auto" w:fill="auto"/>
            <w:vAlign w:val="center"/>
          </w:tcPr>
          <w:p w14:paraId="40DBEE70">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978" w:type="pct"/>
            <w:vMerge w:val="restart"/>
            <w:tcBorders>
              <w:top w:val="nil"/>
              <w:left w:val="nil"/>
              <w:bottom w:val="single" w:color="000000" w:sz="8" w:space="0"/>
              <w:right w:val="single" w:color="000000" w:sz="8" w:space="0"/>
            </w:tcBorders>
            <w:shd w:val="clear" w:color="auto" w:fill="auto"/>
            <w:vAlign w:val="center"/>
          </w:tcPr>
          <w:p w14:paraId="20D47D6F">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每</w:t>
            </w:r>
            <w:r>
              <w:rPr>
                <w:rFonts w:hint="eastAsia" w:ascii="宋体" w:hAnsi="宋体" w:eastAsia="宋体" w:cs="宋体"/>
                <w:b w:val="0"/>
                <w:bCs w:val="0"/>
                <w:i w:val="0"/>
                <w:iCs w:val="0"/>
                <w:color w:val="auto"/>
                <w:kern w:val="0"/>
                <w:sz w:val="21"/>
                <w:szCs w:val="21"/>
                <w:u w:val="none"/>
                <w:lang w:val="en-US" w:eastAsia="zh-CN" w:bidi="ar"/>
              </w:rPr>
              <w:t>班2人值守，三班倒，其中1人兼职保安队长，合</w:t>
            </w:r>
            <w:r>
              <w:rPr>
                <w:rFonts w:hint="eastAsia" w:ascii="宋体" w:hAnsi="宋体" w:eastAsia="宋体" w:cs="宋体"/>
                <w:i w:val="0"/>
                <w:iCs w:val="0"/>
                <w:color w:val="auto"/>
                <w:kern w:val="0"/>
                <w:sz w:val="21"/>
                <w:szCs w:val="21"/>
                <w:u w:val="none"/>
                <w:lang w:val="en-US" w:eastAsia="zh-CN" w:bidi="ar"/>
              </w:rPr>
              <w:t>计6人。</w:t>
            </w:r>
          </w:p>
        </w:tc>
      </w:tr>
      <w:tr w14:paraId="58D91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308" w:type="pct"/>
            <w:vMerge w:val="continue"/>
            <w:tcBorders>
              <w:top w:val="nil"/>
              <w:left w:val="single" w:color="000000" w:sz="8" w:space="0"/>
              <w:bottom w:val="single" w:color="000000" w:sz="8" w:space="0"/>
              <w:right w:val="single" w:color="000000" w:sz="8" w:space="0"/>
            </w:tcBorders>
            <w:shd w:val="clear" w:color="auto" w:fill="auto"/>
            <w:vAlign w:val="center"/>
          </w:tcPr>
          <w:p w14:paraId="772BF113">
            <w:pPr>
              <w:keepNext w:val="0"/>
              <w:keepLines w:val="0"/>
              <w:pageBreakBefore w:val="0"/>
              <w:kinsoku/>
              <w:wordWrap/>
              <w:overflowPunct/>
              <w:topLinePunct w:val="0"/>
              <w:bidi w:val="0"/>
              <w:snapToGrid/>
              <w:spacing w:line="360" w:lineRule="auto"/>
              <w:jc w:val="center"/>
              <w:rPr>
                <w:rFonts w:hint="eastAsia" w:ascii="宋体" w:hAnsi="宋体" w:eastAsia="宋体" w:cs="宋体"/>
                <w:i w:val="0"/>
                <w:iCs w:val="0"/>
                <w:color w:val="auto"/>
                <w:sz w:val="21"/>
                <w:szCs w:val="21"/>
                <w:u w:val="none"/>
              </w:rPr>
            </w:pPr>
          </w:p>
        </w:tc>
        <w:tc>
          <w:tcPr>
            <w:tcW w:w="637" w:type="pct"/>
            <w:vMerge w:val="continue"/>
            <w:tcBorders>
              <w:top w:val="nil"/>
              <w:left w:val="nil"/>
              <w:bottom w:val="single" w:color="000000" w:sz="8" w:space="0"/>
              <w:right w:val="single" w:color="000000" w:sz="8" w:space="0"/>
            </w:tcBorders>
            <w:shd w:val="clear" w:color="auto" w:fill="auto"/>
            <w:vAlign w:val="center"/>
          </w:tcPr>
          <w:p w14:paraId="214CCA19">
            <w:pPr>
              <w:keepNext w:val="0"/>
              <w:keepLines w:val="0"/>
              <w:pageBreakBefore w:val="0"/>
              <w:kinsoku/>
              <w:wordWrap/>
              <w:overflowPunct/>
              <w:topLinePunct w:val="0"/>
              <w:bidi w:val="0"/>
              <w:snapToGrid/>
              <w:spacing w:line="360" w:lineRule="auto"/>
              <w:jc w:val="center"/>
              <w:rPr>
                <w:rFonts w:hint="eastAsia" w:ascii="宋体" w:hAnsi="宋体" w:eastAsia="宋体" w:cs="宋体"/>
                <w:i w:val="0"/>
                <w:iCs w:val="0"/>
                <w:color w:val="auto"/>
                <w:sz w:val="21"/>
                <w:szCs w:val="21"/>
                <w:u w:val="none"/>
              </w:rPr>
            </w:pPr>
          </w:p>
        </w:tc>
        <w:tc>
          <w:tcPr>
            <w:tcW w:w="494" w:type="pct"/>
            <w:vMerge w:val="continue"/>
            <w:tcBorders>
              <w:top w:val="nil"/>
              <w:left w:val="nil"/>
              <w:bottom w:val="single" w:color="000000" w:sz="8" w:space="0"/>
              <w:right w:val="single" w:color="000000" w:sz="8" w:space="0"/>
            </w:tcBorders>
            <w:shd w:val="clear" w:color="auto" w:fill="auto"/>
            <w:vAlign w:val="center"/>
          </w:tcPr>
          <w:p w14:paraId="77377113">
            <w:pPr>
              <w:keepNext w:val="0"/>
              <w:keepLines w:val="0"/>
              <w:pageBreakBefore w:val="0"/>
              <w:kinsoku/>
              <w:wordWrap/>
              <w:overflowPunct/>
              <w:topLinePunct w:val="0"/>
              <w:bidi w:val="0"/>
              <w:snapToGrid/>
              <w:spacing w:line="360" w:lineRule="auto"/>
              <w:jc w:val="center"/>
              <w:rPr>
                <w:rFonts w:hint="eastAsia" w:ascii="宋体" w:hAnsi="宋体" w:eastAsia="宋体" w:cs="宋体"/>
                <w:i w:val="0"/>
                <w:iCs w:val="0"/>
                <w:color w:val="auto"/>
                <w:sz w:val="21"/>
                <w:szCs w:val="21"/>
                <w:u w:val="none"/>
              </w:rPr>
            </w:pPr>
          </w:p>
        </w:tc>
        <w:tc>
          <w:tcPr>
            <w:tcW w:w="701" w:type="pct"/>
            <w:tcBorders>
              <w:top w:val="nil"/>
              <w:left w:val="nil"/>
              <w:bottom w:val="single" w:color="000000" w:sz="8" w:space="0"/>
              <w:right w:val="single" w:color="000000" w:sz="8" w:space="0"/>
            </w:tcBorders>
            <w:shd w:val="clear" w:color="auto" w:fill="auto"/>
            <w:vAlign w:val="center"/>
          </w:tcPr>
          <w:p w14:paraId="3833357E">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东引办公楼三层附属楼，大院场地及后山地</w:t>
            </w:r>
          </w:p>
        </w:tc>
        <w:tc>
          <w:tcPr>
            <w:tcW w:w="516" w:type="pct"/>
            <w:vMerge w:val="continue"/>
            <w:tcBorders>
              <w:top w:val="nil"/>
              <w:left w:val="nil"/>
              <w:bottom w:val="single" w:color="000000" w:sz="8" w:space="0"/>
              <w:right w:val="single" w:color="000000" w:sz="8" w:space="0"/>
            </w:tcBorders>
            <w:shd w:val="clear" w:color="auto" w:fill="auto"/>
            <w:vAlign w:val="center"/>
          </w:tcPr>
          <w:p w14:paraId="1E2399F1">
            <w:pPr>
              <w:keepNext w:val="0"/>
              <w:keepLines w:val="0"/>
              <w:pageBreakBefore w:val="0"/>
              <w:kinsoku/>
              <w:wordWrap/>
              <w:overflowPunct/>
              <w:topLinePunct w:val="0"/>
              <w:bidi w:val="0"/>
              <w:snapToGrid/>
              <w:spacing w:line="360" w:lineRule="auto"/>
              <w:jc w:val="center"/>
              <w:rPr>
                <w:rFonts w:hint="eastAsia" w:ascii="宋体" w:hAnsi="宋体" w:eastAsia="宋体" w:cs="宋体"/>
                <w:i w:val="0"/>
                <w:iCs w:val="0"/>
                <w:color w:val="auto"/>
                <w:sz w:val="21"/>
                <w:szCs w:val="21"/>
                <w:u w:val="none"/>
              </w:rPr>
            </w:pPr>
          </w:p>
        </w:tc>
        <w:tc>
          <w:tcPr>
            <w:tcW w:w="682" w:type="pct"/>
            <w:tcBorders>
              <w:top w:val="nil"/>
              <w:left w:val="nil"/>
              <w:bottom w:val="single" w:color="000000" w:sz="8" w:space="0"/>
              <w:right w:val="single" w:color="000000" w:sz="8" w:space="0"/>
            </w:tcBorders>
            <w:shd w:val="clear" w:color="auto" w:fill="auto"/>
            <w:vAlign w:val="center"/>
          </w:tcPr>
          <w:p w14:paraId="5C016E10">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约5650㎡</w:t>
            </w:r>
          </w:p>
        </w:tc>
        <w:tc>
          <w:tcPr>
            <w:tcW w:w="682" w:type="pct"/>
            <w:vMerge w:val="continue"/>
            <w:tcBorders>
              <w:top w:val="nil"/>
              <w:left w:val="nil"/>
              <w:bottom w:val="single" w:color="000000" w:sz="8" w:space="0"/>
              <w:right w:val="single" w:color="000000" w:sz="8" w:space="0"/>
            </w:tcBorders>
            <w:shd w:val="clear" w:color="auto" w:fill="auto"/>
            <w:vAlign w:val="center"/>
          </w:tcPr>
          <w:p w14:paraId="1B7E2606">
            <w:pPr>
              <w:keepNext w:val="0"/>
              <w:keepLines w:val="0"/>
              <w:pageBreakBefore w:val="0"/>
              <w:kinsoku/>
              <w:wordWrap/>
              <w:overflowPunct/>
              <w:topLinePunct w:val="0"/>
              <w:bidi w:val="0"/>
              <w:snapToGrid/>
              <w:spacing w:line="360" w:lineRule="auto"/>
              <w:jc w:val="center"/>
              <w:rPr>
                <w:rFonts w:hint="eastAsia" w:ascii="宋体" w:hAnsi="宋体" w:eastAsia="宋体" w:cs="宋体"/>
                <w:i w:val="0"/>
                <w:iCs w:val="0"/>
                <w:color w:val="auto"/>
                <w:sz w:val="21"/>
                <w:szCs w:val="21"/>
                <w:u w:val="none"/>
              </w:rPr>
            </w:pPr>
          </w:p>
        </w:tc>
        <w:tc>
          <w:tcPr>
            <w:tcW w:w="978" w:type="pct"/>
            <w:vMerge w:val="continue"/>
            <w:tcBorders>
              <w:top w:val="nil"/>
              <w:left w:val="nil"/>
              <w:bottom w:val="single" w:color="000000" w:sz="8" w:space="0"/>
              <w:right w:val="single" w:color="000000" w:sz="8" w:space="0"/>
            </w:tcBorders>
            <w:shd w:val="clear" w:color="auto" w:fill="auto"/>
            <w:vAlign w:val="center"/>
          </w:tcPr>
          <w:p w14:paraId="38AAC5F8">
            <w:pPr>
              <w:keepNext w:val="0"/>
              <w:keepLines w:val="0"/>
              <w:pageBreakBefore w:val="0"/>
              <w:kinsoku/>
              <w:wordWrap/>
              <w:overflowPunct/>
              <w:topLinePunct w:val="0"/>
              <w:bidi w:val="0"/>
              <w:snapToGrid/>
              <w:spacing w:line="360" w:lineRule="auto"/>
              <w:jc w:val="center"/>
              <w:rPr>
                <w:rFonts w:hint="eastAsia" w:ascii="宋体" w:hAnsi="宋体" w:eastAsia="宋体" w:cs="宋体"/>
                <w:i w:val="0"/>
                <w:iCs w:val="0"/>
                <w:color w:val="auto"/>
                <w:sz w:val="21"/>
                <w:szCs w:val="21"/>
                <w:u w:val="none"/>
              </w:rPr>
            </w:pPr>
          </w:p>
        </w:tc>
      </w:tr>
    </w:tbl>
    <w:p w14:paraId="62D796F6">
      <w:pPr>
        <w:keepNext w:val="0"/>
        <w:keepLines w:val="0"/>
        <w:pageBreakBefore w:val="0"/>
        <w:widowControl w:val="0"/>
        <w:kinsoku/>
        <w:wordWrap/>
        <w:overflowPunct/>
        <w:topLinePunct w:val="0"/>
        <w:autoSpaceDE/>
        <w:autoSpaceDN/>
        <w:bidi w:val="0"/>
        <w:adjustRightInd/>
        <w:snapToGrid/>
        <w:spacing w:before="164" w:beforeLines="5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保安人员数量暂定为</w:t>
      </w:r>
      <w:r>
        <w:rPr>
          <w:rFonts w:hint="eastAsia" w:ascii="宋体" w:hAnsi="宋体" w:eastAsia="宋体" w:cs="宋体"/>
          <w:b/>
          <w:bCs/>
          <w:color w:val="auto"/>
          <w:sz w:val="21"/>
          <w:szCs w:val="21"/>
          <w:u w:val="single"/>
          <w:lang w:val="en-US" w:eastAsia="zh-CN"/>
        </w:rPr>
        <w:t>18</w:t>
      </w:r>
      <w:r>
        <w:rPr>
          <w:rFonts w:hint="eastAsia" w:ascii="宋体" w:hAnsi="宋体" w:eastAsia="宋体" w:cs="宋体"/>
          <w:color w:val="auto"/>
          <w:sz w:val="21"/>
          <w:szCs w:val="21"/>
        </w:rPr>
        <w:t>人，具体分布位置应根据甲方需求进行调整。甲方有权根据公司经营状况的需要，优化调整保安资源配置，增减、调动保安人员，且不承担乙方的任何损失</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乙方对此不持异议</w:t>
      </w:r>
      <w:r>
        <w:rPr>
          <w:rFonts w:hint="eastAsia" w:ascii="宋体" w:hAnsi="宋体" w:eastAsia="宋体" w:cs="宋体"/>
          <w:color w:val="auto"/>
          <w:sz w:val="21"/>
          <w:szCs w:val="21"/>
          <w:lang w:val="en-US" w:eastAsia="zh-CN"/>
        </w:rPr>
        <w:t>并愿意配合。</w:t>
      </w:r>
    </w:p>
    <w:p w14:paraId="3AEE0F3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w:t>
      </w:r>
      <w:r>
        <w:rPr>
          <w:rFonts w:hint="eastAsia" w:ascii="宋体" w:hAnsi="宋体" w:eastAsia="宋体" w:cs="宋体"/>
          <w:b w:val="0"/>
          <w:bCs w:val="0"/>
          <w:color w:val="auto"/>
          <w:kern w:val="0"/>
          <w:sz w:val="21"/>
          <w:szCs w:val="21"/>
          <w:lang w:val="en-US" w:eastAsia="zh-CN"/>
        </w:rPr>
        <w:t>服务辖区内如有值守室或饭堂的，</w:t>
      </w:r>
      <w:r>
        <w:rPr>
          <w:rFonts w:hint="eastAsia" w:ascii="宋体" w:hAnsi="宋体" w:eastAsia="宋体" w:cs="宋体"/>
          <w:color w:val="auto"/>
          <w:sz w:val="21"/>
          <w:szCs w:val="21"/>
        </w:rPr>
        <w:t>甲方为乙方派出的保安人员提供</w:t>
      </w:r>
      <w:r>
        <w:rPr>
          <w:rFonts w:hint="eastAsia" w:ascii="宋体" w:hAnsi="宋体" w:eastAsia="宋体" w:cs="宋体"/>
          <w:color w:val="auto"/>
          <w:sz w:val="21"/>
          <w:szCs w:val="21"/>
          <w:lang w:val="en-US" w:eastAsia="zh-CN"/>
        </w:rPr>
        <w:t>值守室</w:t>
      </w:r>
      <w:r>
        <w:rPr>
          <w:rFonts w:hint="eastAsia" w:ascii="宋体" w:hAnsi="宋体" w:eastAsia="宋体" w:cs="宋体"/>
          <w:color w:val="auto"/>
          <w:sz w:val="21"/>
          <w:szCs w:val="21"/>
        </w:rPr>
        <w:t>及就餐，乙方应当按照外来人员收费标准向甲方支付餐费</w:t>
      </w:r>
      <w:r>
        <w:rPr>
          <w:rFonts w:hint="eastAsia" w:ascii="宋体" w:hAnsi="宋体" w:eastAsia="宋体" w:cs="宋体"/>
          <w:b w:val="0"/>
          <w:bCs w:val="0"/>
          <w:color w:val="auto"/>
          <w:kern w:val="0"/>
          <w:sz w:val="21"/>
          <w:szCs w:val="21"/>
          <w:lang w:val="en-US" w:eastAsia="zh-CN"/>
        </w:rPr>
        <w:t>（暂按早餐：7.00元，午餐28.00元，晚餐15.00元，如以上价格有浮动，按</w:t>
      </w:r>
      <w:r>
        <w:rPr>
          <w:rFonts w:hint="eastAsia" w:ascii="宋体" w:hAnsi="宋体" w:eastAsia="宋体" w:cs="宋体"/>
          <w:b w:val="0"/>
          <w:bCs w:val="0"/>
          <w:color w:val="auto"/>
          <w:kern w:val="0"/>
          <w:sz w:val="21"/>
          <w:szCs w:val="21"/>
          <w:highlight w:val="none"/>
          <w:lang w:val="en-US" w:eastAsia="zh-CN"/>
        </w:rPr>
        <w:t>甲方最新标准进行支付），当月月底乙方以现金方式支付本月乙方保安人员所</w:t>
      </w:r>
      <w:r>
        <w:rPr>
          <w:rFonts w:hint="eastAsia" w:ascii="宋体" w:hAnsi="宋体" w:eastAsia="宋体" w:cs="宋体"/>
          <w:b w:val="0"/>
          <w:bCs w:val="0"/>
          <w:color w:val="auto"/>
          <w:kern w:val="0"/>
          <w:sz w:val="21"/>
          <w:szCs w:val="21"/>
          <w:lang w:val="en-US" w:eastAsia="zh-CN"/>
        </w:rPr>
        <w:t>产生的餐费。如无提供值守室及饭堂的，则由乙方自行解决餐宿问题，费用由乙方自理</w:t>
      </w:r>
      <w:r>
        <w:rPr>
          <w:rFonts w:hint="eastAsia" w:ascii="宋体" w:hAnsi="宋体" w:eastAsia="宋体" w:cs="宋体"/>
          <w:color w:val="auto"/>
          <w:sz w:val="21"/>
          <w:szCs w:val="21"/>
        </w:rPr>
        <w:t>。</w:t>
      </w:r>
    </w:p>
    <w:p w14:paraId="12489416">
      <w:pPr>
        <w:keepNext w:val="0"/>
        <w:keepLines w:val="0"/>
        <w:pageBreakBefore w:val="0"/>
        <w:kinsoku/>
        <w:wordWrap/>
        <w:overflowPunct/>
        <w:topLinePunct w:val="0"/>
        <w:autoSpaceDE/>
        <w:autoSpaceDN/>
        <w:bidi w:val="0"/>
        <w:snapToGrid/>
        <w:spacing w:line="360" w:lineRule="auto"/>
        <w:ind w:left="0" w:leftChars="0"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1.3本合同服务期为12个月，自</w:t>
      </w:r>
      <w:r>
        <w:rPr>
          <w:rFonts w:hint="eastAsia" w:ascii="宋体" w:hAnsi="宋体" w:eastAsia="宋体" w:cs="宋体"/>
          <w:color w:val="auto"/>
          <w:sz w:val="21"/>
          <w:szCs w:val="21"/>
          <w:u w:val="single"/>
        </w:rPr>
        <w:t>202</w:t>
      </w:r>
      <w:r>
        <w:rPr>
          <w:rFonts w:hint="eastAsia" w:ascii="宋体" w:hAnsi="宋体" w:eastAsia="宋体" w:cs="宋体"/>
          <w:color w:val="auto"/>
          <w:sz w:val="21"/>
          <w:szCs w:val="21"/>
          <w:u w:val="single"/>
          <w:lang w:val="en-US" w:eastAsia="zh-CN"/>
        </w:rPr>
        <w:t>5</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日起至</w:t>
      </w:r>
      <w:r>
        <w:rPr>
          <w:rFonts w:hint="eastAsia" w:ascii="宋体" w:hAnsi="宋体" w:eastAsia="宋体" w:cs="宋体"/>
          <w:color w:val="auto"/>
          <w:sz w:val="21"/>
          <w:szCs w:val="21"/>
          <w:u w:val="single"/>
        </w:rPr>
        <w:t>202</w:t>
      </w:r>
      <w:r>
        <w:rPr>
          <w:rFonts w:hint="eastAsia" w:ascii="宋体" w:hAnsi="宋体" w:eastAsia="宋体" w:cs="宋体"/>
          <w:color w:val="auto"/>
          <w:sz w:val="21"/>
          <w:szCs w:val="21"/>
          <w:u w:val="single"/>
          <w:lang w:val="en-US" w:eastAsia="zh-CN"/>
        </w:rPr>
        <w:t>6</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日止。服务期限满后，双方经友好协商一致，可在保持综合单价不变的情况下，签订补充协议延长服务资格期限，延长的服务资格期限原则上不超过三个月。</w:t>
      </w:r>
    </w:p>
    <w:p w14:paraId="3E2A7F23">
      <w:pPr>
        <w:keepNext w:val="0"/>
        <w:keepLines w:val="0"/>
        <w:pageBreakBefore w:val="0"/>
        <w:widowControl/>
        <w:kinsoku/>
        <w:wordWrap/>
        <w:overflowPunct/>
        <w:topLinePunct w:val="0"/>
        <w:bidi w:val="0"/>
        <w:snapToGrid/>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二、保安服务质量要求</w:t>
      </w:r>
      <w:r>
        <w:rPr>
          <w:rFonts w:hint="eastAsia" w:ascii="宋体" w:hAnsi="宋体" w:eastAsia="宋体" w:cs="宋体"/>
          <w:color w:val="auto"/>
          <w:sz w:val="21"/>
          <w:szCs w:val="21"/>
        </w:rPr>
        <w:t xml:space="preserve"> </w:t>
      </w:r>
    </w:p>
    <w:p w14:paraId="547850DC">
      <w:pPr>
        <w:keepNext w:val="0"/>
        <w:keepLines w:val="0"/>
        <w:pageBreakBefore w:val="0"/>
        <w:widowControl/>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2.1 保安</w:t>
      </w:r>
      <w:r>
        <w:rPr>
          <w:rFonts w:hint="eastAsia" w:ascii="宋体" w:hAnsi="宋体" w:eastAsia="宋体" w:cs="宋体"/>
          <w:color w:val="auto"/>
          <w:sz w:val="21"/>
          <w:szCs w:val="21"/>
        </w:rPr>
        <w:t xml:space="preserve">服务范围 </w:t>
      </w:r>
    </w:p>
    <w:p w14:paraId="3474106B">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color w:val="auto"/>
          <w:sz w:val="21"/>
          <w:szCs w:val="21"/>
          <w:lang w:val="en-US" w:eastAsia="zh-CN"/>
        </w:rPr>
        <w:t>乙方为</w:t>
      </w:r>
      <w:r>
        <w:rPr>
          <w:rFonts w:hint="eastAsia" w:ascii="宋体" w:hAnsi="宋体" w:eastAsia="宋体" w:cs="宋体"/>
          <w:color w:val="auto"/>
          <w:sz w:val="21"/>
          <w:szCs w:val="21"/>
        </w:rPr>
        <w:t>甲方提供安全保卫服务，保安服务范围包括：甲方服务地点范围内（详见附件二用户需求书）的防火、防盗、防破坏、防治安灾害事故、消防、</w:t>
      </w:r>
      <w:r>
        <w:rPr>
          <w:rFonts w:hint="eastAsia" w:ascii="宋体" w:hAnsi="宋体" w:eastAsia="宋体" w:cs="宋体"/>
          <w:color w:val="auto"/>
          <w:sz w:val="21"/>
          <w:szCs w:val="21"/>
          <w:lang w:val="en-US" w:eastAsia="zh-CN"/>
        </w:rPr>
        <w:t>车辆有序停放、</w:t>
      </w:r>
      <w:r>
        <w:rPr>
          <w:rFonts w:hint="eastAsia" w:ascii="宋体" w:hAnsi="宋体" w:eastAsia="宋体" w:cs="宋体"/>
          <w:color w:val="auto"/>
          <w:sz w:val="21"/>
          <w:szCs w:val="21"/>
        </w:rPr>
        <w:t>应急抢险工作及演练，</w:t>
      </w:r>
      <w:r>
        <w:rPr>
          <w:rFonts w:hint="eastAsia" w:ascii="宋体" w:hAnsi="宋体" w:eastAsia="宋体" w:cs="宋体"/>
          <w:color w:val="auto"/>
          <w:sz w:val="21"/>
          <w:szCs w:val="21"/>
          <w:lang w:val="en-US" w:eastAsia="zh-CN"/>
        </w:rPr>
        <w:t>并</w:t>
      </w:r>
      <w:r>
        <w:rPr>
          <w:rFonts w:hint="eastAsia" w:ascii="宋体" w:hAnsi="宋体" w:eastAsia="宋体" w:cs="宋体"/>
          <w:color w:val="auto"/>
          <w:sz w:val="21"/>
          <w:szCs w:val="21"/>
        </w:rPr>
        <w:t>配合属地公安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消防</w:t>
      </w:r>
      <w:r>
        <w:rPr>
          <w:rFonts w:hint="eastAsia" w:ascii="宋体" w:hAnsi="宋体" w:eastAsia="宋体" w:cs="宋体"/>
          <w:color w:val="auto"/>
          <w:sz w:val="21"/>
          <w:szCs w:val="21"/>
        </w:rPr>
        <w:t>部门的反恐工作及突发事件演练。</w:t>
      </w:r>
    </w:p>
    <w:p w14:paraId="347810BA">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b w:val="0"/>
          <w:bCs w:val="0"/>
          <w:color w:val="auto"/>
          <w:kern w:val="0"/>
          <w:sz w:val="21"/>
          <w:szCs w:val="21"/>
        </w:rPr>
        <w:t xml:space="preserve">保安服务工作内容 </w:t>
      </w:r>
    </w:p>
    <w:p w14:paraId="7342E4E5">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rPr>
        <w:t>2.2.1</w:t>
      </w:r>
      <w:r>
        <w:rPr>
          <w:rFonts w:hint="eastAsia" w:ascii="宋体" w:hAnsi="宋体" w:eastAsia="宋体" w:cs="宋体"/>
          <w:b w:val="0"/>
          <w:bCs w:val="0"/>
          <w:color w:val="auto"/>
          <w:kern w:val="0"/>
          <w:sz w:val="21"/>
          <w:szCs w:val="21"/>
        </w:rPr>
        <w:t>保安员值勤时，必须穿着公司规定的制服，佩带工作证，凡离开保安室时必须戴保安帽，仪态端正、精神充沛、和蔼可亲，形象严肃威武，领导进门时要敬礼；</w:t>
      </w:r>
    </w:p>
    <w:p w14:paraId="748A689C">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rPr>
        <w:t>2.2.2</w:t>
      </w:r>
      <w:r>
        <w:rPr>
          <w:rFonts w:hint="eastAsia" w:ascii="宋体" w:hAnsi="宋体" w:eastAsia="宋体" w:cs="宋体"/>
          <w:b w:val="0"/>
          <w:bCs w:val="0"/>
          <w:color w:val="auto"/>
          <w:kern w:val="0"/>
          <w:sz w:val="21"/>
          <w:szCs w:val="21"/>
        </w:rPr>
        <w:t>接待来宾、客户、送货人员时</w:t>
      </w:r>
      <w:r>
        <w:rPr>
          <w:rFonts w:hint="eastAsia" w:ascii="宋体" w:hAnsi="宋体" w:eastAsia="宋体" w:cs="宋体"/>
          <w:b w:val="0"/>
          <w:bCs w:val="0"/>
          <w:color w:val="auto"/>
          <w:kern w:val="0"/>
          <w:sz w:val="21"/>
          <w:szCs w:val="21"/>
          <w:lang w:val="en-US" w:eastAsia="zh-CN"/>
        </w:rPr>
        <w:t>须</w:t>
      </w:r>
      <w:r>
        <w:rPr>
          <w:rFonts w:hint="eastAsia" w:ascii="宋体" w:hAnsi="宋体" w:eastAsia="宋体" w:cs="宋体"/>
          <w:b w:val="0"/>
          <w:bCs w:val="0"/>
          <w:color w:val="auto"/>
          <w:kern w:val="0"/>
          <w:sz w:val="21"/>
          <w:szCs w:val="21"/>
        </w:rPr>
        <w:t>礼貌热情，不得粗暴待人；</w:t>
      </w:r>
    </w:p>
    <w:p w14:paraId="0DF5FE5A">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rPr>
        <w:t>2.2.3</w:t>
      </w:r>
      <w:r>
        <w:rPr>
          <w:rFonts w:hint="eastAsia" w:ascii="宋体" w:hAnsi="宋体" w:eastAsia="宋体" w:cs="宋体"/>
          <w:b w:val="0"/>
          <w:bCs w:val="0"/>
          <w:color w:val="auto"/>
          <w:kern w:val="0"/>
          <w:sz w:val="21"/>
          <w:szCs w:val="21"/>
        </w:rPr>
        <w:t>值勤时不得乱打电话，乱用对讲机，影响勤务；</w:t>
      </w:r>
    </w:p>
    <w:p w14:paraId="1CE9EE8A">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rPr>
        <w:t>2.2.4</w:t>
      </w:r>
      <w:r>
        <w:rPr>
          <w:rFonts w:hint="eastAsia" w:ascii="宋体" w:hAnsi="宋体" w:eastAsia="宋体" w:cs="宋体"/>
          <w:b w:val="0"/>
          <w:bCs w:val="0"/>
          <w:color w:val="auto"/>
          <w:kern w:val="0"/>
          <w:sz w:val="21"/>
          <w:szCs w:val="21"/>
        </w:rPr>
        <w:t>值勤时提前10—15分钟交接班，并详细交接未完成事项；</w:t>
      </w:r>
    </w:p>
    <w:p w14:paraId="0573C694">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rPr>
        <w:t>2.2.5</w:t>
      </w:r>
      <w:r>
        <w:rPr>
          <w:rFonts w:hint="eastAsia" w:ascii="宋体" w:hAnsi="宋体" w:eastAsia="宋体" w:cs="宋体"/>
          <w:b w:val="0"/>
          <w:bCs w:val="0"/>
          <w:color w:val="auto"/>
          <w:kern w:val="0"/>
          <w:sz w:val="21"/>
          <w:szCs w:val="21"/>
        </w:rPr>
        <w:t>未经队长同意不得擅自调班、换岗、休假；</w:t>
      </w:r>
    </w:p>
    <w:p w14:paraId="522264F1">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rPr>
        <w:t>2.2.6</w:t>
      </w:r>
      <w:r>
        <w:rPr>
          <w:rFonts w:hint="eastAsia" w:ascii="宋体" w:hAnsi="宋体" w:eastAsia="宋体" w:cs="宋体"/>
          <w:b w:val="0"/>
          <w:bCs w:val="0"/>
          <w:color w:val="auto"/>
          <w:kern w:val="0"/>
          <w:sz w:val="21"/>
          <w:szCs w:val="21"/>
        </w:rPr>
        <w:t>值勤保安严格控制闲杂人员进入各自值勤辖区；</w:t>
      </w:r>
    </w:p>
    <w:p w14:paraId="6B4FB420">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rPr>
        <w:t>2.2.7</w:t>
      </w:r>
      <w:r>
        <w:rPr>
          <w:rFonts w:hint="eastAsia" w:ascii="宋体" w:hAnsi="宋体" w:eastAsia="宋体" w:cs="宋体"/>
          <w:b w:val="0"/>
          <w:bCs w:val="0"/>
          <w:color w:val="auto"/>
          <w:kern w:val="0"/>
          <w:sz w:val="21"/>
          <w:szCs w:val="21"/>
        </w:rPr>
        <w:t>值勤时不得</w:t>
      </w:r>
      <w:r>
        <w:rPr>
          <w:rFonts w:hint="eastAsia" w:ascii="宋体" w:hAnsi="宋体" w:eastAsia="宋体" w:cs="宋体"/>
          <w:b w:val="0"/>
          <w:bCs w:val="0"/>
          <w:color w:val="auto"/>
          <w:kern w:val="0"/>
          <w:sz w:val="21"/>
          <w:szCs w:val="21"/>
          <w:lang w:val="en-US" w:eastAsia="zh-CN"/>
        </w:rPr>
        <w:t>出现</w:t>
      </w:r>
      <w:r>
        <w:rPr>
          <w:rFonts w:hint="eastAsia" w:ascii="宋体" w:hAnsi="宋体" w:eastAsia="宋体" w:cs="宋体"/>
          <w:b w:val="0"/>
          <w:bCs w:val="0"/>
          <w:color w:val="auto"/>
          <w:kern w:val="0"/>
          <w:sz w:val="21"/>
          <w:szCs w:val="21"/>
        </w:rPr>
        <w:t>吸烟、喝酒、吃零食、聚众聊天、听音乐、站坐姿不端正、离岗、打磕睡、玩手机或打游戏等不良行为；</w:t>
      </w:r>
    </w:p>
    <w:p w14:paraId="36BA6A07">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rPr>
        <w:t>2.2.8</w:t>
      </w:r>
      <w:r>
        <w:rPr>
          <w:rFonts w:hint="eastAsia" w:ascii="宋体" w:hAnsi="宋体" w:eastAsia="宋体" w:cs="宋体"/>
          <w:b w:val="0"/>
          <w:bCs w:val="0"/>
          <w:color w:val="auto"/>
          <w:kern w:val="0"/>
          <w:sz w:val="21"/>
          <w:szCs w:val="21"/>
        </w:rPr>
        <w:t>值勤保安接待来访人员，应进行证件检查与登记，无证拒绝来访；</w:t>
      </w:r>
    </w:p>
    <w:p w14:paraId="0F99A882">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rPr>
        <w:t>2.2.9</w:t>
      </w:r>
      <w:r>
        <w:rPr>
          <w:rFonts w:hint="eastAsia" w:ascii="宋体" w:hAnsi="宋体" w:eastAsia="宋体" w:cs="宋体"/>
          <w:b w:val="0"/>
          <w:bCs w:val="0"/>
          <w:color w:val="auto"/>
          <w:kern w:val="0"/>
          <w:sz w:val="21"/>
          <w:szCs w:val="21"/>
        </w:rPr>
        <w:t>严禁对员工、来宾、送货者、应聘者索取好处，贪小便宜；</w:t>
      </w:r>
    </w:p>
    <w:p w14:paraId="06FCF79F">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rPr>
        <w:t>2.2.10</w:t>
      </w:r>
      <w:r>
        <w:rPr>
          <w:rFonts w:hint="eastAsia" w:ascii="宋体" w:hAnsi="宋体" w:eastAsia="宋体" w:cs="宋体"/>
          <w:b w:val="0"/>
          <w:bCs w:val="0"/>
          <w:color w:val="auto"/>
          <w:kern w:val="0"/>
          <w:sz w:val="21"/>
          <w:szCs w:val="21"/>
        </w:rPr>
        <w:t>值勤保安如遇突发事件，要及时灵活处理，并速报队长或相关人员，需要备勤保安支援的立即通知，不得拖延时间或误报；</w:t>
      </w:r>
    </w:p>
    <w:p w14:paraId="1105C8CC">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rPr>
        <w:t>2.2.11</w:t>
      </w:r>
      <w:r>
        <w:rPr>
          <w:rFonts w:hint="eastAsia" w:ascii="宋体" w:hAnsi="宋体" w:eastAsia="宋体" w:cs="宋体"/>
          <w:b w:val="0"/>
          <w:bCs w:val="0"/>
          <w:color w:val="auto"/>
          <w:kern w:val="0"/>
          <w:sz w:val="21"/>
          <w:szCs w:val="21"/>
        </w:rPr>
        <w:t>夜班值勤保安要注意电话来访，不能及时交办的要详细记录以便次日及时转告；</w:t>
      </w:r>
    </w:p>
    <w:p w14:paraId="3E147E37">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rPr>
        <w:t>2.2.12</w:t>
      </w:r>
      <w:r>
        <w:rPr>
          <w:rFonts w:hint="eastAsia" w:ascii="宋体" w:hAnsi="宋体" w:eastAsia="宋体" w:cs="宋体"/>
          <w:b w:val="0"/>
          <w:bCs w:val="0"/>
          <w:color w:val="auto"/>
          <w:kern w:val="0"/>
          <w:sz w:val="21"/>
          <w:szCs w:val="21"/>
        </w:rPr>
        <w:t>值勤保安不得监守自盗、营私舞弊、假公济私，若有违法之情节，将依法</w:t>
      </w:r>
      <w:r>
        <w:rPr>
          <w:rFonts w:hint="eastAsia" w:ascii="宋体" w:hAnsi="宋体" w:eastAsia="宋体" w:cs="宋体"/>
          <w:b w:val="0"/>
          <w:bCs w:val="0"/>
          <w:color w:val="auto"/>
          <w:kern w:val="0"/>
          <w:sz w:val="21"/>
          <w:szCs w:val="21"/>
          <w:lang w:val="en-US" w:eastAsia="zh-CN"/>
        </w:rPr>
        <w:t>追究</w:t>
      </w:r>
      <w:r>
        <w:rPr>
          <w:rFonts w:hint="eastAsia" w:ascii="宋体" w:hAnsi="宋体" w:eastAsia="宋体" w:cs="宋体"/>
          <w:b w:val="0"/>
          <w:bCs w:val="0"/>
          <w:color w:val="auto"/>
          <w:kern w:val="0"/>
          <w:sz w:val="21"/>
          <w:szCs w:val="21"/>
        </w:rPr>
        <w:t>；</w:t>
      </w:r>
    </w:p>
    <w:p w14:paraId="39534F23">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rPr>
        <w:t>2.2.13</w:t>
      </w:r>
      <w:r>
        <w:rPr>
          <w:rFonts w:hint="eastAsia" w:ascii="宋体" w:hAnsi="宋体" w:eastAsia="宋体" w:cs="宋体"/>
          <w:b w:val="0"/>
          <w:bCs w:val="0"/>
          <w:color w:val="auto"/>
          <w:kern w:val="0"/>
          <w:sz w:val="21"/>
          <w:szCs w:val="21"/>
        </w:rPr>
        <w:t>文明执勤，严禁秽言污语，粗野暴蛮和其它有损</w:t>
      </w:r>
      <w:r>
        <w:rPr>
          <w:rFonts w:hint="eastAsia" w:ascii="宋体" w:hAnsi="宋体" w:eastAsia="宋体" w:cs="宋体"/>
          <w:b w:val="0"/>
          <w:bCs w:val="0"/>
          <w:color w:val="auto"/>
          <w:kern w:val="0"/>
          <w:sz w:val="21"/>
          <w:szCs w:val="21"/>
          <w:lang w:val="en-US" w:eastAsia="zh-CN"/>
        </w:rPr>
        <w:t>甲方</w:t>
      </w:r>
      <w:r>
        <w:rPr>
          <w:rFonts w:hint="eastAsia" w:ascii="宋体" w:hAnsi="宋体" w:eastAsia="宋体" w:cs="宋体"/>
          <w:b w:val="0"/>
          <w:bCs w:val="0"/>
          <w:color w:val="auto"/>
          <w:kern w:val="0"/>
          <w:sz w:val="21"/>
          <w:szCs w:val="21"/>
        </w:rPr>
        <w:t>形象之行为；</w:t>
      </w:r>
    </w:p>
    <w:p w14:paraId="015EE601">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rPr>
        <w:t>2.2.14</w:t>
      </w:r>
      <w:r>
        <w:rPr>
          <w:rFonts w:hint="eastAsia" w:ascii="宋体" w:hAnsi="宋体" w:eastAsia="宋体" w:cs="宋体"/>
          <w:b w:val="0"/>
          <w:bCs w:val="0"/>
          <w:color w:val="auto"/>
          <w:kern w:val="0"/>
          <w:sz w:val="21"/>
          <w:szCs w:val="21"/>
        </w:rPr>
        <w:t>保安员务必服从命令，听从指挥严禁暴行犯上；</w:t>
      </w:r>
    </w:p>
    <w:p w14:paraId="2B673943">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rPr>
        <w:t>2.2.15</w:t>
      </w:r>
      <w:r>
        <w:rPr>
          <w:rFonts w:hint="eastAsia" w:ascii="宋体" w:hAnsi="宋体" w:eastAsia="宋体" w:cs="宋体"/>
          <w:b w:val="0"/>
          <w:bCs w:val="0"/>
          <w:color w:val="auto"/>
          <w:kern w:val="0"/>
          <w:sz w:val="21"/>
          <w:szCs w:val="21"/>
        </w:rPr>
        <w:t xml:space="preserve">派驻保安员值班，保障服务范围内工作人员的人身安全和财产安全，维护正常治安秩序，以预防为主，做好防火、防盗、防破坏、防治安灾害事故工作，提高警惕，尽力避免事故的发生，文明、规范，安全、高效地履行工作职责； </w:t>
      </w:r>
    </w:p>
    <w:p w14:paraId="6BDBCF29">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rPr>
        <w:t>2.2.16</w:t>
      </w:r>
      <w:r>
        <w:rPr>
          <w:rFonts w:hint="eastAsia" w:ascii="宋体" w:hAnsi="宋体" w:eastAsia="宋体" w:cs="宋体"/>
          <w:b w:val="0"/>
          <w:bCs w:val="0"/>
          <w:color w:val="auto"/>
          <w:kern w:val="0"/>
          <w:sz w:val="21"/>
          <w:szCs w:val="21"/>
        </w:rPr>
        <w:t>熟悉安保设备、设施的安置地点，实行定时定点巡逻检查，如视频监控、110联网防盗报警系统、电子围栏（红外对射）设备检测及巡查，发现问题及时上报相关维修人员；</w:t>
      </w:r>
    </w:p>
    <w:p w14:paraId="6F290146">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rPr>
        <w:t>2.2.17</w:t>
      </w:r>
      <w:r>
        <w:rPr>
          <w:rFonts w:hint="eastAsia" w:ascii="宋体" w:hAnsi="宋体" w:eastAsia="宋体" w:cs="宋体"/>
          <w:b w:val="0"/>
          <w:bCs w:val="0"/>
          <w:color w:val="auto"/>
          <w:kern w:val="0"/>
          <w:sz w:val="21"/>
          <w:szCs w:val="21"/>
        </w:rPr>
        <w:t>熟悉服务场地环境，服务场地内外的巡查（固定或不固定）路线，每天巡查不少于12次，每2个小时巡查一次，包括但不限于按要求定期巡逻定点打卡，如厂区外墙巡查及厂区内安保巡查；</w:t>
      </w:r>
    </w:p>
    <w:p w14:paraId="03201CD5">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rPr>
        <w:t>2.2.18</w:t>
      </w:r>
      <w:r>
        <w:rPr>
          <w:rFonts w:hint="eastAsia" w:ascii="宋体" w:hAnsi="宋体" w:eastAsia="宋体" w:cs="宋体"/>
          <w:b w:val="0"/>
          <w:bCs w:val="0"/>
          <w:color w:val="auto"/>
          <w:kern w:val="0"/>
          <w:sz w:val="21"/>
          <w:szCs w:val="21"/>
        </w:rPr>
        <w:t>负责服务场地信件、报刊杂志派送工作；</w:t>
      </w:r>
    </w:p>
    <w:p w14:paraId="02838AEC">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rPr>
        <w:t>2.2.19</w:t>
      </w:r>
      <w:r>
        <w:rPr>
          <w:rFonts w:hint="eastAsia" w:ascii="宋体" w:hAnsi="宋体" w:eastAsia="宋体" w:cs="宋体"/>
          <w:b w:val="0"/>
          <w:bCs w:val="0"/>
          <w:color w:val="auto"/>
          <w:kern w:val="0"/>
          <w:sz w:val="21"/>
          <w:szCs w:val="21"/>
        </w:rPr>
        <w:t>对服务范围安全隐患的检查、排查、制止人员破坏行为，清理无关人员逗留</w:t>
      </w:r>
      <w:r>
        <w:rPr>
          <w:rFonts w:hint="eastAsia" w:ascii="宋体" w:hAnsi="宋体" w:eastAsia="宋体" w:cs="宋体"/>
          <w:b w:val="0"/>
          <w:bCs w:val="0"/>
          <w:color w:val="auto"/>
          <w:kern w:val="0"/>
          <w:sz w:val="21"/>
          <w:szCs w:val="21"/>
          <w:lang w:eastAsia="zh-CN"/>
        </w:rPr>
        <w:t>甲方</w:t>
      </w:r>
      <w:r>
        <w:rPr>
          <w:rFonts w:hint="eastAsia" w:ascii="宋体" w:hAnsi="宋体" w:eastAsia="宋体" w:cs="宋体"/>
          <w:b w:val="0"/>
          <w:bCs w:val="0"/>
          <w:color w:val="auto"/>
          <w:kern w:val="0"/>
          <w:sz w:val="21"/>
          <w:szCs w:val="21"/>
        </w:rPr>
        <w:t>物业场所；制止流氓滋事，打架斗殴、敲诈勒索等各类案件；</w:t>
      </w:r>
    </w:p>
    <w:p w14:paraId="135E3BF0">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rPr>
        <w:t>2.2.20</w:t>
      </w:r>
      <w:r>
        <w:rPr>
          <w:rFonts w:hint="eastAsia" w:ascii="宋体" w:hAnsi="宋体" w:eastAsia="宋体" w:cs="宋体"/>
          <w:b w:val="0"/>
          <w:bCs w:val="0"/>
          <w:color w:val="auto"/>
          <w:kern w:val="0"/>
          <w:sz w:val="21"/>
          <w:szCs w:val="21"/>
        </w:rPr>
        <w:t>承担</w:t>
      </w:r>
      <w:r>
        <w:rPr>
          <w:rFonts w:hint="eastAsia" w:ascii="宋体" w:hAnsi="宋体" w:eastAsia="宋体" w:cs="宋体"/>
          <w:b w:val="0"/>
          <w:bCs w:val="0"/>
          <w:color w:val="auto"/>
          <w:kern w:val="0"/>
          <w:sz w:val="21"/>
          <w:szCs w:val="21"/>
          <w:lang w:eastAsia="zh-CN"/>
        </w:rPr>
        <w:t>甲方</w:t>
      </w:r>
      <w:r>
        <w:rPr>
          <w:rFonts w:hint="eastAsia" w:ascii="宋体" w:hAnsi="宋体" w:eastAsia="宋体" w:cs="宋体"/>
          <w:b w:val="0"/>
          <w:bCs w:val="0"/>
          <w:color w:val="auto"/>
          <w:kern w:val="0"/>
          <w:sz w:val="21"/>
          <w:szCs w:val="21"/>
        </w:rPr>
        <w:t>提供的保安业务使用的办公及安保设施、设备，如桌椅、凳、对讲机、电话等维护保养工作，故意或过失破坏上述设施、设备的，由</w:t>
      </w:r>
      <w:r>
        <w:rPr>
          <w:rFonts w:hint="eastAsia" w:ascii="宋体" w:hAnsi="宋体" w:eastAsia="宋体" w:cs="宋体"/>
          <w:b w:val="0"/>
          <w:bCs w:val="0"/>
          <w:color w:val="auto"/>
          <w:kern w:val="0"/>
          <w:sz w:val="21"/>
          <w:szCs w:val="21"/>
          <w:lang w:val="en-US" w:eastAsia="zh-CN"/>
        </w:rPr>
        <w:t>乙方</w:t>
      </w:r>
      <w:r>
        <w:rPr>
          <w:rFonts w:hint="eastAsia" w:ascii="宋体" w:hAnsi="宋体" w:eastAsia="宋体" w:cs="宋体"/>
          <w:b w:val="0"/>
          <w:bCs w:val="0"/>
          <w:color w:val="auto"/>
          <w:kern w:val="0"/>
          <w:sz w:val="21"/>
          <w:szCs w:val="21"/>
        </w:rPr>
        <w:t>照价赔偿；</w:t>
      </w:r>
    </w:p>
    <w:p w14:paraId="3C06E768">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rPr>
        <w:t>2.2.21</w:t>
      </w:r>
      <w:r>
        <w:rPr>
          <w:rFonts w:hint="eastAsia" w:ascii="宋体" w:hAnsi="宋体" w:eastAsia="宋体" w:cs="宋体"/>
          <w:b w:val="0"/>
          <w:bCs w:val="0"/>
          <w:color w:val="auto"/>
          <w:kern w:val="0"/>
          <w:sz w:val="21"/>
          <w:szCs w:val="21"/>
        </w:rPr>
        <w:t>配合属地公安部门的巡检、及时响应、反恐等工作及突发事件演练；</w:t>
      </w:r>
    </w:p>
    <w:p w14:paraId="58241B43">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rPr>
        <w:t>2.2.22</w:t>
      </w:r>
      <w:r>
        <w:rPr>
          <w:rFonts w:hint="eastAsia" w:ascii="宋体" w:hAnsi="宋体" w:eastAsia="宋体" w:cs="宋体"/>
          <w:b w:val="0"/>
          <w:bCs w:val="0"/>
          <w:color w:val="auto"/>
          <w:kern w:val="0"/>
          <w:sz w:val="21"/>
          <w:szCs w:val="21"/>
        </w:rPr>
        <w:t>按</w:t>
      </w:r>
      <w:r>
        <w:rPr>
          <w:rFonts w:hint="eastAsia" w:ascii="宋体" w:hAnsi="宋体" w:eastAsia="宋体" w:cs="宋体"/>
          <w:b w:val="0"/>
          <w:bCs w:val="0"/>
          <w:color w:val="auto"/>
          <w:kern w:val="0"/>
          <w:sz w:val="21"/>
          <w:szCs w:val="21"/>
          <w:lang w:eastAsia="zh-CN"/>
        </w:rPr>
        <w:t>甲方</w:t>
      </w:r>
      <w:r>
        <w:rPr>
          <w:rFonts w:hint="eastAsia" w:ascii="宋体" w:hAnsi="宋体" w:eastAsia="宋体" w:cs="宋体"/>
          <w:b w:val="0"/>
          <w:bCs w:val="0"/>
          <w:color w:val="auto"/>
          <w:kern w:val="0"/>
          <w:sz w:val="21"/>
          <w:szCs w:val="21"/>
        </w:rPr>
        <w:t>要求做好外来人员（车辆）出入检查、登记、停放等工作；</w:t>
      </w:r>
    </w:p>
    <w:p w14:paraId="1D2E4B56">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rPr>
        <w:t>2.2.23</w:t>
      </w:r>
      <w:r>
        <w:rPr>
          <w:rFonts w:hint="eastAsia" w:ascii="宋体" w:hAnsi="宋体" w:eastAsia="宋体" w:cs="宋体"/>
          <w:b w:val="0"/>
          <w:bCs w:val="0"/>
          <w:color w:val="auto"/>
          <w:kern w:val="0"/>
          <w:sz w:val="21"/>
          <w:szCs w:val="21"/>
        </w:rPr>
        <w:t>其它属于保安服务范围内的</w:t>
      </w:r>
      <w:r>
        <w:rPr>
          <w:rFonts w:hint="eastAsia" w:ascii="宋体" w:hAnsi="宋体" w:eastAsia="宋体" w:cs="宋体"/>
          <w:b w:val="0"/>
          <w:bCs w:val="0"/>
          <w:color w:val="auto"/>
          <w:kern w:val="0"/>
          <w:sz w:val="21"/>
          <w:szCs w:val="21"/>
          <w:lang w:eastAsia="zh-CN"/>
        </w:rPr>
        <w:t>甲方</w:t>
      </w:r>
      <w:r>
        <w:rPr>
          <w:rFonts w:hint="eastAsia" w:ascii="宋体" w:hAnsi="宋体" w:eastAsia="宋体" w:cs="宋体"/>
          <w:b w:val="0"/>
          <w:bCs w:val="0"/>
          <w:color w:val="auto"/>
          <w:kern w:val="0"/>
          <w:sz w:val="21"/>
          <w:szCs w:val="21"/>
        </w:rPr>
        <w:t>临时交办的任务。</w:t>
      </w:r>
    </w:p>
    <w:p w14:paraId="25F94F09">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color w:val="auto"/>
          <w:sz w:val="21"/>
          <w:szCs w:val="21"/>
          <w:lang w:val="en-US" w:eastAsia="zh-CN"/>
        </w:rPr>
        <w:t>2.3</w:t>
      </w:r>
      <w:r>
        <w:rPr>
          <w:rFonts w:hint="eastAsia" w:ascii="宋体" w:hAnsi="宋体" w:eastAsia="宋体" w:cs="宋体"/>
          <w:b w:val="0"/>
          <w:bCs w:val="0"/>
          <w:color w:val="auto"/>
          <w:kern w:val="0"/>
          <w:sz w:val="21"/>
          <w:szCs w:val="21"/>
        </w:rPr>
        <w:t xml:space="preserve">工作质量要求 </w:t>
      </w:r>
    </w:p>
    <w:p w14:paraId="6649E7F4">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rPr>
        <w:t>2.3.1</w:t>
      </w:r>
      <w:r>
        <w:rPr>
          <w:rFonts w:hint="eastAsia" w:ascii="宋体" w:hAnsi="宋体" w:eastAsia="宋体" w:cs="宋体"/>
          <w:b w:val="0"/>
          <w:bCs w:val="0"/>
          <w:color w:val="auto"/>
          <w:kern w:val="0"/>
          <w:sz w:val="21"/>
          <w:szCs w:val="21"/>
        </w:rPr>
        <w:t>安全保卫工作和维持办公秩序的整体设施和应急器械完备、实用；</w:t>
      </w:r>
    </w:p>
    <w:p w14:paraId="029B8C49">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rPr>
        <w:t>2.3.2</w:t>
      </w:r>
      <w:r>
        <w:rPr>
          <w:rFonts w:hint="eastAsia" w:ascii="宋体" w:hAnsi="宋体" w:eastAsia="宋体" w:cs="宋体"/>
          <w:b w:val="0"/>
          <w:bCs w:val="0"/>
          <w:color w:val="auto"/>
          <w:kern w:val="0"/>
          <w:sz w:val="21"/>
          <w:szCs w:val="21"/>
        </w:rPr>
        <w:t>管理服务中突击性工作与长效管理相结合且有计划性；</w:t>
      </w:r>
    </w:p>
    <w:p w14:paraId="7728F0E2">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rPr>
        <w:t>2.3.3</w:t>
      </w:r>
      <w:r>
        <w:rPr>
          <w:rFonts w:hint="eastAsia" w:ascii="宋体" w:hAnsi="宋体" w:eastAsia="宋体" w:cs="宋体"/>
          <w:b w:val="0"/>
          <w:bCs w:val="0"/>
          <w:color w:val="auto"/>
          <w:kern w:val="0"/>
          <w:sz w:val="21"/>
          <w:szCs w:val="21"/>
        </w:rPr>
        <w:t>管理服务质量目标需满足本用户需求规定的标准，并且能够在管理中随时接受行业主管部门的质量审核；</w:t>
      </w:r>
    </w:p>
    <w:p w14:paraId="0188C7A8">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rPr>
        <w:t>2.3.4乙方</w:t>
      </w:r>
      <w:r>
        <w:rPr>
          <w:rFonts w:hint="eastAsia" w:ascii="宋体" w:hAnsi="宋体" w:eastAsia="宋体" w:cs="宋体"/>
          <w:b w:val="0"/>
          <w:bCs w:val="0"/>
          <w:color w:val="auto"/>
          <w:kern w:val="0"/>
          <w:sz w:val="21"/>
          <w:szCs w:val="21"/>
        </w:rPr>
        <w:t>须对其派驻的保安人员自身在服务期内所发生的</w:t>
      </w:r>
      <w:r>
        <w:rPr>
          <w:rFonts w:hint="eastAsia" w:ascii="宋体" w:hAnsi="宋体" w:eastAsia="宋体" w:cs="宋体"/>
          <w:b w:val="0"/>
          <w:bCs w:val="0"/>
          <w:color w:val="auto"/>
          <w:kern w:val="0"/>
          <w:sz w:val="21"/>
          <w:szCs w:val="21"/>
          <w:lang w:val="en-US" w:eastAsia="zh-CN"/>
        </w:rPr>
        <w:t>人身</w:t>
      </w:r>
      <w:r>
        <w:rPr>
          <w:rFonts w:hint="eastAsia" w:ascii="宋体" w:hAnsi="宋体" w:eastAsia="宋体" w:cs="宋体"/>
          <w:b w:val="0"/>
          <w:bCs w:val="0"/>
          <w:color w:val="auto"/>
          <w:kern w:val="0"/>
          <w:sz w:val="21"/>
          <w:szCs w:val="21"/>
        </w:rPr>
        <w:t>安全和交通事故负责，</w:t>
      </w:r>
      <w:r>
        <w:rPr>
          <w:rFonts w:hint="eastAsia" w:ascii="宋体" w:hAnsi="宋体" w:eastAsia="宋体" w:cs="宋体"/>
          <w:b w:val="0"/>
          <w:bCs w:val="0"/>
          <w:color w:val="auto"/>
          <w:kern w:val="0"/>
          <w:sz w:val="21"/>
          <w:szCs w:val="21"/>
          <w:lang w:val="en-US" w:eastAsia="zh-CN"/>
        </w:rPr>
        <w:t>甲方</w:t>
      </w:r>
      <w:r>
        <w:rPr>
          <w:rFonts w:hint="eastAsia" w:ascii="宋体" w:hAnsi="宋体" w:eastAsia="宋体" w:cs="宋体"/>
          <w:b w:val="0"/>
          <w:bCs w:val="0"/>
          <w:color w:val="auto"/>
          <w:kern w:val="0"/>
          <w:sz w:val="21"/>
          <w:szCs w:val="21"/>
        </w:rPr>
        <w:t>不承担任何责任。</w:t>
      </w:r>
    </w:p>
    <w:p w14:paraId="4E4C8A8B">
      <w:pPr>
        <w:keepNext w:val="0"/>
        <w:keepLines w:val="0"/>
        <w:pageBreakBefore w:val="0"/>
        <w:widowControl/>
        <w:kinsoku/>
        <w:wordWrap/>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highlight w:val="none"/>
        </w:rPr>
        <w:t xml:space="preserve">服务成果要求 </w:t>
      </w:r>
    </w:p>
    <w:p w14:paraId="184BEB14">
      <w:pPr>
        <w:keepNext w:val="0"/>
        <w:keepLines w:val="0"/>
        <w:pageBreakBefore w:val="0"/>
        <w:widowControl/>
        <w:kinsoku/>
        <w:wordWrap/>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lang w:val="en-US" w:eastAsia="zh-CN"/>
        </w:rPr>
        <w:t>2.4.1</w:t>
      </w:r>
      <w:r>
        <w:rPr>
          <w:rFonts w:hint="eastAsia" w:ascii="宋体" w:hAnsi="宋体" w:eastAsia="宋体" w:cs="宋体"/>
          <w:color w:val="auto"/>
          <w:sz w:val="21"/>
          <w:szCs w:val="21"/>
          <w:highlight w:val="none"/>
        </w:rPr>
        <w:t>在服务期内无因</w:t>
      </w:r>
      <w:r>
        <w:rPr>
          <w:rFonts w:hint="eastAsia" w:ascii="宋体" w:hAnsi="宋体" w:eastAsia="宋体" w:cs="宋体"/>
          <w:color w:val="auto"/>
          <w:sz w:val="21"/>
          <w:szCs w:val="21"/>
          <w:highlight w:val="none"/>
          <w:lang w:val="en-US" w:eastAsia="zh-CN"/>
        </w:rPr>
        <w:t>乙方的安保原因而</w:t>
      </w:r>
      <w:r>
        <w:rPr>
          <w:rFonts w:hint="eastAsia" w:ascii="宋体" w:hAnsi="宋体" w:eastAsia="宋体" w:cs="宋体"/>
          <w:color w:val="auto"/>
          <w:sz w:val="21"/>
          <w:szCs w:val="21"/>
          <w:highlight w:val="none"/>
        </w:rPr>
        <w:t>造成的重大安全事故发生、</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派驻的保安人员无重大安全事故发生。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重大安全事故是指造成重大人身伤亡或者造成重大经济损失的事故：①一次死亡1 人；②一次重伤 3 人以上；③重大火灾事故（着火面积达到 300㎡以上）；④一次造成重大直接经济损失的（5 万元以上）。</w:t>
      </w:r>
      <w:r>
        <w:rPr>
          <w:rFonts w:hint="eastAsia" w:ascii="宋体" w:hAnsi="宋体" w:eastAsia="宋体" w:cs="宋体"/>
          <w:color w:val="auto"/>
          <w:sz w:val="21"/>
          <w:szCs w:val="21"/>
          <w:highlight w:val="none"/>
          <w:lang w:eastAsia="zh-CN"/>
        </w:rPr>
        <w:t>】</w:t>
      </w:r>
    </w:p>
    <w:p w14:paraId="57B24A8A">
      <w:pPr>
        <w:keepNext w:val="0"/>
        <w:keepLines w:val="0"/>
        <w:pageBreakBefore w:val="0"/>
        <w:widowControl/>
        <w:kinsoku/>
        <w:wordWrap/>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lang w:val="en-US" w:eastAsia="zh-CN"/>
        </w:rPr>
        <w:t>2.4.2</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要制定保安管理发展规划，使</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满意率达90%以上（即考核取得 90 分或以上）。</w:t>
      </w:r>
    </w:p>
    <w:p w14:paraId="196FC29A">
      <w:pPr>
        <w:keepNext w:val="0"/>
        <w:keepLines w:val="0"/>
        <w:pageBreakBefore w:val="0"/>
        <w:widowControl/>
        <w:kinsoku/>
        <w:wordWrap/>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highlight w:val="none"/>
        </w:rPr>
        <w:t xml:space="preserve">项目参考标准 </w:t>
      </w:r>
    </w:p>
    <w:p w14:paraId="1638B28F">
      <w:pPr>
        <w:keepNext w:val="0"/>
        <w:keepLines w:val="0"/>
        <w:pageBreakBefore w:val="0"/>
        <w:widowControl/>
        <w:kinsoku/>
        <w:wordWrap/>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《保安服务管理条例》《中华人民共和国治安管理处罚法》等法律法规。 </w:t>
      </w:r>
    </w:p>
    <w:p w14:paraId="08E9359A">
      <w:pPr>
        <w:keepNext w:val="0"/>
        <w:keepLines w:val="0"/>
        <w:pageBreakBefore w:val="0"/>
        <w:widowControl/>
        <w:kinsoku/>
        <w:wordWrap/>
        <w:overflowPunct/>
        <w:topLinePunct w:val="0"/>
        <w:bidi w:val="0"/>
        <w:snapToGrid/>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lang w:val="en-US" w:eastAsia="zh-CN"/>
        </w:rPr>
        <w:t>2.6</w:t>
      </w:r>
      <w:r>
        <w:rPr>
          <w:rFonts w:hint="eastAsia" w:ascii="宋体" w:hAnsi="宋体" w:eastAsia="宋体" w:cs="宋体"/>
          <w:b w:val="0"/>
          <w:bCs w:val="0"/>
          <w:color w:val="auto"/>
          <w:sz w:val="21"/>
          <w:szCs w:val="21"/>
          <w:highlight w:val="none"/>
        </w:rPr>
        <w:t xml:space="preserve">保安人员配置说明 </w:t>
      </w:r>
    </w:p>
    <w:p w14:paraId="15E802F4">
      <w:pPr>
        <w:keepNext w:val="0"/>
        <w:keepLines w:val="0"/>
        <w:pageBreakBefore w:val="0"/>
        <w:widowControl/>
        <w:kinsoku/>
        <w:wordWrap/>
        <w:overflowPunct/>
        <w:topLinePunct w:val="0"/>
        <w:bidi w:val="0"/>
        <w:snapToGrid/>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基于</w:t>
      </w:r>
      <w:r>
        <w:rPr>
          <w:rFonts w:hint="eastAsia" w:ascii="宋体" w:hAnsi="宋体" w:eastAsia="宋体" w:cs="宋体"/>
          <w:b w:val="0"/>
          <w:bCs w:val="0"/>
          <w:color w:val="auto"/>
          <w:sz w:val="21"/>
          <w:szCs w:val="21"/>
          <w:highlight w:val="none"/>
          <w:lang w:val="en-US" w:eastAsia="zh-CN"/>
        </w:rPr>
        <w:t>甲方实际经营</w:t>
      </w:r>
      <w:r>
        <w:rPr>
          <w:rFonts w:hint="eastAsia" w:ascii="宋体" w:hAnsi="宋体" w:eastAsia="宋体" w:cs="宋体"/>
          <w:b w:val="0"/>
          <w:bCs w:val="0"/>
          <w:color w:val="auto"/>
          <w:sz w:val="21"/>
          <w:szCs w:val="21"/>
          <w:highlight w:val="none"/>
        </w:rPr>
        <w:t>情况，人员配置按以下安排：（1）保安执行三班</w:t>
      </w:r>
      <w:r>
        <w:rPr>
          <w:rFonts w:hint="eastAsia" w:ascii="宋体" w:hAnsi="宋体" w:eastAsia="宋体" w:cs="宋体"/>
          <w:b w:val="0"/>
          <w:bCs w:val="0"/>
          <w:color w:val="auto"/>
          <w:sz w:val="21"/>
          <w:szCs w:val="21"/>
          <w:highlight w:val="none"/>
          <w:lang w:val="en-US" w:eastAsia="zh-CN"/>
        </w:rPr>
        <w:t>倒</w:t>
      </w:r>
      <w:r>
        <w:rPr>
          <w:rFonts w:hint="eastAsia" w:ascii="宋体" w:hAnsi="宋体" w:eastAsia="宋体" w:cs="宋体"/>
          <w:b w:val="0"/>
          <w:bCs w:val="0"/>
          <w:color w:val="auto"/>
          <w:sz w:val="21"/>
          <w:szCs w:val="21"/>
          <w:highlight w:val="none"/>
        </w:rPr>
        <w:t>工作制，实行 24 小时值班，每班次8小时，按用户需求书的人员配置分配到每班中，或根据</w:t>
      </w:r>
      <w:r>
        <w:rPr>
          <w:rFonts w:hint="eastAsia" w:ascii="宋体" w:hAnsi="宋体" w:eastAsia="宋体" w:cs="宋体"/>
          <w:b w:val="0"/>
          <w:bCs w:val="0"/>
          <w:color w:val="auto"/>
          <w:sz w:val="21"/>
          <w:szCs w:val="21"/>
          <w:highlight w:val="none"/>
          <w:lang w:eastAsia="zh-CN"/>
        </w:rPr>
        <w:t>甲方</w:t>
      </w:r>
      <w:r>
        <w:rPr>
          <w:rFonts w:hint="eastAsia" w:ascii="宋体" w:hAnsi="宋体" w:eastAsia="宋体" w:cs="宋体"/>
          <w:b w:val="0"/>
          <w:bCs w:val="0"/>
          <w:color w:val="auto"/>
          <w:sz w:val="21"/>
          <w:szCs w:val="21"/>
          <w:highlight w:val="none"/>
        </w:rPr>
        <w:t>运营</w:t>
      </w:r>
      <w:r>
        <w:rPr>
          <w:rFonts w:hint="eastAsia" w:ascii="宋体" w:hAnsi="宋体" w:eastAsia="宋体" w:cs="宋体"/>
          <w:b w:val="0"/>
          <w:bCs w:val="0"/>
          <w:color w:val="auto"/>
          <w:sz w:val="21"/>
          <w:szCs w:val="21"/>
          <w:highlight w:val="none"/>
          <w:lang w:val="en-US" w:eastAsia="zh-CN"/>
        </w:rPr>
        <w:t>地</w:t>
      </w:r>
      <w:r>
        <w:rPr>
          <w:rFonts w:hint="eastAsia" w:ascii="宋体" w:hAnsi="宋体" w:eastAsia="宋体" w:cs="宋体"/>
          <w:b w:val="0"/>
          <w:bCs w:val="0"/>
          <w:color w:val="auto"/>
          <w:sz w:val="21"/>
          <w:szCs w:val="21"/>
          <w:highlight w:val="none"/>
        </w:rPr>
        <w:t>的工作要求合理安排每班次安保岗位的人数；（</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）每班人员不能重复，严格按照保安人员配置表要求人数上班，保证服务范围内的人员财产安全，</w:t>
      </w:r>
      <w:r>
        <w:rPr>
          <w:rFonts w:hint="eastAsia" w:ascii="宋体" w:hAnsi="宋体" w:eastAsia="宋体" w:cs="宋体"/>
          <w:b w:val="0"/>
          <w:bCs w:val="0"/>
          <w:color w:val="auto"/>
          <w:sz w:val="21"/>
          <w:szCs w:val="21"/>
          <w:highlight w:val="none"/>
          <w:lang w:val="en-US" w:eastAsia="zh-CN"/>
        </w:rPr>
        <w:t>每个服务地</w:t>
      </w:r>
      <w:r>
        <w:rPr>
          <w:rFonts w:hint="eastAsia" w:ascii="宋体" w:hAnsi="宋体" w:eastAsia="宋体" w:cs="宋体"/>
          <w:b w:val="0"/>
          <w:bCs w:val="0"/>
          <w:color w:val="auto"/>
          <w:sz w:val="21"/>
          <w:szCs w:val="21"/>
          <w:highlight w:val="none"/>
        </w:rPr>
        <w:t>应设保安队长1名。</w:t>
      </w:r>
    </w:p>
    <w:p w14:paraId="74BAD895">
      <w:pPr>
        <w:keepNext w:val="0"/>
        <w:keepLines w:val="0"/>
        <w:pageBreakBefore w:val="0"/>
        <w:widowControl/>
        <w:kinsoku/>
        <w:wordWrap/>
        <w:overflowPunct/>
        <w:topLinePunct w:val="0"/>
        <w:bidi w:val="0"/>
        <w:snapToGrid/>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lang w:val="en-US" w:eastAsia="zh-CN"/>
        </w:rPr>
        <w:t>2.7</w:t>
      </w:r>
      <w:r>
        <w:rPr>
          <w:rFonts w:hint="eastAsia" w:ascii="宋体" w:hAnsi="宋体" w:eastAsia="宋体" w:cs="宋体"/>
          <w:b w:val="0"/>
          <w:bCs w:val="0"/>
          <w:color w:val="auto"/>
          <w:sz w:val="21"/>
          <w:szCs w:val="21"/>
          <w:highlight w:val="none"/>
          <w:lang w:val="en-US" w:eastAsia="zh-CN"/>
        </w:rPr>
        <w:t>乙方</w:t>
      </w:r>
      <w:r>
        <w:rPr>
          <w:rFonts w:hint="eastAsia" w:ascii="宋体" w:hAnsi="宋体" w:eastAsia="宋体" w:cs="宋体"/>
          <w:b w:val="0"/>
          <w:bCs w:val="0"/>
          <w:color w:val="auto"/>
          <w:sz w:val="21"/>
          <w:szCs w:val="21"/>
          <w:highlight w:val="none"/>
        </w:rPr>
        <w:t xml:space="preserve">派驻服务范围内的保安员素质要求 </w:t>
      </w:r>
    </w:p>
    <w:p w14:paraId="6D098539">
      <w:pPr>
        <w:keepNext w:val="0"/>
        <w:keepLines w:val="0"/>
        <w:pageBreakBefore w:val="0"/>
        <w:widowControl/>
        <w:kinsoku/>
        <w:wordWrap/>
        <w:overflowPunct/>
        <w:topLinePunct w:val="0"/>
        <w:bidi w:val="0"/>
        <w:snapToGrid/>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rPr>
        <w:t>2.7.1</w:t>
      </w:r>
      <w:r>
        <w:rPr>
          <w:rFonts w:hint="eastAsia" w:ascii="宋体" w:hAnsi="宋体" w:eastAsia="宋体" w:cs="宋体"/>
          <w:b w:val="0"/>
          <w:bCs w:val="0"/>
          <w:color w:val="auto"/>
          <w:sz w:val="21"/>
          <w:szCs w:val="21"/>
          <w:highlight w:val="none"/>
        </w:rPr>
        <w:t>身高 165cm 以上，</w:t>
      </w:r>
      <w:r>
        <w:rPr>
          <w:rFonts w:hint="eastAsia" w:ascii="宋体" w:hAnsi="宋体" w:eastAsia="宋体" w:cs="宋体"/>
          <w:b w:val="0"/>
          <w:color w:val="auto"/>
          <w:sz w:val="21"/>
          <w:szCs w:val="21"/>
          <w:highlight w:val="none"/>
          <w:lang w:val="en-US" w:eastAsia="zh-CN"/>
        </w:rPr>
        <w:t>年龄在25-50岁之间，</w:t>
      </w:r>
      <w:r>
        <w:rPr>
          <w:rFonts w:hint="eastAsia" w:ascii="宋体" w:hAnsi="宋体" w:eastAsia="宋体" w:cs="宋体"/>
          <w:b w:val="0"/>
          <w:bCs w:val="0"/>
          <w:color w:val="auto"/>
          <w:sz w:val="21"/>
          <w:szCs w:val="21"/>
          <w:highlight w:val="none"/>
        </w:rPr>
        <w:t>五官端正，身体健康无残疾，无色盲，双眼裸视 0.8 以上；</w:t>
      </w:r>
    </w:p>
    <w:p w14:paraId="29173802">
      <w:pPr>
        <w:keepNext w:val="0"/>
        <w:keepLines w:val="0"/>
        <w:pageBreakBefore w:val="0"/>
        <w:widowControl/>
        <w:kinsoku/>
        <w:wordWrap/>
        <w:overflowPunct/>
        <w:topLinePunct w:val="0"/>
        <w:bidi w:val="0"/>
        <w:snapToGrid/>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lang w:val="en-US" w:eastAsia="zh-CN"/>
        </w:rPr>
        <w:t>2.7.2</w:t>
      </w:r>
      <w:r>
        <w:rPr>
          <w:rFonts w:hint="eastAsia" w:ascii="宋体" w:hAnsi="宋体" w:eastAsia="宋体" w:cs="宋体"/>
          <w:b w:val="0"/>
          <w:bCs w:val="0"/>
          <w:color w:val="auto"/>
          <w:sz w:val="21"/>
          <w:szCs w:val="21"/>
          <w:highlight w:val="none"/>
        </w:rPr>
        <w:t>无纹身，男性不得留长发、长胡须、不染发；</w:t>
      </w:r>
    </w:p>
    <w:p w14:paraId="68075155">
      <w:pPr>
        <w:keepNext w:val="0"/>
        <w:keepLines w:val="0"/>
        <w:pageBreakBefore w:val="0"/>
        <w:widowControl/>
        <w:kinsoku/>
        <w:wordWrap/>
        <w:overflowPunct/>
        <w:topLinePunct w:val="0"/>
        <w:bidi w:val="0"/>
        <w:snapToGrid/>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lang w:val="en-US" w:eastAsia="zh-CN"/>
        </w:rPr>
        <w:t>2.7.3</w:t>
      </w:r>
      <w:r>
        <w:rPr>
          <w:rFonts w:hint="eastAsia" w:ascii="宋体" w:hAnsi="宋体" w:eastAsia="宋体" w:cs="宋体"/>
          <w:b w:val="0"/>
          <w:bCs w:val="0"/>
          <w:color w:val="auto"/>
          <w:sz w:val="21"/>
          <w:szCs w:val="21"/>
          <w:highlight w:val="none"/>
        </w:rPr>
        <w:t>具备一定语言和文字表达能力；</w:t>
      </w:r>
    </w:p>
    <w:p w14:paraId="4B7C0354">
      <w:pPr>
        <w:keepNext w:val="0"/>
        <w:keepLines w:val="0"/>
        <w:pageBreakBefore w:val="0"/>
        <w:widowControl/>
        <w:kinsoku/>
        <w:wordWrap/>
        <w:overflowPunct/>
        <w:topLinePunct w:val="0"/>
        <w:bidi w:val="0"/>
        <w:snapToGrid/>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lang w:val="en-US" w:eastAsia="zh-CN"/>
        </w:rPr>
        <w:t>2.7.4</w:t>
      </w:r>
      <w:r>
        <w:rPr>
          <w:rFonts w:hint="eastAsia" w:ascii="宋体" w:hAnsi="宋体" w:eastAsia="宋体" w:cs="宋体"/>
          <w:b w:val="0"/>
          <w:bCs w:val="0"/>
          <w:color w:val="auto"/>
          <w:sz w:val="21"/>
          <w:szCs w:val="21"/>
          <w:highlight w:val="none"/>
        </w:rPr>
        <w:t>注重仪容仪表，文明执勤，礼貌服务；</w:t>
      </w:r>
    </w:p>
    <w:p w14:paraId="61F79B8E">
      <w:pPr>
        <w:keepNext w:val="0"/>
        <w:keepLines w:val="0"/>
        <w:pageBreakBefore w:val="0"/>
        <w:widowControl/>
        <w:kinsoku/>
        <w:wordWrap/>
        <w:overflowPunct/>
        <w:topLinePunct w:val="0"/>
        <w:bidi w:val="0"/>
        <w:snapToGrid/>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lang w:val="en-US" w:eastAsia="zh-CN"/>
        </w:rPr>
        <w:t>2.7.5</w:t>
      </w:r>
      <w:r>
        <w:rPr>
          <w:rFonts w:hint="eastAsia" w:ascii="宋体" w:hAnsi="宋体" w:eastAsia="宋体" w:cs="宋体"/>
          <w:b w:val="0"/>
          <w:bCs w:val="0"/>
          <w:color w:val="auto"/>
          <w:sz w:val="21"/>
          <w:szCs w:val="21"/>
          <w:highlight w:val="none"/>
        </w:rPr>
        <w:t>所有人员培训合格并持证上岗；</w:t>
      </w:r>
    </w:p>
    <w:p w14:paraId="46A3DAE5">
      <w:pPr>
        <w:keepNext w:val="0"/>
        <w:keepLines w:val="0"/>
        <w:pageBreakBefore w:val="0"/>
        <w:widowControl/>
        <w:kinsoku/>
        <w:wordWrap/>
        <w:overflowPunct/>
        <w:topLinePunct w:val="0"/>
        <w:bidi w:val="0"/>
        <w:snapToGrid/>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lang w:val="en-US" w:eastAsia="zh-CN"/>
        </w:rPr>
        <w:t>2.7.6</w:t>
      </w:r>
      <w:r>
        <w:rPr>
          <w:rFonts w:hint="eastAsia" w:ascii="宋体" w:hAnsi="宋体" w:eastAsia="宋体" w:cs="宋体"/>
          <w:b w:val="0"/>
          <w:bCs w:val="0"/>
          <w:color w:val="auto"/>
          <w:sz w:val="21"/>
          <w:szCs w:val="21"/>
          <w:highlight w:val="none"/>
        </w:rPr>
        <w:t>热爱保安工作，具有较强的工作责任心，并具有敏锐的洞察力，具备与岗位职责相应的观察、发现、处置问题能力；</w:t>
      </w:r>
    </w:p>
    <w:p w14:paraId="46EB4320">
      <w:pPr>
        <w:keepNext w:val="0"/>
        <w:keepLines w:val="0"/>
        <w:pageBreakBefore w:val="0"/>
        <w:widowControl/>
        <w:kinsoku/>
        <w:wordWrap/>
        <w:overflowPunct/>
        <w:topLinePunct w:val="0"/>
        <w:bidi w:val="0"/>
        <w:snapToGrid/>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lang w:val="en-US" w:eastAsia="zh-CN"/>
        </w:rPr>
        <w:t>2.7.7</w:t>
      </w:r>
      <w:r>
        <w:rPr>
          <w:rFonts w:hint="eastAsia" w:ascii="宋体" w:hAnsi="宋体" w:eastAsia="宋体" w:cs="宋体"/>
          <w:b w:val="0"/>
          <w:bCs w:val="0"/>
          <w:color w:val="auto"/>
          <w:sz w:val="21"/>
          <w:szCs w:val="21"/>
          <w:highlight w:val="none"/>
        </w:rPr>
        <w:t>遵纪守法，没有违法犯罪前科；</w:t>
      </w:r>
    </w:p>
    <w:p w14:paraId="37A75FF2">
      <w:pPr>
        <w:keepNext w:val="0"/>
        <w:keepLines w:val="0"/>
        <w:pageBreakBefore w:val="0"/>
        <w:widowControl/>
        <w:kinsoku/>
        <w:wordWrap/>
        <w:overflowPunct/>
        <w:topLinePunct w:val="0"/>
        <w:bidi w:val="0"/>
        <w:snapToGrid/>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lang w:val="en-US" w:eastAsia="zh-CN"/>
        </w:rPr>
        <w:t>2.7.8</w:t>
      </w:r>
      <w:r>
        <w:rPr>
          <w:rFonts w:hint="eastAsia" w:ascii="宋体" w:hAnsi="宋体" w:eastAsia="宋体" w:cs="宋体"/>
          <w:b w:val="0"/>
          <w:bCs w:val="0"/>
          <w:color w:val="auto"/>
          <w:sz w:val="21"/>
          <w:szCs w:val="21"/>
          <w:highlight w:val="none"/>
        </w:rPr>
        <w:t>具备基本法律知识及保安专业相关的政策，纪律性强，保证绝对遵守</w:t>
      </w:r>
      <w:r>
        <w:rPr>
          <w:rFonts w:hint="eastAsia" w:ascii="宋体" w:hAnsi="宋体" w:eastAsia="宋体" w:cs="宋体"/>
          <w:b w:val="0"/>
          <w:bCs w:val="0"/>
          <w:color w:val="auto"/>
          <w:sz w:val="21"/>
          <w:szCs w:val="21"/>
          <w:highlight w:val="none"/>
          <w:lang w:eastAsia="zh-CN"/>
        </w:rPr>
        <w:t>甲方</w:t>
      </w:r>
      <w:r>
        <w:rPr>
          <w:rFonts w:hint="eastAsia" w:ascii="宋体" w:hAnsi="宋体" w:eastAsia="宋体" w:cs="宋体"/>
          <w:b w:val="0"/>
          <w:bCs w:val="0"/>
          <w:color w:val="auto"/>
          <w:sz w:val="21"/>
          <w:szCs w:val="21"/>
          <w:highlight w:val="none"/>
        </w:rPr>
        <w:t>及</w:t>
      </w:r>
      <w:r>
        <w:rPr>
          <w:rFonts w:hint="eastAsia" w:ascii="宋体" w:hAnsi="宋体" w:eastAsia="宋体" w:cs="宋体"/>
          <w:b w:val="0"/>
          <w:bCs w:val="0"/>
          <w:color w:val="auto"/>
          <w:sz w:val="21"/>
          <w:szCs w:val="21"/>
          <w:highlight w:val="none"/>
          <w:lang w:val="en-US" w:eastAsia="zh-CN"/>
        </w:rPr>
        <w:t>本采购</w:t>
      </w:r>
      <w:r>
        <w:rPr>
          <w:rFonts w:hint="eastAsia" w:ascii="宋体" w:hAnsi="宋体" w:eastAsia="宋体" w:cs="宋体"/>
          <w:b w:val="0"/>
          <w:bCs w:val="0"/>
          <w:color w:val="auto"/>
          <w:sz w:val="21"/>
          <w:szCs w:val="21"/>
          <w:highlight w:val="none"/>
        </w:rPr>
        <w:t>项目的工作规章制度与内部管理规定；</w:t>
      </w:r>
    </w:p>
    <w:p w14:paraId="499C63C1">
      <w:pPr>
        <w:keepNext w:val="0"/>
        <w:keepLines w:val="0"/>
        <w:pageBreakBefore w:val="0"/>
        <w:widowControl/>
        <w:kinsoku/>
        <w:wordWrap/>
        <w:overflowPunct/>
        <w:topLinePunct w:val="0"/>
        <w:bidi w:val="0"/>
        <w:snapToGrid/>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val="0"/>
          <w:color w:val="auto"/>
          <w:kern w:val="0"/>
          <w:sz w:val="21"/>
          <w:szCs w:val="21"/>
          <w:lang w:val="en-US" w:eastAsia="zh-CN"/>
        </w:rPr>
        <w:t>2.7.9</w:t>
      </w:r>
      <w:r>
        <w:rPr>
          <w:rFonts w:hint="eastAsia" w:ascii="宋体" w:hAnsi="宋体" w:eastAsia="宋体" w:cs="宋体"/>
          <w:b w:val="0"/>
          <w:bCs/>
          <w:color w:val="auto"/>
          <w:sz w:val="21"/>
          <w:szCs w:val="21"/>
          <w:highlight w:val="none"/>
        </w:rPr>
        <w:t>具备使用基本消防设备、通讯器材、技术防范设施设备和相关防卫器械技能；</w:t>
      </w:r>
    </w:p>
    <w:p w14:paraId="4CCF6D09">
      <w:pPr>
        <w:keepNext w:val="0"/>
        <w:keepLines w:val="0"/>
        <w:pageBreakBefore w:val="0"/>
        <w:widowControl/>
        <w:kinsoku/>
        <w:wordWrap/>
        <w:overflowPunct/>
        <w:topLinePunct w:val="0"/>
        <w:bidi w:val="0"/>
        <w:snapToGrid/>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lang w:val="en-US" w:eastAsia="zh-CN"/>
        </w:rPr>
        <w:t>2.7.10</w:t>
      </w:r>
      <w:r>
        <w:rPr>
          <w:rFonts w:hint="eastAsia" w:ascii="宋体" w:hAnsi="宋体" w:eastAsia="宋体" w:cs="宋体"/>
          <w:b w:val="0"/>
          <w:bCs w:val="0"/>
          <w:color w:val="auto"/>
          <w:sz w:val="21"/>
          <w:szCs w:val="21"/>
          <w:highlight w:val="none"/>
        </w:rPr>
        <w:t>掌握一定防卫和擒敌技能。</w:t>
      </w:r>
    </w:p>
    <w:p w14:paraId="63F5A4F9">
      <w:pPr>
        <w:keepNext w:val="0"/>
        <w:keepLines w:val="0"/>
        <w:pageBreakBefore w:val="0"/>
        <w:widowControl/>
        <w:kinsoku/>
        <w:wordWrap/>
        <w:overflowPunct/>
        <w:topLinePunct w:val="0"/>
        <w:bidi w:val="0"/>
        <w:snapToGrid/>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lang w:val="en-US" w:eastAsia="zh-CN"/>
        </w:rPr>
        <w:t>2.8</w:t>
      </w:r>
      <w:r>
        <w:rPr>
          <w:rFonts w:hint="eastAsia" w:ascii="宋体" w:hAnsi="宋体" w:eastAsia="宋体" w:cs="宋体"/>
          <w:b w:val="0"/>
          <w:bCs w:val="0"/>
          <w:color w:val="auto"/>
          <w:sz w:val="21"/>
          <w:szCs w:val="21"/>
          <w:highlight w:val="none"/>
          <w:lang w:val="en-US" w:eastAsia="zh-CN"/>
        </w:rPr>
        <w:t>乙方</w:t>
      </w:r>
      <w:r>
        <w:rPr>
          <w:rFonts w:hint="eastAsia" w:ascii="宋体" w:hAnsi="宋体" w:eastAsia="宋体" w:cs="宋体"/>
          <w:b w:val="0"/>
          <w:bCs w:val="0"/>
          <w:color w:val="auto"/>
          <w:sz w:val="21"/>
          <w:szCs w:val="21"/>
          <w:highlight w:val="none"/>
        </w:rPr>
        <w:t xml:space="preserve">派驻服务范围内保安员的保障要求 </w:t>
      </w:r>
    </w:p>
    <w:p w14:paraId="238EBD5B">
      <w:pPr>
        <w:keepNext w:val="0"/>
        <w:keepLines w:val="0"/>
        <w:pageBreakBefore w:val="0"/>
        <w:widowControl/>
        <w:kinsoku/>
        <w:wordWrap/>
        <w:overflowPunct/>
        <w:topLinePunct w:val="0"/>
        <w:bidi w:val="0"/>
        <w:snapToGrid/>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lang w:val="en-US" w:eastAsia="zh-CN"/>
        </w:rPr>
        <w:t>2.8.1</w:t>
      </w:r>
      <w:r>
        <w:rPr>
          <w:rFonts w:hint="eastAsia" w:ascii="宋体" w:hAnsi="宋体" w:eastAsia="宋体" w:cs="宋体"/>
          <w:b w:val="0"/>
          <w:bCs w:val="0"/>
          <w:color w:val="auto"/>
          <w:sz w:val="21"/>
          <w:szCs w:val="21"/>
          <w:highlight w:val="none"/>
        </w:rPr>
        <w:t>统一配发带标志的保安制服，工作用皮鞋；</w:t>
      </w:r>
    </w:p>
    <w:p w14:paraId="12052BC6">
      <w:pPr>
        <w:keepNext w:val="0"/>
        <w:keepLines w:val="0"/>
        <w:pageBreakBefore w:val="0"/>
        <w:widowControl/>
        <w:kinsoku/>
        <w:wordWrap/>
        <w:overflowPunct/>
        <w:topLinePunct w:val="0"/>
        <w:bidi w:val="0"/>
        <w:snapToGrid/>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lang w:val="en-US" w:eastAsia="zh-CN"/>
        </w:rPr>
        <w:t>2.8.2</w:t>
      </w:r>
      <w:r>
        <w:rPr>
          <w:rFonts w:hint="eastAsia" w:ascii="宋体" w:hAnsi="宋体" w:eastAsia="宋体" w:cs="宋体"/>
          <w:b w:val="0"/>
          <w:bCs w:val="0"/>
          <w:color w:val="auto"/>
          <w:sz w:val="21"/>
          <w:szCs w:val="21"/>
          <w:highlight w:val="none"/>
        </w:rPr>
        <w:t>配备足够的雨伞、雨衣、雨鞋、探照灯；</w:t>
      </w:r>
    </w:p>
    <w:p w14:paraId="4567EC82">
      <w:pPr>
        <w:keepNext w:val="0"/>
        <w:keepLines w:val="0"/>
        <w:pageBreakBefore w:val="0"/>
        <w:widowControl/>
        <w:kinsoku/>
        <w:wordWrap/>
        <w:overflowPunct/>
        <w:topLinePunct w:val="0"/>
        <w:bidi w:val="0"/>
        <w:snapToGrid/>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lang w:val="en-US" w:eastAsia="zh-CN"/>
        </w:rPr>
        <w:t>2.8.3</w:t>
      </w:r>
      <w:r>
        <w:rPr>
          <w:rFonts w:hint="eastAsia" w:ascii="宋体" w:hAnsi="宋体" w:eastAsia="宋体" w:cs="宋体"/>
          <w:b w:val="0"/>
          <w:bCs w:val="0"/>
          <w:color w:val="auto"/>
          <w:sz w:val="21"/>
          <w:szCs w:val="21"/>
          <w:highlight w:val="none"/>
        </w:rPr>
        <w:t>配备能适应服务范围内安保工作需要的保安器械；</w:t>
      </w:r>
    </w:p>
    <w:p w14:paraId="26DE4BD6">
      <w:pPr>
        <w:keepNext w:val="0"/>
        <w:keepLines w:val="0"/>
        <w:pageBreakBefore w:val="0"/>
        <w:widowControl/>
        <w:kinsoku/>
        <w:wordWrap/>
        <w:overflowPunct/>
        <w:topLinePunct w:val="0"/>
        <w:bidi w:val="0"/>
        <w:snapToGrid/>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lang w:val="en-US" w:eastAsia="zh-CN"/>
        </w:rPr>
        <w:t>2.8.4</w:t>
      </w:r>
      <w:r>
        <w:rPr>
          <w:rFonts w:hint="eastAsia" w:ascii="宋体" w:hAnsi="宋体" w:eastAsia="宋体" w:cs="宋体"/>
          <w:b w:val="0"/>
          <w:bCs w:val="0"/>
          <w:color w:val="auto"/>
          <w:sz w:val="21"/>
          <w:szCs w:val="21"/>
          <w:highlight w:val="none"/>
          <w:lang w:val="en-US" w:eastAsia="zh-CN"/>
        </w:rPr>
        <w:t>乙方</w:t>
      </w:r>
      <w:r>
        <w:rPr>
          <w:rFonts w:hint="eastAsia" w:ascii="宋体" w:hAnsi="宋体" w:eastAsia="宋体" w:cs="宋体"/>
          <w:b w:val="0"/>
          <w:bCs w:val="0"/>
          <w:color w:val="auto"/>
          <w:sz w:val="21"/>
          <w:szCs w:val="21"/>
          <w:highlight w:val="none"/>
        </w:rPr>
        <w:t>派驻的保安人员的工作、福利、加班费、社保等不得低于东莞市用工的法定标准，并在报价时应予充分测算；</w:t>
      </w:r>
    </w:p>
    <w:p w14:paraId="074A2C6E">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lang w:val="en-US" w:eastAsia="zh-CN"/>
        </w:rPr>
        <w:t>2.8.5</w:t>
      </w:r>
      <w:r>
        <w:rPr>
          <w:rFonts w:hint="eastAsia" w:ascii="宋体" w:hAnsi="宋体" w:eastAsia="宋体" w:cs="宋体"/>
          <w:b w:val="0"/>
          <w:bCs w:val="0"/>
          <w:color w:val="auto"/>
          <w:sz w:val="21"/>
          <w:szCs w:val="21"/>
          <w:highlight w:val="none"/>
          <w:lang w:val="en-US" w:eastAsia="zh-CN"/>
        </w:rPr>
        <w:t>乙方</w:t>
      </w:r>
      <w:r>
        <w:rPr>
          <w:rFonts w:hint="eastAsia" w:ascii="宋体" w:hAnsi="宋体" w:eastAsia="宋体" w:cs="宋体"/>
          <w:b w:val="0"/>
          <w:bCs w:val="0"/>
          <w:color w:val="auto"/>
          <w:sz w:val="21"/>
          <w:szCs w:val="21"/>
          <w:highlight w:val="none"/>
        </w:rPr>
        <w:t>派驻的保安人员必须是已签订劳动合同的人员，并购买足额的人身意外伤害保险及社会保险；</w:t>
      </w:r>
    </w:p>
    <w:p w14:paraId="0E86FF84">
      <w:pPr>
        <w:keepNext w:val="0"/>
        <w:keepLines w:val="0"/>
        <w:pageBreakBefore w:val="0"/>
        <w:widowControl/>
        <w:kinsoku/>
        <w:wordWrap/>
        <w:overflowPunct/>
        <w:topLinePunct w:val="0"/>
        <w:bidi w:val="0"/>
        <w:snapToGrid/>
        <w:spacing w:line="360" w:lineRule="auto"/>
        <w:ind w:firstLine="420" w:firstLineChars="200"/>
        <w:rPr>
          <w:rFonts w:hint="eastAsia" w:ascii="宋体" w:hAnsi="宋体" w:eastAsia="宋体" w:cs="宋体"/>
          <w:b w:val="0"/>
          <w:bCs w:val="0"/>
          <w:color w:val="auto"/>
          <w:sz w:val="21"/>
          <w:szCs w:val="21"/>
          <w:highlight w:val="yellow"/>
        </w:rPr>
      </w:pPr>
      <w:r>
        <w:rPr>
          <w:rFonts w:hint="eastAsia" w:ascii="宋体" w:hAnsi="宋体" w:eastAsia="宋体" w:cs="宋体"/>
          <w:b w:val="0"/>
          <w:bCs w:val="0"/>
          <w:color w:val="auto"/>
          <w:kern w:val="0"/>
          <w:sz w:val="21"/>
          <w:szCs w:val="21"/>
          <w:lang w:val="en-US" w:eastAsia="zh-CN"/>
        </w:rPr>
        <w:t>2.8.6</w:t>
      </w:r>
      <w:r>
        <w:rPr>
          <w:rFonts w:hint="eastAsia" w:ascii="宋体" w:hAnsi="宋体" w:eastAsia="宋体" w:cs="宋体"/>
          <w:b w:val="0"/>
          <w:bCs w:val="0"/>
          <w:color w:val="auto"/>
          <w:sz w:val="21"/>
          <w:szCs w:val="21"/>
          <w:highlight w:val="none"/>
          <w:lang w:val="en-US" w:eastAsia="zh-CN"/>
        </w:rPr>
        <w:t>乙方</w:t>
      </w:r>
      <w:r>
        <w:rPr>
          <w:rFonts w:hint="eastAsia" w:ascii="宋体" w:hAnsi="宋体" w:eastAsia="宋体" w:cs="宋体"/>
          <w:b w:val="0"/>
          <w:bCs w:val="0"/>
          <w:color w:val="auto"/>
          <w:sz w:val="21"/>
          <w:szCs w:val="21"/>
          <w:highlight w:val="none"/>
        </w:rPr>
        <w:t>不得将本管理项目分包给其它单位</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同时</w:t>
      </w:r>
      <w:r>
        <w:rPr>
          <w:rFonts w:hint="eastAsia" w:ascii="宋体" w:hAnsi="宋体" w:eastAsia="宋体" w:cs="宋体"/>
          <w:b w:val="0"/>
          <w:bCs w:val="0"/>
          <w:color w:val="auto"/>
          <w:sz w:val="21"/>
          <w:szCs w:val="21"/>
          <w:highlight w:val="none"/>
        </w:rPr>
        <w:t>应做好元旦、春节、清明、五一、端午、中秋、十一等长假和临时工作任务的加班安排；保安应全勤值班，加班费由保安</w:t>
      </w:r>
      <w:r>
        <w:rPr>
          <w:rFonts w:hint="eastAsia" w:ascii="宋体" w:hAnsi="宋体" w:eastAsia="宋体" w:cs="宋体"/>
          <w:b w:val="0"/>
          <w:bCs w:val="0"/>
          <w:color w:val="auto"/>
          <w:sz w:val="21"/>
          <w:szCs w:val="21"/>
          <w:highlight w:val="none"/>
          <w:lang w:val="en-US" w:eastAsia="zh-CN"/>
        </w:rPr>
        <w:t>乙方</w:t>
      </w:r>
      <w:r>
        <w:rPr>
          <w:rFonts w:hint="eastAsia" w:ascii="宋体" w:hAnsi="宋体" w:eastAsia="宋体" w:cs="宋体"/>
          <w:b w:val="0"/>
          <w:bCs w:val="0"/>
          <w:color w:val="auto"/>
          <w:sz w:val="21"/>
          <w:szCs w:val="21"/>
          <w:highlight w:val="none"/>
        </w:rPr>
        <w:t>承担并保障节假日及重要节点的安保工作。</w:t>
      </w:r>
    </w:p>
    <w:p w14:paraId="6D931F11">
      <w:pPr>
        <w:keepNext w:val="0"/>
        <w:keepLines w:val="0"/>
        <w:pageBreakBefore w:val="0"/>
        <w:widowControl/>
        <w:numPr>
          <w:ilvl w:val="0"/>
          <w:numId w:val="5"/>
        </w:numPr>
        <w:kinsoku/>
        <w:wordWrap/>
        <w:overflowPunct/>
        <w:topLinePunct w:val="0"/>
        <w:bidi w:val="0"/>
        <w:snapToGrid/>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服务具体要求</w:t>
      </w:r>
      <w:r>
        <w:rPr>
          <w:rFonts w:hint="eastAsia" w:ascii="宋体" w:hAnsi="宋体" w:eastAsia="宋体" w:cs="宋体"/>
          <w:color w:val="auto"/>
          <w:sz w:val="21"/>
          <w:szCs w:val="21"/>
        </w:rPr>
        <w:t xml:space="preserve"> </w:t>
      </w:r>
    </w:p>
    <w:p w14:paraId="39874B16">
      <w:pPr>
        <w:keepNext w:val="0"/>
        <w:keepLines w:val="0"/>
        <w:pageBreakBefore w:val="0"/>
        <w:widowControl/>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3.1</w:t>
      </w:r>
      <w:r>
        <w:rPr>
          <w:rFonts w:hint="eastAsia" w:ascii="宋体" w:hAnsi="宋体" w:eastAsia="宋体" w:cs="宋体"/>
          <w:color w:val="auto"/>
          <w:sz w:val="21"/>
          <w:szCs w:val="21"/>
        </w:rPr>
        <w:t>乙方应对项目服务人员进行培训及专项指导，待培训合格并经甲方认可后的保安员方可上岗（必须持有公安部门认可的保安员证），</w:t>
      </w:r>
      <w:r>
        <w:rPr>
          <w:rFonts w:hint="eastAsia" w:ascii="宋体" w:hAnsi="宋体" w:eastAsia="宋体" w:cs="宋体"/>
          <w:color w:val="auto"/>
          <w:sz w:val="21"/>
          <w:szCs w:val="21"/>
          <w:lang w:val="zh-CN"/>
        </w:rPr>
        <w:t>保安人员</w:t>
      </w:r>
      <w:r>
        <w:rPr>
          <w:rFonts w:hint="eastAsia" w:ascii="宋体" w:hAnsi="宋体" w:eastAsia="宋体" w:cs="宋体"/>
          <w:color w:val="auto"/>
          <w:sz w:val="21"/>
          <w:szCs w:val="21"/>
        </w:rPr>
        <w:t>必须严格按照三班</w:t>
      </w:r>
      <w:r>
        <w:rPr>
          <w:rFonts w:hint="eastAsia" w:ascii="宋体" w:hAnsi="宋体" w:eastAsia="宋体" w:cs="宋体"/>
          <w:color w:val="auto"/>
          <w:sz w:val="21"/>
          <w:szCs w:val="21"/>
          <w:lang w:val="en-US" w:eastAsia="zh-CN"/>
        </w:rPr>
        <w:t>倒</w:t>
      </w:r>
      <w:r>
        <w:rPr>
          <w:rFonts w:hint="eastAsia" w:ascii="宋体" w:hAnsi="宋体" w:eastAsia="宋体" w:cs="宋体"/>
          <w:color w:val="auto"/>
          <w:sz w:val="21"/>
          <w:szCs w:val="21"/>
        </w:rPr>
        <w:t>工作</w:t>
      </w:r>
      <w:r>
        <w:rPr>
          <w:rFonts w:hint="eastAsia" w:ascii="宋体" w:hAnsi="宋体" w:eastAsia="宋体" w:cs="宋体"/>
          <w:color w:val="auto"/>
          <w:sz w:val="21"/>
          <w:szCs w:val="21"/>
          <w:lang w:val="zh-CN"/>
        </w:rPr>
        <w:t>制配置，以确保服务场地的</w:t>
      </w:r>
      <w:r>
        <w:rPr>
          <w:rFonts w:hint="eastAsia" w:ascii="宋体" w:hAnsi="宋体" w:eastAsia="宋体" w:cs="宋体"/>
          <w:color w:val="auto"/>
          <w:sz w:val="21"/>
          <w:szCs w:val="21"/>
        </w:rPr>
        <w:t>安全</w:t>
      </w:r>
      <w:r>
        <w:rPr>
          <w:rFonts w:hint="eastAsia" w:ascii="宋体" w:hAnsi="宋体" w:eastAsia="宋体" w:cs="宋体"/>
          <w:color w:val="auto"/>
          <w:sz w:val="21"/>
          <w:szCs w:val="21"/>
          <w:lang w:val="zh-CN"/>
        </w:rPr>
        <w:t>保障；</w:t>
      </w:r>
    </w:p>
    <w:p w14:paraId="542E36D9">
      <w:pPr>
        <w:keepNext w:val="0"/>
        <w:keepLines w:val="0"/>
        <w:pageBreakBefore w:val="0"/>
        <w:widowControl/>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3.2</w:t>
      </w:r>
      <w:r>
        <w:rPr>
          <w:rFonts w:hint="eastAsia" w:ascii="宋体" w:hAnsi="宋体" w:eastAsia="宋体" w:cs="宋体"/>
          <w:color w:val="auto"/>
          <w:sz w:val="21"/>
          <w:szCs w:val="21"/>
        </w:rPr>
        <w:t xml:space="preserve">乙方应加强对保安员的在岗培训、监督和管理，确保安保服务的优质高效，负责保安员的思想教育、业务培训等日常管理和保安员违纪问题的处理； </w:t>
      </w:r>
    </w:p>
    <w:p w14:paraId="2F638BFA">
      <w:pPr>
        <w:keepNext w:val="0"/>
        <w:keepLines w:val="0"/>
        <w:pageBreakBefore w:val="0"/>
        <w:widowControl/>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3.3</w:t>
      </w:r>
      <w:r>
        <w:rPr>
          <w:rFonts w:hint="eastAsia" w:ascii="宋体" w:hAnsi="宋体" w:eastAsia="宋体" w:cs="宋体"/>
          <w:color w:val="auto"/>
          <w:sz w:val="21"/>
          <w:szCs w:val="21"/>
        </w:rPr>
        <w:t xml:space="preserve">乙方应切实做好派驻的保安员的日常管理工作； </w:t>
      </w:r>
    </w:p>
    <w:p w14:paraId="12EBCA2D">
      <w:pPr>
        <w:keepNext w:val="0"/>
        <w:keepLines w:val="0"/>
        <w:pageBreakBefore w:val="0"/>
        <w:widowControl/>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3.4</w:t>
      </w:r>
      <w:r>
        <w:rPr>
          <w:rFonts w:hint="eastAsia" w:ascii="宋体" w:hAnsi="宋体" w:eastAsia="宋体" w:cs="宋体"/>
          <w:color w:val="auto"/>
          <w:sz w:val="21"/>
          <w:szCs w:val="21"/>
        </w:rPr>
        <w:t xml:space="preserve">发生在执勤范围内的刑事案件、治安案件和治安灾害事故，乙方应及时处理并报告甲方相关负责人和当地公安机关，采取措施保护案发现场，协助公安机关侦查各类治安刑事案件，依法妥善处理在责任范围内的其它突发事件； </w:t>
      </w:r>
    </w:p>
    <w:p w14:paraId="27BA6267">
      <w:pPr>
        <w:keepNext w:val="0"/>
        <w:keepLines w:val="0"/>
        <w:pageBreakBefore w:val="0"/>
        <w:widowControl/>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3.5</w:t>
      </w:r>
      <w:r>
        <w:rPr>
          <w:rFonts w:hint="eastAsia" w:ascii="宋体" w:hAnsi="宋体" w:eastAsia="宋体" w:cs="宋体"/>
          <w:color w:val="auto"/>
          <w:sz w:val="21"/>
          <w:szCs w:val="21"/>
        </w:rPr>
        <w:t xml:space="preserve">乙方应落实防火、防盗、防破坏等安全防范措施，发现安全隐患，及时报告甲方相关负责人并协助予以处理； </w:t>
      </w:r>
    </w:p>
    <w:p w14:paraId="2B00BEFA">
      <w:pPr>
        <w:keepNext w:val="0"/>
        <w:keepLines w:val="0"/>
        <w:pageBreakBefore w:val="0"/>
        <w:widowControl/>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3.6</w:t>
      </w: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设置一名项目</w:t>
      </w:r>
      <w:r>
        <w:rPr>
          <w:rFonts w:hint="eastAsia" w:ascii="宋体" w:hAnsi="宋体" w:eastAsia="宋体" w:cs="宋体"/>
          <w:color w:val="auto"/>
          <w:sz w:val="21"/>
          <w:szCs w:val="21"/>
          <w:highlight w:val="none"/>
        </w:rPr>
        <w:t>管理</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员</w:t>
      </w:r>
      <w:r>
        <w:rPr>
          <w:rFonts w:hint="eastAsia" w:ascii="宋体" w:hAnsi="宋体" w:eastAsia="宋体" w:cs="宋体"/>
          <w:color w:val="auto"/>
          <w:sz w:val="21"/>
          <w:szCs w:val="21"/>
          <w:highlight w:val="none"/>
          <w:lang w:val="en-US" w:eastAsia="zh-CN"/>
        </w:rPr>
        <w:t>负责对接此项目，该项目管理人员</w:t>
      </w:r>
      <w:r>
        <w:rPr>
          <w:rFonts w:hint="eastAsia" w:ascii="宋体" w:hAnsi="宋体" w:eastAsia="宋体" w:cs="宋体"/>
          <w:color w:val="auto"/>
          <w:sz w:val="21"/>
          <w:szCs w:val="21"/>
          <w:highlight w:val="none"/>
        </w:rPr>
        <w:t>不得随意更换，如确需更换，须经</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书面同意。</w:t>
      </w:r>
      <w:r>
        <w:rPr>
          <w:rFonts w:hint="eastAsia" w:ascii="宋体" w:hAnsi="宋体" w:eastAsia="宋体" w:cs="Times New Roman"/>
          <w:bCs/>
          <w:color w:val="auto"/>
          <w:kern w:val="0"/>
          <w:szCs w:val="21"/>
        </w:rPr>
        <w:t>本项目管理人员接到</w:t>
      </w:r>
      <w:r>
        <w:rPr>
          <w:rFonts w:hint="eastAsia" w:ascii="宋体" w:hAnsi="宋体" w:eastAsia="宋体" w:cs="Times New Roman"/>
          <w:bCs/>
          <w:color w:val="auto"/>
          <w:kern w:val="0"/>
          <w:szCs w:val="21"/>
          <w:lang w:val="en-US" w:eastAsia="zh-CN"/>
        </w:rPr>
        <w:t>甲方</w:t>
      </w:r>
      <w:r>
        <w:rPr>
          <w:rFonts w:hint="eastAsia" w:ascii="宋体" w:hAnsi="宋体" w:eastAsia="宋体" w:cs="Times New Roman"/>
          <w:bCs/>
          <w:color w:val="auto"/>
          <w:kern w:val="0"/>
          <w:szCs w:val="21"/>
        </w:rPr>
        <w:t>通知后</w:t>
      </w:r>
      <w:r>
        <w:rPr>
          <w:rFonts w:hint="eastAsia" w:ascii="宋体" w:hAnsi="宋体" w:eastAsia="宋体" w:cs="Times New Roman"/>
          <w:bCs/>
          <w:color w:val="auto"/>
          <w:kern w:val="0"/>
          <w:szCs w:val="21"/>
          <w:u w:val="single"/>
          <w:lang w:val="en-US" w:eastAsia="zh-CN"/>
        </w:rPr>
        <w:t xml:space="preserve">   </w:t>
      </w:r>
      <w:r>
        <w:rPr>
          <w:rFonts w:hint="eastAsia" w:ascii="宋体" w:hAnsi="宋体" w:eastAsia="宋体" w:cs="Times New Roman"/>
          <w:bCs/>
          <w:color w:val="auto"/>
          <w:kern w:val="0"/>
          <w:szCs w:val="21"/>
        </w:rPr>
        <w:t>小时(含)内响应，</w:t>
      </w:r>
      <w:r>
        <w:rPr>
          <w:rFonts w:hint="eastAsia" w:ascii="宋体" w:hAnsi="宋体" w:eastAsia="宋体" w:cs="Times New Roman"/>
          <w:bCs/>
          <w:color w:val="auto"/>
          <w:kern w:val="0"/>
          <w:szCs w:val="21"/>
          <w:u w:val="single"/>
          <w:lang w:val="en-US" w:eastAsia="zh-CN"/>
        </w:rPr>
        <w:t xml:space="preserve">    </w:t>
      </w:r>
      <w:r>
        <w:rPr>
          <w:rFonts w:hint="eastAsia" w:ascii="宋体" w:hAnsi="宋体" w:eastAsia="宋体" w:cs="Times New Roman"/>
          <w:bCs/>
          <w:color w:val="auto"/>
          <w:kern w:val="0"/>
          <w:szCs w:val="21"/>
        </w:rPr>
        <w:t>小时(含)内到达</w:t>
      </w:r>
      <w:r>
        <w:rPr>
          <w:rFonts w:hint="eastAsia" w:ascii="宋体" w:hAnsi="宋体" w:eastAsia="宋体" w:cs="Times New Roman"/>
          <w:bCs/>
          <w:color w:val="auto"/>
          <w:kern w:val="0"/>
          <w:szCs w:val="21"/>
          <w:lang w:val="en-US" w:eastAsia="zh-CN"/>
        </w:rPr>
        <w:t>甲方</w:t>
      </w:r>
      <w:r>
        <w:rPr>
          <w:rFonts w:hint="eastAsia" w:ascii="宋体" w:hAnsi="宋体" w:eastAsia="宋体" w:cs="Times New Roman"/>
          <w:bCs/>
          <w:color w:val="auto"/>
          <w:kern w:val="0"/>
          <w:szCs w:val="21"/>
        </w:rPr>
        <w:t>指定地点</w:t>
      </w:r>
      <w:r>
        <w:rPr>
          <w:rFonts w:hint="eastAsia" w:ascii="宋体" w:hAnsi="宋体" w:eastAsia="宋体" w:cs="Times New Roman"/>
          <w:bCs/>
          <w:color w:val="auto"/>
          <w:kern w:val="0"/>
          <w:szCs w:val="21"/>
          <w:lang w:eastAsia="zh-CN"/>
        </w:rPr>
        <w:t>。</w:t>
      </w:r>
    </w:p>
    <w:p w14:paraId="637BED4D">
      <w:pPr>
        <w:keepNext w:val="0"/>
        <w:keepLines w:val="0"/>
        <w:pageBreakBefore w:val="0"/>
        <w:widowControl/>
        <w:kinsoku/>
        <w:wordWrap/>
        <w:overflowPunct/>
        <w:topLinePunct w:val="0"/>
        <w:bidi w:val="0"/>
        <w:snapToGrid/>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未经甲方同意，乙方不得调换派驻的保安员，甲方提出的不称职的保安员乙方应在5日内撤换</w:t>
      </w:r>
      <w:r>
        <w:rPr>
          <w:rFonts w:hint="eastAsia" w:ascii="宋体" w:hAnsi="宋体" w:eastAsia="宋体" w:cs="宋体"/>
          <w:color w:val="auto"/>
          <w:sz w:val="21"/>
          <w:szCs w:val="21"/>
          <w:lang w:eastAsia="zh-CN"/>
        </w:rPr>
        <w:t>。</w:t>
      </w:r>
    </w:p>
    <w:p w14:paraId="4A5D4DC1">
      <w:pPr>
        <w:keepNext w:val="0"/>
        <w:keepLines w:val="0"/>
        <w:pageBreakBefore w:val="0"/>
        <w:widowControl/>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3.7</w:t>
      </w:r>
      <w:r>
        <w:rPr>
          <w:rFonts w:hint="eastAsia" w:ascii="宋体" w:hAnsi="宋体" w:eastAsia="宋体" w:cs="宋体"/>
          <w:color w:val="auto"/>
          <w:sz w:val="21"/>
          <w:szCs w:val="21"/>
        </w:rPr>
        <w:t>乙方及派驻的保安员必须严格按照《保安服务管理条例》及国家、省、市法律法规</w:t>
      </w:r>
      <w:r>
        <w:rPr>
          <w:rFonts w:hint="eastAsia" w:ascii="宋体" w:hAnsi="宋体" w:eastAsia="宋体" w:cs="宋体"/>
          <w:color w:val="auto"/>
          <w:sz w:val="21"/>
          <w:szCs w:val="21"/>
          <w:lang w:val="en-US" w:eastAsia="zh-CN"/>
        </w:rPr>
        <w:t>及</w:t>
      </w:r>
      <w:r>
        <w:rPr>
          <w:rFonts w:hint="eastAsia" w:ascii="宋体" w:hAnsi="宋体" w:eastAsia="宋体" w:cs="宋体"/>
          <w:color w:val="auto"/>
          <w:sz w:val="21"/>
          <w:szCs w:val="21"/>
        </w:rPr>
        <w:t xml:space="preserve">政府规章流程、履行职责，同时应严格遵守甲方的管理规定； </w:t>
      </w:r>
    </w:p>
    <w:p w14:paraId="1E084754">
      <w:pPr>
        <w:keepNext w:val="0"/>
        <w:keepLines w:val="0"/>
        <w:pageBreakBefore w:val="0"/>
        <w:widowControl/>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3.8</w:t>
      </w:r>
      <w:r>
        <w:rPr>
          <w:rFonts w:hint="eastAsia" w:ascii="宋体" w:hAnsi="宋体" w:eastAsia="宋体" w:cs="宋体"/>
          <w:color w:val="auto"/>
          <w:sz w:val="21"/>
          <w:szCs w:val="21"/>
        </w:rPr>
        <w:t xml:space="preserve">乙方派驻的保安员需对甲方管辖区进行安全防卫，及时发现并制止偷盗、抢劫等其他破坏行为，确保正常的办公秩序、生产秩序和安全秩序，如发生因乙方任何疏忽行为造成甲方及第三方设施、设备、其他财产损坏、损失、丢失、被盗等，乙方应照价赔偿； </w:t>
      </w:r>
    </w:p>
    <w:p w14:paraId="121A6FD8">
      <w:pPr>
        <w:keepNext w:val="0"/>
        <w:keepLines w:val="0"/>
        <w:pageBreakBefore w:val="0"/>
        <w:widowControl/>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3.9</w:t>
      </w:r>
      <w:r>
        <w:rPr>
          <w:rFonts w:hint="eastAsia" w:ascii="宋体" w:hAnsi="宋体" w:eastAsia="宋体" w:cs="宋体"/>
          <w:color w:val="auto"/>
          <w:sz w:val="21"/>
          <w:szCs w:val="21"/>
        </w:rPr>
        <w:t>乙方派驻的保安员需对甲方管辖区域的人员及设备设施进行 24 小时安全护卫，严厉打击偷盗、破坏设施的行为；</w:t>
      </w:r>
    </w:p>
    <w:p w14:paraId="17FE7C58">
      <w:pPr>
        <w:keepNext w:val="0"/>
        <w:keepLines w:val="0"/>
        <w:pageBreakBefore w:val="0"/>
        <w:widowControl/>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3.10</w:t>
      </w:r>
      <w:r>
        <w:rPr>
          <w:rFonts w:hint="eastAsia" w:ascii="宋体" w:hAnsi="宋体" w:eastAsia="宋体" w:cs="宋体"/>
          <w:color w:val="auto"/>
          <w:sz w:val="21"/>
          <w:szCs w:val="21"/>
        </w:rPr>
        <w:t>加强对甲方管辖区内重要设备的安全防范工作，严禁无关人员进入办公楼和生活区等区域，发现问题及时处理并上报</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相关负责人，严格按</w:t>
      </w:r>
      <w:r>
        <w:rPr>
          <w:rFonts w:hint="eastAsia" w:ascii="宋体" w:hAnsi="宋体" w:eastAsia="宋体" w:cs="宋体"/>
          <w:color w:val="auto"/>
          <w:sz w:val="21"/>
          <w:szCs w:val="21"/>
          <w:lang w:val="en-US"/>
        </w:rPr>
        <w:t>东莞市水务集团管网有限公司</w:t>
      </w:r>
      <w:r>
        <w:rPr>
          <w:rFonts w:hint="eastAsia" w:ascii="宋体" w:hAnsi="宋体" w:eastAsia="宋体" w:cs="宋体"/>
          <w:color w:val="auto"/>
          <w:sz w:val="21"/>
          <w:szCs w:val="21"/>
        </w:rPr>
        <w:t xml:space="preserve">工作制度的要求对来访人员进行登记、引导，指挥车辆停泊等工作； </w:t>
      </w:r>
    </w:p>
    <w:p w14:paraId="0AA88325">
      <w:pPr>
        <w:keepNext w:val="0"/>
        <w:keepLines w:val="0"/>
        <w:pageBreakBefore w:val="0"/>
        <w:widowControl/>
        <w:kinsoku/>
        <w:wordWrap/>
        <w:overflowPunct/>
        <w:topLinePunct w:val="0"/>
        <w:bidi w:val="0"/>
        <w:snapToGrid/>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3.11</w:t>
      </w:r>
      <w:r>
        <w:rPr>
          <w:rFonts w:hint="eastAsia" w:ascii="宋体" w:hAnsi="宋体" w:eastAsia="宋体" w:cs="宋体"/>
          <w:color w:val="auto"/>
          <w:sz w:val="21"/>
          <w:szCs w:val="21"/>
        </w:rPr>
        <w:t>对突发事件的处理：1.立即汇报；2.采取</w:t>
      </w:r>
      <w:r>
        <w:rPr>
          <w:rFonts w:hint="eastAsia" w:ascii="宋体" w:hAnsi="宋体" w:eastAsia="宋体" w:cs="宋体"/>
          <w:color w:val="auto"/>
          <w:sz w:val="21"/>
          <w:szCs w:val="21"/>
          <w:lang w:val="en-US" w:eastAsia="zh-CN"/>
        </w:rPr>
        <w:t>有效</w:t>
      </w:r>
      <w:r>
        <w:rPr>
          <w:rFonts w:hint="eastAsia" w:ascii="宋体" w:hAnsi="宋体" w:eastAsia="宋体" w:cs="宋体"/>
          <w:color w:val="auto"/>
          <w:sz w:val="21"/>
          <w:szCs w:val="21"/>
        </w:rPr>
        <w:t>措施防止事态扩大；3.听从服务地点</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主管人员指挥，参加对突发事件的处理，具体按</w:t>
      </w:r>
      <w:r>
        <w:rPr>
          <w:rFonts w:hint="eastAsia" w:ascii="宋体" w:hAnsi="宋体" w:eastAsia="宋体" w:cs="宋体"/>
          <w:color w:val="auto"/>
          <w:sz w:val="21"/>
          <w:szCs w:val="21"/>
          <w:lang w:val="en-US"/>
        </w:rPr>
        <w:t>东莞市水务集团管网有限公司</w:t>
      </w:r>
      <w:r>
        <w:rPr>
          <w:rFonts w:hint="eastAsia" w:ascii="宋体" w:hAnsi="宋体" w:eastAsia="宋体" w:cs="宋体"/>
          <w:color w:val="auto"/>
          <w:sz w:val="21"/>
          <w:szCs w:val="21"/>
        </w:rPr>
        <w:t>突发事件应急预案执行</w:t>
      </w:r>
      <w:r>
        <w:rPr>
          <w:rFonts w:hint="eastAsia" w:ascii="宋体" w:hAnsi="宋体" w:eastAsia="宋体" w:cs="宋体"/>
          <w:color w:val="auto"/>
          <w:sz w:val="21"/>
          <w:szCs w:val="21"/>
          <w:lang w:eastAsia="zh-CN"/>
        </w:rPr>
        <w:t>；</w:t>
      </w:r>
    </w:p>
    <w:p w14:paraId="6F7E6419">
      <w:pPr>
        <w:keepNext w:val="0"/>
        <w:keepLines w:val="0"/>
        <w:pageBreakBefore w:val="0"/>
        <w:widowControl/>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3.12</w:t>
      </w:r>
      <w:r>
        <w:rPr>
          <w:rFonts w:hint="eastAsia" w:ascii="宋体" w:hAnsi="宋体" w:eastAsia="宋体" w:cs="宋体"/>
          <w:color w:val="auto"/>
          <w:sz w:val="21"/>
          <w:szCs w:val="21"/>
        </w:rPr>
        <w:t>按照岗位安排，保安队实行24小时安全保卫，采取轮班交接的方式进行，确保无漏岗、脱岗、睡岗、酒后上岗等失职现象，保证防卫工作时刻到位，记录完整；</w:t>
      </w:r>
    </w:p>
    <w:p w14:paraId="1FA8ECAB">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3.13</w:t>
      </w:r>
      <w:r>
        <w:rPr>
          <w:rFonts w:hint="eastAsia" w:ascii="宋体" w:hAnsi="宋体" w:eastAsia="宋体" w:cs="宋体"/>
          <w:color w:val="auto"/>
          <w:sz w:val="21"/>
          <w:szCs w:val="21"/>
        </w:rPr>
        <w:t>服从服务地点</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主管人员的其他安全保卫服务工作安排。</w:t>
      </w:r>
    </w:p>
    <w:p w14:paraId="5002F730">
      <w:pPr>
        <w:keepNext w:val="0"/>
        <w:keepLines w:val="0"/>
        <w:pageBreakBefore w:val="0"/>
        <w:kinsoku/>
        <w:wordWrap/>
        <w:overflowPunct/>
        <w:topLinePunct w:val="0"/>
        <w:bidi w:val="0"/>
        <w:snapToGrid/>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四、服务费支付</w:t>
      </w:r>
    </w:p>
    <w:p w14:paraId="6FB0D22A">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b w:val="0"/>
          <w:bCs w:val="0"/>
          <w:color w:val="auto"/>
          <w:sz w:val="21"/>
          <w:szCs w:val="21"/>
          <w:u w:val="single"/>
        </w:rPr>
      </w:pPr>
      <w:r>
        <w:rPr>
          <w:rFonts w:hint="eastAsia" w:ascii="宋体" w:hAnsi="宋体" w:eastAsia="宋体" w:cs="宋体"/>
          <w:b w:val="0"/>
          <w:bCs w:val="0"/>
          <w:color w:val="auto"/>
          <w:sz w:val="21"/>
          <w:szCs w:val="21"/>
        </w:rPr>
        <w:t>4.1按乙方的中标价格</w:t>
      </w:r>
      <w:r>
        <w:rPr>
          <w:rFonts w:hint="eastAsia" w:ascii="宋体" w:hAnsi="宋体" w:eastAsia="宋体" w:cs="宋体"/>
          <w:b w:val="0"/>
          <w:bCs w:val="0"/>
          <w:color w:val="auto"/>
          <w:sz w:val="21"/>
          <w:szCs w:val="21"/>
          <w:lang w:val="en-US" w:eastAsia="zh-CN"/>
        </w:rPr>
        <w:t>为合同成交价格</w:t>
      </w:r>
      <w:r>
        <w:rPr>
          <w:rFonts w:hint="eastAsia" w:ascii="宋体" w:hAnsi="宋体" w:eastAsia="宋体" w:cs="宋体"/>
          <w:b w:val="0"/>
          <w:bCs w:val="0"/>
          <w:color w:val="auto"/>
          <w:sz w:val="21"/>
          <w:szCs w:val="21"/>
        </w:rPr>
        <w:t>，乙方派驻服务人员的合同价款约定如下：保安人员服务费综合单价（即销售额，不含销项税额）</w:t>
      </w:r>
      <w:r>
        <w:rPr>
          <w:rFonts w:hint="eastAsia" w:ascii="宋体" w:hAnsi="宋体" w:eastAsia="宋体" w:cs="宋体"/>
          <w:b w:val="0"/>
          <w:bCs w:val="0"/>
          <w:color w:val="auto"/>
          <w:sz w:val="21"/>
          <w:szCs w:val="21"/>
          <w:u w:val="single"/>
        </w:rPr>
        <w:t>为</w:t>
      </w:r>
      <w:r>
        <w:rPr>
          <w:rFonts w:hint="eastAsia" w:ascii="宋体" w:hAnsi="宋体" w:eastAsia="宋体" w:cs="宋体"/>
          <w:b w:val="0"/>
          <w:bCs w:val="0"/>
          <w:color w:val="auto"/>
          <w:sz w:val="21"/>
          <w:szCs w:val="21"/>
          <w:u w:val="single"/>
          <w:lang w:val="en-US" w:eastAsia="zh-CN"/>
        </w:rPr>
        <w:t xml:space="preserve">    </w:t>
      </w:r>
      <w:r>
        <w:rPr>
          <w:rFonts w:hint="eastAsia" w:ascii="宋体" w:hAnsi="宋体" w:eastAsia="宋体" w:cs="宋体"/>
          <w:b w:val="0"/>
          <w:bCs w:val="0"/>
          <w:color w:val="auto"/>
          <w:sz w:val="21"/>
          <w:szCs w:val="21"/>
          <w:u w:val="single"/>
        </w:rPr>
        <w:t>元/人/月（大写：</w:t>
      </w:r>
      <w:r>
        <w:rPr>
          <w:rFonts w:hint="eastAsia" w:ascii="宋体" w:hAnsi="宋体" w:eastAsia="宋体" w:cs="宋体"/>
          <w:b w:val="0"/>
          <w:bCs w:val="0"/>
          <w:color w:val="auto"/>
          <w:sz w:val="21"/>
          <w:szCs w:val="21"/>
          <w:u w:val="single"/>
          <w:lang w:val="en-US" w:eastAsia="zh-CN"/>
        </w:rPr>
        <w:t xml:space="preserve">  </w:t>
      </w:r>
      <w:r>
        <w:rPr>
          <w:rFonts w:hint="eastAsia" w:ascii="宋体" w:hAnsi="宋体" w:eastAsia="宋体" w:cs="宋体"/>
          <w:b w:val="0"/>
          <w:bCs w:val="0"/>
          <w:color w:val="auto"/>
          <w:sz w:val="21"/>
          <w:szCs w:val="21"/>
          <w:u w:val="single"/>
        </w:rPr>
        <w:t>）</w:t>
      </w:r>
      <w:r>
        <w:rPr>
          <w:rFonts w:hint="eastAsia" w:ascii="宋体" w:hAnsi="宋体" w:eastAsia="宋体" w:cs="宋体"/>
          <w:b w:val="0"/>
          <w:bCs w:val="0"/>
          <w:color w:val="auto"/>
          <w:sz w:val="21"/>
          <w:szCs w:val="21"/>
        </w:rPr>
        <w:t>，不区分普通保安人员和保安队长，统一按综合单价计价</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暂定采购月份、暂定采购保安人数对应的暂定合同价为¥</w:t>
      </w:r>
      <w:r>
        <w:rPr>
          <w:rFonts w:hint="eastAsia" w:ascii="宋体" w:hAnsi="宋体" w:eastAsia="宋体" w:cs="宋体"/>
          <w:b w:val="0"/>
          <w:bCs w:val="0"/>
          <w:color w:val="auto"/>
          <w:sz w:val="21"/>
          <w:szCs w:val="21"/>
          <w:u w:val="single"/>
        </w:rPr>
        <w:t xml:space="preserve">         </w:t>
      </w:r>
      <w:r>
        <w:rPr>
          <w:rFonts w:hint="eastAsia" w:ascii="宋体" w:hAnsi="宋体" w:eastAsia="宋体" w:cs="宋体"/>
          <w:b w:val="0"/>
          <w:bCs w:val="0"/>
          <w:color w:val="auto"/>
          <w:sz w:val="21"/>
          <w:szCs w:val="21"/>
        </w:rPr>
        <w:t>（大写人民币</w:t>
      </w:r>
      <w:r>
        <w:rPr>
          <w:rFonts w:hint="eastAsia" w:ascii="宋体" w:hAnsi="宋体" w:eastAsia="宋体" w:cs="宋体"/>
          <w:b w:val="0"/>
          <w:bCs w:val="0"/>
          <w:color w:val="auto"/>
          <w:sz w:val="21"/>
          <w:szCs w:val="21"/>
          <w:u w:val="single"/>
        </w:rPr>
        <w:t xml:space="preserve">              </w:t>
      </w:r>
      <w:r>
        <w:rPr>
          <w:rFonts w:hint="eastAsia" w:ascii="宋体" w:hAnsi="宋体" w:eastAsia="宋体" w:cs="宋体"/>
          <w:b w:val="0"/>
          <w:bCs w:val="0"/>
          <w:color w:val="auto"/>
          <w:sz w:val="21"/>
          <w:szCs w:val="21"/>
        </w:rPr>
        <w:t>，不含销项税额）。</w:t>
      </w:r>
    </w:p>
    <w:p w14:paraId="011CF751">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4</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依法计得并根据本合同约定确定的销项税额由甲方承担。根据《中华人民共和国增值税暂行条例》（国务院令第691号修订版）及当前税务部门的相关规定，本合同项目的增值税税率为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%，在本合同履行过程中，税收政策变动导致增值税税率调整，依法应调整销项税额的，依法调整；但因乙方未按甲方要求</w:t>
      </w:r>
      <w:r>
        <w:rPr>
          <w:rFonts w:hint="eastAsia" w:ascii="宋体" w:hAnsi="宋体" w:eastAsia="宋体" w:cs="宋体"/>
          <w:color w:val="auto"/>
          <w:sz w:val="21"/>
          <w:szCs w:val="21"/>
          <w:lang w:val="en-US" w:eastAsia="zh-CN"/>
        </w:rPr>
        <w:t>提供服务</w:t>
      </w:r>
      <w:r>
        <w:rPr>
          <w:rFonts w:hint="eastAsia" w:ascii="宋体" w:hAnsi="宋体" w:eastAsia="宋体" w:cs="宋体"/>
          <w:color w:val="auto"/>
          <w:sz w:val="21"/>
          <w:szCs w:val="21"/>
        </w:rPr>
        <w:t>、未根据合同约定提供合法、完整的请款资料等原因导致销项税额增加的，相应损失由乙方承担。</w:t>
      </w:r>
    </w:p>
    <w:p w14:paraId="56AA6603">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因乙方未按法定税率计算税额或未根据本合同约定出具对应税额的增值税专用发票等乙方原因导致甲方多支付税额的，乙方必须退还甲方，给甲方造成损失的，乙方须向甲方赔偿相应损失。</w:t>
      </w:r>
    </w:p>
    <w:p w14:paraId="2755DD41">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保安人员的月综合单价应包括乙方完成本合同服务所需的全部费用，包括但不限于</w:t>
      </w:r>
      <w:r>
        <w:rPr>
          <w:rFonts w:hint="eastAsia" w:ascii="宋体" w:hAnsi="宋体" w:eastAsia="宋体" w:cs="宋体"/>
          <w:color w:val="auto"/>
          <w:sz w:val="21"/>
          <w:szCs w:val="21"/>
          <w:lang w:eastAsia="zh-CN"/>
        </w:rPr>
        <w:t>：</w:t>
      </w:r>
    </w:p>
    <w:p w14:paraId="026470EC">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4.3.1</w:t>
      </w:r>
      <w:r>
        <w:rPr>
          <w:rFonts w:hint="eastAsia" w:ascii="宋体" w:hAnsi="宋体" w:eastAsia="宋体" w:cs="宋体"/>
          <w:color w:val="auto"/>
          <w:sz w:val="21"/>
          <w:szCs w:val="21"/>
        </w:rPr>
        <w:t>人工费（工资及加班工资、福利、社保、劳保、服装、膳食、住宿、意外伤害保险等）、办公费、交通费、管理费用、对讲机、防卫器械、手电筒雨衣水鞋等装备购置费、</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lang w:val="zh-CN"/>
        </w:rPr>
        <w:t>销项税额以外的税费</w:t>
      </w:r>
      <w:r>
        <w:rPr>
          <w:rFonts w:hint="eastAsia" w:ascii="宋体" w:hAnsi="宋体" w:eastAsia="宋体" w:cs="宋体"/>
          <w:color w:val="auto"/>
          <w:sz w:val="21"/>
          <w:szCs w:val="21"/>
        </w:rPr>
        <w:t>、利润等。</w:t>
      </w:r>
    </w:p>
    <w:p w14:paraId="2A67DE70">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4.3.2</w:t>
      </w:r>
      <w:r>
        <w:rPr>
          <w:rFonts w:hint="eastAsia" w:ascii="宋体" w:hAnsi="宋体" w:eastAsia="宋体" w:cs="宋体"/>
          <w:color w:val="auto"/>
          <w:sz w:val="21"/>
          <w:szCs w:val="21"/>
          <w:lang w:eastAsia="zh-CN"/>
        </w:rPr>
        <w:t>法律法规、商业公认、招标文件规定由乙方承担的其他直接及间接费用。</w:t>
      </w:r>
    </w:p>
    <w:p w14:paraId="4376C795">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服务费在服务期内不因最低工资标准上调，劳务成本、物价成本等的变动或其他任何原因而做调整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在合同履行期间，根据本条第2款规定调整销项税额的，甲方有权告知乙方后调整</w:t>
      </w:r>
      <w:r>
        <w:rPr>
          <w:rFonts w:hint="eastAsia" w:ascii="宋体" w:hAnsi="宋体" w:eastAsia="宋体" w:cs="宋体"/>
          <w:color w:val="auto"/>
          <w:sz w:val="21"/>
          <w:szCs w:val="21"/>
          <w:lang w:val="en-US" w:eastAsia="zh-CN"/>
        </w:rPr>
        <w:t>含税</w:t>
      </w:r>
      <w:r>
        <w:rPr>
          <w:rFonts w:hint="eastAsia" w:ascii="宋体" w:hAnsi="宋体" w:eastAsia="宋体" w:cs="宋体"/>
          <w:color w:val="auto"/>
          <w:sz w:val="21"/>
          <w:szCs w:val="21"/>
        </w:rPr>
        <w:t>服务费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乙方对此表示同意且无异议</w:t>
      </w:r>
      <w:r>
        <w:rPr>
          <w:rFonts w:hint="eastAsia" w:ascii="宋体" w:hAnsi="宋体" w:eastAsia="宋体" w:cs="宋体"/>
          <w:color w:val="auto"/>
          <w:sz w:val="21"/>
          <w:szCs w:val="21"/>
        </w:rPr>
        <w:t>。</w:t>
      </w:r>
    </w:p>
    <w:p w14:paraId="2CB5166A">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服务费按月支付。每月保安服务费为配置保安人员数量乘以保安人员服务费综合单价，由甲方按照考核评分标准的规定进行考核评分后确定。在甲方服务地点完成对乙方上月的服务考核评分后，乙方向甲方出具合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有效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要求的增值税专用发票及请款报告，甲方在收到发票、请款报告后</w:t>
      </w:r>
      <w:r>
        <w:rPr>
          <w:rFonts w:hint="eastAsia" w:ascii="宋体" w:hAnsi="宋体" w:eastAsia="宋体" w:cs="宋体"/>
          <w:b/>
          <w:bCs/>
          <w:color w:val="auto"/>
          <w:sz w:val="21"/>
          <w:szCs w:val="21"/>
          <w:u w:val="single"/>
          <w:lang w:val="en-US" w:eastAsia="zh-CN"/>
        </w:rPr>
        <w:t>15</w:t>
      </w:r>
      <w:r>
        <w:rPr>
          <w:rFonts w:hint="eastAsia" w:ascii="宋体" w:hAnsi="宋体" w:eastAsia="宋体" w:cs="宋体"/>
          <w:color w:val="auto"/>
          <w:sz w:val="21"/>
          <w:szCs w:val="21"/>
        </w:rPr>
        <w:t>个工作日内采用转账或银行承兑汇票（汇票期限不超过三个月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每期款项支付方式由甲方决定）的方式向乙方支付上月实际应付的保安服务费用。乙方逾期提交请款</w:t>
      </w:r>
      <w:r>
        <w:rPr>
          <w:rFonts w:hint="eastAsia" w:ascii="宋体" w:hAnsi="宋体" w:eastAsia="宋体" w:cs="宋体"/>
          <w:color w:val="auto"/>
          <w:sz w:val="21"/>
          <w:szCs w:val="21"/>
          <w:lang w:val="en-US" w:eastAsia="zh-CN"/>
        </w:rPr>
        <w:t>报告、</w:t>
      </w:r>
      <w:r>
        <w:rPr>
          <w:rFonts w:hint="eastAsia" w:ascii="宋体" w:hAnsi="宋体" w:eastAsia="宋体" w:cs="宋体"/>
          <w:color w:val="auto"/>
          <w:sz w:val="21"/>
          <w:szCs w:val="21"/>
        </w:rPr>
        <w:t>发票或提交</w:t>
      </w:r>
      <w:r>
        <w:rPr>
          <w:rFonts w:hint="eastAsia" w:ascii="宋体" w:hAnsi="宋体" w:eastAsia="宋体" w:cs="宋体"/>
          <w:color w:val="auto"/>
          <w:sz w:val="21"/>
          <w:szCs w:val="21"/>
          <w:lang w:val="en-US" w:eastAsia="zh-CN"/>
        </w:rPr>
        <w:t>报告</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发票不符合甲方要求的，甲方有权顺延支付相应款项，并不承担逾期付款的违约责任，乙方不得以此延迟而拒绝履行合同义务。由于乙方提供的发票不符合税法规定或本合同约定的，给甲方造成的损失由乙方承担赔偿责任。</w:t>
      </w:r>
    </w:p>
    <w:p w14:paraId="6F8D6883">
      <w:pPr>
        <w:pStyle w:val="2"/>
        <w:keepNext w:val="0"/>
        <w:keepLines w:val="0"/>
        <w:pageBreakBefore w:val="0"/>
        <w:kinsoku/>
        <w:wordWrap/>
        <w:overflowPunct/>
        <w:topLinePunct w:val="0"/>
        <w:autoSpaceDE/>
        <w:autoSpaceDN/>
        <w:bidi w:val="0"/>
        <w:snapToGrid/>
        <w:spacing w:line="360" w:lineRule="auto"/>
        <w:ind w:right="0"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4.5乙方按照合同内每个服务点服务要求开展服务，保安人员如出现缺勤情况，缺勤当天服务费则按实际出勤人员情况进行结算，乙方需配合甲方填写确定情况说明并签字确认。</w:t>
      </w:r>
    </w:p>
    <w:p w14:paraId="30C31AB1">
      <w:pPr>
        <w:keepNext w:val="0"/>
        <w:keepLines w:val="0"/>
        <w:pageBreakBefore w:val="0"/>
        <w:widowControl/>
        <w:kinsoku/>
        <w:wordWrap/>
        <w:overflowPunct/>
        <w:topLinePunct w:val="0"/>
        <w:bidi w:val="0"/>
        <w:snapToGrid/>
        <w:spacing w:line="360" w:lineRule="auto"/>
        <w:ind w:firstLine="420" w:firstLineChars="200"/>
        <w:rPr>
          <w:rFonts w:hint="eastAsia" w:ascii="宋体" w:hAnsi="宋体" w:eastAsia="宋体" w:cs="宋体"/>
          <w:b w:val="0"/>
          <w:bCs w:val="0"/>
          <w:color w:val="auto"/>
          <w:sz w:val="21"/>
          <w:szCs w:val="21"/>
          <w:lang w:val="en-US" w:eastAsia="zh-CN" w:bidi="ar-SA"/>
        </w:rPr>
      </w:pP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6</w:t>
      </w:r>
      <w:r>
        <w:rPr>
          <w:rFonts w:hint="eastAsia" w:ascii="宋体" w:hAnsi="宋体" w:eastAsia="宋体" w:cs="宋体"/>
          <w:b w:val="0"/>
          <w:bCs w:val="0"/>
          <w:color w:val="auto"/>
          <w:sz w:val="21"/>
          <w:szCs w:val="21"/>
          <w:lang w:val="en-US" w:eastAsia="zh-CN" w:bidi="ar-SA"/>
        </w:rPr>
        <w:t>乙方每月需与甲方各服务场地主管人员共同对月度保安服务工作进行总结，听取各服务场地意见，完善服务工作，每月10日前，由甲方各服务地按照附件二：用户需求书《东莞市水务集团管网有限公司保安服务检查考核评分标准》对乙方上月的保安服务进行考核，考核结果经双方确认后再行结算相关费用。</w:t>
      </w:r>
    </w:p>
    <w:p w14:paraId="3B316B9A">
      <w:pPr>
        <w:keepNext w:val="0"/>
        <w:keepLines w:val="0"/>
        <w:pageBreakBefore w:val="0"/>
        <w:widowControl/>
        <w:kinsoku/>
        <w:wordWrap/>
        <w:overflowPunct/>
        <w:topLinePunct w:val="0"/>
        <w:bidi w:val="0"/>
        <w:snapToGrid/>
        <w:spacing w:line="360" w:lineRule="auto"/>
        <w:ind w:firstLine="420" w:firstLineChars="20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4.7合同履约过程中，如甲方有需要或有新增的服务场地需要保安服务，可按中标综合单价与乙方签订补充协议。</w:t>
      </w:r>
    </w:p>
    <w:p w14:paraId="6CD142F5">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4.8</w:t>
      </w:r>
      <w:r>
        <w:rPr>
          <w:rFonts w:hint="eastAsia" w:ascii="宋体" w:hAnsi="宋体" w:eastAsia="宋体" w:cs="宋体"/>
          <w:color w:val="auto"/>
          <w:sz w:val="21"/>
          <w:szCs w:val="21"/>
        </w:rPr>
        <w:t>乙方的指定收款账户信息如下：</w:t>
      </w:r>
    </w:p>
    <w:p w14:paraId="7167FC89">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账户名称：</w:t>
      </w:r>
    </w:p>
    <w:p w14:paraId="25231F4A">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rPr>
        <w:t>开户行：</w:t>
      </w:r>
    </w:p>
    <w:p w14:paraId="2F9EA4DA">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rPr>
        <w:t>账号：</w:t>
      </w:r>
    </w:p>
    <w:p w14:paraId="34D7B5B5">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特别约定：乙方实际提交的增值税专用发票的税率少于本合同约定的增值税税率的：乙方有权请款的金额变更为“不含税合同价请款金额×（1+乙方实际提交的增值税专用发票的税率）”，对于变更后的差额款项，乙方自愿放弃；乙方实际提交的增值税专用发票的税率多于本合同约定的增值税税率的：甲方有权暂停支付款项直至乙方提供符合本合同约定的增值税专用发票；若乙方因客观情况无法出具的，则经甲方书面同意后，乙方有权请款的金额仍为“不含税合同价请款金额×（1+</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%）”，对于多出的税款金额，乙方自愿放弃。</w:t>
      </w:r>
    </w:p>
    <w:p w14:paraId="57C50045">
      <w:pPr>
        <w:pStyle w:val="5"/>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4</w:t>
      </w:r>
      <w:r>
        <w:rPr>
          <w:rFonts w:hint="eastAsia" w:ascii="宋体" w:hAnsi="宋体" w:eastAsia="宋体" w:cs="宋体"/>
          <w:bCs/>
          <w:color w:val="auto"/>
          <w:sz w:val="21"/>
          <w:szCs w:val="21"/>
          <w:highlight w:val="none"/>
          <w:lang w:val="en-US" w:eastAsia="zh-CN"/>
        </w:rPr>
        <w:t>.9</w:t>
      </w:r>
      <w:r>
        <w:rPr>
          <w:rFonts w:hint="eastAsia" w:ascii="宋体" w:hAnsi="宋体" w:eastAsia="宋体" w:cs="宋体"/>
          <w:bCs/>
          <w:color w:val="auto"/>
          <w:sz w:val="21"/>
          <w:szCs w:val="21"/>
          <w:highlight w:val="none"/>
        </w:rPr>
        <w:t>合同的履约过程中，乙方根据本合同约定需向甲方支付违约金、赔偿金、或其他应付费用等款项的，乙方必须先向甲方支付相关款项后，甲方才根据本合同向乙方支付合同价款。若因乙方未能支付前述费用，影响项目实施的，甲方有权启用履约担保或直接从未付合同款项中直接扣除，且乙方必须按照扣除前述费用前的合同价款开具增值税专用发票，保证增值税税额符合法律规定。</w:t>
      </w:r>
    </w:p>
    <w:p w14:paraId="7B4B8557">
      <w:pPr>
        <w:keepNext w:val="0"/>
        <w:keepLines w:val="0"/>
        <w:pageBreakBefore w:val="0"/>
        <w:kinsoku/>
        <w:wordWrap/>
        <w:overflowPunct/>
        <w:topLinePunct w:val="0"/>
        <w:bidi w:val="0"/>
        <w:snapToGrid/>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五、甲方权利和义务</w:t>
      </w:r>
    </w:p>
    <w:p w14:paraId="04AE8C60">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5.1本合同不具排他性，甲方对本合同范围内的具体</w:t>
      </w:r>
      <w:r>
        <w:rPr>
          <w:rFonts w:hint="eastAsia" w:ascii="宋体" w:hAnsi="宋体" w:eastAsia="宋体" w:cs="宋体"/>
          <w:bCs/>
          <w:color w:val="auto"/>
          <w:sz w:val="21"/>
          <w:szCs w:val="21"/>
          <w:lang w:val="en-US" w:eastAsia="zh-CN"/>
        </w:rPr>
        <w:t>办公场所</w:t>
      </w:r>
      <w:r>
        <w:rPr>
          <w:rFonts w:hint="eastAsia" w:ascii="宋体" w:hAnsi="宋体" w:eastAsia="宋体" w:cs="宋体"/>
          <w:bCs/>
          <w:color w:val="auto"/>
          <w:sz w:val="21"/>
          <w:szCs w:val="21"/>
        </w:rPr>
        <w:t>保安服务选择享有自主选择的权利。根据项目的实际需要，甲方有权将本合同范围内的项目按约定分配给乙方或另行通过其他方式委托其他有资质的第三方进行。</w:t>
      </w:r>
    </w:p>
    <w:p w14:paraId="6C85D5A5">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5.2服务合同期内，如果乙方存在单个项目保安服务质量差，或因为其它特殊原因（如政府部门相关的政策、文件精神要求等），甲方有对新需要采购保安服务的项目另行委托第三方（即在服务合同期内，对新需要采购保安服务的项目不与乙方签订补充协议）的权利。</w:t>
      </w:r>
    </w:p>
    <w:p w14:paraId="2BED750E">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5.3甲方协同乙方共同做好保安人员的思想教育工作，提高保安人员的工作能力；有权对乙方保安人员的工作情况进行监督检查，随时检查保安人员工作是否称职，甲方可对不称职的保安人员进行教育批评并应通知乙方，要求乙方予以调换。</w:t>
      </w:r>
    </w:p>
    <w:p w14:paraId="400F385B">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5.4对执勤时间内发生安全事故的，甲方可提请乙方追究当班保安人员的责任，为确保护卫目标的安全，双方应共同努力，密切合作，经常交换意见，协调做好保安工作。</w:t>
      </w:r>
    </w:p>
    <w:p w14:paraId="697C80B0">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5.5甲方每月以服务单位按照上级单位《安保检查考核评分标准》对乙方的服务进行检查和考核，并根据考核结果按月向乙方支付服务费。</w:t>
      </w:r>
    </w:p>
    <w:p w14:paraId="1B7DB825">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5.6甲方对发现乙方违反本合同的有关规定或承诺，甲方有权追究乙方的违约责任。</w:t>
      </w:r>
    </w:p>
    <w:p w14:paraId="0B1DC71F">
      <w:pPr>
        <w:keepNext w:val="0"/>
        <w:keepLines w:val="0"/>
        <w:pageBreakBefore w:val="0"/>
        <w:kinsoku/>
        <w:wordWrap/>
        <w:overflowPunct/>
        <w:topLinePunct w:val="0"/>
        <w:bidi w:val="0"/>
        <w:snapToGrid/>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六、乙方权利和义务</w:t>
      </w:r>
    </w:p>
    <w:p w14:paraId="5BE568DE">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rPr>
        <w:t>6.1乙方应保证按照合同约定的保安人数、进驻时间安排选派保安。否则，甲方有权单方解除合同，由此造成的损失由乙方承担。</w:t>
      </w:r>
    </w:p>
    <w:p w14:paraId="57019A39">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6.2乙方应承诺遵守《劳动合同法》相关规定，与选派的保安人员办理合法的劳动用工手续，与其建立劳动关系并签订劳动合同，负责支付保安人员的工资、培训、服装（装备）、体检和购买社会保险（工伤、养老、医疗、失业保险、意外伤害保险、加班费）等费用以及承担作为用人单位的其他义务，并向甲方提供相关证明资料。如乙方未履行用人单位义务给选派的保安人员造成损失或引发劳动争议的，由乙方负责，并承担由此产生的费用及损失。同时，甲方有权单方解除本合同，如造成甲方经济损失的，乙方应当予以赔偿。</w:t>
      </w:r>
    </w:p>
    <w:p w14:paraId="491741BE">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6.3乙方应当要求选派的保安人员严格履行双方约定的职责要求，并遵守甲方的各项规章制度，维护甲方的合法利益。对违反甲方各项规章制度的，根据甲方的调换要求，乙方应在三天内无条件予以调换。因乙方选派的保安人员违反甲方规章制度、工作失职给甲方造成经济损失的，乙方应当承担赔偿责任。</w:t>
      </w:r>
    </w:p>
    <w:p w14:paraId="3857A254">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6.4在工作时间内，乙方选派的保安人员应严格执勤，仪容整洁，举止端庄，热情大方，文明礼貌地处理日常保安护卫事务，在护卫责任范围内，对故意损害甲方利益的行为要机智、勇敢地去维护甲方利益，如属一般性的违纪，保安人员要耐心地做好解释工作，妥善处理，防止矛盾激化，如遇上确实无法处理的事件，应及时将情况上报甲乙双方领导和公安机关，采取措施保护发案现场，依法妥善处理发生在责任范围内的相关突发事件。如选派保安人员有虚报、瞒报或延迟报告等行为的，由乙方依法承担相应责任，因上述行为造成甲方扩大损失的，乙方应对扩大损失部分承担赔偿责任。</w:t>
      </w:r>
    </w:p>
    <w:p w14:paraId="3558898B">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6.5除本合同另有约定外，乙方应为保安人员配备全国统一的保安制服和基本的保安装备等劳动保护用具，并承担费用。保安人员值勤时必须着装整齐，举止端庄，文明礼貌，忠于职守，严格遵守各方的各项规章制度，服从甲方监督安排。</w:t>
      </w:r>
    </w:p>
    <w:p w14:paraId="32BA9DAE">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6.6乙方应每月定期检查甲方</w:t>
      </w:r>
      <w:r>
        <w:rPr>
          <w:rFonts w:hint="eastAsia" w:ascii="宋体" w:hAnsi="宋体" w:eastAsia="宋体" w:cs="宋体"/>
          <w:color w:val="auto"/>
          <w:sz w:val="21"/>
          <w:szCs w:val="21"/>
          <w:lang w:val="en-US" w:eastAsia="zh-CN"/>
        </w:rPr>
        <w:t>办公场所、取水泵房、值守室等</w:t>
      </w:r>
      <w:r>
        <w:rPr>
          <w:rFonts w:hint="eastAsia" w:ascii="宋体" w:hAnsi="宋体" w:eastAsia="宋体" w:cs="宋体"/>
          <w:color w:val="auto"/>
          <w:sz w:val="21"/>
          <w:szCs w:val="21"/>
        </w:rPr>
        <w:t>区域内安全情况，若发现异常情况及安全隐患应及时向甲方报告并提出整改措施与建议，并跟踪整改结果。</w:t>
      </w:r>
    </w:p>
    <w:p w14:paraId="723983CF">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6.7乙方应负责每月召开一次保安人员会议，加强保安人员的思想教育及日常管理工作，且每天定期与不定期检查保安人员的执勤上岗情况；并于每月定期向甲方上报本月的工作检查情况。</w:t>
      </w:r>
    </w:p>
    <w:p w14:paraId="15B15095">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6.8在本合同期限内，若经甲方认定乙方选派的保安人员存在不适应甲方工作的，甲方有权要求调换，乙方应在收到调换通知后应当在三天内无条件配合完成人员调换，以保证安全防范工作。</w:t>
      </w:r>
    </w:p>
    <w:p w14:paraId="335136D7">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6.9乙方所派保安人员休息休假等由乙方自行负责，但应保证甲方各</w:t>
      </w:r>
      <w:r>
        <w:rPr>
          <w:rFonts w:hint="eastAsia" w:ascii="宋体" w:hAnsi="宋体" w:eastAsia="宋体" w:cs="宋体"/>
          <w:color w:val="auto"/>
          <w:sz w:val="21"/>
          <w:szCs w:val="21"/>
          <w:lang w:val="en-US" w:eastAsia="zh-CN"/>
        </w:rPr>
        <w:t>办公场所</w:t>
      </w:r>
      <w:r>
        <w:rPr>
          <w:rFonts w:hint="eastAsia" w:ascii="宋体" w:hAnsi="宋体" w:eastAsia="宋体" w:cs="宋体"/>
          <w:color w:val="auto"/>
          <w:sz w:val="21"/>
          <w:szCs w:val="21"/>
        </w:rPr>
        <w:t>所有保安岗位的在岗人数、时间和维护选派保安人员的法定休息权利。如因履行本合同义务而需保安人员加班的，由此产生的加班费用由乙方承担，乙方应按有关法律规定予以支付。</w:t>
      </w:r>
    </w:p>
    <w:p w14:paraId="49942635">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6.10乙方安排选派甲方服务地点的保安人员休息休假，或患病需病休的，应当提前3天报甲方备案，并由乙方派替代人员到甲方顶班，乙方应保证替代人员符合本合同约定及乙方所有保安岗位的正常执勤，如由此导致保安人员加班的，产生的加班费等由乙方承担。</w:t>
      </w:r>
    </w:p>
    <w:p w14:paraId="4477788E">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6.11乙方选派至甲方工作的保安人员中途离职的，乙方必须在24小时内无条件补充相应数量</w:t>
      </w:r>
      <w:r>
        <w:rPr>
          <w:rFonts w:hint="eastAsia" w:ascii="宋体" w:hAnsi="宋体" w:eastAsia="宋体" w:cs="宋体"/>
          <w:color w:val="auto"/>
          <w:sz w:val="21"/>
          <w:szCs w:val="21"/>
          <w:lang w:eastAsia="zh-CN"/>
        </w:rPr>
        <w:t>符合本合同约定资质的保安</w:t>
      </w:r>
      <w:r>
        <w:rPr>
          <w:rFonts w:hint="eastAsia" w:ascii="宋体" w:hAnsi="宋体" w:eastAsia="宋体" w:cs="宋体"/>
          <w:color w:val="auto"/>
          <w:sz w:val="21"/>
          <w:szCs w:val="21"/>
        </w:rPr>
        <w:t>人员。</w:t>
      </w:r>
    </w:p>
    <w:p w14:paraId="17113570">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6.12在本合同履行期间，对乙方过错以及其保安人员失职等原因造成甲方及第三方设施设备、其他财产损坏、损失、丢失、被盗等经济损失的，由乙方承担赔偿责任。乙方可就双方保安服务合同为甲方向相关保险公司投保，对乙方应当承担的损害赔偿，可由乙方向保险公司按扩展第三者责任保险申请理赔以分散责任承担。对保险理赔后不足以弥补甲方损失的，乙方仍应承担赔偿责任。</w:t>
      </w:r>
    </w:p>
    <w:p w14:paraId="6186529D">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6.13乙方应落实防火、防盗、防破坏等安全防范措施，发现责任区域内的安全隐患，及时报告甲方并协助予以处理。</w:t>
      </w:r>
    </w:p>
    <w:p w14:paraId="5C4F5AB9">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6.14服务期内，乙方须对其派驻的保安人员自身所发生的安全和交通等事故负责，以及对保安人员在甲方服务点出现的任何非甲方原因造成的工伤等事故，全部由乙方负责，甲方无需承担任何责任。</w:t>
      </w:r>
    </w:p>
    <w:p w14:paraId="2A9115F3">
      <w:pPr>
        <w:keepNext w:val="0"/>
        <w:keepLines w:val="0"/>
        <w:pageBreakBefore w:val="0"/>
        <w:kinsoku/>
        <w:wordWrap/>
        <w:overflowPunct/>
        <w:topLinePunct w:val="0"/>
        <w:bidi w:val="0"/>
        <w:snapToGrid/>
        <w:spacing w:line="360" w:lineRule="auto"/>
        <w:ind w:firstLine="422" w:firstLineChars="200"/>
        <w:contextualSpacing w:val="0"/>
        <w:rPr>
          <w:rFonts w:hint="eastAsia" w:ascii="宋体" w:hAnsi="宋体" w:eastAsia="宋体" w:cs="宋体"/>
          <w:b/>
          <w:bCs/>
          <w:color w:val="auto"/>
          <w:sz w:val="21"/>
          <w:szCs w:val="21"/>
        </w:rPr>
      </w:pPr>
      <w:r>
        <w:rPr>
          <w:rFonts w:hint="eastAsia" w:ascii="宋体" w:hAnsi="宋体" w:eastAsia="宋体" w:cs="宋体"/>
          <w:b/>
          <w:bCs/>
          <w:color w:val="auto"/>
          <w:sz w:val="21"/>
          <w:szCs w:val="21"/>
        </w:rPr>
        <w:t>七、履约担保</w:t>
      </w:r>
    </w:p>
    <w:p w14:paraId="7A5D27E8">
      <w:pPr>
        <w:keepNext w:val="0"/>
        <w:keepLines w:val="0"/>
        <w:pageBreakBefore w:val="0"/>
        <w:kinsoku/>
        <w:wordWrap/>
        <w:overflowPunct/>
        <w:topLinePunct w:val="0"/>
        <w:bidi w:val="0"/>
        <w:snapToGrid/>
        <w:spacing w:line="360" w:lineRule="auto"/>
        <w:ind w:firstLine="420" w:firstLineChars="200"/>
        <w:contextualSpacing w:val="0"/>
        <w:rPr>
          <w:rFonts w:hint="eastAsia" w:ascii="宋体" w:hAnsi="宋体" w:eastAsia="宋体" w:cs="宋体"/>
          <w:bCs w:val="0"/>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.1</w:t>
      </w:r>
      <w:r>
        <w:rPr>
          <w:rFonts w:hint="eastAsia" w:ascii="宋体" w:hAnsi="宋体" w:eastAsia="宋体" w:cs="宋体"/>
          <w:bCs w:val="0"/>
          <w:color w:val="auto"/>
          <w:sz w:val="21"/>
          <w:szCs w:val="21"/>
        </w:rPr>
        <w:t>乙方应当根据招标文件的规定在签订本合同前向甲方提供履约担保，履约担保形式及金额由乙方从以下方式中任选一种：</w:t>
      </w:r>
    </w:p>
    <w:p w14:paraId="4809BC59">
      <w:pPr>
        <w:pStyle w:val="2"/>
        <w:tabs>
          <w:tab w:val="left" w:pos="5504"/>
        </w:tabs>
        <w:snapToGrid w:val="0"/>
        <w:spacing w:line="360" w:lineRule="auto"/>
        <w:ind w:right="0" w:firstLine="422" w:firstLineChars="200"/>
        <w:jc w:val="left"/>
        <w:rPr>
          <w:rFonts w:hAnsi="宋体" w:cs="宋体"/>
          <w:color w:val="auto"/>
          <w:sz w:val="21"/>
          <w:szCs w:val="21"/>
        </w:rPr>
      </w:pPr>
      <w:r>
        <w:rPr>
          <w:rFonts w:hint="eastAsia" w:hAnsi="宋体" w:cs="宋体"/>
          <w:color w:val="auto"/>
          <w:sz w:val="21"/>
          <w:szCs w:val="21"/>
        </w:rPr>
        <w:sym w:font="Wingdings 2" w:char="00A3"/>
      </w:r>
      <w:r>
        <w:rPr>
          <w:rFonts w:hint="eastAsia" w:hAnsi="宋体" w:cs="宋体"/>
          <w:color w:val="auto"/>
          <w:sz w:val="21"/>
          <w:szCs w:val="21"/>
        </w:rPr>
        <w:t>履约保证金（银行转账形式）金额【暂定合同含税总价的5%】为人民币</w:t>
      </w:r>
      <w:r>
        <w:rPr>
          <w:rFonts w:hint="eastAsia" w:hAnsi="宋体" w:cs="宋体"/>
          <w:color w:val="auto"/>
          <w:sz w:val="21"/>
          <w:szCs w:val="21"/>
          <w:u w:val="single"/>
        </w:rPr>
        <w:t xml:space="preserve">      ；</w:t>
      </w:r>
    </w:p>
    <w:p w14:paraId="1DF9271D">
      <w:pPr>
        <w:pStyle w:val="2"/>
        <w:tabs>
          <w:tab w:val="left" w:pos="4657"/>
          <w:tab w:val="left" w:pos="4874"/>
        </w:tabs>
        <w:snapToGrid w:val="0"/>
        <w:spacing w:line="360" w:lineRule="auto"/>
        <w:ind w:right="0" w:firstLine="422" w:firstLineChars="200"/>
        <w:jc w:val="left"/>
        <w:rPr>
          <w:rFonts w:hAnsi="宋体" w:cs="宋体"/>
          <w:color w:val="auto"/>
          <w:sz w:val="21"/>
          <w:szCs w:val="21"/>
        </w:rPr>
      </w:pPr>
      <w:r>
        <w:rPr>
          <w:rFonts w:hint="eastAsia" w:hAnsi="宋体" w:cs="宋体"/>
          <w:color w:val="auto"/>
          <w:sz w:val="21"/>
          <w:szCs w:val="21"/>
        </w:rPr>
        <w:sym w:font="Wingdings 2" w:char="00A3"/>
      </w:r>
      <w:r>
        <w:rPr>
          <w:rFonts w:hint="eastAsia" w:hAnsi="宋体" w:cs="宋体"/>
          <w:color w:val="auto"/>
          <w:sz w:val="21"/>
          <w:szCs w:val="21"/>
        </w:rPr>
        <w:t>银行不可撤销履约保函金额【暂定合同含税总价的</w:t>
      </w:r>
      <w:r>
        <w:rPr>
          <w:rFonts w:hint="eastAsia" w:hAnsi="宋体" w:cs="宋体"/>
          <w:color w:val="auto"/>
          <w:sz w:val="21"/>
          <w:szCs w:val="21"/>
          <w:lang w:val="en-US"/>
        </w:rPr>
        <w:t>8</w:t>
      </w:r>
      <w:r>
        <w:rPr>
          <w:rFonts w:hint="eastAsia" w:hAnsi="宋体" w:cs="宋体"/>
          <w:color w:val="auto"/>
          <w:sz w:val="21"/>
          <w:szCs w:val="21"/>
        </w:rPr>
        <w:t>%】为人民币</w:t>
      </w:r>
      <w:r>
        <w:rPr>
          <w:rFonts w:hint="eastAsia" w:hAnsi="宋体" w:cs="宋体"/>
          <w:color w:val="auto"/>
          <w:sz w:val="21"/>
          <w:szCs w:val="21"/>
          <w:u w:val="single"/>
        </w:rPr>
        <w:t xml:space="preserve">      ；</w:t>
      </w:r>
    </w:p>
    <w:p w14:paraId="228036FD">
      <w:pPr>
        <w:pStyle w:val="2"/>
        <w:tabs>
          <w:tab w:val="left" w:pos="4657"/>
          <w:tab w:val="left" w:pos="4874"/>
        </w:tabs>
        <w:spacing w:line="360" w:lineRule="auto"/>
        <w:ind w:firstLine="422" w:firstLineChars="200"/>
        <w:jc w:val="left"/>
        <w:rPr>
          <w:color w:val="auto"/>
        </w:rPr>
      </w:pPr>
      <w:r>
        <w:rPr>
          <w:rFonts w:hint="eastAsia" w:hAnsi="宋体" w:cs="宋体"/>
          <w:color w:val="auto"/>
          <w:sz w:val="21"/>
          <w:szCs w:val="21"/>
          <w:lang w:val="en-US" w:bidi="ar"/>
        </w:rPr>
        <w:sym w:font="Wingdings 2" w:char="00A3"/>
      </w:r>
      <w:r>
        <w:rPr>
          <w:rFonts w:hint="eastAsia" w:hAnsi="宋体" w:cs="宋体"/>
          <w:color w:val="auto"/>
          <w:sz w:val="21"/>
          <w:szCs w:val="21"/>
          <w:lang w:val="en-US" w:bidi="ar"/>
        </w:rPr>
        <w:t>履约保证保险金额</w:t>
      </w:r>
      <w:r>
        <w:rPr>
          <w:rFonts w:hint="eastAsia" w:hAnsi="宋体" w:cs="宋体"/>
          <w:color w:val="auto"/>
          <w:sz w:val="21"/>
          <w:szCs w:val="21"/>
        </w:rPr>
        <w:t>【暂定合同含税总价的</w:t>
      </w:r>
      <w:r>
        <w:rPr>
          <w:rFonts w:hint="eastAsia" w:hAnsi="宋体" w:cs="宋体"/>
          <w:color w:val="auto"/>
          <w:sz w:val="21"/>
          <w:szCs w:val="21"/>
          <w:lang w:val="en-US"/>
        </w:rPr>
        <w:t>8</w:t>
      </w:r>
      <w:r>
        <w:rPr>
          <w:rFonts w:hint="eastAsia" w:hAnsi="宋体" w:cs="宋体"/>
          <w:color w:val="auto"/>
          <w:sz w:val="21"/>
          <w:szCs w:val="21"/>
        </w:rPr>
        <w:t>%】</w:t>
      </w:r>
      <w:r>
        <w:rPr>
          <w:rFonts w:hint="eastAsia" w:hAnsi="宋体" w:cs="宋体"/>
          <w:color w:val="auto"/>
          <w:sz w:val="21"/>
          <w:szCs w:val="21"/>
          <w:lang w:val="en-US" w:bidi="ar"/>
        </w:rPr>
        <w:t>为</w:t>
      </w:r>
      <w:r>
        <w:rPr>
          <w:rFonts w:hint="eastAsia" w:hAnsi="宋体" w:cs="宋体"/>
          <w:color w:val="auto"/>
          <w:sz w:val="21"/>
          <w:szCs w:val="21"/>
          <w:lang w:val="en-US"/>
        </w:rPr>
        <w:t>人民币</w:t>
      </w:r>
      <w:r>
        <w:rPr>
          <w:rFonts w:hint="eastAsia" w:hAnsi="宋体" w:cs="宋体"/>
          <w:color w:val="auto"/>
          <w:sz w:val="21"/>
          <w:szCs w:val="21"/>
          <w:u w:val="single"/>
        </w:rPr>
        <w:t xml:space="preserve">      </w:t>
      </w:r>
      <w:r>
        <w:rPr>
          <w:rFonts w:hint="eastAsia" w:hAnsi="宋体" w:cs="宋体"/>
          <w:color w:val="auto"/>
          <w:sz w:val="21"/>
          <w:szCs w:val="21"/>
        </w:rPr>
        <w:t>；</w:t>
      </w:r>
    </w:p>
    <w:p w14:paraId="14C9148E">
      <w:pPr>
        <w:pStyle w:val="2"/>
        <w:tabs>
          <w:tab w:val="left" w:pos="4657"/>
          <w:tab w:val="left" w:pos="4874"/>
        </w:tabs>
        <w:snapToGrid w:val="0"/>
        <w:spacing w:line="360" w:lineRule="auto"/>
        <w:ind w:right="0" w:firstLine="422" w:firstLineChars="200"/>
        <w:jc w:val="left"/>
        <w:rPr>
          <w:rFonts w:hAnsi="宋体" w:cs="宋体"/>
          <w:color w:val="auto"/>
          <w:sz w:val="21"/>
          <w:szCs w:val="21"/>
        </w:rPr>
      </w:pPr>
      <w:r>
        <w:rPr>
          <w:rFonts w:hint="eastAsia" w:hAnsi="宋体" w:cs="宋体"/>
          <w:color w:val="auto"/>
          <w:sz w:val="21"/>
          <w:szCs w:val="21"/>
        </w:rPr>
        <w:sym w:font="Wingdings 2" w:char="00A3"/>
      </w:r>
      <w:r>
        <w:rPr>
          <w:rFonts w:hint="eastAsia" w:hAnsi="宋体" w:cs="宋体"/>
          <w:color w:val="auto"/>
          <w:sz w:val="21"/>
          <w:szCs w:val="21"/>
        </w:rPr>
        <w:t>担保公司履约担保书金额【暂定合同含税总价的</w:t>
      </w:r>
      <w:r>
        <w:rPr>
          <w:rFonts w:hint="eastAsia" w:hAnsi="宋体" w:cs="宋体"/>
          <w:color w:val="auto"/>
          <w:sz w:val="21"/>
          <w:szCs w:val="21"/>
          <w:lang w:val="en-US"/>
        </w:rPr>
        <w:t>10</w:t>
      </w:r>
      <w:r>
        <w:rPr>
          <w:rFonts w:hint="eastAsia" w:hAnsi="宋体" w:cs="宋体"/>
          <w:color w:val="auto"/>
          <w:sz w:val="21"/>
          <w:szCs w:val="21"/>
        </w:rPr>
        <w:t>%】为人民币</w:t>
      </w:r>
      <w:r>
        <w:rPr>
          <w:rFonts w:hint="eastAsia" w:hAnsi="宋体" w:cs="宋体"/>
          <w:color w:val="auto"/>
          <w:sz w:val="21"/>
          <w:szCs w:val="21"/>
          <w:u w:val="single"/>
        </w:rPr>
        <w:t xml:space="preserve">      。</w:t>
      </w:r>
    </w:p>
    <w:p w14:paraId="65F84D25">
      <w:pPr>
        <w:snapToGrid w:val="0"/>
        <w:spacing w:line="360" w:lineRule="auto"/>
        <w:ind w:firstLine="422" w:firstLineChars="200"/>
        <w:contextualSpacing/>
        <w:rPr>
          <w:rFonts w:ascii="宋体" w:hAnsi="宋体" w:eastAsia="宋体" w:cs="宋体"/>
          <w:b/>
          <w:color w:val="auto"/>
          <w:szCs w:val="21"/>
        </w:rPr>
      </w:pPr>
      <w:r>
        <w:rPr>
          <w:rFonts w:hint="eastAsia" w:ascii="宋体" w:hAnsi="宋体" w:eastAsia="宋体" w:cs="宋体"/>
          <w:b/>
          <w:color w:val="auto"/>
          <w:szCs w:val="21"/>
          <w:lang w:bidi="ar"/>
        </w:rPr>
        <w:t>采用履约保证金（银行转账形式）的，统一由甲方东莞市水务集团管网有限公司收取。</w:t>
      </w:r>
    </w:p>
    <w:p w14:paraId="0D456637">
      <w:pPr>
        <w:keepNext w:val="0"/>
        <w:keepLines w:val="0"/>
        <w:pageBreakBefore w:val="0"/>
        <w:kinsoku/>
        <w:wordWrap/>
        <w:overflowPunct/>
        <w:topLinePunct w:val="0"/>
        <w:bidi w:val="0"/>
        <w:snapToGrid/>
        <w:spacing w:line="360" w:lineRule="auto"/>
        <w:ind w:firstLine="420" w:firstLineChars="200"/>
        <w:contextualSpacing w:val="0"/>
        <w:rPr>
          <w:rFonts w:hint="eastAsia" w:ascii="宋体" w:hAnsi="宋体" w:eastAsia="宋体" w:cs="宋体"/>
          <w:bCs w:val="0"/>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bCs w:val="0"/>
          <w:color w:val="auto"/>
          <w:sz w:val="21"/>
          <w:szCs w:val="21"/>
        </w:rPr>
        <w:t>履约担保用于补偿甲方因乙方不能完全履行其合同义务而蒙受的损失或其他合同约定的事项，如发生下列任一情况时，甲方除有权依合同追究乙方给甲方造成的损失责任外，同时有权提取履约担保并进行相应处理：</w:t>
      </w:r>
    </w:p>
    <w:p w14:paraId="4B54E180">
      <w:pPr>
        <w:keepNext w:val="0"/>
        <w:keepLines w:val="0"/>
        <w:pageBreakBefore w:val="0"/>
        <w:kinsoku/>
        <w:wordWrap/>
        <w:overflowPunct/>
        <w:topLinePunct w:val="0"/>
        <w:bidi w:val="0"/>
        <w:snapToGrid/>
        <w:spacing w:line="360" w:lineRule="auto"/>
        <w:ind w:firstLine="420" w:firstLineChars="200"/>
        <w:contextualSpacing w:val="0"/>
        <w:rPr>
          <w:rFonts w:hint="eastAsia" w:ascii="宋体" w:hAnsi="宋体" w:eastAsia="宋体" w:cs="宋体"/>
          <w:bCs w:val="0"/>
          <w:color w:val="auto"/>
          <w:sz w:val="21"/>
          <w:szCs w:val="21"/>
        </w:rPr>
      </w:pPr>
      <w:r>
        <w:rPr>
          <w:rFonts w:hint="eastAsia" w:ascii="宋体" w:hAnsi="宋体" w:eastAsia="宋体" w:cs="宋体"/>
          <w:bCs w:val="0"/>
          <w:color w:val="auto"/>
          <w:sz w:val="21"/>
          <w:szCs w:val="21"/>
          <w:lang w:val="en-US" w:eastAsia="zh-CN"/>
        </w:rPr>
        <w:t>7.2.1</w:t>
      </w:r>
      <w:r>
        <w:rPr>
          <w:rFonts w:hint="eastAsia" w:ascii="宋体" w:hAnsi="宋体" w:eastAsia="宋体" w:cs="宋体"/>
          <w:bCs w:val="0"/>
          <w:color w:val="auto"/>
          <w:sz w:val="21"/>
          <w:szCs w:val="21"/>
        </w:rPr>
        <w:t>未经甲方书面同意，乙方将本合同部分或全部的权利义务转让给第三人，甲方可依法没收其履约担保。</w:t>
      </w:r>
    </w:p>
    <w:p w14:paraId="649D815D">
      <w:pPr>
        <w:keepNext w:val="0"/>
        <w:keepLines w:val="0"/>
        <w:pageBreakBefore w:val="0"/>
        <w:kinsoku/>
        <w:wordWrap/>
        <w:overflowPunct/>
        <w:topLinePunct w:val="0"/>
        <w:bidi w:val="0"/>
        <w:snapToGrid/>
        <w:spacing w:line="360" w:lineRule="auto"/>
        <w:ind w:firstLine="420" w:firstLineChars="200"/>
        <w:contextualSpacing w:val="0"/>
        <w:rPr>
          <w:rFonts w:hint="eastAsia" w:ascii="宋体" w:hAnsi="宋体" w:eastAsia="宋体" w:cs="宋体"/>
          <w:bCs w:val="0"/>
          <w:color w:val="auto"/>
          <w:sz w:val="21"/>
          <w:szCs w:val="21"/>
        </w:rPr>
      </w:pPr>
      <w:r>
        <w:rPr>
          <w:rFonts w:hint="eastAsia" w:ascii="宋体" w:hAnsi="宋体" w:eastAsia="宋体" w:cs="宋体"/>
          <w:bCs w:val="0"/>
          <w:color w:val="auto"/>
          <w:sz w:val="21"/>
          <w:szCs w:val="21"/>
          <w:lang w:val="en-US" w:eastAsia="zh-CN"/>
        </w:rPr>
        <w:t>7.2.2</w:t>
      </w:r>
      <w:r>
        <w:rPr>
          <w:rFonts w:hint="eastAsia" w:ascii="宋体" w:hAnsi="宋体" w:eastAsia="宋体" w:cs="宋体"/>
          <w:bCs w:val="0"/>
          <w:color w:val="auto"/>
          <w:sz w:val="21"/>
          <w:szCs w:val="21"/>
        </w:rPr>
        <w:t>在合同履行期间，乙方怠于履行合同义务，经甲方通知或要求承担暂定合同含税总价5%的违约金后仍拒不改正的，甲方可依法没收或适当扣除其履约担保。</w:t>
      </w:r>
    </w:p>
    <w:p w14:paraId="72C5E709">
      <w:pPr>
        <w:keepNext w:val="0"/>
        <w:keepLines w:val="0"/>
        <w:pageBreakBefore w:val="0"/>
        <w:kinsoku/>
        <w:wordWrap/>
        <w:overflowPunct/>
        <w:topLinePunct w:val="0"/>
        <w:bidi w:val="0"/>
        <w:snapToGrid/>
        <w:spacing w:line="360" w:lineRule="auto"/>
        <w:ind w:firstLine="420" w:firstLineChars="200"/>
        <w:contextualSpacing w:val="0"/>
        <w:rPr>
          <w:rFonts w:hint="eastAsia" w:ascii="宋体" w:hAnsi="宋体" w:eastAsia="宋体" w:cs="宋体"/>
          <w:bCs w:val="0"/>
          <w:color w:val="auto"/>
          <w:sz w:val="21"/>
          <w:szCs w:val="21"/>
        </w:rPr>
      </w:pPr>
      <w:r>
        <w:rPr>
          <w:rFonts w:hint="eastAsia" w:ascii="宋体" w:hAnsi="宋体" w:eastAsia="宋体" w:cs="宋体"/>
          <w:bCs w:val="0"/>
          <w:color w:val="auto"/>
          <w:sz w:val="21"/>
          <w:szCs w:val="21"/>
          <w:lang w:val="en-US" w:eastAsia="zh-CN"/>
        </w:rPr>
        <w:t>7.2.3</w:t>
      </w:r>
      <w:r>
        <w:rPr>
          <w:rFonts w:hint="eastAsia" w:ascii="宋体" w:hAnsi="宋体" w:eastAsia="宋体" w:cs="宋体"/>
          <w:bCs w:val="0"/>
          <w:color w:val="auto"/>
          <w:sz w:val="21"/>
          <w:szCs w:val="21"/>
        </w:rPr>
        <w:t>在合同履行期间，因乙方服务质量问题造成损害、侵权损失（包括但不限于甲方（含其人员）经济损失、乙方所雇人员及第三人人身财产损失等）、与其所雇用员工发生劳资纠纷、上访、闹事或其他影响甲方生产经营等情况而其未及时妥善处理的，甲方有权使用履约担保予以支付或作出相应处理，由此产生的一切法律后果由乙方承担。</w:t>
      </w:r>
    </w:p>
    <w:p w14:paraId="05140855">
      <w:pPr>
        <w:keepNext w:val="0"/>
        <w:keepLines w:val="0"/>
        <w:pageBreakBefore w:val="0"/>
        <w:kinsoku/>
        <w:wordWrap/>
        <w:overflowPunct/>
        <w:topLinePunct w:val="0"/>
        <w:bidi w:val="0"/>
        <w:snapToGrid/>
        <w:spacing w:line="360" w:lineRule="auto"/>
        <w:ind w:firstLine="420" w:firstLineChars="200"/>
        <w:contextualSpacing w:val="0"/>
        <w:rPr>
          <w:rFonts w:hint="eastAsia" w:ascii="宋体" w:hAnsi="宋体" w:eastAsia="宋体" w:cs="宋体"/>
          <w:bCs w:val="0"/>
          <w:color w:val="auto"/>
          <w:sz w:val="21"/>
          <w:szCs w:val="21"/>
        </w:rPr>
      </w:pPr>
      <w:r>
        <w:rPr>
          <w:rFonts w:hint="eastAsia" w:ascii="宋体" w:hAnsi="宋体" w:eastAsia="宋体" w:cs="宋体"/>
          <w:bCs w:val="0"/>
          <w:color w:val="auto"/>
          <w:sz w:val="21"/>
          <w:szCs w:val="21"/>
          <w:lang w:val="en-US" w:eastAsia="zh-CN"/>
        </w:rPr>
        <w:t>7.2.4</w:t>
      </w:r>
      <w:r>
        <w:rPr>
          <w:rFonts w:hint="eastAsia" w:ascii="宋体" w:hAnsi="宋体" w:eastAsia="宋体" w:cs="宋体"/>
          <w:bCs w:val="0"/>
          <w:color w:val="auto"/>
          <w:sz w:val="21"/>
          <w:szCs w:val="21"/>
        </w:rPr>
        <w:t>在合同履行期间，乙方违约产生的违约金、赔偿、罚款或其他应付费用等款项，甲方有权直接从未付</w:t>
      </w:r>
      <w:r>
        <w:rPr>
          <w:rFonts w:hint="eastAsia" w:ascii="宋体" w:hAnsi="宋体" w:eastAsia="宋体" w:cs="宋体"/>
          <w:bCs w:val="0"/>
          <w:color w:val="auto"/>
          <w:sz w:val="21"/>
          <w:szCs w:val="21"/>
          <w:lang w:val="en-US" w:eastAsia="zh-CN"/>
        </w:rPr>
        <w:t>服务</w:t>
      </w:r>
      <w:r>
        <w:rPr>
          <w:rFonts w:hint="eastAsia" w:ascii="宋体" w:hAnsi="宋体" w:eastAsia="宋体" w:cs="宋体"/>
          <w:bCs w:val="0"/>
          <w:color w:val="auto"/>
          <w:sz w:val="21"/>
          <w:szCs w:val="21"/>
        </w:rPr>
        <w:t>款项中扣除或使用履约担保予以支付。</w:t>
      </w:r>
    </w:p>
    <w:p w14:paraId="6B6AD1BA">
      <w:pPr>
        <w:keepNext w:val="0"/>
        <w:keepLines w:val="0"/>
        <w:pageBreakBefore w:val="0"/>
        <w:kinsoku/>
        <w:wordWrap/>
        <w:overflowPunct/>
        <w:topLinePunct w:val="0"/>
        <w:bidi w:val="0"/>
        <w:snapToGrid/>
        <w:spacing w:line="360" w:lineRule="auto"/>
        <w:ind w:firstLine="420" w:firstLineChars="200"/>
        <w:contextualSpacing w:val="0"/>
        <w:rPr>
          <w:rFonts w:hint="eastAsia" w:ascii="宋体" w:hAnsi="宋体" w:eastAsia="宋体" w:cs="宋体"/>
          <w:bCs w:val="0"/>
          <w:color w:val="auto"/>
          <w:sz w:val="21"/>
          <w:szCs w:val="21"/>
        </w:rPr>
      </w:pPr>
      <w:r>
        <w:rPr>
          <w:rFonts w:hint="eastAsia" w:ascii="宋体" w:hAnsi="宋体" w:eastAsia="宋体" w:cs="宋体"/>
          <w:bCs w:val="0"/>
          <w:color w:val="auto"/>
          <w:sz w:val="21"/>
          <w:szCs w:val="21"/>
          <w:lang w:val="en-US" w:eastAsia="zh-CN"/>
        </w:rPr>
        <w:t>7.2.5</w:t>
      </w:r>
      <w:r>
        <w:rPr>
          <w:rFonts w:hint="eastAsia" w:ascii="宋体" w:hAnsi="宋体" w:eastAsia="宋体" w:cs="宋体"/>
          <w:bCs w:val="0"/>
          <w:color w:val="auto"/>
          <w:sz w:val="21"/>
          <w:szCs w:val="21"/>
        </w:rPr>
        <w:t>合同期内，乙方不能及时完成合同某项义务的，甲方有权使用履约担保用于处理该项目工作。</w:t>
      </w:r>
    </w:p>
    <w:p w14:paraId="717A5AF4">
      <w:pPr>
        <w:keepNext w:val="0"/>
        <w:keepLines w:val="0"/>
        <w:pageBreakBefore w:val="0"/>
        <w:kinsoku/>
        <w:wordWrap/>
        <w:overflowPunct/>
        <w:topLinePunct w:val="0"/>
        <w:bidi w:val="0"/>
        <w:snapToGrid/>
        <w:spacing w:line="360" w:lineRule="auto"/>
        <w:ind w:firstLine="420" w:firstLineChars="200"/>
        <w:contextualSpacing w:val="0"/>
        <w:rPr>
          <w:rFonts w:hint="eastAsia" w:ascii="宋体" w:hAnsi="宋体" w:eastAsia="宋体" w:cs="宋体"/>
          <w:bCs w:val="0"/>
          <w:color w:val="auto"/>
          <w:sz w:val="21"/>
          <w:szCs w:val="21"/>
        </w:rPr>
      </w:pPr>
      <w:r>
        <w:rPr>
          <w:rFonts w:hint="eastAsia" w:ascii="宋体" w:hAnsi="宋体" w:eastAsia="宋体" w:cs="宋体"/>
          <w:bCs w:val="0"/>
          <w:color w:val="auto"/>
          <w:sz w:val="21"/>
          <w:szCs w:val="21"/>
          <w:lang w:val="en-US" w:eastAsia="zh-CN"/>
        </w:rPr>
        <w:t>7.2.6</w:t>
      </w:r>
      <w:r>
        <w:rPr>
          <w:rFonts w:hint="eastAsia" w:ascii="宋体" w:hAnsi="宋体" w:eastAsia="宋体" w:cs="宋体"/>
          <w:bCs w:val="0"/>
          <w:color w:val="auto"/>
          <w:sz w:val="21"/>
          <w:szCs w:val="21"/>
        </w:rPr>
        <w:t>其他根据本合同约定或法律规定，甲方可使用履约担保的情形。</w:t>
      </w:r>
    </w:p>
    <w:p w14:paraId="7E4EED18">
      <w:pPr>
        <w:keepNext w:val="0"/>
        <w:keepLines w:val="0"/>
        <w:pageBreakBefore w:val="0"/>
        <w:kinsoku/>
        <w:wordWrap/>
        <w:overflowPunct/>
        <w:topLinePunct w:val="0"/>
        <w:bidi w:val="0"/>
        <w:snapToGrid/>
        <w:spacing w:line="360" w:lineRule="auto"/>
        <w:ind w:firstLine="420" w:firstLineChars="200"/>
        <w:contextualSpacing w:val="0"/>
        <w:rPr>
          <w:rFonts w:hint="eastAsia" w:ascii="宋体" w:hAnsi="宋体" w:eastAsia="宋体" w:cs="宋体"/>
          <w:bCs w:val="0"/>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bCs w:val="0"/>
          <w:color w:val="auto"/>
          <w:sz w:val="21"/>
          <w:szCs w:val="21"/>
        </w:rPr>
        <w:t>在乙方履行完毕相关服务义务且结算完毕之后二十八（28）日</w:t>
      </w:r>
      <w:r>
        <w:rPr>
          <w:rFonts w:hint="eastAsia" w:ascii="宋体" w:hAnsi="宋体" w:eastAsia="宋体" w:cs="宋体"/>
          <w:bCs w:val="0"/>
          <w:color w:val="auto"/>
          <w:sz w:val="21"/>
          <w:szCs w:val="21"/>
          <w:lang w:val="en-US" w:eastAsia="zh-CN"/>
        </w:rPr>
        <w:t>后</w:t>
      </w:r>
      <w:r>
        <w:rPr>
          <w:rFonts w:hint="eastAsia" w:ascii="宋体" w:hAnsi="宋体" w:eastAsia="宋体" w:cs="宋体"/>
          <w:bCs w:val="0"/>
          <w:color w:val="auto"/>
          <w:sz w:val="21"/>
          <w:szCs w:val="21"/>
        </w:rPr>
        <w:t>，经甲方确认，乙方可向甲方提交退回履约担保的申请。甲方审核无异议后，办理履约担保退还手续，履约保证金形式提交的履约担保余额退回时一律以银行转账的形式无息退回到乙方的账户。甲方将履约担保余额退还乙方。</w:t>
      </w:r>
    </w:p>
    <w:p w14:paraId="6183DABC">
      <w:pPr>
        <w:keepNext w:val="0"/>
        <w:keepLines w:val="0"/>
        <w:pageBreakBefore w:val="0"/>
        <w:kinsoku/>
        <w:wordWrap/>
        <w:overflowPunct/>
        <w:topLinePunct w:val="0"/>
        <w:bidi w:val="0"/>
        <w:snapToGrid/>
        <w:spacing w:line="360" w:lineRule="auto"/>
        <w:ind w:firstLine="420" w:firstLineChars="200"/>
        <w:contextualSpacing w:val="0"/>
        <w:rPr>
          <w:rFonts w:hint="eastAsia" w:ascii="宋体" w:hAnsi="宋体" w:eastAsia="宋体" w:cs="宋体"/>
          <w:bCs w:val="0"/>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bCs w:val="0"/>
          <w:color w:val="auto"/>
          <w:sz w:val="21"/>
          <w:szCs w:val="21"/>
        </w:rPr>
        <w:t>如乙方提供不可撤销银行履约保函或担保公司履约担保书作为履约担保的，不可撤销银行履约保函或担保公司履约担保书期限应从合同签订之日起至合同期限届满并履行完毕相关服务义务且结算完毕之后28日内保持有效。如不可撤销银行履约保函或担保公司履约担保书在规定有效期届满时而乙方未履行完毕相关服务义务且结算完毕的，乙方必须在不可撤销银行履约保函或担保公司履约担保书到期15日前无条件办理办妥符合甲方要求的延期手续或重新提供不可撤销银行履约保函或担保公司履约担保书；否则视为乙方违约，甲方有权在不可撤销银行履约保函或担保公司履约担保书到期前向出具履约担保的机构提取履约担保金。在不可撤销银行履约保函或担保公司履约担保书到期后乙方未按甲方要求重新提供的，甲方有权要求乙方以履约担保金额为限承担违约金，违约金甲方可直接从未付款项中扣除。</w:t>
      </w:r>
    </w:p>
    <w:p w14:paraId="2FEFE077">
      <w:pPr>
        <w:pStyle w:val="5"/>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bCs w:val="0"/>
          <w:color w:val="auto"/>
          <w:sz w:val="21"/>
          <w:szCs w:val="21"/>
        </w:rPr>
        <w:t>在合同履行过程中，不论何种原因导致履约担保数额不符合招标文件要求的，乙方应当在5日内予以补足。逾期不予补足的，甲方有权按需补足的金额要求乙方承担违约金，并要求限期补足。如乙方仍不补足的，甲方有权单方解除合同。</w:t>
      </w:r>
    </w:p>
    <w:p w14:paraId="6DEFE8B6">
      <w:pPr>
        <w:keepNext w:val="0"/>
        <w:keepLines w:val="0"/>
        <w:pageBreakBefore w:val="0"/>
        <w:widowControl/>
        <w:shd w:val="clear"/>
        <w:kinsoku/>
        <w:wordWrap/>
        <w:overflowPunct/>
        <w:topLinePunct w:val="0"/>
        <w:bidi w:val="0"/>
        <w:snapToGrid/>
        <w:spacing w:line="360" w:lineRule="auto"/>
        <w:ind w:firstLine="422" w:firstLineChars="200"/>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lang w:eastAsia="zh-CN"/>
        </w:rPr>
        <w:t>八</w:t>
      </w:r>
      <w:r>
        <w:rPr>
          <w:rFonts w:hint="eastAsia" w:ascii="宋体" w:hAnsi="宋体" w:eastAsia="宋体" w:cs="宋体"/>
          <w:b/>
          <w:bCs/>
          <w:color w:val="auto"/>
          <w:sz w:val="21"/>
          <w:szCs w:val="21"/>
          <w:highlight w:val="none"/>
        </w:rPr>
        <w:t>、考核办法</w:t>
      </w:r>
      <w:r>
        <w:rPr>
          <w:rFonts w:hint="eastAsia" w:ascii="宋体" w:hAnsi="宋体" w:eastAsia="宋体" w:cs="宋体"/>
          <w:b w:val="0"/>
          <w:bCs w:val="0"/>
          <w:color w:val="auto"/>
          <w:sz w:val="21"/>
          <w:szCs w:val="21"/>
          <w:highlight w:val="none"/>
        </w:rPr>
        <w:t xml:space="preserve"> </w:t>
      </w:r>
    </w:p>
    <w:p w14:paraId="5A1634E5">
      <w:pPr>
        <w:keepNext w:val="0"/>
        <w:keepLines w:val="0"/>
        <w:pageBreakBefore w:val="0"/>
        <w:widowControl/>
        <w:kinsoku/>
        <w:wordWrap/>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highlight w:val="none"/>
        </w:rPr>
        <w:t>每月需与</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highlight w:val="none"/>
        </w:rPr>
        <w:t>各服务场地主管人员共同对月度保安服务工作进行总结，听取各服务场地意见，完善服务工作，每月10日前，由</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highlight w:val="none"/>
        </w:rPr>
        <w:t>各</w:t>
      </w:r>
      <w:r>
        <w:rPr>
          <w:rFonts w:hint="eastAsia" w:ascii="宋体" w:hAnsi="宋体" w:eastAsia="宋体" w:cs="宋体"/>
          <w:color w:val="auto"/>
          <w:sz w:val="21"/>
          <w:szCs w:val="21"/>
          <w:highlight w:val="none"/>
          <w:lang w:val="en-US" w:eastAsia="zh-CN"/>
        </w:rPr>
        <w:t>服务地</w:t>
      </w:r>
      <w:r>
        <w:rPr>
          <w:rFonts w:hint="eastAsia" w:ascii="宋体" w:hAnsi="宋体" w:eastAsia="宋体" w:cs="宋体"/>
          <w:color w:val="auto"/>
          <w:sz w:val="21"/>
          <w:szCs w:val="21"/>
          <w:highlight w:val="none"/>
        </w:rPr>
        <w:t>按照下表对</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highlight w:val="none"/>
        </w:rPr>
        <w:t>上月的保安服务进行考核，考核结果经双方确认后再行结算相关费用。</w:t>
      </w:r>
    </w:p>
    <w:tbl>
      <w:tblPr>
        <w:tblStyle w:val="37"/>
        <w:tblW w:w="5071" w:type="pct"/>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0"/>
        <w:gridCol w:w="954"/>
        <w:gridCol w:w="693"/>
        <w:gridCol w:w="1004"/>
        <w:gridCol w:w="1695"/>
        <w:gridCol w:w="1695"/>
        <w:gridCol w:w="275"/>
        <w:gridCol w:w="1419"/>
        <w:gridCol w:w="425"/>
        <w:gridCol w:w="810"/>
        <w:gridCol w:w="618"/>
      </w:tblGrid>
      <w:tr w14:paraId="6DCF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5000" w:type="pct"/>
            <w:gridSpan w:val="11"/>
            <w:noWrap/>
            <w:tcMar>
              <w:top w:w="15" w:type="dxa"/>
              <w:left w:w="15" w:type="dxa"/>
              <w:right w:w="15" w:type="dxa"/>
            </w:tcMar>
            <w:vAlign w:val="center"/>
          </w:tcPr>
          <w:p w14:paraId="6D4B8191">
            <w:pPr>
              <w:keepNext w:val="0"/>
              <w:keepLines w:val="0"/>
              <w:pageBreakBefore w:val="0"/>
              <w:widowControl/>
              <w:kinsoku/>
              <w:wordWrap/>
              <w:overflowPunct/>
              <w:topLinePunct w:val="0"/>
              <w:bidi w:val="0"/>
              <w:snapToGrid/>
              <w:spacing w:line="360" w:lineRule="auto"/>
              <w:ind w:firstLine="420" w:firstLineChars="200"/>
              <w:jc w:val="left"/>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bidi="ar"/>
              </w:rPr>
              <w:t>东莞市水务集团</w:t>
            </w:r>
            <w:r>
              <w:rPr>
                <w:rFonts w:hint="eastAsia" w:ascii="宋体" w:hAnsi="宋体" w:eastAsia="宋体" w:cs="宋体"/>
                <w:b w:val="0"/>
                <w:color w:val="auto"/>
                <w:sz w:val="21"/>
                <w:szCs w:val="21"/>
                <w:highlight w:val="none"/>
                <w:lang w:val="en-US" w:eastAsia="zh-CN" w:bidi="ar"/>
              </w:rPr>
              <w:t>管网</w:t>
            </w:r>
            <w:r>
              <w:rPr>
                <w:rFonts w:hint="eastAsia" w:ascii="宋体" w:hAnsi="宋体" w:eastAsia="宋体" w:cs="宋体"/>
                <w:b w:val="0"/>
                <w:color w:val="auto"/>
                <w:sz w:val="21"/>
                <w:szCs w:val="21"/>
                <w:highlight w:val="none"/>
                <w:lang w:bidi="ar"/>
              </w:rPr>
              <w:t>有限公司保安服务检查考核评分标准</w:t>
            </w:r>
          </w:p>
        </w:tc>
      </w:tr>
      <w:tr w14:paraId="3A1B5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trPr>
        <w:tc>
          <w:tcPr>
            <w:tcW w:w="358" w:type="pct"/>
            <w:tcMar>
              <w:top w:w="15" w:type="dxa"/>
              <w:left w:w="15" w:type="dxa"/>
              <w:right w:w="15" w:type="dxa"/>
            </w:tcMar>
            <w:vAlign w:val="center"/>
          </w:tcPr>
          <w:p w14:paraId="58A8FFCA">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bidi="ar"/>
              </w:rPr>
              <w:t>序号</w:t>
            </w:r>
          </w:p>
        </w:tc>
        <w:tc>
          <w:tcPr>
            <w:tcW w:w="797" w:type="pct"/>
            <w:gridSpan w:val="2"/>
            <w:tcMar>
              <w:top w:w="15" w:type="dxa"/>
              <w:left w:w="15" w:type="dxa"/>
              <w:right w:w="15" w:type="dxa"/>
            </w:tcMar>
            <w:vAlign w:val="center"/>
          </w:tcPr>
          <w:p w14:paraId="5A96FD4C">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bidi="ar"/>
              </w:rPr>
              <w:t>项目</w:t>
            </w:r>
          </w:p>
        </w:tc>
        <w:tc>
          <w:tcPr>
            <w:tcW w:w="2260" w:type="pct"/>
            <w:gridSpan w:val="4"/>
            <w:tcMar>
              <w:top w:w="15" w:type="dxa"/>
              <w:left w:w="15" w:type="dxa"/>
              <w:right w:w="15" w:type="dxa"/>
            </w:tcMar>
            <w:vAlign w:val="center"/>
          </w:tcPr>
          <w:p w14:paraId="3D0E1216">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bidi="ar"/>
              </w:rPr>
              <w:t>内容</w:t>
            </w:r>
          </w:p>
        </w:tc>
        <w:tc>
          <w:tcPr>
            <w:tcW w:w="892" w:type="pct"/>
            <w:gridSpan w:val="2"/>
            <w:tcMar>
              <w:top w:w="15" w:type="dxa"/>
              <w:left w:w="15" w:type="dxa"/>
              <w:right w:w="15" w:type="dxa"/>
            </w:tcMar>
            <w:vAlign w:val="center"/>
          </w:tcPr>
          <w:p w14:paraId="168B8E02">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bidi="ar"/>
              </w:rPr>
              <w:t>考核原则</w:t>
            </w:r>
          </w:p>
        </w:tc>
        <w:tc>
          <w:tcPr>
            <w:tcW w:w="392" w:type="pct"/>
            <w:tcMar>
              <w:top w:w="15" w:type="dxa"/>
              <w:left w:w="15" w:type="dxa"/>
              <w:right w:w="15" w:type="dxa"/>
            </w:tcMar>
            <w:vAlign w:val="center"/>
          </w:tcPr>
          <w:p w14:paraId="1BBBD8B8">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bidi="ar"/>
              </w:rPr>
              <w:t>分值</w:t>
            </w:r>
          </w:p>
        </w:tc>
        <w:tc>
          <w:tcPr>
            <w:tcW w:w="299" w:type="pct"/>
            <w:vAlign w:val="center"/>
          </w:tcPr>
          <w:p w14:paraId="4CCAB408">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bidi="ar"/>
              </w:rPr>
              <w:t>得分</w:t>
            </w:r>
          </w:p>
        </w:tc>
      </w:tr>
      <w:tr w14:paraId="542A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2" w:hRule="atLeast"/>
        </w:trPr>
        <w:tc>
          <w:tcPr>
            <w:tcW w:w="358" w:type="pct"/>
            <w:tcMar>
              <w:top w:w="15" w:type="dxa"/>
              <w:left w:w="15" w:type="dxa"/>
              <w:right w:w="15" w:type="dxa"/>
            </w:tcMar>
            <w:vAlign w:val="center"/>
          </w:tcPr>
          <w:p w14:paraId="54864597">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w:t>
            </w:r>
          </w:p>
        </w:tc>
        <w:tc>
          <w:tcPr>
            <w:tcW w:w="797" w:type="pct"/>
            <w:gridSpan w:val="2"/>
            <w:tcMar>
              <w:top w:w="15" w:type="dxa"/>
              <w:left w:w="15" w:type="dxa"/>
              <w:right w:w="15" w:type="dxa"/>
            </w:tcMar>
            <w:vAlign w:val="center"/>
          </w:tcPr>
          <w:p w14:paraId="52A134DB">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管理制度的制定与实施</w:t>
            </w:r>
          </w:p>
        </w:tc>
        <w:tc>
          <w:tcPr>
            <w:tcW w:w="2260" w:type="pct"/>
            <w:gridSpan w:val="4"/>
            <w:tcMar>
              <w:top w:w="15" w:type="dxa"/>
              <w:left w:w="15" w:type="dxa"/>
              <w:right w:w="15" w:type="dxa"/>
            </w:tcMar>
            <w:vAlign w:val="center"/>
          </w:tcPr>
          <w:p w14:paraId="2334C213">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《日常管理制度》《人员配置制度》《岗位责任制度》《勤务制度》《档案制度》《人员培训》《节假日管理制度》《突发事件防范预案》《防火预案》《防盗预案》</w:t>
            </w:r>
          </w:p>
        </w:tc>
        <w:tc>
          <w:tcPr>
            <w:tcW w:w="892" w:type="pct"/>
            <w:gridSpan w:val="2"/>
            <w:tcMar>
              <w:top w:w="15" w:type="dxa"/>
              <w:left w:w="15" w:type="dxa"/>
              <w:right w:w="15" w:type="dxa"/>
            </w:tcMar>
            <w:vAlign w:val="center"/>
          </w:tcPr>
          <w:p w14:paraId="2031BB3D">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每项制度 1 分，未建立扣 1 分，制度不完善或实施不力酌情扣分，扣完为止。</w:t>
            </w:r>
          </w:p>
        </w:tc>
        <w:tc>
          <w:tcPr>
            <w:tcW w:w="392" w:type="pct"/>
            <w:tcMar>
              <w:top w:w="15" w:type="dxa"/>
              <w:left w:w="15" w:type="dxa"/>
              <w:right w:w="15" w:type="dxa"/>
            </w:tcMar>
            <w:vAlign w:val="center"/>
          </w:tcPr>
          <w:p w14:paraId="568A4FC9">
            <w:pPr>
              <w:keepNext w:val="0"/>
              <w:keepLines w:val="0"/>
              <w:pageBreakBefore w:val="0"/>
              <w:kinsoku/>
              <w:wordWrap/>
              <w:overflowPunct/>
              <w:topLinePunct w:val="0"/>
              <w:bidi w:val="0"/>
              <w:snapToGrid/>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299" w:type="pct"/>
            <w:vAlign w:val="center"/>
          </w:tcPr>
          <w:p w14:paraId="7521DE70">
            <w:pPr>
              <w:keepNext w:val="0"/>
              <w:keepLines w:val="0"/>
              <w:pageBreakBefore w:val="0"/>
              <w:kinsoku/>
              <w:wordWrap/>
              <w:overflowPunct/>
              <w:topLinePunct w:val="0"/>
              <w:bidi w:val="0"/>
              <w:snapToGrid/>
              <w:spacing w:line="360" w:lineRule="auto"/>
              <w:ind w:firstLine="0" w:firstLineChars="0"/>
              <w:jc w:val="center"/>
              <w:rPr>
                <w:rFonts w:hint="eastAsia" w:ascii="宋体" w:hAnsi="宋体" w:eastAsia="宋体" w:cs="宋体"/>
                <w:color w:val="auto"/>
                <w:sz w:val="21"/>
                <w:szCs w:val="21"/>
                <w:highlight w:val="none"/>
              </w:rPr>
            </w:pPr>
          </w:p>
        </w:tc>
      </w:tr>
      <w:tr w14:paraId="50FF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2" w:hRule="atLeast"/>
        </w:trPr>
        <w:tc>
          <w:tcPr>
            <w:tcW w:w="358" w:type="pct"/>
            <w:tcMar>
              <w:top w:w="15" w:type="dxa"/>
              <w:left w:w="15" w:type="dxa"/>
              <w:right w:w="15" w:type="dxa"/>
            </w:tcMar>
            <w:vAlign w:val="center"/>
          </w:tcPr>
          <w:p w14:paraId="4FE07D9C">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w:t>
            </w:r>
          </w:p>
        </w:tc>
        <w:tc>
          <w:tcPr>
            <w:tcW w:w="797" w:type="pct"/>
            <w:gridSpan w:val="2"/>
            <w:tcMar>
              <w:top w:w="15" w:type="dxa"/>
              <w:left w:w="15" w:type="dxa"/>
              <w:right w:w="15" w:type="dxa"/>
            </w:tcMar>
            <w:vAlign w:val="center"/>
          </w:tcPr>
          <w:p w14:paraId="4609AE71">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重大安全事故</w:t>
            </w:r>
          </w:p>
        </w:tc>
        <w:tc>
          <w:tcPr>
            <w:tcW w:w="2260" w:type="pct"/>
            <w:gridSpan w:val="4"/>
            <w:tcMar>
              <w:top w:w="15" w:type="dxa"/>
              <w:left w:w="15" w:type="dxa"/>
              <w:right w:w="15" w:type="dxa"/>
            </w:tcMar>
            <w:vAlign w:val="center"/>
          </w:tcPr>
          <w:p w14:paraId="11D375DD">
            <w:pPr>
              <w:keepNext w:val="0"/>
              <w:keepLines w:val="0"/>
              <w:pageBreakBefore w:val="0"/>
              <w:widowControl/>
              <w:kinsoku/>
              <w:wordWrap/>
              <w:overflowPunct/>
              <w:topLinePunct w:val="0"/>
              <w:bidi w:val="0"/>
              <w:snapToGrid/>
              <w:spacing w:line="360" w:lineRule="auto"/>
              <w:ind w:firstLine="0" w:firstLineChars="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1、一次死亡 1 人；</w:t>
            </w:r>
          </w:p>
          <w:p w14:paraId="65E0D262">
            <w:pPr>
              <w:keepNext w:val="0"/>
              <w:keepLines w:val="0"/>
              <w:pageBreakBefore w:val="0"/>
              <w:widowControl/>
              <w:kinsoku/>
              <w:wordWrap/>
              <w:overflowPunct/>
              <w:topLinePunct w:val="0"/>
              <w:bidi w:val="0"/>
              <w:snapToGrid/>
              <w:spacing w:line="360" w:lineRule="auto"/>
              <w:ind w:firstLine="0" w:firstLineChars="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2、一次重伤 3 人以上；</w:t>
            </w:r>
          </w:p>
          <w:p w14:paraId="57283362">
            <w:pPr>
              <w:keepNext w:val="0"/>
              <w:keepLines w:val="0"/>
              <w:pageBreakBefore w:val="0"/>
              <w:widowControl/>
              <w:kinsoku/>
              <w:wordWrap/>
              <w:overflowPunct/>
              <w:topLinePunct w:val="0"/>
              <w:bidi w:val="0"/>
              <w:snapToGrid/>
              <w:spacing w:line="360" w:lineRule="auto"/>
              <w:ind w:firstLine="0" w:firstLineChars="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3、重大火灾事故（着火面积达到 300㎡以上）；</w:t>
            </w:r>
          </w:p>
          <w:p w14:paraId="69325BD4">
            <w:pPr>
              <w:keepNext w:val="0"/>
              <w:keepLines w:val="0"/>
              <w:pageBreakBefore w:val="0"/>
              <w:widowControl/>
              <w:kinsoku/>
              <w:wordWrap/>
              <w:overflowPunct/>
              <w:topLinePunct w:val="0"/>
              <w:bidi w:val="0"/>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4、一次造成重大直接经济损失的（5 万元以上）。</w:t>
            </w:r>
          </w:p>
        </w:tc>
        <w:tc>
          <w:tcPr>
            <w:tcW w:w="892" w:type="pct"/>
            <w:gridSpan w:val="2"/>
            <w:tcMar>
              <w:top w:w="15" w:type="dxa"/>
              <w:left w:w="15" w:type="dxa"/>
              <w:right w:w="15" w:type="dxa"/>
            </w:tcMar>
            <w:vAlign w:val="center"/>
          </w:tcPr>
          <w:p w14:paraId="013EAF85">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违反每项扣10分,扣完为止。</w:t>
            </w:r>
          </w:p>
        </w:tc>
        <w:tc>
          <w:tcPr>
            <w:tcW w:w="392" w:type="pct"/>
            <w:tcMar>
              <w:top w:w="15" w:type="dxa"/>
              <w:left w:w="15" w:type="dxa"/>
              <w:right w:w="15" w:type="dxa"/>
            </w:tcMar>
            <w:vAlign w:val="center"/>
          </w:tcPr>
          <w:p w14:paraId="5CE0EDBB">
            <w:pPr>
              <w:keepNext w:val="0"/>
              <w:keepLines w:val="0"/>
              <w:pageBreakBefore w:val="0"/>
              <w:kinsoku/>
              <w:wordWrap/>
              <w:overflowPunct/>
              <w:topLinePunct w:val="0"/>
              <w:bidi w:val="0"/>
              <w:snapToGrid/>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20分</w:t>
            </w:r>
          </w:p>
        </w:tc>
        <w:tc>
          <w:tcPr>
            <w:tcW w:w="299" w:type="pct"/>
            <w:vAlign w:val="center"/>
          </w:tcPr>
          <w:p w14:paraId="64C789CE">
            <w:pPr>
              <w:keepNext w:val="0"/>
              <w:keepLines w:val="0"/>
              <w:pageBreakBefore w:val="0"/>
              <w:kinsoku/>
              <w:wordWrap/>
              <w:overflowPunct/>
              <w:topLinePunct w:val="0"/>
              <w:bidi w:val="0"/>
              <w:snapToGrid/>
              <w:spacing w:line="360" w:lineRule="auto"/>
              <w:ind w:firstLine="420" w:firstLineChars="200"/>
              <w:jc w:val="center"/>
              <w:rPr>
                <w:rFonts w:hint="eastAsia" w:ascii="宋体" w:hAnsi="宋体" w:eastAsia="宋体" w:cs="宋体"/>
                <w:color w:val="auto"/>
                <w:sz w:val="21"/>
                <w:szCs w:val="21"/>
                <w:highlight w:val="none"/>
              </w:rPr>
            </w:pPr>
          </w:p>
        </w:tc>
      </w:tr>
      <w:tr w14:paraId="71C2D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7" w:hRule="atLeast"/>
        </w:trPr>
        <w:tc>
          <w:tcPr>
            <w:tcW w:w="358" w:type="pct"/>
            <w:tcMar>
              <w:top w:w="15" w:type="dxa"/>
              <w:left w:w="15" w:type="dxa"/>
              <w:right w:w="15" w:type="dxa"/>
            </w:tcMar>
            <w:vAlign w:val="center"/>
          </w:tcPr>
          <w:p w14:paraId="2E2AD1FE">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w:t>
            </w:r>
          </w:p>
        </w:tc>
        <w:tc>
          <w:tcPr>
            <w:tcW w:w="797" w:type="pct"/>
            <w:gridSpan w:val="2"/>
            <w:tcMar>
              <w:top w:w="15" w:type="dxa"/>
              <w:left w:w="15" w:type="dxa"/>
              <w:right w:w="15" w:type="dxa"/>
            </w:tcMar>
            <w:vAlign w:val="center"/>
          </w:tcPr>
          <w:p w14:paraId="1C43B226">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提供防范性安全服务</w:t>
            </w:r>
          </w:p>
        </w:tc>
        <w:tc>
          <w:tcPr>
            <w:tcW w:w="2260" w:type="pct"/>
            <w:gridSpan w:val="4"/>
            <w:tcMar>
              <w:top w:w="15" w:type="dxa"/>
              <w:left w:w="15" w:type="dxa"/>
              <w:right w:w="15" w:type="dxa"/>
            </w:tcMar>
            <w:vAlign w:val="center"/>
          </w:tcPr>
          <w:p w14:paraId="316E894D">
            <w:pPr>
              <w:keepNext w:val="0"/>
              <w:keepLines w:val="0"/>
              <w:pageBreakBefore w:val="0"/>
              <w:widowControl/>
              <w:kinsoku/>
              <w:wordWrap/>
              <w:overflowPunct/>
              <w:topLinePunct w:val="0"/>
              <w:bidi w:val="0"/>
              <w:snapToGrid/>
              <w:spacing w:line="360" w:lineRule="auto"/>
              <w:ind w:firstLine="0" w:firstLineChars="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 对正在发生的不法侵害行为，应采取相应措施，不予以制止者；</w:t>
            </w:r>
          </w:p>
          <w:p w14:paraId="2F4F8857">
            <w:pPr>
              <w:keepNext w:val="0"/>
              <w:keepLines w:val="0"/>
              <w:pageBreakBefore w:val="0"/>
              <w:widowControl/>
              <w:kinsoku/>
              <w:wordWrap/>
              <w:overflowPunct/>
              <w:topLinePunct w:val="0"/>
              <w:bidi w:val="0"/>
              <w:snapToGrid/>
              <w:spacing w:line="360" w:lineRule="auto"/>
              <w:ind w:firstLine="0" w:firstLineChars="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2、对已经发生的不法侵害案件或灾害事故，不及时报告公安机关或有关部门者；</w:t>
            </w:r>
          </w:p>
          <w:p w14:paraId="06920F38">
            <w:pPr>
              <w:keepNext w:val="0"/>
              <w:keepLines w:val="0"/>
              <w:pageBreakBefore w:val="0"/>
              <w:widowControl/>
              <w:kinsoku/>
              <w:wordWrap/>
              <w:overflowPunct/>
              <w:topLinePunct w:val="0"/>
              <w:bidi w:val="0"/>
              <w:snapToGrid/>
              <w:spacing w:line="360" w:lineRule="auto"/>
              <w:ind w:firstLine="0" w:firstLineChars="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3、在招标人提出的安全隐患没按要求及时整改反馈的；</w:t>
            </w:r>
          </w:p>
          <w:p w14:paraId="564F82B8">
            <w:pPr>
              <w:keepNext w:val="0"/>
              <w:keepLines w:val="0"/>
              <w:pageBreakBefore w:val="0"/>
              <w:widowControl/>
              <w:kinsoku/>
              <w:wordWrap/>
              <w:overflowPunct/>
              <w:topLinePunct w:val="0"/>
              <w:bidi w:val="0"/>
              <w:snapToGrid/>
              <w:spacing w:line="360" w:lineRule="auto"/>
              <w:ind w:firstLine="0" w:firstLineChars="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4、发生火灾，立即切断火灾现场电源，撤离易燃易爆物品，启用灭火器材，全力扑灭初起之火。发现重大火情，值班人员应立即拨 119 报警，讲明单位、路线、门牌、同时派人到路口引导消防车辆进入现场；</w:t>
            </w:r>
          </w:p>
          <w:p w14:paraId="073F397A">
            <w:pPr>
              <w:keepNext w:val="0"/>
              <w:keepLines w:val="0"/>
              <w:pageBreakBefore w:val="0"/>
              <w:widowControl/>
              <w:kinsoku/>
              <w:wordWrap/>
              <w:overflowPunct/>
              <w:topLinePunct w:val="0"/>
              <w:bidi w:val="0"/>
              <w:snapToGrid/>
              <w:spacing w:line="360" w:lineRule="auto"/>
              <w:ind w:firstLine="0" w:firstLineChars="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5、保持高度警惕，加强夜间巡逻，按规定开启报警系统，做好夜巡登记；</w:t>
            </w:r>
          </w:p>
          <w:p w14:paraId="4AA7D02A">
            <w:pPr>
              <w:keepNext w:val="0"/>
              <w:keepLines w:val="0"/>
              <w:pageBreakBefore w:val="0"/>
              <w:widowControl/>
              <w:kinsoku/>
              <w:wordWrap/>
              <w:overflowPunct/>
              <w:topLinePunct w:val="0"/>
              <w:bidi w:val="0"/>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6、发生盗窃事件后，要迅速向公安机关报警，并保护好现场，协助公安机关破案，并向相关部门报告。</w:t>
            </w:r>
          </w:p>
        </w:tc>
        <w:tc>
          <w:tcPr>
            <w:tcW w:w="892" w:type="pct"/>
            <w:gridSpan w:val="2"/>
            <w:tcMar>
              <w:top w:w="15" w:type="dxa"/>
              <w:left w:w="15" w:type="dxa"/>
              <w:right w:w="15" w:type="dxa"/>
            </w:tcMar>
            <w:vAlign w:val="center"/>
          </w:tcPr>
          <w:p w14:paraId="47860E87">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违反每项扣5分，扣完为止。</w:t>
            </w:r>
          </w:p>
        </w:tc>
        <w:tc>
          <w:tcPr>
            <w:tcW w:w="392" w:type="pct"/>
            <w:tcMar>
              <w:top w:w="15" w:type="dxa"/>
              <w:left w:w="15" w:type="dxa"/>
              <w:right w:w="15" w:type="dxa"/>
            </w:tcMar>
            <w:vAlign w:val="center"/>
          </w:tcPr>
          <w:p w14:paraId="30DE5CC2">
            <w:pPr>
              <w:keepNext w:val="0"/>
              <w:keepLines w:val="0"/>
              <w:pageBreakBefore w:val="0"/>
              <w:kinsoku/>
              <w:wordWrap/>
              <w:overflowPunct/>
              <w:topLinePunct w:val="0"/>
              <w:bidi w:val="0"/>
              <w:snapToGrid/>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30分</w:t>
            </w:r>
          </w:p>
        </w:tc>
        <w:tc>
          <w:tcPr>
            <w:tcW w:w="299" w:type="pct"/>
            <w:vAlign w:val="center"/>
          </w:tcPr>
          <w:p w14:paraId="0B6769C3">
            <w:pPr>
              <w:keepNext w:val="0"/>
              <w:keepLines w:val="0"/>
              <w:pageBreakBefore w:val="0"/>
              <w:kinsoku/>
              <w:wordWrap/>
              <w:overflowPunct/>
              <w:topLinePunct w:val="0"/>
              <w:bidi w:val="0"/>
              <w:snapToGrid/>
              <w:spacing w:line="360" w:lineRule="auto"/>
              <w:ind w:firstLine="420" w:firstLineChars="200"/>
              <w:jc w:val="center"/>
              <w:rPr>
                <w:rFonts w:hint="eastAsia" w:ascii="宋体" w:hAnsi="宋体" w:eastAsia="宋体" w:cs="宋体"/>
                <w:color w:val="auto"/>
                <w:sz w:val="21"/>
                <w:szCs w:val="21"/>
                <w:highlight w:val="none"/>
              </w:rPr>
            </w:pPr>
          </w:p>
        </w:tc>
      </w:tr>
      <w:tr w14:paraId="24444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 w:hRule="atLeast"/>
        </w:trPr>
        <w:tc>
          <w:tcPr>
            <w:tcW w:w="358" w:type="pct"/>
            <w:tcMar>
              <w:top w:w="15" w:type="dxa"/>
              <w:left w:w="15" w:type="dxa"/>
              <w:right w:w="15" w:type="dxa"/>
            </w:tcMar>
            <w:vAlign w:val="center"/>
          </w:tcPr>
          <w:p w14:paraId="4DB95B46">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四</w:t>
            </w:r>
          </w:p>
        </w:tc>
        <w:tc>
          <w:tcPr>
            <w:tcW w:w="797" w:type="pct"/>
            <w:gridSpan w:val="2"/>
            <w:tcMar>
              <w:top w:w="15" w:type="dxa"/>
              <w:left w:w="15" w:type="dxa"/>
              <w:right w:w="15" w:type="dxa"/>
            </w:tcMar>
            <w:vAlign w:val="center"/>
          </w:tcPr>
          <w:p w14:paraId="6AD3D86D">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服务标准</w:t>
            </w:r>
          </w:p>
        </w:tc>
        <w:tc>
          <w:tcPr>
            <w:tcW w:w="2260" w:type="pct"/>
            <w:gridSpan w:val="4"/>
            <w:tcMar>
              <w:top w:w="15" w:type="dxa"/>
              <w:left w:w="15" w:type="dxa"/>
              <w:right w:w="15" w:type="dxa"/>
            </w:tcMar>
            <w:vAlign w:val="center"/>
          </w:tcPr>
          <w:p w14:paraId="7127E1F0">
            <w:pPr>
              <w:keepNext w:val="0"/>
              <w:keepLines w:val="0"/>
              <w:pageBreakBefore w:val="0"/>
              <w:widowControl/>
              <w:kinsoku/>
              <w:wordWrap/>
              <w:overflowPunct/>
              <w:topLinePunct w:val="0"/>
              <w:bidi w:val="0"/>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1、仪容仪表整洁、待人有礼；</w:t>
            </w:r>
          </w:p>
          <w:p w14:paraId="612F0A16">
            <w:pPr>
              <w:keepNext w:val="0"/>
              <w:keepLines w:val="0"/>
              <w:pageBreakBefore w:val="0"/>
              <w:widowControl/>
              <w:kinsoku/>
              <w:wordWrap/>
              <w:overflowPunct/>
              <w:topLinePunct w:val="0"/>
              <w:bidi w:val="0"/>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2、工作时间不做与工作无关的其它事情，包括但不限于上班玩手机、上班睡觉等。</w:t>
            </w:r>
          </w:p>
          <w:p w14:paraId="46DAA119">
            <w:pPr>
              <w:keepNext w:val="0"/>
              <w:keepLines w:val="0"/>
              <w:pageBreakBefore w:val="0"/>
              <w:widowControl/>
              <w:kinsoku/>
              <w:wordWrap/>
              <w:overflowPunct/>
              <w:topLinePunct w:val="0"/>
              <w:bidi w:val="0"/>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3、每岗都严格按保安工作内容执行任务（注：保安工作内容共23项，每违反一项须扣分，详见用户需求书第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条保安服务质量要求（二）保安服务工作内容）；</w:t>
            </w:r>
          </w:p>
          <w:p w14:paraId="077BAAF2">
            <w:pPr>
              <w:keepNext w:val="0"/>
              <w:keepLines w:val="0"/>
              <w:pageBreakBefore w:val="0"/>
              <w:widowControl/>
              <w:kinsoku/>
              <w:wordWrap/>
              <w:overflowPunct/>
              <w:topLinePunct w:val="0"/>
              <w:bidi w:val="0"/>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4、保安员务必服从命令，听从指挥严禁暴行犯上。</w:t>
            </w:r>
          </w:p>
          <w:p w14:paraId="715B41A3">
            <w:pPr>
              <w:keepNext w:val="0"/>
              <w:keepLines w:val="0"/>
              <w:pageBreakBefore w:val="0"/>
              <w:widowControl/>
              <w:kinsoku/>
              <w:wordWrap/>
              <w:overflowPunct/>
              <w:topLinePunct w:val="0"/>
              <w:bidi w:val="0"/>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5、按规定登记《外来人员登记表》、《安保人员进出厂区登记表》等相关表格。</w:t>
            </w:r>
          </w:p>
        </w:tc>
        <w:tc>
          <w:tcPr>
            <w:tcW w:w="892" w:type="pct"/>
            <w:gridSpan w:val="2"/>
            <w:tcMar>
              <w:top w:w="15" w:type="dxa"/>
              <w:left w:w="15" w:type="dxa"/>
              <w:right w:w="15" w:type="dxa"/>
            </w:tcMar>
            <w:vAlign w:val="center"/>
          </w:tcPr>
          <w:p w14:paraId="250E5242">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违反每项中的任何一项扣5分，扣完为止。</w:t>
            </w:r>
          </w:p>
        </w:tc>
        <w:tc>
          <w:tcPr>
            <w:tcW w:w="392" w:type="pct"/>
            <w:tcMar>
              <w:top w:w="15" w:type="dxa"/>
              <w:left w:w="15" w:type="dxa"/>
              <w:right w:w="15" w:type="dxa"/>
            </w:tcMar>
            <w:vAlign w:val="center"/>
          </w:tcPr>
          <w:p w14:paraId="66B534C6">
            <w:pPr>
              <w:keepNext w:val="0"/>
              <w:keepLines w:val="0"/>
              <w:pageBreakBefore w:val="0"/>
              <w:kinsoku/>
              <w:wordWrap/>
              <w:overflowPunct/>
              <w:topLinePunct w:val="0"/>
              <w:bidi w:val="0"/>
              <w:snapToGrid/>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20分</w:t>
            </w:r>
          </w:p>
        </w:tc>
        <w:tc>
          <w:tcPr>
            <w:tcW w:w="299" w:type="pct"/>
            <w:vAlign w:val="center"/>
          </w:tcPr>
          <w:p w14:paraId="237093A1">
            <w:pPr>
              <w:keepNext w:val="0"/>
              <w:keepLines w:val="0"/>
              <w:pageBreakBefore w:val="0"/>
              <w:kinsoku/>
              <w:wordWrap/>
              <w:overflowPunct/>
              <w:topLinePunct w:val="0"/>
              <w:bidi w:val="0"/>
              <w:snapToGrid/>
              <w:spacing w:line="360" w:lineRule="auto"/>
              <w:ind w:firstLine="420" w:firstLineChars="200"/>
              <w:jc w:val="center"/>
              <w:rPr>
                <w:rFonts w:hint="eastAsia" w:ascii="宋体" w:hAnsi="宋体" w:eastAsia="宋体" w:cs="宋体"/>
                <w:color w:val="auto"/>
                <w:sz w:val="21"/>
                <w:szCs w:val="21"/>
                <w:highlight w:val="none"/>
              </w:rPr>
            </w:pPr>
          </w:p>
        </w:tc>
      </w:tr>
      <w:tr w14:paraId="6E87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trPr>
        <w:tc>
          <w:tcPr>
            <w:tcW w:w="358" w:type="pct"/>
            <w:tcMar>
              <w:top w:w="15" w:type="dxa"/>
              <w:left w:w="15" w:type="dxa"/>
              <w:right w:w="15" w:type="dxa"/>
            </w:tcMar>
            <w:vAlign w:val="center"/>
          </w:tcPr>
          <w:p w14:paraId="4BCD38AA">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五</w:t>
            </w:r>
          </w:p>
        </w:tc>
        <w:tc>
          <w:tcPr>
            <w:tcW w:w="797" w:type="pct"/>
            <w:gridSpan w:val="2"/>
            <w:tcMar>
              <w:top w:w="15" w:type="dxa"/>
              <w:left w:w="15" w:type="dxa"/>
              <w:right w:w="15" w:type="dxa"/>
            </w:tcMar>
            <w:vAlign w:val="center"/>
          </w:tcPr>
          <w:p w14:paraId="640285B5">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巡逻管理</w:t>
            </w:r>
          </w:p>
        </w:tc>
        <w:tc>
          <w:tcPr>
            <w:tcW w:w="2260" w:type="pct"/>
            <w:gridSpan w:val="4"/>
            <w:tcMar>
              <w:top w:w="15" w:type="dxa"/>
              <w:left w:w="15" w:type="dxa"/>
              <w:right w:w="15" w:type="dxa"/>
            </w:tcMar>
            <w:vAlign w:val="center"/>
          </w:tcPr>
          <w:p w14:paraId="23CA5CD6">
            <w:pPr>
              <w:keepNext w:val="0"/>
              <w:keepLines w:val="0"/>
              <w:pageBreakBefore w:val="0"/>
              <w:widowControl/>
              <w:numPr>
                <w:ilvl w:val="-1"/>
                <w:numId w:val="0"/>
              </w:numPr>
              <w:kinsoku/>
              <w:wordWrap/>
              <w:overflowPunct/>
              <w:topLinePunct w:val="0"/>
              <w:bidi w:val="0"/>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不熟悉服务场地环境，服务场地内外的巡查路线，每天巡查不少于12次，每2个小时巡查一次，按要求定期巡逻定点打卡。</w:t>
            </w:r>
          </w:p>
        </w:tc>
        <w:tc>
          <w:tcPr>
            <w:tcW w:w="892" w:type="pct"/>
            <w:gridSpan w:val="2"/>
            <w:tcMar>
              <w:top w:w="15" w:type="dxa"/>
              <w:left w:w="15" w:type="dxa"/>
              <w:right w:w="15" w:type="dxa"/>
            </w:tcMar>
            <w:vAlign w:val="center"/>
          </w:tcPr>
          <w:p w14:paraId="47D84E8D">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每缺少巡逻一次扣1分，扣完为止。</w:t>
            </w:r>
          </w:p>
        </w:tc>
        <w:tc>
          <w:tcPr>
            <w:tcW w:w="392" w:type="pct"/>
            <w:tcMar>
              <w:top w:w="15" w:type="dxa"/>
              <w:left w:w="15" w:type="dxa"/>
              <w:right w:w="15" w:type="dxa"/>
            </w:tcMar>
            <w:vAlign w:val="center"/>
          </w:tcPr>
          <w:p w14:paraId="03B3D1B4">
            <w:pPr>
              <w:keepNext w:val="0"/>
              <w:keepLines w:val="0"/>
              <w:pageBreakBefore w:val="0"/>
              <w:kinsoku/>
              <w:wordWrap/>
              <w:overflowPunct/>
              <w:topLinePunct w:val="0"/>
              <w:bidi w:val="0"/>
              <w:snapToGrid/>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25分</w:t>
            </w:r>
          </w:p>
        </w:tc>
        <w:tc>
          <w:tcPr>
            <w:tcW w:w="299" w:type="pct"/>
            <w:vAlign w:val="center"/>
          </w:tcPr>
          <w:p w14:paraId="3F17F4AA">
            <w:pPr>
              <w:keepNext w:val="0"/>
              <w:keepLines w:val="0"/>
              <w:pageBreakBefore w:val="0"/>
              <w:kinsoku/>
              <w:wordWrap/>
              <w:overflowPunct/>
              <w:topLinePunct w:val="0"/>
              <w:bidi w:val="0"/>
              <w:snapToGrid/>
              <w:spacing w:line="360" w:lineRule="auto"/>
              <w:ind w:firstLine="420" w:firstLineChars="200"/>
              <w:jc w:val="center"/>
              <w:rPr>
                <w:rFonts w:hint="eastAsia" w:ascii="宋体" w:hAnsi="宋体" w:eastAsia="宋体" w:cs="宋体"/>
                <w:color w:val="auto"/>
                <w:sz w:val="21"/>
                <w:szCs w:val="21"/>
                <w:highlight w:val="none"/>
              </w:rPr>
            </w:pPr>
          </w:p>
        </w:tc>
      </w:tr>
      <w:tr w14:paraId="3E7E8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trPr>
        <w:tc>
          <w:tcPr>
            <w:tcW w:w="4308" w:type="pct"/>
            <w:gridSpan w:val="9"/>
            <w:tcMar>
              <w:top w:w="15" w:type="dxa"/>
              <w:left w:w="15" w:type="dxa"/>
              <w:right w:w="15" w:type="dxa"/>
            </w:tcMar>
            <w:vAlign w:val="center"/>
          </w:tcPr>
          <w:p w14:paraId="35A6F118">
            <w:pPr>
              <w:keepNext w:val="0"/>
              <w:keepLines w:val="0"/>
              <w:pageBreakBefore w:val="0"/>
              <w:widowControl/>
              <w:kinsoku/>
              <w:wordWrap/>
              <w:overflowPunct/>
              <w:topLinePunct w:val="0"/>
              <w:bidi w:val="0"/>
              <w:snapToGrid/>
              <w:spacing w:line="360" w:lineRule="auto"/>
              <w:ind w:firstLine="420" w:firstLineChars="200"/>
              <w:jc w:val="center"/>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分值合计</w:t>
            </w:r>
          </w:p>
        </w:tc>
        <w:tc>
          <w:tcPr>
            <w:tcW w:w="392" w:type="pct"/>
            <w:tcMar>
              <w:top w:w="15" w:type="dxa"/>
              <w:left w:w="15" w:type="dxa"/>
              <w:right w:w="15" w:type="dxa"/>
            </w:tcMar>
            <w:vAlign w:val="center"/>
          </w:tcPr>
          <w:p w14:paraId="16A427FF">
            <w:pPr>
              <w:keepNext w:val="0"/>
              <w:keepLines w:val="0"/>
              <w:pageBreakBefore w:val="0"/>
              <w:kinsoku/>
              <w:wordWrap/>
              <w:overflowPunct/>
              <w:topLinePunct w:val="0"/>
              <w:bidi w:val="0"/>
              <w:snapToGrid/>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100分</w:t>
            </w:r>
          </w:p>
        </w:tc>
        <w:tc>
          <w:tcPr>
            <w:tcW w:w="299" w:type="pct"/>
            <w:vAlign w:val="center"/>
          </w:tcPr>
          <w:p w14:paraId="7D682245">
            <w:pPr>
              <w:keepNext w:val="0"/>
              <w:keepLines w:val="0"/>
              <w:pageBreakBefore w:val="0"/>
              <w:kinsoku/>
              <w:wordWrap/>
              <w:overflowPunct/>
              <w:topLinePunct w:val="0"/>
              <w:bidi w:val="0"/>
              <w:snapToGrid/>
              <w:spacing w:line="360" w:lineRule="auto"/>
              <w:ind w:firstLine="420" w:firstLineChars="200"/>
              <w:jc w:val="center"/>
              <w:rPr>
                <w:rFonts w:hint="eastAsia" w:ascii="宋体" w:hAnsi="宋体" w:eastAsia="宋体" w:cs="宋体"/>
                <w:color w:val="auto"/>
                <w:sz w:val="21"/>
                <w:szCs w:val="21"/>
                <w:highlight w:val="none"/>
              </w:rPr>
            </w:pPr>
          </w:p>
        </w:tc>
      </w:tr>
      <w:tr w14:paraId="17AAC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820" w:type="pct"/>
            <w:gridSpan w:val="2"/>
            <w:vAlign w:val="center"/>
          </w:tcPr>
          <w:p w14:paraId="19486F15">
            <w:pPr>
              <w:keepNext w:val="0"/>
              <w:keepLines w:val="0"/>
              <w:pageBreakBefore w:val="0"/>
              <w:kinsoku/>
              <w:wordWrap/>
              <w:overflowPunct/>
              <w:topLinePunct w:val="0"/>
              <w:bidi w:val="0"/>
              <w:snapToGrid/>
              <w:spacing w:line="360" w:lineRule="auto"/>
              <w:ind w:firstLine="0" w:firstLineChars="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考核结果：</w:t>
            </w:r>
          </w:p>
        </w:tc>
        <w:tc>
          <w:tcPr>
            <w:tcW w:w="821" w:type="pct"/>
            <w:gridSpan w:val="2"/>
            <w:vAlign w:val="center"/>
          </w:tcPr>
          <w:p w14:paraId="4BD78D46">
            <w:pPr>
              <w:keepNext w:val="0"/>
              <w:keepLines w:val="0"/>
              <w:pageBreakBefore w:val="0"/>
              <w:kinsoku/>
              <w:wordWrap/>
              <w:overflowPunct/>
              <w:topLinePunct w:val="0"/>
              <w:bidi w:val="0"/>
              <w:snapToGrid/>
              <w:spacing w:line="360" w:lineRule="auto"/>
              <w:ind w:firstLine="420" w:firstLineChars="200"/>
              <w:jc w:val="center"/>
              <w:rPr>
                <w:rFonts w:hint="eastAsia" w:ascii="宋体" w:hAnsi="宋体" w:eastAsia="宋体" w:cs="宋体"/>
                <w:color w:val="auto"/>
                <w:sz w:val="21"/>
                <w:szCs w:val="21"/>
                <w:highlight w:val="none"/>
              </w:rPr>
            </w:pPr>
          </w:p>
        </w:tc>
        <w:tc>
          <w:tcPr>
            <w:tcW w:w="820" w:type="pct"/>
            <w:vAlign w:val="center"/>
          </w:tcPr>
          <w:p w14:paraId="41B90FD2">
            <w:pPr>
              <w:keepNext w:val="0"/>
              <w:keepLines w:val="0"/>
              <w:pageBreakBefore w:val="0"/>
              <w:kinsoku/>
              <w:wordWrap/>
              <w:overflowPunct/>
              <w:topLinePunct w:val="0"/>
              <w:bidi w:val="0"/>
              <w:snapToGrid/>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合格</w:t>
            </w:r>
          </w:p>
        </w:tc>
        <w:tc>
          <w:tcPr>
            <w:tcW w:w="820" w:type="pct"/>
            <w:tcMar>
              <w:top w:w="15" w:type="dxa"/>
              <w:left w:w="15" w:type="dxa"/>
              <w:right w:w="15" w:type="dxa"/>
            </w:tcMar>
            <w:vAlign w:val="center"/>
          </w:tcPr>
          <w:p w14:paraId="52E9BC87">
            <w:pPr>
              <w:keepNext w:val="0"/>
              <w:keepLines w:val="0"/>
              <w:pageBreakBefore w:val="0"/>
              <w:kinsoku/>
              <w:wordWrap/>
              <w:overflowPunct/>
              <w:topLinePunct w:val="0"/>
              <w:bidi w:val="0"/>
              <w:snapToGrid/>
              <w:spacing w:line="360" w:lineRule="auto"/>
              <w:ind w:firstLine="420" w:firstLineChars="200"/>
              <w:jc w:val="center"/>
              <w:rPr>
                <w:rFonts w:hint="eastAsia" w:ascii="宋体" w:hAnsi="宋体" w:eastAsia="宋体" w:cs="宋体"/>
                <w:color w:val="auto"/>
                <w:sz w:val="21"/>
                <w:szCs w:val="21"/>
                <w:highlight w:val="none"/>
              </w:rPr>
            </w:pPr>
          </w:p>
        </w:tc>
        <w:tc>
          <w:tcPr>
            <w:tcW w:w="820" w:type="pct"/>
            <w:gridSpan w:val="2"/>
            <w:tcMar>
              <w:top w:w="15" w:type="dxa"/>
              <w:left w:w="15" w:type="dxa"/>
              <w:right w:w="15" w:type="dxa"/>
            </w:tcMar>
            <w:vAlign w:val="center"/>
          </w:tcPr>
          <w:p w14:paraId="312762F7">
            <w:pPr>
              <w:keepNext w:val="0"/>
              <w:keepLines w:val="0"/>
              <w:pageBreakBefore w:val="0"/>
              <w:kinsoku/>
              <w:wordWrap/>
              <w:overflowPunct/>
              <w:topLinePunct w:val="0"/>
              <w:bidi w:val="0"/>
              <w:snapToGrid/>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不合格</w:t>
            </w:r>
          </w:p>
        </w:tc>
        <w:tc>
          <w:tcPr>
            <w:tcW w:w="896" w:type="pct"/>
            <w:gridSpan w:val="3"/>
            <w:tcMar>
              <w:top w:w="15" w:type="dxa"/>
              <w:left w:w="15" w:type="dxa"/>
              <w:right w:w="15" w:type="dxa"/>
            </w:tcMar>
            <w:vAlign w:val="center"/>
          </w:tcPr>
          <w:p w14:paraId="511F915D">
            <w:pPr>
              <w:keepNext w:val="0"/>
              <w:keepLines w:val="0"/>
              <w:pageBreakBefore w:val="0"/>
              <w:kinsoku/>
              <w:wordWrap/>
              <w:overflowPunct/>
              <w:topLinePunct w:val="0"/>
              <w:bidi w:val="0"/>
              <w:snapToGrid/>
              <w:spacing w:line="360" w:lineRule="auto"/>
              <w:ind w:firstLine="420" w:firstLineChars="200"/>
              <w:jc w:val="left"/>
              <w:rPr>
                <w:rFonts w:hint="eastAsia" w:ascii="宋体" w:hAnsi="宋体" w:eastAsia="宋体" w:cs="宋体"/>
                <w:color w:val="auto"/>
                <w:sz w:val="21"/>
                <w:szCs w:val="21"/>
                <w:highlight w:val="none"/>
              </w:rPr>
            </w:pPr>
          </w:p>
        </w:tc>
      </w:tr>
      <w:tr w14:paraId="48407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7" w:hRule="atLeast"/>
        </w:trPr>
        <w:tc>
          <w:tcPr>
            <w:tcW w:w="5000" w:type="pct"/>
            <w:gridSpan w:val="11"/>
            <w:tcMar>
              <w:top w:w="15" w:type="dxa"/>
              <w:left w:w="15" w:type="dxa"/>
              <w:right w:w="15" w:type="dxa"/>
            </w:tcMar>
            <w:vAlign w:val="center"/>
          </w:tcPr>
          <w:p w14:paraId="3F415EFF">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意见及建议：</w:t>
            </w:r>
          </w:p>
        </w:tc>
      </w:tr>
    </w:tbl>
    <w:p w14:paraId="14C1ABAE">
      <w:pPr>
        <w:keepNext w:val="0"/>
        <w:keepLines w:val="0"/>
        <w:pageBreakBefore w:val="0"/>
        <w:widowControl/>
        <w:kinsoku/>
        <w:wordWrap/>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考核单位：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考核人：             考核时间：</w:t>
      </w:r>
    </w:p>
    <w:p w14:paraId="37E504B0">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39639E23">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1、本考核评比实行百分制,与实际服务费挂钩。</w:t>
      </w:r>
    </w:p>
    <w:p w14:paraId="5838805F">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2、每项考评对应无扣分的，实得分等于应得分。</w:t>
      </w:r>
    </w:p>
    <w:p w14:paraId="23AD2D44">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w:t>
      </w:r>
      <w:r>
        <w:rPr>
          <w:rFonts w:hint="eastAsia" w:ascii="宋体" w:hAnsi="宋体" w:eastAsia="宋体" w:cs="宋体"/>
          <w:b w:val="0"/>
          <w:color w:val="auto"/>
          <w:sz w:val="21"/>
          <w:szCs w:val="21"/>
          <w:lang w:val="en-US" w:eastAsia="zh-CN"/>
        </w:rPr>
        <w:t>甲方</w:t>
      </w:r>
      <w:r>
        <w:rPr>
          <w:rFonts w:hint="eastAsia" w:ascii="宋体" w:hAnsi="宋体" w:eastAsia="宋体" w:cs="宋体"/>
          <w:b w:val="0"/>
          <w:color w:val="auto"/>
          <w:sz w:val="21"/>
          <w:szCs w:val="21"/>
          <w:highlight w:val="none"/>
        </w:rPr>
        <w:t>每月根据考评结果及到岗实际人数情况支付实际服务费给</w:t>
      </w:r>
      <w:r>
        <w:rPr>
          <w:rFonts w:hint="eastAsia" w:ascii="宋体" w:hAnsi="宋体" w:eastAsia="宋体" w:cs="宋体"/>
          <w:b w:val="0"/>
          <w:color w:val="auto"/>
          <w:sz w:val="21"/>
          <w:szCs w:val="21"/>
          <w:lang w:val="en-US" w:eastAsia="zh-CN"/>
        </w:rPr>
        <w:t>乙方</w:t>
      </w:r>
      <w:r>
        <w:rPr>
          <w:rFonts w:hint="eastAsia" w:ascii="宋体" w:hAnsi="宋体" w:eastAsia="宋体" w:cs="宋体"/>
          <w:b w:val="0"/>
          <w:color w:val="auto"/>
          <w:sz w:val="21"/>
          <w:szCs w:val="21"/>
          <w:highlight w:val="none"/>
        </w:rPr>
        <w:t>：</w:t>
      </w:r>
    </w:p>
    <w:p w14:paraId="114B5DB5">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（1）在到岗人数按合同要求配置的情况下，</w:t>
      </w:r>
      <w:r>
        <w:rPr>
          <w:rFonts w:hint="eastAsia" w:ascii="宋体" w:hAnsi="宋体" w:eastAsia="宋体" w:cs="宋体"/>
          <w:b w:val="0"/>
          <w:color w:val="auto"/>
          <w:sz w:val="21"/>
          <w:szCs w:val="21"/>
          <w:lang w:val="en-US" w:eastAsia="zh-CN"/>
        </w:rPr>
        <w:t>甲方</w:t>
      </w:r>
      <w:r>
        <w:rPr>
          <w:rFonts w:hint="eastAsia" w:ascii="宋体" w:hAnsi="宋体" w:eastAsia="宋体" w:cs="宋体"/>
          <w:b w:val="0"/>
          <w:color w:val="auto"/>
          <w:sz w:val="21"/>
          <w:szCs w:val="21"/>
          <w:highlight w:val="none"/>
        </w:rPr>
        <w:t>对</w:t>
      </w:r>
      <w:r>
        <w:rPr>
          <w:rFonts w:hint="eastAsia" w:ascii="宋体" w:hAnsi="宋体" w:eastAsia="宋体" w:cs="宋体"/>
          <w:b w:val="0"/>
          <w:color w:val="auto"/>
          <w:sz w:val="21"/>
          <w:szCs w:val="21"/>
          <w:lang w:val="en-US" w:eastAsia="zh-CN"/>
        </w:rPr>
        <w:t>乙方</w:t>
      </w:r>
      <w:r>
        <w:rPr>
          <w:rFonts w:hint="eastAsia" w:ascii="宋体" w:hAnsi="宋体" w:eastAsia="宋体" w:cs="宋体"/>
          <w:b w:val="0"/>
          <w:color w:val="auto"/>
          <w:sz w:val="21"/>
          <w:szCs w:val="21"/>
          <w:highlight w:val="none"/>
        </w:rPr>
        <w:t>的服务考核评分达到90分或以上的，该月的服务费全额支付；</w:t>
      </w:r>
      <w:r>
        <w:rPr>
          <w:rFonts w:hint="eastAsia" w:ascii="宋体" w:hAnsi="宋体" w:eastAsia="宋体" w:cs="宋体"/>
          <w:b w:val="0"/>
          <w:color w:val="auto"/>
          <w:sz w:val="21"/>
          <w:szCs w:val="21"/>
          <w:lang w:val="en-US" w:eastAsia="zh-CN"/>
        </w:rPr>
        <w:t>甲方</w:t>
      </w:r>
      <w:r>
        <w:rPr>
          <w:rFonts w:hint="eastAsia" w:ascii="宋体" w:hAnsi="宋体" w:eastAsia="宋体" w:cs="宋体"/>
          <w:b w:val="0"/>
          <w:color w:val="auto"/>
          <w:sz w:val="21"/>
          <w:szCs w:val="21"/>
          <w:highlight w:val="none"/>
        </w:rPr>
        <w:t>对</w:t>
      </w:r>
      <w:r>
        <w:rPr>
          <w:rFonts w:hint="eastAsia" w:ascii="宋体" w:hAnsi="宋体" w:eastAsia="宋体" w:cs="宋体"/>
          <w:b w:val="0"/>
          <w:color w:val="auto"/>
          <w:sz w:val="21"/>
          <w:szCs w:val="21"/>
          <w:lang w:val="en-US" w:eastAsia="zh-CN"/>
        </w:rPr>
        <w:t>乙方</w:t>
      </w:r>
      <w:r>
        <w:rPr>
          <w:rFonts w:hint="eastAsia" w:ascii="宋体" w:hAnsi="宋体" w:eastAsia="宋体" w:cs="宋体"/>
          <w:b w:val="0"/>
          <w:color w:val="auto"/>
          <w:sz w:val="21"/>
          <w:szCs w:val="21"/>
          <w:highlight w:val="none"/>
        </w:rPr>
        <w:t>的服务考核评分不足90分的，该月的实际支付的服务费=合同约定到岗人数</w:t>
      </w:r>
      <w:r>
        <w:rPr>
          <w:rFonts w:hint="eastAsia" w:ascii="宋体" w:hAnsi="宋体" w:eastAsia="宋体" w:cs="宋体"/>
          <w:b w:val="0"/>
          <w:bCs/>
          <w:color w:val="auto"/>
          <w:sz w:val="21"/>
          <w:szCs w:val="21"/>
          <w:highlight w:val="none"/>
        </w:rPr>
        <w:t>×</w:t>
      </w:r>
      <w:r>
        <w:rPr>
          <w:rFonts w:hint="eastAsia" w:ascii="宋体" w:hAnsi="宋体" w:eastAsia="宋体" w:cs="宋体"/>
          <w:b w:val="0"/>
          <w:color w:val="auto"/>
          <w:sz w:val="21"/>
          <w:szCs w:val="21"/>
          <w:highlight w:val="none"/>
        </w:rPr>
        <w:t>服务单价</w:t>
      </w:r>
      <w:r>
        <w:rPr>
          <w:rFonts w:hint="eastAsia" w:ascii="宋体" w:hAnsi="宋体" w:eastAsia="宋体" w:cs="宋体"/>
          <w:b w:val="0"/>
          <w:bCs/>
          <w:color w:val="auto"/>
          <w:sz w:val="21"/>
          <w:szCs w:val="21"/>
          <w:highlight w:val="none"/>
        </w:rPr>
        <w:t>×</w:t>
      </w:r>
      <w:r>
        <w:rPr>
          <w:rFonts w:hint="eastAsia" w:ascii="宋体" w:hAnsi="宋体" w:eastAsia="宋体" w:cs="宋体"/>
          <w:b w:val="0"/>
          <w:color w:val="auto"/>
          <w:sz w:val="21"/>
          <w:szCs w:val="21"/>
          <w:highlight w:val="none"/>
        </w:rPr>
        <w:t>当月考核所得分数与满分的百分比。</w:t>
      </w:r>
    </w:p>
    <w:p w14:paraId="697B14F7">
      <w:pPr>
        <w:keepNext w:val="0"/>
        <w:keepLines w:val="0"/>
        <w:pageBreakBefore w:val="0"/>
        <w:kinsoku/>
        <w:wordWrap/>
        <w:overflowPunct/>
        <w:topLinePunct w:val="0"/>
        <w:bidi w:val="0"/>
        <w:snapToGrid/>
        <w:spacing w:line="360" w:lineRule="auto"/>
        <w:ind w:firstLine="420" w:firstLineChars="200"/>
        <w:rPr>
          <w:rStyle w:val="39"/>
          <w:rFonts w:hint="eastAsia" w:ascii="宋体" w:hAnsi="宋体" w:eastAsia="宋体" w:cs="宋体"/>
          <w:color w:val="auto"/>
          <w:sz w:val="21"/>
          <w:szCs w:val="21"/>
        </w:rPr>
      </w:pPr>
      <w:r>
        <w:rPr>
          <w:rFonts w:hint="eastAsia" w:ascii="宋体" w:hAnsi="宋体" w:eastAsia="宋体" w:cs="宋体"/>
          <w:b w:val="0"/>
          <w:color w:val="auto"/>
          <w:sz w:val="21"/>
          <w:szCs w:val="21"/>
          <w:highlight w:val="none"/>
        </w:rPr>
        <w:t>（2）如到岗人数没按合同要求配置出现缺岗情况的，</w:t>
      </w:r>
      <w:r>
        <w:rPr>
          <w:rFonts w:hint="eastAsia" w:ascii="宋体" w:hAnsi="宋体" w:eastAsia="宋体" w:cs="宋体"/>
          <w:b w:val="0"/>
          <w:color w:val="auto"/>
          <w:sz w:val="21"/>
          <w:szCs w:val="21"/>
          <w:lang w:val="en-US" w:eastAsia="zh-CN"/>
        </w:rPr>
        <w:t>甲方</w:t>
      </w:r>
      <w:r>
        <w:rPr>
          <w:rFonts w:hint="eastAsia" w:ascii="宋体" w:hAnsi="宋体" w:eastAsia="宋体" w:cs="宋体"/>
          <w:b w:val="0"/>
          <w:color w:val="auto"/>
          <w:sz w:val="21"/>
          <w:szCs w:val="21"/>
          <w:highlight w:val="none"/>
        </w:rPr>
        <w:t>根据对</w:t>
      </w:r>
      <w:r>
        <w:rPr>
          <w:rFonts w:hint="eastAsia" w:ascii="宋体" w:hAnsi="宋体" w:eastAsia="宋体" w:cs="宋体"/>
          <w:b w:val="0"/>
          <w:color w:val="auto"/>
          <w:sz w:val="21"/>
          <w:szCs w:val="21"/>
          <w:lang w:val="en-US" w:eastAsia="zh-CN"/>
        </w:rPr>
        <w:t>乙方</w:t>
      </w:r>
      <w:r>
        <w:rPr>
          <w:rFonts w:hint="eastAsia" w:ascii="宋体" w:hAnsi="宋体" w:eastAsia="宋体" w:cs="宋体"/>
          <w:b w:val="0"/>
          <w:color w:val="auto"/>
          <w:sz w:val="21"/>
          <w:szCs w:val="21"/>
          <w:highlight w:val="none"/>
        </w:rPr>
        <w:t>的服务考核评分，该月的实际支付的服务费=实际到岗人数</w:t>
      </w:r>
      <w:r>
        <w:rPr>
          <w:rFonts w:hint="eastAsia" w:ascii="宋体" w:hAnsi="宋体" w:eastAsia="宋体" w:cs="宋体"/>
          <w:b w:val="0"/>
          <w:bCs/>
          <w:color w:val="auto"/>
          <w:sz w:val="21"/>
          <w:szCs w:val="21"/>
          <w:highlight w:val="none"/>
        </w:rPr>
        <w:t>×</w:t>
      </w:r>
      <w:r>
        <w:rPr>
          <w:rFonts w:hint="eastAsia" w:ascii="宋体" w:hAnsi="宋体" w:eastAsia="宋体" w:cs="宋体"/>
          <w:b w:val="0"/>
          <w:color w:val="auto"/>
          <w:sz w:val="21"/>
          <w:szCs w:val="21"/>
          <w:highlight w:val="none"/>
        </w:rPr>
        <w:t>服务单价</w:t>
      </w:r>
      <w:r>
        <w:rPr>
          <w:rFonts w:hint="eastAsia" w:ascii="宋体" w:hAnsi="宋体" w:eastAsia="宋体" w:cs="宋体"/>
          <w:b w:val="0"/>
          <w:bCs/>
          <w:color w:val="auto"/>
          <w:sz w:val="21"/>
          <w:szCs w:val="21"/>
          <w:highlight w:val="none"/>
        </w:rPr>
        <w:t>×</w:t>
      </w:r>
      <w:r>
        <w:rPr>
          <w:rFonts w:hint="eastAsia" w:ascii="宋体" w:hAnsi="宋体" w:eastAsia="宋体" w:cs="宋体"/>
          <w:b w:val="0"/>
          <w:color w:val="auto"/>
          <w:sz w:val="21"/>
          <w:szCs w:val="21"/>
          <w:highlight w:val="none"/>
        </w:rPr>
        <w:t>当月考核所得分数与满分的百分比。</w:t>
      </w:r>
    </w:p>
    <w:p w14:paraId="434FAA30">
      <w:pPr>
        <w:keepNext w:val="0"/>
        <w:keepLines w:val="0"/>
        <w:pageBreakBefore w:val="0"/>
        <w:kinsoku/>
        <w:wordWrap/>
        <w:overflowPunct/>
        <w:topLinePunct w:val="0"/>
        <w:bidi w:val="0"/>
        <w:snapToGrid/>
        <w:spacing w:line="360" w:lineRule="auto"/>
        <w:ind w:firstLine="420" w:firstLineChars="200"/>
        <w:jc w:val="both"/>
        <w:rPr>
          <w:rFonts w:hint="eastAsia" w:ascii="宋体" w:hAnsi="宋体" w:eastAsia="宋体" w:cs="宋体"/>
          <w:color w:val="auto"/>
          <w:sz w:val="21"/>
          <w:szCs w:val="21"/>
          <w:highlight w:val="none"/>
          <w:lang w:val="en-US" w:eastAsia="zh-CN"/>
        </w:rPr>
      </w:pPr>
      <w:r>
        <w:rPr>
          <w:rStyle w:val="39"/>
          <w:rFonts w:hint="eastAsia" w:ascii="宋体" w:hAnsi="宋体" w:eastAsia="宋体" w:cs="宋体"/>
          <w:color w:val="auto"/>
          <w:sz w:val="21"/>
          <w:szCs w:val="21"/>
          <w:lang w:val="en-US"/>
        </w:rPr>
        <w:t>（3）</w:t>
      </w:r>
      <w:r>
        <w:rPr>
          <w:rFonts w:hint="eastAsia" w:ascii="宋体" w:hAnsi="宋体" w:eastAsia="宋体" w:cs="宋体"/>
          <w:color w:val="auto"/>
          <w:sz w:val="21"/>
          <w:szCs w:val="21"/>
          <w:highlight w:val="none"/>
        </w:rPr>
        <w:t>如发现累计两个月未达到60分时，</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highlight w:val="none"/>
        </w:rPr>
        <w:t>有权单方解除合同</w:t>
      </w:r>
      <w:r>
        <w:rPr>
          <w:rFonts w:hint="eastAsia" w:ascii="宋体" w:hAnsi="宋体" w:eastAsia="宋体" w:cs="宋体"/>
          <w:color w:val="auto"/>
          <w:sz w:val="21"/>
          <w:szCs w:val="21"/>
          <w:highlight w:val="none"/>
          <w:lang w:val="en-US" w:eastAsia="zh-CN"/>
        </w:rPr>
        <w:t>并无需承担任何违约责任。</w:t>
      </w:r>
    </w:p>
    <w:p w14:paraId="6F704012">
      <w:pPr>
        <w:pStyle w:val="5"/>
        <w:keepNext w:val="0"/>
        <w:keepLines w:val="0"/>
        <w:pageBreakBefore w:val="0"/>
        <w:kinsoku/>
        <w:wordWrap/>
        <w:overflowPunct/>
        <w:topLinePunct w:val="0"/>
        <w:bidi w:val="0"/>
        <w:snapToGrid/>
        <w:spacing w:line="360" w:lineRule="auto"/>
        <w:rPr>
          <w:rFonts w:hint="eastAsia" w:ascii="宋体" w:hAnsi="宋体" w:eastAsia="宋体" w:cs="宋体"/>
          <w:color w:val="auto"/>
          <w:sz w:val="21"/>
          <w:szCs w:val="21"/>
          <w:lang w:val="en-US" w:eastAsia="zh-CN"/>
        </w:rPr>
      </w:pPr>
    </w:p>
    <w:p w14:paraId="4A089E2C">
      <w:pPr>
        <w:keepNext w:val="0"/>
        <w:keepLines w:val="0"/>
        <w:pageBreakBefore w:val="0"/>
        <w:kinsoku/>
        <w:wordWrap/>
        <w:overflowPunct/>
        <w:topLinePunct w:val="0"/>
        <w:bidi w:val="0"/>
        <w:snapToGrid/>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九</w:t>
      </w:r>
      <w:r>
        <w:rPr>
          <w:rFonts w:hint="eastAsia" w:ascii="宋体" w:hAnsi="宋体" w:eastAsia="宋体" w:cs="宋体"/>
          <w:b/>
          <w:bCs/>
          <w:color w:val="auto"/>
          <w:sz w:val="21"/>
          <w:szCs w:val="21"/>
        </w:rPr>
        <w:t>、违约责任</w:t>
      </w:r>
    </w:p>
    <w:p w14:paraId="7508CA9A">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.1乙方拒绝就</w:t>
      </w:r>
      <w:r>
        <w:rPr>
          <w:rFonts w:hint="eastAsia" w:ascii="宋体" w:hAnsi="宋体" w:eastAsia="宋体" w:cs="宋体"/>
          <w:color w:val="auto"/>
          <w:sz w:val="21"/>
          <w:szCs w:val="21"/>
          <w:lang w:val="en-US" w:eastAsia="zh-CN"/>
        </w:rPr>
        <w:t>办公场所</w:t>
      </w:r>
      <w:r>
        <w:rPr>
          <w:rFonts w:hint="eastAsia" w:ascii="宋体" w:hAnsi="宋体" w:eastAsia="宋体" w:cs="宋体"/>
          <w:color w:val="auto"/>
          <w:sz w:val="21"/>
          <w:szCs w:val="21"/>
        </w:rPr>
        <w:t>提供服务的，甲方有权单方解除本合同，乙方不得提出任何异议</w:t>
      </w:r>
      <w:r>
        <w:rPr>
          <w:rFonts w:hint="eastAsia" w:ascii="宋体" w:hAnsi="宋体" w:eastAsia="宋体" w:cs="宋体"/>
          <w:color w:val="auto"/>
          <w:sz w:val="21"/>
          <w:szCs w:val="21"/>
          <w:lang w:eastAsia="zh-CN"/>
        </w:rPr>
        <w:t>，并由乙方承担履约担保等额的违约金</w:t>
      </w:r>
      <w:r>
        <w:rPr>
          <w:rFonts w:hint="eastAsia" w:ascii="宋体" w:hAnsi="宋体" w:eastAsia="宋体" w:cs="宋体"/>
          <w:color w:val="auto"/>
          <w:sz w:val="21"/>
          <w:szCs w:val="21"/>
        </w:rPr>
        <w:t>。</w:t>
      </w:r>
    </w:p>
    <w:p w14:paraId="110FB6E1">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lang w:val="en-US" w:eastAsia="zh-CN"/>
        </w:rPr>
      </w:pPr>
      <w:bookmarkStart w:id="429" w:name="OLE_LINK1"/>
      <w:r>
        <w:rPr>
          <w:rFonts w:hint="eastAsia" w:ascii="宋体" w:hAnsi="宋体" w:eastAsia="宋体" w:cs="宋体"/>
          <w:color w:val="auto"/>
          <w:sz w:val="21"/>
          <w:szCs w:val="21"/>
          <w:lang w:val="en-US" w:eastAsia="zh-CN"/>
        </w:rPr>
        <w:t>9.2</w:t>
      </w:r>
      <w:r>
        <w:rPr>
          <w:rFonts w:hint="eastAsia" w:ascii="宋体" w:hAnsi="宋体" w:eastAsia="宋体" w:cs="宋体"/>
          <w:color w:val="auto"/>
          <w:sz w:val="21"/>
          <w:szCs w:val="21"/>
        </w:rPr>
        <w:t>合同生效后，若乙方在甲方发出工作通知单确认进场时间后，在约定的进场时间超过五个工作日内未能配齐符合甲方需求的人员，则视为乙方违约，甲方有权单方解除服务合同。并按照每缺1人扣发服务费</w:t>
      </w:r>
      <w:r>
        <w:rPr>
          <w:rFonts w:hint="eastAsia" w:ascii="宋体" w:hAnsi="宋体" w:eastAsia="宋体" w:cs="宋体"/>
          <w:color w:val="auto"/>
          <w:sz w:val="21"/>
          <w:szCs w:val="21"/>
          <w:lang w:val="en-US" w:eastAsia="zh-CN"/>
        </w:rPr>
        <w:t>500</w:t>
      </w:r>
      <w:r>
        <w:rPr>
          <w:rFonts w:hint="eastAsia" w:ascii="宋体" w:hAnsi="宋体" w:eastAsia="宋体" w:cs="宋体"/>
          <w:color w:val="auto"/>
          <w:sz w:val="21"/>
          <w:szCs w:val="21"/>
        </w:rPr>
        <w:t>元/日的标准扣减服务费，并将该缺勤情况纳入当月考核中；如缺席人数达到5人的，甲方有权不予发放当月项目服务费。</w:t>
      </w:r>
    </w:p>
    <w:bookmarkEnd w:id="429"/>
    <w:p w14:paraId="01A92483">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9.3</w:t>
      </w:r>
      <w:r>
        <w:rPr>
          <w:rFonts w:hint="eastAsia" w:ascii="宋体" w:hAnsi="宋体" w:eastAsia="宋体" w:cs="宋体"/>
          <w:color w:val="auto"/>
          <w:sz w:val="21"/>
          <w:szCs w:val="21"/>
        </w:rPr>
        <w:t>乙方选派的保安人员不符合本合同中用户需求书约定任职条件或投标文件承诺的，甲方有权要求进行调换。如未按照本合同的约定调换的，甲方每月有权按当月保安服务费 20 %的标准乘以调换人数的总额作为乙方应承担的违约金，直到乙方根据合同约定调换为止，并承担本合同约定的其他违约责任。如由此造成甲方经济损失的，由乙方全部承担。</w:t>
      </w:r>
    </w:p>
    <w:p w14:paraId="274C6616">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9.4</w:t>
      </w:r>
      <w:r>
        <w:rPr>
          <w:rFonts w:hint="eastAsia" w:ascii="宋体" w:hAnsi="宋体" w:eastAsia="宋体" w:cs="宋体"/>
          <w:color w:val="auto"/>
          <w:sz w:val="21"/>
          <w:szCs w:val="21"/>
        </w:rPr>
        <w:t>甲方每发现一次乙方未按本合同约定提供甲方保安岗位正常执勤所需保安人员数量的，甲方有权按实际人数相应扣减服务费（每人的扣减金额为当月保安服务费的20 %），并要求乙方立即补足相应保安人员数量。乙方每月累计3次未按合同约定安排保安人员在岗执勤的，甲方有权解除本合同并取消当月保安服务费。</w:t>
      </w:r>
    </w:p>
    <w:p w14:paraId="1C44744B">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9.5</w:t>
      </w:r>
      <w:r>
        <w:rPr>
          <w:rFonts w:hint="eastAsia" w:ascii="宋体" w:hAnsi="宋体" w:eastAsia="宋体" w:cs="宋体"/>
          <w:color w:val="auto"/>
          <w:sz w:val="21"/>
          <w:szCs w:val="21"/>
        </w:rPr>
        <w:t>乙方保安人员的装备配置不符合本合同用户需求书约定或投标文件承诺的，甲方有权要求乙方三天内进行整改。如拒不整改或未能按期整改达到合同</w:t>
      </w:r>
      <w:r>
        <w:rPr>
          <w:rFonts w:hint="eastAsia" w:ascii="宋体" w:hAnsi="宋体" w:eastAsia="宋体" w:cs="宋体"/>
          <w:color w:val="auto"/>
          <w:sz w:val="21"/>
          <w:szCs w:val="21"/>
          <w:lang w:eastAsia="zh-CN"/>
        </w:rPr>
        <w:t>约定或甲方要求</w:t>
      </w:r>
      <w:r>
        <w:rPr>
          <w:rFonts w:hint="eastAsia" w:ascii="宋体" w:hAnsi="宋体" w:eastAsia="宋体" w:cs="宋体"/>
          <w:color w:val="auto"/>
          <w:sz w:val="21"/>
          <w:szCs w:val="21"/>
        </w:rPr>
        <w:t>的，甲方有权要求乙方承担每月按当月保安服务费 20 %的违约金，直到乙方按要求整改完成为止，除此之外，乙方还应承担本合同约定的其他违约责任。如由此造成甲方经济损失的，由乙方全部承担。</w:t>
      </w:r>
    </w:p>
    <w:p w14:paraId="5CA7BADC">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9.6</w:t>
      </w:r>
      <w:r>
        <w:rPr>
          <w:rFonts w:hint="eastAsia" w:ascii="宋体" w:hAnsi="宋体" w:eastAsia="宋体" w:cs="宋体"/>
          <w:color w:val="auto"/>
          <w:sz w:val="21"/>
          <w:szCs w:val="21"/>
        </w:rPr>
        <w:t>乙方存在如下任一情形之一的，甲方有权书面通知乙方单方解除本合同，取消乙方服务资格，并由乙方承担当月保安服务费</w:t>
      </w:r>
      <w:r>
        <w:rPr>
          <w:rFonts w:hint="eastAsia" w:ascii="宋体" w:hAnsi="宋体" w:eastAsia="宋体" w:cs="宋体"/>
          <w:bCs/>
          <w:color w:val="auto"/>
          <w:sz w:val="21"/>
          <w:szCs w:val="21"/>
        </w:rPr>
        <w:t>30</w:t>
      </w:r>
      <w:r>
        <w:rPr>
          <w:rFonts w:hint="eastAsia" w:ascii="宋体" w:hAnsi="宋体" w:eastAsia="宋体" w:cs="宋体"/>
          <w:color w:val="auto"/>
          <w:sz w:val="21"/>
          <w:szCs w:val="21"/>
        </w:rPr>
        <w:t>%的违约金：</w:t>
      </w:r>
    </w:p>
    <w:p w14:paraId="6EC864B6">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9.6</w:t>
      </w:r>
      <w:r>
        <w:rPr>
          <w:rFonts w:hint="eastAsia" w:ascii="宋体" w:hAnsi="宋体" w:eastAsia="宋体" w:cs="宋体"/>
          <w:color w:val="auto"/>
          <w:sz w:val="21"/>
          <w:szCs w:val="21"/>
        </w:rPr>
        <w:t>.1提供虚假信息、误导或欺骗甲方，以谋取非法利益的；</w:t>
      </w:r>
    </w:p>
    <w:p w14:paraId="1630C7F0">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9.6</w:t>
      </w:r>
      <w:r>
        <w:rPr>
          <w:rFonts w:hint="eastAsia" w:ascii="宋体" w:hAnsi="宋体" w:eastAsia="宋体" w:cs="宋体"/>
          <w:color w:val="auto"/>
          <w:sz w:val="21"/>
          <w:szCs w:val="21"/>
        </w:rPr>
        <w:t>.2拒绝接受甲方及相关部门监督、检查的；</w:t>
      </w:r>
    </w:p>
    <w:p w14:paraId="36DD9C95">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9.6</w:t>
      </w:r>
      <w:r>
        <w:rPr>
          <w:rFonts w:hint="eastAsia" w:ascii="宋体" w:hAnsi="宋体" w:eastAsia="宋体" w:cs="宋体"/>
          <w:color w:val="auto"/>
          <w:sz w:val="21"/>
          <w:szCs w:val="21"/>
        </w:rPr>
        <w:t>.3资质被降或者吊销的，不具有履约资格的；</w:t>
      </w:r>
    </w:p>
    <w:p w14:paraId="2F6B3956">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9.6</w:t>
      </w:r>
      <w:r>
        <w:rPr>
          <w:rFonts w:hint="eastAsia" w:ascii="宋体" w:hAnsi="宋体" w:eastAsia="宋体" w:cs="宋体"/>
          <w:color w:val="auto"/>
          <w:sz w:val="21"/>
          <w:szCs w:val="21"/>
        </w:rPr>
        <w:t>.4出现经营危机甚至破产、倒闭，无法继续履行本合同的；</w:t>
      </w:r>
    </w:p>
    <w:p w14:paraId="5ADE1693">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9.6</w:t>
      </w:r>
      <w:r>
        <w:rPr>
          <w:rFonts w:hint="eastAsia" w:ascii="宋体" w:hAnsi="宋体" w:eastAsia="宋体" w:cs="宋体"/>
          <w:color w:val="auto"/>
          <w:sz w:val="21"/>
          <w:szCs w:val="21"/>
        </w:rPr>
        <w:t>.5擅自转包或者违法分包本</w:t>
      </w:r>
      <w:r>
        <w:rPr>
          <w:rFonts w:hint="eastAsia" w:ascii="宋体" w:hAnsi="宋体" w:eastAsia="宋体" w:cs="宋体"/>
          <w:color w:val="auto"/>
          <w:sz w:val="21"/>
          <w:szCs w:val="21"/>
          <w:lang w:val="en-US" w:eastAsia="zh-CN"/>
        </w:rPr>
        <w:t>安保项目服务的</w:t>
      </w:r>
      <w:r>
        <w:rPr>
          <w:rFonts w:hint="eastAsia" w:ascii="宋体" w:hAnsi="宋体" w:eastAsia="宋体" w:cs="宋体"/>
          <w:color w:val="auto"/>
          <w:sz w:val="21"/>
          <w:szCs w:val="21"/>
        </w:rPr>
        <w:t>；</w:t>
      </w:r>
    </w:p>
    <w:p w14:paraId="753102A4">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9.6</w:t>
      </w:r>
      <w:r>
        <w:rPr>
          <w:rFonts w:hint="eastAsia" w:ascii="宋体" w:hAnsi="宋体" w:eastAsia="宋体" w:cs="宋体"/>
          <w:color w:val="auto"/>
          <w:sz w:val="21"/>
          <w:szCs w:val="21"/>
        </w:rPr>
        <w:t>.6违反本合同约定，泄露甲方</w:t>
      </w:r>
      <w:r>
        <w:rPr>
          <w:rFonts w:hint="eastAsia" w:ascii="宋体" w:hAnsi="宋体" w:eastAsia="宋体" w:cs="宋体"/>
          <w:color w:val="auto"/>
          <w:sz w:val="21"/>
          <w:szCs w:val="21"/>
          <w:lang w:val="en-US" w:eastAsia="zh-CN"/>
        </w:rPr>
        <w:t>内部信息的</w:t>
      </w:r>
      <w:r>
        <w:rPr>
          <w:rFonts w:hint="eastAsia" w:ascii="宋体" w:hAnsi="宋体" w:eastAsia="宋体" w:cs="宋体"/>
          <w:color w:val="auto"/>
          <w:sz w:val="21"/>
          <w:szCs w:val="21"/>
        </w:rPr>
        <w:t>；</w:t>
      </w:r>
    </w:p>
    <w:p w14:paraId="0A135A34">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9.6</w:t>
      </w:r>
      <w:r>
        <w:rPr>
          <w:rFonts w:hint="eastAsia" w:ascii="宋体" w:hAnsi="宋体" w:eastAsia="宋体" w:cs="宋体"/>
          <w:color w:val="auto"/>
          <w:sz w:val="21"/>
          <w:szCs w:val="21"/>
        </w:rPr>
        <w:t>.7乙方</w:t>
      </w:r>
      <w:r>
        <w:rPr>
          <w:rFonts w:hint="eastAsia" w:ascii="宋体" w:hAnsi="宋体" w:eastAsia="宋体" w:cs="宋体"/>
          <w:color w:val="auto"/>
          <w:sz w:val="21"/>
          <w:szCs w:val="21"/>
          <w:lang w:eastAsia="zh-CN"/>
        </w:rPr>
        <w:t>或乙方保安人员</w:t>
      </w:r>
      <w:r>
        <w:rPr>
          <w:rFonts w:hint="eastAsia" w:ascii="宋体" w:hAnsi="宋体" w:eastAsia="宋体" w:cs="宋体"/>
          <w:color w:val="auto"/>
          <w:sz w:val="21"/>
          <w:szCs w:val="21"/>
        </w:rPr>
        <w:t>提供的安保服务未符合合同约定，在甲方限定期限内未整改或整改后仍未符合合同约定的。</w:t>
      </w:r>
    </w:p>
    <w:p w14:paraId="03A5F2C7">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9.6.8</w:t>
      </w:r>
      <w:r>
        <w:rPr>
          <w:rFonts w:hint="eastAsia" w:ascii="宋体" w:hAnsi="宋体" w:eastAsia="宋体" w:cs="宋体"/>
          <w:color w:val="auto"/>
          <w:sz w:val="21"/>
          <w:szCs w:val="21"/>
        </w:rPr>
        <w:t>因乙方造成重大安全事故发生，或因乙方派驻的保安人员造成重大安全事故发生的。</w:t>
      </w:r>
    </w:p>
    <w:p w14:paraId="0152A025">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9.7</w:t>
      </w:r>
      <w:r>
        <w:rPr>
          <w:rFonts w:hint="eastAsia" w:ascii="宋体" w:hAnsi="宋体" w:eastAsia="宋体" w:cs="宋体"/>
          <w:color w:val="auto"/>
          <w:sz w:val="21"/>
          <w:szCs w:val="21"/>
        </w:rPr>
        <w:t>合同期内，甲方若有被盗、治安事件或其他突发情况的，甲方有权要求乙方所有人员配合工作。甲方有权统一调动乙方的保安员，乙方必须予以配合。如有违反，甲方有权按当月保安费的 30 %要求乙方承担违约金，由此造成甲方人身财产损失的，由乙方全部承担。</w:t>
      </w:r>
    </w:p>
    <w:p w14:paraId="00688B08">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9.8</w:t>
      </w:r>
      <w:r>
        <w:rPr>
          <w:rFonts w:hint="eastAsia" w:ascii="宋体" w:hAnsi="宋体" w:eastAsia="宋体" w:cs="宋体"/>
          <w:color w:val="auto"/>
          <w:sz w:val="21"/>
          <w:szCs w:val="21"/>
        </w:rPr>
        <w:t>乙方应按时足额向保安人员发放工资待遇以及其他劳动待遇等，不得无故拖欠或克扣，如有违反的，由乙方全部负责。如对甲方工作造成影响的，根据保安人员诉求，甲方有权直接从履约担保</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未付服务费用中直接扣除予以支付，由此导致的法律后果由乙方全部承担，并由乙方承担当月保安服务费20%的违约金。</w:t>
      </w:r>
    </w:p>
    <w:p w14:paraId="739DA3D9">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9.9因乙方违反本合同约定所产生的违约金、赔偿金、应付费用等，甲方有权在履约担保或未付服务费用中直接扣除，乙方对此表示同意且无异议。</w:t>
      </w:r>
    </w:p>
    <w:p w14:paraId="13F07BDE">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9.10</w:t>
      </w:r>
      <w:r>
        <w:rPr>
          <w:rFonts w:hint="eastAsia" w:ascii="宋体" w:hAnsi="宋体" w:eastAsia="宋体" w:cs="宋体"/>
          <w:color w:val="auto"/>
          <w:sz w:val="21"/>
          <w:szCs w:val="21"/>
          <w:highlight w:val="none"/>
        </w:rPr>
        <w:t>如乙方存在违约行为的，甲方为实现本合同民事权利而产生的诉讼费用、申请财产保全的担保费（保险费）、律师费、差旅费等合理费用，均由乙方承担</w:t>
      </w:r>
      <w:r>
        <w:rPr>
          <w:rFonts w:hint="eastAsia" w:ascii="宋体" w:hAnsi="宋体" w:eastAsia="宋体" w:cs="宋体"/>
          <w:color w:val="auto"/>
          <w:sz w:val="21"/>
          <w:szCs w:val="21"/>
          <w:highlight w:val="none"/>
          <w:lang w:eastAsia="zh-CN"/>
        </w:rPr>
        <w:t>。</w:t>
      </w:r>
    </w:p>
    <w:p w14:paraId="2FB6E072">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9.11</w:t>
      </w:r>
      <w:r>
        <w:rPr>
          <w:rFonts w:hint="eastAsia" w:ascii="宋体" w:hAnsi="宋体" w:eastAsia="宋体" w:cs="宋体"/>
          <w:color w:val="auto"/>
          <w:sz w:val="21"/>
          <w:szCs w:val="21"/>
          <w:highlight w:val="none"/>
        </w:rPr>
        <w:t>服务过程中，乙方须严格遵守相关法律、法规、行业主管部门、上级部门、甲方母公司及甲方（含分公司、子公司）相关标准和制度规定。合同期内如果上述标准和制度有更新，则执行新的标准和制度规定。乙方未按上述要求执行的，甲方有权要求乙方在规定时限内整改，若整改达不到甲方要求的，甲方有权解除合同，同时甲方有权要求乙方按暂定合同价（含税）的5%向甲方支付违约金。</w:t>
      </w:r>
    </w:p>
    <w:p w14:paraId="2A1D0BC6">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9.12</w:t>
      </w:r>
      <w:r>
        <w:rPr>
          <w:rFonts w:hint="eastAsia" w:ascii="宋体" w:hAnsi="宋体" w:eastAsia="宋体" w:cs="宋体"/>
          <w:color w:val="auto"/>
          <w:sz w:val="21"/>
          <w:szCs w:val="21"/>
          <w:highlight w:val="none"/>
        </w:rPr>
        <w:t>在本合同履行过程中，如乙方存在违约行为的，本合同项下甲方（包括甲方 1、甲方 2、甲方 3）皆有权按合同之约定（包括但不限于以本合同暂定合同含税总价作为违约金的计算基数）向乙方追究违约责任；乙方对此同意且没有异议。</w:t>
      </w:r>
    </w:p>
    <w:p w14:paraId="1FBB7FA4">
      <w:pPr>
        <w:pStyle w:val="5"/>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highlight w:val="none"/>
          <w:lang w:val="en-US" w:eastAsia="zh-CN"/>
        </w:rPr>
        <w:t>9.13如因乙方原因，导致发生法律纠纷案件，甲方被列为承担责任的诉讼当事人（第三人或被告），或造成社会负面影响的，视为乙方违约，甲方即有权对乙方处以涉案金额20%的违约金；如造成甲方经济损失的（包括但不限于律师费、诉讼费、保全费、执行费、差旅费等损失），由乙方赔偿所有损失，并将相关情况报相关行政主管部门。甲方收到法院参与诉讼通知之日视为乙方构成违约，甲方即有权要求乙方承担前述违约金、损失赔偿及情况报送主管部门的违约责任，即使甲方最终未被法院判决承担任何责任，乙方也无权要求甲方免除前述违约责任。</w:t>
      </w:r>
    </w:p>
    <w:p w14:paraId="7498A3A5">
      <w:pPr>
        <w:keepNext w:val="0"/>
        <w:keepLines w:val="0"/>
        <w:pageBreakBefore w:val="0"/>
        <w:kinsoku/>
        <w:wordWrap/>
        <w:overflowPunct/>
        <w:topLinePunct w:val="0"/>
        <w:bidi w:val="0"/>
        <w:snapToGrid/>
        <w:spacing w:line="360" w:lineRule="auto"/>
        <w:ind w:firstLine="422" w:firstLineChars="200"/>
        <w:rPr>
          <w:rFonts w:hint="eastAsia" w:ascii="宋体" w:hAnsi="宋体" w:eastAsia="宋体" w:cs="宋体"/>
          <w:b/>
          <w:bCs/>
          <w:color w:val="auto"/>
          <w:sz w:val="21"/>
          <w:szCs w:val="21"/>
          <w:lang w:val="en-US" w:eastAsia="zh-CN"/>
        </w:rPr>
      </w:pPr>
    </w:p>
    <w:p w14:paraId="085C702B">
      <w:pPr>
        <w:keepNext w:val="0"/>
        <w:keepLines w:val="0"/>
        <w:pageBreakBefore w:val="0"/>
        <w:kinsoku/>
        <w:wordWrap/>
        <w:overflowPunct/>
        <w:topLinePunct w:val="0"/>
        <w:bidi w:val="0"/>
        <w:snapToGrid/>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十</w:t>
      </w:r>
      <w:r>
        <w:rPr>
          <w:rFonts w:hint="eastAsia" w:ascii="宋体" w:hAnsi="宋体" w:eastAsia="宋体" w:cs="宋体"/>
          <w:b/>
          <w:bCs/>
          <w:color w:val="auto"/>
          <w:sz w:val="21"/>
          <w:szCs w:val="21"/>
        </w:rPr>
        <w:t>、其他约定</w:t>
      </w:r>
    </w:p>
    <w:p w14:paraId="531A3883">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10</w:t>
      </w:r>
      <w:r>
        <w:rPr>
          <w:rFonts w:hint="eastAsia" w:ascii="宋体" w:hAnsi="宋体" w:eastAsia="宋体" w:cs="宋体"/>
          <w:bCs/>
          <w:color w:val="auto"/>
          <w:sz w:val="21"/>
          <w:szCs w:val="21"/>
        </w:rPr>
        <w:t>.1乙方必须清楚理解：本合同仅作为乙方在本合同期限内取得甲方就</w:t>
      </w:r>
      <w:r>
        <w:rPr>
          <w:rFonts w:hint="eastAsia" w:ascii="宋体" w:hAnsi="宋体" w:eastAsia="宋体" w:cs="宋体"/>
          <w:bCs/>
          <w:color w:val="auto"/>
          <w:sz w:val="21"/>
          <w:szCs w:val="21"/>
          <w:lang w:val="en-US" w:eastAsia="zh-CN"/>
        </w:rPr>
        <w:t>办公场所</w:t>
      </w:r>
      <w:r>
        <w:rPr>
          <w:rFonts w:hint="eastAsia" w:ascii="宋体" w:hAnsi="宋体" w:eastAsia="宋体" w:cs="宋体"/>
          <w:bCs/>
          <w:color w:val="auto"/>
          <w:sz w:val="21"/>
          <w:szCs w:val="21"/>
        </w:rPr>
        <w:t>提供保安服务工作的资格，但并不代表乙方必然取得</w:t>
      </w:r>
      <w:r>
        <w:rPr>
          <w:rFonts w:hint="eastAsia" w:ascii="宋体" w:hAnsi="宋体" w:eastAsia="宋体" w:cs="宋体"/>
          <w:bCs/>
          <w:color w:val="auto"/>
          <w:sz w:val="21"/>
          <w:szCs w:val="21"/>
          <w:lang w:val="en-US" w:eastAsia="zh-CN"/>
        </w:rPr>
        <w:t>办公场所</w:t>
      </w:r>
      <w:r>
        <w:rPr>
          <w:rFonts w:hint="eastAsia" w:ascii="宋体" w:hAnsi="宋体" w:eastAsia="宋体" w:cs="宋体"/>
          <w:bCs/>
          <w:color w:val="auto"/>
          <w:sz w:val="21"/>
          <w:szCs w:val="21"/>
        </w:rPr>
        <w:t>保安服务工作的权利。甲方根据乙方资质条件、履约能力和实际履约情况、甲方</w:t>
      </w:r>
      <w:r>
        <w:rPr>
          <w:rFonts w:hint="eastAsia" w:ascii="宋体" w:hAnsi="宋体" w:eastAsia="宋体" w:cs="宋体"/>
          <w:bCs/>
          <w:color w:val="auto"/>
          <w:sz w:val="21"/>
          <w:szCs w:val="21"/>
          <w:lang w:val="en-US" w:eastAsia="zh-CN"/>
        </w:rPr>
        <w:t>办公场所</w:t>
      </w:r>
      <w:r>
        <w:rPr>
          <w:rFonts w:hint="eastAsia" w:ascii="宋体" w:hAnsi="宋体" w:eastAsia="宋体" w:cs="宋体"/>
          <w:bCs/>
          <w:color w:val="auto"/>
          <w:sz w:val="21"/>
          <w:szCs w:val="21"/>
        </w:rPr>
        <w:t>安保等级需求仍有权另行委托其他第三方进行本合同范围内的保安服务工作。</w:t>
      </w:r>
    </w:p>
    <w:p w14:paraId="38622655">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10</w:t>
      </w:r>
      <w:r>
        <w:rPr>
          <w:rFonts w:hint="eastAsia" w:ascii="宋体" w:hAnsi="宋体" w:eastAsia="宋体" w:cs="宋体"/>
          <w:bCs/>
          <w:color w:val="auto"/>
          <w:sz w:val="21"/>
          <w:szCs w:val="21"/>
        </w:rPr>
        <w:t>.2在合同的履行期间，乙方应当保持相应资质的有效性，且具备在东莞市开展保安服务工作的资格条件。在甲方就</w:t>
      </w:r>
      <w:r>
        <w:rPr>
          <w:rFonts w:hint="eastAsia" w:ascii="宋体" w:hAnsi="宋体" w:eastAsia="宋体" w:cs="宋体"/>
          <w:bCs/>
          <w:color w:val="auto"/>
          <w:sz w:val="21"/>
          <w:szCs w:val="21"/>
          <w:lang w:val="en-US" w:eastAsia="zh-CN"/>
        </w:rPr>
        <w:t>办公场所</w:t>
      </w:r>
      <w:r>
        <w:rPr>
          <w:rFonts w:hint="eastAsia" w:ascii="宋体" w:hAnsi="宋体" w:eastAsia="宋体" w:cs="宋体"/>
          <w:bCs/>
          <w:color w:val="auto"/>
          <w:sz w:val="21"/>
          <w:szCs w:val="21"/>
        </w:rPr>
        <w:t>委派工作时，应向甲方提供相应资质及资格证明。因乙方资质条件丧失，导致无法承接委托的，甲方有权另行委托其他第三方提供本合同项下服务，并要求乙方承担履约担保等额的违约金。同时，造成甲方的经济损失（包括但不限于重新</w:t>
      </w:r>
      <w:r>
        <w:rPr>
          <w:rFonts w:hint="eastAsia" w:ascii="宋体" w:hAnsi="宋体" w:eastAsia="宋体" w:cs="宋体"/>
          <w:bCs/>
          <w:color w:val="auto"/>
          <w:sz w:val="21"/>
          <w:szCs w:val="21"/>
          <w:lang w:val="en-US" w:eastAsia="zh-CN"/>
        </w:rPr>
        <w:t>招标</w:t>
      </w:r>
      <w:r>
        <w:rPr>
          <w:rFonts w:hint="eastAsia" w:ascii="宋体" w:hAnsi="宋体" w:eastAsia="宋体" w:cs="宋体"/>
          <w:bCs/>
          <w:color w:val="auto"/>
          <w:sz w:val="21"/>
          <w:szCs w:val="21"/>
        </w:rPr>
        <w:t>、委托第三方的费用），由乙方承担相应的赔偿责任。</w:t>
      </w:r>
    </w:p>
    <w:p w14:paraId="65B40477">
      <w:pPr>
        <w:keepNext w:val="0"/>
        <w:keepLines w:val="0"/>
        <w:pageBreakBefore w:val="0"/>
        <w:numPr>
          <w:ilvl w:val="-1"/>
          <w:numId w:val="0"/>
        </w:numPr>
        <w:kinsoku/>
        <w:wordWrap/>
        <w:overflowPunct/>
        <w:topLinePunct w:val="0"/>
        <w:bidi w:val="0"/>
        <w:snapToGrid/>
        <w:spacing w:line="360" w:lineRule="auto"/>
        <w:ind w:firstLine="420" w:firstLineChars="200"/>
        <w:rPr>
          <w:rFonts w:hint="eastAsia" w:ascii="宋体" w:hAnsi="宋体" w:eastAsia="宋体" w:cs="宋体"/>
          <w:b w:val="0"/>
          <w:bCs/>
          <w:color w:val="auto"/>
          <w:sz w:val="21"/>
          <w:szCs w:val="21"/>
        </w:rPr>
      </w:pPr>
    </w:p>
    <w:p w14:paraId="6A186F02">
      <w:pPr>
        <w:keepNext w:val="0"/>
        <w:keepLines w:val="0"/>
        <w:pageBreakBefore w:val="0"/>
        <w:numPr>
          <w:ilvl w:val="0"/>
          <w:numId w:val="0"/>
        </w:numPr>
        <w:kinsoku/>
        <w:wordWrap/>
        <w:overflowPunct/>
        <w:topLinePunct w:val="0"/>
        <w:bidi w:val="0"/>
        <w:snapToGrid/>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十</w:t>
      </w:r>
      <w:r>
        <w:rPr>
          <w:rFonts w:hint="eastAsia" w:ascii="宋体" w:hAnsi="宋体" w:eastAsia="宋体" w:cs="宋体"/>
          <w:b/>
          <w:bCs/>
          <w:color w:val="auto"/>
          <w:sz w:val="21"/>
          <w:szCs w:val="21"/>
          <w:lang w:val="en-US" w:eastAsia="zh-CN"/>
        </w:rPr>
        <w:t>一、</w:t>
      </w:r>
      <w:r>
        <w:rPr>
          <w:rFonts w:hint="eastAsia" w:ascii="宋体" w:hAnsi="宋体" w:eastAsia="宋体" w:cs="宋体"/>
          <w:b/>
          <w:bCs/>
          <w:color w:val="auto"/>
          <w:sz w:val="21"/>
          <w:szCs w:val="21"/>
        </w:rPr>
        <w:t>不可抗力</w:t>
      </w:r>
    </w:p>
    <w:p w14:paraId="238CE51D">
      <w:pPr>
        <w:keepNext w:val="0"/>
        <w:keepLines w:val="0"/>
        <w:pageBreakBefore w:val="0"/>
        <w:numPr>
          <w:ilvl w:val="0"/>
          <w:numId w:val="0"/>
        </w:numPr>
        <w:kinsoku/>
        <w:wordWrap/>
        <w:overflowPunct/>
        <w:topLinePunct w:val="0"/>
        <w:bidi w:val="0"/>
        <w:snapToGrid/>
        <w:spacing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 3 个工作日内，提供事故详情及合同不能履行、或者部分不能履行、或者需要延期履行的理由的</w:t>
      </w:r>
      <w:r>
        <w:rPr>
          <w:rFonts w:hint="eastAsia" w:ascii="宋体" w:hAnsi="宋体" w:eastAsia="宋体" w:cs="宋体"/>
          <w:b w:val="0"/>
          <w:bCs w:val="0"/>
          <w:color w:val="auto"/>
          <w:sz w:val="21"/>
          <w:szCs w:val="21"/>
          <w:lang w:val="en-US" w:eastAsia="zh-CN"/>
        </w:rPr>
        <w:t>甲方认可的</w:t>
      </w:r>
      <w:r>
        <w:rPr>
          <w:rFonts w:hint="eastAsia" w:ascii="宋体" w:hAnsi="宋体" w:eastAsia="宋体" w:cs="宋体"/>
          <w:b w:val="0"/>
          <w:bCs w:val="0"/>
          <w:color w:val="auto"/>
          <w:sz w:val="21"/>
          <w:szCs w:val="21"/>
        </w:rPr>
        <w:t>证明文件。按照事故对履行合同影响的程度，由各方协商决定是否解除本合同，或者部分免除履行合同的责任，或者延期履行合同。</w:t>
      </w:r>
    </w:p>
    <w:p w14:paraId="1ABA02F8">
      <w:pPr>
        <w:keepNext w:val="0"/>
        <w:keepLines w:val="0"/>
        <w:pageBreakBefore w:val="0"/>
        <w:numPr>
          <w:ilvl w:val="0"/>
          <w:numId w:val="0"/>
        </w:numPr>
        <w:kinsoku/>
        <w:wordWrap/>
        <w:overflowPunct/>
        <w:topLinePunct w:val="0"/>
        <w:bidi w:val="0"/>
        <w:snapToGrid/>
        <w:spacing w:line="360" w:lineRule="auto"/>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十二</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争议解决</w:t>
      </w:r>
    </w:p>
    <w:p w14:paraId="558BDE9D">
      <w:pPr>
        <w:keepNext w:val="0"/>
        <w:keepLines w:val="0"/>
        <w:pageBreakBefore w:val="0"/>
        <w:kinsoku/>
        <w:wordWrap/>
        <w:overflowPunct/>
        <w:topLinePunct w:val="0"/>
        <w:bidi w:val="0"/>
        <w:snapToGrid/>
        <w:spacing w:line="360" w:lineRule="auto"/>
        <w:ind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双方因本合同发生争议的，可协商解决。协商不成的，任何一方可向甲方住所地有管辖权的人民法院提起诉讼。因乙方违约，除应承担合同约定的违约、损失赔偿等责任外，乙方还应承担甲方为解决纠纷而产生的所有费用，包括但不限于律师费、诉讼费、仲裁费及处理费、诉讼担保费、保全费、执行费、公证费、鉴定费、差旅费等。</w:t>
      </w:r>
    </w:p>
    <w:p w14:paraId="5D8DAE09">
      <w:pPr>
        <w:keepNext w:val="0"/>
        <w:keepLines w:val="0"/>
        <w:pageBreakBefore w:val="0"/>
        <w:kinsoku/>
        <w:wordWrap/>
        <w:overflowPunct/>
        <w:topLinePunct w:val="0"/>
        <w:bidi w:val="0"/>
        <w:snapToGrid/>
        <w:spacing w:line="360" w:lineRule="auto"/>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十三、送达</w:t>
      </w:r>
    </w:p>
    <w:p w14:paraId="34BBD3B8">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13.1甲乙双方就本合同中涉及各类通知、协议等文件以及就合同发生纠纷时相关文件和法律文书送达时的送达地址及法律后果作如下约定：</w:t>
      </w:r>
    </w:p>
    <w:p w14:paraId="7EAF088C">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13.1.1甲方确认其有效的送达地址为【东莞市东城街道运河路5号东莞市水务集团管网有限公司】；联系人：【</w:t>
      </w:r>
      <w:r>
        <w:rPr>
          <w:rFonts w:hint="eastAsia" w:ascii="宋体" w:hAnsi="宋体" w:eastAsia="宋体" w:cs="宋体"/>
          <w:i w:val="0"/>
          <w:iCs w:val="0"/>
          <w:caps w:val="0"/>
          <w:color w:val="auto"/>
          <w:spacing w:val="0"/>
          <w:sz w:val="21"/>
          <w:szCs w:val="21"/>
          <w:u w:val="none"/>
          <w:shd w:val="clear"/>
          <w:lang w:val="en-US" w:eastAsia="zh-CN"/>
        </w:rPr>
        <w:t xml:space="preserve">  </w:t>
      </w:r>
      <w:r>
        <w:rPr>
          <w:rFonts w:hint="eastAsia" w:ascii="宋体" w:hAnsi="宋体" w:eastAsia="宋体" w:cs="宋体"/>
          <w:color w:val="auto"/>
          <w:sz w:val="21"/>
          <w:szCs w:val="21"/>
          <w:lang w:val="en-US" w:eastAsia="zh-CN"/>
        </w:rPr>
        <w:t>】；联系电话【</w:t>
      </w:r>
      <w:r>
        <w:rPr>
          <w:rFonts w:hint="eastAsia" w:ascii="宋体" w:hAnsi="宋体" w:eastAsia="宋体" w:cs="宋体"/>
          <w:i w:val="0"/>
          <w:iCs w:val="0"/>
          <w:caps w:val="0"/>
          <w:color w:val="auto"/>
          <w:spacing w:val="0"/>
          <w:sz w:val="21"/>
          <w:szCs w:val="21"/>
          <w:shd w:val="clear"/>
          <w:lang w:val="en-US" w:eastAsia="zh-CN"/>
        </w:rPr>
        <w:t xml:space="preserve"> </w:t>
      </w:r>
      <w:r>
        <w:rPr>
          <w:rFonts w:hint="eastAsia" w:ascii="宋体" w:hAnsi="宋体" w:eastAsia="宋体" w:cs="宋体"/>
          <w:color w:val="auto"/>
          <w:sz w:val="21"/>
          <w:szCs w:val="21"/>
          <w:lang w:val="en-US" w:eastAsia="zh-CN"/>
        </w:rPr>
        <w:t>】。</w:t>
      </w:r>
    </w:p>
    <w:p w14:paraId="3D11841F">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en-US" w:eastAsia="zh-CN"/>
        </w:rPr>
        <w:t>13.1.2乙方确认其有效的送达地址为</w:t>
      </w:r>
      <w:r>
        <w:rPr>
          <w:rFonts w:hint="eastAsia" w:ascii="宋体" w:hAnsi="宋体" w:eastAsia="宋体" w:cs="宋体"/>
          <w:color w:val="auto"/>
          <w:sz w:val="21"/>
          <w:szCs w:val="21"/>
          <w:u w:val="none"/>
          <w:lang w:val="en-US" w:eastAsia="zh-CN"/>
        </w:rPr>
        <w:t>【】；联系人：【】；联系电话【】。</w:t>
      </w:r>
    </w:p>
    <w:p w14:paraId="2E71440A">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甲乙双方均承诺，上述确认的送达地址和联系电话真实有效，如有错误，所导致的商业信函和诉讼文书送达不能的后果由自身承担。</w:t>
      </w:r>
    </w:p>
    <w:p w14:paraId="761E1E2C">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13.2甲乙双方上述确认送达地址适用范围包括但不限于：双方非诉时各类通知、协议等文件以及就合同发生纠纷时相关文件和法律文书的送达，同时包括在争议进入仲裁、民事诉讼程序后的一审、二审、再审和执行程序。</w:t>
      </w:r>
    </w:p>
    <w:p w14:paraId="5B9F52C2">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13.3甲方的送达地址需要变更时应当履行及时通知的义务，应提前【5】个工作日通过【电子或书面】的方式向乙方进行通知；乙方的送达地址需要变更时应当履行及时通知的义务，应提前【5】个工作日通过【书面】的方式向甲方进行通知。</w:t>
      </w:r>
    </w:p>
    <w:p w14:paraId="0D37EE19">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13.4在仲裁及民事诉讼程序时，当事人地址变更时应当向仲裁机构、法院履行送达地址变更通知义务。甲方或乙方未按前述方式履行通知义务，双方所确认的送达地址仍视为有效送达地址，因当事人提供或者确认的送达地址不准确、送达地址变更后未及时依程序告知对方和法院、当事人或指定的接收人拒绝签收等原因，导致法律文书未能被当事人实际接收的，邮寄送达的，以文书退回之日视为送达之日；直接送达的，送达人当场在送达回证上记明情况之日视为送达之日；履行送达地址变更通知义务的，以变更后的送达地址为有效送达地址。对于上述当事人在合同中明确约定的送达地址，法院进行送达时可直接邮寄送达，即使当事人未能收到法院邮寄送达的文书，由于其在本合同中的约定，也应当视为送达。</w:t>
      </w:r>
    </w:p>
    <w:p w14:paraId="526E69FE">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13.5本条款具有独立法律效力，不因合同其他条款的无效而无效。</w:t>
      </w:r>
    </w:p>
    <w:p w14:paraId="1ADC899B">
      <w:pPr>
        <w:keepNext w:val="0"/>
        <w:keepLines w:val="0"/>
        <w:pageBreakBefore w:val="0"/>
        <w:kinsoku/>
        <w:wordWrap/>
        <w:overflowPunct/>
        <w:topLinePunct w:val="0"/>
        <w:bidi w:val="0"/>
        <w:snapToGrid/>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十</w:t>
      </w: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rPr>
        <w:t>、补充说明</w:t>
      </w:r>
    </w:p>
    <w:p w14:paraId="4EB252B8">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en-US" w:eastAsia="zh-CN"/>
        </w:rPr>
        <w:t>4.1</w:t>
      </w:r>
      <w:r>
        <w:rPr>
          <w:rFonts w:hint="eastAsia" w:ascii="宋体" w:hAnsi="宋体" w:eastAsia="宋体" w:cs="宋体"/>
          <w:color w:val="auto"/>
          <w:sz w:val="21"/>
          <w:szCs w:val="21"/>
        </w:rPr>
        <w:t>乙方须做好安全防护措施，合同履行过程中出现的安全事故由乙方自行承担。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w:t>
      </w:r>
    </w:p>
    <w:p w14:paraId="4A51FCB5">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本合同如有未尽事宜，由甲、乙双方签订补充协议，补充协议与本合同具有同等的法律效力。</w:t>
      </w:r>
    </w:p>
    <w:p w14:paraId="37EB1363">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en-US"/>
        </w:rPr>
        <w:t>本合同及相关招投标文件、中标通知书等作为本合同附件均为合同的有效组成部分，与本合同同具法律效力。合同条款与附件、招标文件、用户需求书、投标文件等其他文件不一致的，以有利于甲方的条款为准。</w:t>
      </w:r>
    </w:p>
    <w:p w14:paraId="44260279">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本</w:t>
      </w:r>
      <w:r>
        <w:rPr>
          <w:rFonts w:hint="eastAsia" w:ascii="宋体" w:hAnsi="宋体" w:eastAsia="宋体" w:cs="宋体"/>
          <w:color w:val="auto"/>
          <w:sz w:val="21"/>
          <w:szCs w:val="21"/>
          <w:lang w:val="en-US" w:eastAsia="zh-CN"/>
        </w:rPr>
        <w:t>合同</w:t>
      </w:r>
      <w:r>
        <w:rPr>
          <w:rFonts w:hint="eastAsia" w:ascii="宋体" w:hAnsi="宋体" w:eastAsia="宋体" w:cs="宋体"/>
          <w:color w:val="auto"/>
          <w:sz w:val="21"/>
          <w:szCs w:val="21"/>
        </w:rPr>
        <w:t>有效期为甲乙双方签字并加盖公章之日起至采购项目服务期满后止。本协议一式</w:t>
      </w:r>
      <w:r>
        <w:rPr>
          <w:rFonts w:hint="eastAsia" w:ascii="宋体" w:hAnsi="宋体" w:eastAsia="宋体" w:cs="宋体"/>
          <w:color w:val="auto"/>
          <w:sz w:val="21"/>
          <w:szCs w:val="21"/>
          <w:lang w:val="en-US" w:eastAsia="zh-CN"/>
        </w:rPr>
        <w:t>陆</w:t>
      </w:r>
      <w:r>
        <w:rPr>
          <w:rFonts w:hint="eastAsia" w:ascii="宋体" w:hAnsi="宋体" w:eastAsia="宋体" w:cs="宋体"/>
          <w:color w:val="auto"/>
          <w:sz w:val="21"/>
          <w:szCs w:val="21"/>
        </w:rPr>
        <w:t>份，甲</w:t>
      </w:r>
      <w:r>
        <w:rPr>
          <w:rFonts w:hint="eastAsia" w:ascii="宋体" w:hAnsi="宋体" w:eastAsia="宋体" w:cs="宋体"/>
          <w:color w:val="auto"/>
          <w:sz w:val="21"/>
          <w:szCs w:val="21"/>
          <w:lang w:val="en-US" w:eastAsia="zh-CN"/>
        </w:rPr>
        <w:t>方</w:t>
      </w:r>
      <w:r>
        <w:rPr>
          <w:rFonts w:hint="eastAsia" w:ascii="宋体" w:hAnsi="宋体" w:eastAsia="宋体" w:cs="宋体"/>
          <w:color w:val="auto"/>
          <w:sz w:val="21"/>
          <w:szCs w:val="21"/>
        </w:rPr>
        <w:t>执</w:t>
      </w:r>
      <w:r>
        <w:rPr>
          <w:rFonts w:hint="eastAsia" w:ascii="宋体" w:hAnsi="宋体" w:eastAsia="宋体" w:cs="宋体"/>
          <w:color w:val="auto"/>
          <w:sz w:val="21"/>
          <w:szCs w:val="21"/>
          <w:lang w:val="en-US" w:eastAsia="zh-CN"/>
        </w:rPr>
        <w:t>叁</w:t>
      </w:r>
      <w:r>
        <w:rPr>
          <w:rFonts w:hint="eastAsia" w:ascii="宋体" w:hAnsi="宋体" w:eastAsia="宋体" w:cs="宋体"/>
          <w:color w:val="auto"/>
          <w:sz w:val="21"/>
          <w:szCs w:val="21"/>
        </w:rPr>
        <w:t>份、乙方执</w:t>
      </w:r>
      <w:r>
        <w:rPr>
          <w:rFonts w:hint="eastAsia" w:ascii="宋体" w:hAnsi="宋体" w:eastAsia="宋体" w:cs="宋体"/>
          <w:color w:val="auto"/>
          <w:sz w:val="21"/>
          <w:szCs w:val="21"/>
          <w:lang w:val="en-US" w:eastAsia="zh-CN"/>
        </w:rPr>
        <w:t>贰</w:t>
      </w:r>
      <w:r>
        <w:rPr>
          <w:rFonts w:hint="eastAsia" w:ascii="宋体" w:hAnsi="宋体" w:eastAsia="宋体" w:cs="宋体"/>
          <w:color w:val="auto"/>
          <w:sz w:val="21"/>
          <w:szCs w:val="21"/>
        </w:rPr>
        <w:t>份，</w:t>
      </w:r>
      <w:r>
        <w:rPr>
          <w:rFonts w:hint="eastAsia" w:ascii="宋体" w:hAnsi="宋体" w:eastAsia="宋体" w:cs="宋体"/>
          <w:color w:val="auto"/>
          <w:sz w:val="21"/>
          <w:szCs w:val="21"/>
          <w:lang w:val="en-US" w:eastAsia="zh-CN"/>
        </w:rPr>
        <w:t>采购代理壹</w:t>
      </w:r>
      <w:r>
        <w:rPr>
          <w:rFonts w:hint="eastAsia" w:ascii="宋体" w:hAnsi="宋体" w:eastAsia="宋体" w:cs="宋体"/>
          <w:color w:val="auto"/>
          <w:sz w:val="21"/>
          <w:szCs w:val="21"/>
        </w:rPr>
        <w:t>份。</w:t>
      </w:r>
    </w:p>
    <w:p w14:paraId="0B17FC64">
      <w:pPr>
        <w:keepNext w:val="0"/>
        <w:keepLines w:val="0"/>
        <w:pageBreakBefore w:val="0"/>
        <w:kinsoku/>
        <w:wordWrap/>
        <w:overflowPunct/>
        <w:topLinePunct w:val="0"/>
        <w:bidi w:val="0"/>
        <w:snapToGrid/>
        <w:spacing w:line="360" w:lineRule="auto"/>
        <w:ind w:firstLine="420" w:firstLineChars="200"/>
        <w:outlineLvl w:val="0"/>
        <w:rPr>
          <w:rFonts w:hint="eastAsia" w:ascii="宋体" w:hAnsi="宋体" w:eastAsia="宋体" w:cs="宋体"/>
          <w:color w:val="auto"/>
          <w:sz w:val="21"/>
          <w:szCs w:val="21"/>
        </w:rPr>
      </w:pPr>
    </w:p>
    <w:p w14:paraId="1E1B9DC3">
      <w:pPr>
        <w:pStyle w:val="2"/>
        <w:keepNext w:val="0"/>
        <w:keepLines w:val="0"/>
        <w:pageBreakBefore w:val="0"/>
        <w:kinsoku/>
        <w:wordWrap/>
        <w:overflowPunct/>
        <w:topLinePunct w:val="0"/>
        <w:bidi w:val="0"/>
        <w:snapToGrid/>
        <w:spacing w:line="360" w:lineRule="auto"/>
        <w:rPr>
          <w:rFonts w:hint="eastAsia" w:ascii="宋体" w:hAnsi="宋体" w:eastAsia="宋体" w:cs="宋体"/>
          <w:color w:val="auto"/>
          <w:sz w:val="21"/>
          <w:szCs w:val="21"/>
        </w:rPr>
      </w:pPr>
    </w:p>
    <w:p w14:paraId="0671EAD9">
      <w:pPr>
        <w:pStyle w:val="2"/>
        <w:keepNext w:val="0"/>
        <w:keepLines w:val="0"/>
        <w:pageBreakBefore w:val="0"/>
        <w:kinsoku/>
        <w:wordWrap/>
        <w:overflowPunct/>
        <w:topLinePunct w:val="0"/>
        <w:autoSpaceDE/>
        <w:autoSpaceDN/>
        <w:bidi w:val="0"/>
        <w:snapToGrid/>
        <w:spacing w:line="360" w:lineRule="auto"/>
        <w:ind w:right="0" w:firstLine="422"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附件：</w:t>
      </w:r>
    </w:p>
    <w:p w14:paraId="6D59D29D">
      <w:pPr>
        <w:pStyle w:val="2"/>
        <w:keepNext w:val="0"/>
        <w:keepLines w:val="0"/>
        <w:pageBreakBefore w:val="0"/>
        <w:kinsoku/>
        <w:wordWrap/>
        <w:overflowPunct/>
        <w:topLinePunct w:val="0"/>
        <w:bidi w:val="0"/>
        <w:snapToGrid/>
        <w:spacing w:line="360" w:lineRule="auto"/>
        <w:ind w:right="-28" w:firstLine="420" w:firstLineChars="200"/>
        <w:jc w:val="both"/>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rPr>
        <w:t>附件一：</w:t>
      </w:r>
      <w:r>
        <w:rPr>
          <w:rFonts w:hint="eastAsia" w:ascii="宋体" w:hAnsi="宋体" w:eastAsia="宋体" w:cs="宋体"/>
          <w:b w:val="0"/>
          <w:bCs w:val="0"/>
          <w:color w:val="auto"/>
          <w:sz w:val="21"/>
          <w:szCs w:val="21"/>
          <w:lang w:val="en-US" w:eastAsia="zh-CN"/>
        </w:rPr>
        <w:t>投标报价表</w:t>
      </w:r>
    </w:p>
    <w:p w14:paraId="4F0EE739">
      <w:pPr>
        <w:pStyle w:val="2"/>
        <w:keepNext w:val="0"/>
        <w:keepLines w:val="0"/>
        <w:pageBreakBefore w:val="0"/>
        <w:kinsoku/>
        <w:wordWrap/>
        <w:overflowPunct/>
        <w:topLinePunct w:val="0"/>
        <w:bidi w:val="0"/>
        <w:snapToGrid/>
        <w:spacing w:line="360" w:lineRule="auto"/>
        <w:ind w:right="-28" w:firstLine="420" w:firstLineChars="200"/>
        <w:jc w:val="both"/>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附件二：中标通知书</w:t>
      </w:r>
    </w:p>
    <w:p w14:paraId="144E7CD9">
      <w:pPr>
        <w:pStyle w:val="2"/>
        <w:keepNext w:val="0"/>
        <w:keepLines w:val="0"/>
        <w:pageBreakBefore w:val="0"/>
        <w:kinsoku/>
        <w:wordWrap/>
        <w:overflowPunct/>
        <w:topLinePunct w:val="0"/>
        <w:bidi w:val="0"/>
        <w:snapToGrid/>
        <w:spacing w:line="360" w:lineRule="auto"/>
        <w:ind w:right="-28" w:firstLine="420" w:firstLineChars="200"/>
        <w:jc w:val="both"/>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附件</w:t>
      </w:r>
      <w:r>
        <w:rPr>
          <w:rFonts w:hint="eastAsia" w:ascii="宋体" w:hAnsi="宋体" w:eastAsia="宋体" w:cs="宋体"/>
          <w:b w:val="0"/>
          <w:bCs w:val="0"/>
          <w:color w:val="auto"/>
          <w:sz w:val="21"/>
          <w:szCs w:val="21"/>
          <w:lang w:val="en-US" w:eastAsia="zh-CN"/>
        </w:rPr>
        <w:t>三</w:t>
      </w:r>
      <w:r>
        <w:rPr>
          <w:rFonts w:hint="eastAsia" w:ascii="宋体" w:hAnsi="宋体" w:eastAsia="宋体" w:cs="宋体"/>
          <w:b w:val="0"/>
          <w:bCs w:val="0"/>
          <w:color w:val="auto"/>
          <w:sz w:val="21"/>
          <w:szCs w:val="21"/>
          <w:lang w:val="en-US"/>
        </w:rPr>
        <w:t>：用户需求书</w:t>
      </w:r>
    </w:p>
    <w:p w14:paraId="56B2E21E">
      <w:pPr>
        <w:pStyle w:val="2"/>
        <w:keepNext w:val="0"/>
        <w:keepLines w:val="0"/>
        <w:pageBreakBefore w:val="0"/>
        <w:kinsoku/>
        <w:wordWrap/>
        <w:overflowPunct/>
        <w:topLinePunct w:val="0"/>
        <w:bidi w:val="0"/>
        <w:snapToGrid/>
        <w:spacing w:line="360" w:lineRule="auto"/>
        <w:ind w:right="-28" w:firstLine="420" w:firstLineChars="200"/>
        <w:jc w:val="both"/>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附件</w:t>
      </w:r>
      <w:r>
        <w:rPr>
          <w:rFonts w:hint="eastAsia" w:ascii="宋体" w:hAnsi="宋体" w:eastAsia="宋体" w:cs="宋体"/>
          <w:b w:val="0"/>
          <w:bCs w:val="0"/>
          <w:color w:val="auto"/>
          <w:sz w:val="21"/>
          <w:szCs w:val="21"/>
          <w:lang w:val="en-US" w:eastAsia="zh-CN"/>
        </w:rPr>
        <w:t>四</w:t>
      </w:r>
      <w:r>
        <w:rPr>
          <w:rFonts w:hint="eastAsia" w:ascii="宋体" w:hAnsi="宋体" w:eastAsia="宋体" w:cs="宋体"/>
          <w:b w:val="0"/>
          <w:bCs w:val="0"/>
          <w:color w:val="auto"/>
          <w:sz w:val="21"/>
          <w:szCs w:val="21"/>
          <w:lang w:val="en-US"/>
        </w:rPr>
        <w:t>：承诺书</w:t>
      </w:r>
    </w:p>
    <w:p w14:paraId="02490FAF">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附件五：安全生产管理协议书</w:t>
      </w:r>
    </w:p>
    <w:p w14:paraId="0CBA9BFA">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附件六：廉洁协议书</w:t>
      </w:r>
    </w:p>
    <w:p w14:paraId="2EF15B40">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附件七：投标文件（另行装订成册）</w:t>
      </w:r>
    </w:p>
    <w:p w14:paraId="1163BB78">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附件八：招标文件（另行装订成册）</w:t>
      </w:r>
    </w:p>
    <w:p w14:paraId="4D22070B">
      <w:pPr>
        <w:pStyle w:val="2"/>
        <w:keepNext w:val="0"/>
        <w:keepLines w:val="0"/>
        <w:pageBreakBefore w:val="0"/>
        <w:kinsoku/>
        <w:wordWrap/>
        <w:overflowPunct/>
        <w:topLinePunct w:val="0"/>
        <w:bidi w:val="0"/>
        <w:snapToGrid/>
        <w:spacing w:line="360" w:lineRule="auto"/>
        <w:rPr>
          <w:rFonts w:hint="eastAsia" w:ascii="宋体" w:hAnsi="宋体" w:eastAsia="宋体" w:cs="宋体"/>
          <w:b w:val="0"/>
          <w:bCs w:val="0"/>
          <w:color w:val="auto"/>
          <w:sz w:val="21"/>
          <w:szCs w:val="21"/>
          <w:lang w:val="en-US" w:eastAsia="zh-CN"/>
        </w:rPr>
      </w:pPr>
    </w:p>
    <w:p w14:paraId="6F94055D">
      <w:pPr>
        <w:keepNext w:val="0"/>
        <w:keepLines w:val="0"/>
        <w:pageBreakBefore w:val="0"/>
        <w:kinsoku/>
        <w:wordWrap/>
        <w:overflowPunct/>
        <w:topLinePunct w:val="0"/>
        <w:bidi w:val="0"/>
        <w:snapToGrid/>
        <w:spacing w:line="360" w:lineRule="auto"/>
        <w:outlineLvl w:val="0"/>
        <w:rPr>
          <w:rFonts w:hint="eastAsia" w:ascii="宋体" w:hAnsi="宋体" w:eastAsia="宋体" w:cs="宋体"/>
          <w:color w:val="auto"/>
          <w:sz w:val="21"/>
          <w:szCs w:val="21"/>
        </w:rPr>
      </w:pPr>
    </w:p>
    <w:p w14:paraId="42FA664E">
      <w:pPr>
        <w:keepNext w:val="0"/>
        <w:keepLines w:val="0"/>
        <w:pageBreakBefore/>
        <w:kinsoku/>
        <w:wordWrap/>
        <w:overflowPunct/>
        <w:topLinePunct w:val="0"/>
        <w:bidi w:val="0"/>
        <w:snapToGrid/>
        <w:spacing w:line="360" w:lineRule="auto"/>
        <w:jc w:val="center"/>
        <w:outlineLvl w:val="0"/>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本页为</w:t>
      </w:r>
      <w:r>
        <w:rPr>
          <w:rFonts w:hint="eastAsia" w:ascii="宋体" w:hAnsi="宋体" w:eastAsia="宋体" w:cs="宋体"/>
          <w:b/>
          <w:bCs/>
          <w:color w:val="auto"/>
          <w:sz w:val="21"/>
          <w:szCs w:val="21"/>
        </w:rPr>
        <w:t>东莞市水务集团管网有限公司</w:t>
      </w:r>
      <w:r>
        <w:rPr>
          <w:rFonts w:hint="eastAsia" w:ascii="宋体" w:hAnsi="宋体" w:eastAsia="宋体" w:cs="宋体"/>
          <w:b/>
          <w:bCs/>
          <w:color w:val="auto"/>
          <w:sz w:val="21"/>
          <w:szCs w:val="21"/>
          <w:lang w:val="en-US" w:eastAsia="zh-CN"/>
        </w:rPr>
        <w:t>2025年保安服务采购项目合同书的签署页</w:t>
      </w:r>
      <w:r>
        <w:rPr>
          <w:rFonts w:hint="eastAsia" w:ascii="宋体" w:hAnsi="宋体" w:eastAsia="宋体" w:cs="宋体"/>
          <w:b/>
          <w:bCs/>
          <w:color w:val="auto"/>
          <w:sz w:val="21"/>
          <w:szCs w:val="21"/>
          <w:lang w:eastAsia="zh-CN"/>
        </w:rPr>
        <w:t>）</w:t>
      </w:r>
    </w:p>
    <w:p w14:paraId="7263A8BA">
      <w:pPr>
        <w:keepNext w:val="0"/>
        <w:keepLines w:val="0"/>
        <w:pageBreakBefore w:val="0"/>
        <w:kinsoku/>
        <w:wordWrap/>
        <w:overflowPunct/>
        <w:topLinePunct w:val="0"/>
        <w:bidi w:val="0"/>
        <w:snapToGrid/>
        <w:spacing w:line="360" w:lineRule="auto"/>
        <w:outlineLvl w:val="0"/>
        <w:rPr>
          <w:rFonts w:hint="eastAsia" w:ascii="宋体" w:hAnsi="宋体" w:eastAsia="宋体" w:cs="宋体"/>
          <w:color w:val="auto"/>
          <w:sz w:val="21"/>
          <w:szCs w:val="21"/>
        </w:rPr>
      </w:pPr>
    </w:p>
    <w:p w14:paraId="09AE1D0E">
      <w:pPr>
        <w:pStyle w:val="2"/>
        <w:keepNext w:val="0"/>
        <w:keepLines w:val="0"/>
        <w:pageBreakBefore w:val="0"/>
        <w:kinsoku/>
        <w:wordWrap/>
        <w:overflowPunct/>
        <w:topLinePunct w:val="0"/>
        <w:bidi w:val="0"/>
        <w:snapToGrid/>
        <w:spacing w:line="480" w:lineRule="auto"/>
        <w:jc w:val="both"/>
        <w:rPr>
          <w:rFonts w:hint="eastAsia" w:ascii="宋体" w:hAnsi="宋体" w:eastAsia="宋体" w:cs="宋体"/>
          <w:color w:val="auto"/>
          <w:sz w:val="21"/>
          <w:szCs w:val="21"/>
        </w:rPr>
      </w:pPr>
    </w:p>
    <w:p w14:paraId="3BE0541C">
      <w:pPr>
        <w:spacing w:line="480" w:lineRule="auto"/>
        <w:jc w:val="left"/>
        <w:rPr>
          <w:rFonts w:ascii="宋体" w:hAnsi="宋体" w:eastAsia="宋体" w:cs="宋体"/>
          <w:color w:val="auto"/>
          <w:szCs w:val="21"/>
        </w:rPr>
      </w:pPr>
      <w:r>
        <w:rPr>
          <w:rFonts w:hint="eastAsia" w:ascii="宋体" w:hAnsi="宋体" w:eastAsia="宋体" w:cs="宋体"/>
          <w:color w:val="auto"/>
          <w:szCs w:val="21"/>
        </w:rPr>
        <w:t xml:space="preserve">甲 方1：东莞市水务集团管网有限公司    </w:t>
      </w:r>
    </w:p>
    <w:p w14:paraId="378C6FFB">
      <w:pPr>
        <w:spacing w:line="480" w:lineRule="auto"/>
        <w:jc w:val="left"/>
        <w:rPr>
          <w:rFonts w:ascii="宋体" w:hAnsi="宋体" w:eastAsia="宋体" w:cs="宋体"/>
          <w:color w:val="auto"/>
          <w:szCs w:val="21"/>
        </w:rPr>
      </w:pPr>
      <w:r>
        <w:rPr>
          <w:rFonts w:hint="eastAsia" w:ascii="宋体" w:hAnsi="宋体" w:eastAsia="宋体" w:cs="宋体"/>
          <w:color w:val="auto"/>
          <w:szCs w:val="21"/>
        </w:rPr>
        <w:t xml:space="preserve">法定代表人（或负责人）：                </w:t>
      </w:r>
    </w:p>
    <w:p w14:paraId="6901E1EE">
      <w:pPr>
        <w:spacing w:line="480" w:lineRule="auto"/>
        <w:ind w:left="5040" w:hanging="5040" w:hangingChars="2400"/>
        <w:jc w:val="left"/>
        <w:rPr>
          <w:rFonts w:hint="eastAsia" w:ascii="宋体" w:hAnsi="宋体" w:eastAsia="宋体" w:cs="宋体"/>
          <w:color w:val="auto"/>
          <w:szCs w:val="21"/>
        </w:rPr>
      </w:pPr>
    </w:p>
    <w:p w14:paraId="250D67A2">
      <w:pPr>
        <w:spacing w:line="480" w:lineRule="auto"/>
        <w:ind w:left="5040" w:hanging="5040" w:hangingChars="2400"/>
        <w:jc w:val="left"/>
        <w:rPr>
          <w:rFonts w:hint="eastAsia" w:ascii="宋体" w:hAnsi="宋体" w:eastAsia="宋体" w:cs="宋体"/>
          <w:color w:val="auto"/>
          <w:szCs w:val="21"/>
        </w:rPr>
      </w:pPr>
    </w:p>
    <w:p w14:paraId="6097BFAB">
      <w:pPr>
        <w:spacing w:line="480" w:lineRule="auto"/>
        <w:ind w:left="5040" w:hanging="5040" w:hangingChars="2400"/>
        <w:jc w:val="left"/>
        <w:rPr>
          <w:rFonts w:ascii="宋体" w:hAnsi="宋体" w:eastAsia="宋体" w:cs="宋体"/>
          <w:color w:val="auto"/>
          <w:szCs w:val="21"/>
        </w:rPr>
      </w:pPr>
      <w:r>
        <w:rPr>
          <w:rFonts w:hint="eastAsia" w:ascii="宋体" w:hAnsi="宋体" w:eastAsia="宋体" w:cs="宋体"/>
          <w:color w:val="auto"/>
          <w:szCs w:val="21"/>
        </w:rPr>
        <w:t>甲方</w:t>
      </w:r>
      <w:r>
        <w:rPr>
          <w:rFonts w:hint="eastAsia" w:ascii="宋体" w:hAnsi="宋体" w:eastAsia="宋体" w:cs="宋体"/>
          <w:color w:val="auto"/>
          <w:szCs w:val="21"/>
          <w:lang w:val="en-US" w:eastAsia="zh-CN"/>
        </w:rPr>
        <w:t>2</w:t>
      </w:r>
      <w:r>
        <w:rPr>
          <w:rFonts w:hint="eastAsia" w:ascii="宋体" w:hAnsi="宋体" w:eastAsia="宋体" w:cs="宋体"/>
          <w:color w:val="auto"/>
          <w:szCs w:val="21"/>
        </w:rPr>
        <w:t xml:space="preserve">： 东莞市东信水环境投资有限公司 </w:t>
      </w:r>
    </w:p>
    <w:p w14:paraId="7F99922F">
      <w:pPr>
        <w:spacing w:line="480" w:lineRule="auto"/>
        <w:ind w:left="5040" w:hanging="5040" w:hangingChars="2400"/>
        <w:jc w:val="left"/>
        <w:rPr>
          <w:rFonts w:ascii="宋体" w:hAnsi="宋体" w:eastAsia="宋体" w:cs="宋体"/>
          <w:color w:val="auto"/>
          <w:szCs w:val="21"/>
        </w:rPr>
      </w:pPr>
      <w:r>
        <w:rPr>
          <w:rFonts w:hint="eastAsia" w:ascii="宋体" w:hAnsi="宋体" w:eastAsia="宋体" w:cs="宋体"/>
          <w:color w:val="auto"/>
          <w:szCs w:val="21"/>
        </w:rPr>
        <w:t xml:space="preserve">法定代表（或负责人）:  </w:t>
      </w:r>
    </w:p>
    <w:p w14:paraId="20994A1D">
      <w:pPr>
        <w:spacing w:line="480" w:lineRule="auto"/>
        <w:jc w:val="left"/>
        <w:rPr>
          <w:rFonts w:ascii="宋体" w:hAnsi="宋体" w:eastAsia="宋体" w:cs="宋体"/>
          <w:color w:val="auto"/>
          <w:szCs w:val="21"/>
        </w:rPr>
      </w:pPr>
    </w:p>
    <w:p w14:paraId="13AC2F83">
      <w:pPr>
        <w:spacing w:line="480" w:lineRule="auto"/>
        <w:ind w:left="5040" w:hanging="5040" w:hangingChars="2400"/>
        <w:jc w:val="left"/>
        <w:rPr>
          <w:rFonts w:ascii="宋体" w:hAnsi="宋体" w:eastAsia="宋体" w:cs="宋体"/>
          <w:color w:val="auto"/>
          <w:szCs w:val="21"/>
        </w:rPr>
      </w:pPr>
    </w:p>
    <w:p w14:paraId="07D68E26">
      <w:pPr>
        <w:spacing w:line="480" w:lineRule="auto"/>
        <w:rPr>
          <w:rFonts w:ascii="宋体" w:hAnsi="宋体" w:eastAsia="宋体" w:cs="宋体"/>
          <w:color w:val="auto"/>
          <w:szCs w:val="21"/>
        </w:rPr>
      </w:pPr>
      <w:r>
        <w:rPr>
          <w:rFonts w:hint="eastAsia" w:ascii="宋体" w:hAnsi="宋体" w:eastAsia="宋体" w:cs="宋体"/>
          <w:color w:val="auto"/>
          <w:szCs w:val="21"/>
        </w:rPr>
        <w:t>甲方</w:t>
      </w:r>
      <w:r>
        <w:rPr>
          <w:rFonts w:hint="eastAsia" w:ascii="宋体" w:hAnsi="宋体" w:eastAsia="宋体" w:cs="宋体"/>
          <w:color w:val="auto"/>
          <w:szCs w:val="21"/>
          <w:lang w:val="en-US" w:eastAsia="zh-CN"/>
        </w:rPr>
        <w:t>3</w:t>
      </w:r>
      <w:r>
        <w:rPr>
          <w:rFonts w:hint="eastAsia" w:ascii="宋体" w:hAnsi="宋体" w:eastAsia="宋体" w:cs="宋体"/>
          <w:color w:val="auto"/>
          <w:szCs w:val="21"/>
        </w:rPr>
        <w:t>：东莞市东泽水环境投资有限公司</w:t>
      </w:r>
    </w:p>
    <w:p w14:paraId="7A8226F4">
      <w:pPr>
        <w:spacing w:line="480" w:lineRule="auto"/>
        <w:jc w:val="left"/>
        <w:rPr>
          <w:rFonts w:hint="eastAsia" w:ascii="宋体" w:hAnsi="宋体" w:eastAsia="宋体" w:cs="宋体"/>
          <w:color w:val="auto"/>
          <w:szCs w:val="21"/>
        </w:rPr>
      </w:pPr>
      <w:r>
        <w:rPr>
          <w:rFonts w:hint="eastAsia" w:ascii="宋体" w:hAnsi="宋体" w:eastAsia="宋体" w:cs="宋体"/>
          <w:color w:val="auto"/>
          <w:szCs w:val="21"/>
        </w:rPr>
        <w:t>法定代表人（或负责人）：</w:t>
      </w:r>
    </w:p>
    <w:p w14:paraId="0A8BC9DD">
      <w:pPr>
        <w:pStyle w:val="5"/>
        <w:spacing w:line="480" w:lineRule="auto"/>
        <w:rPr>
          <w:color w:val="auto"/>
        </w:rPr>
      </w:pPr>
    </w:p>
    <w:p w14:paraId="51D45B03">
      <w:pPr>
        <w:spacing w:line="480" w:lineRule="auto"/>
        <w:rPr>
          <w:rFonts w:ascii="宋体" w:hAnsi="宋体" w:eastAsia="宋体" w:cs="宋体"/>
          <w:bCs/>
          <w:color w:val="auto"/>
          <w:szCs w:val="21"/>
        </w:rPr>
      </w:pPr>
    </w:p>
    <w:p w14:paraId="1C5FFD7F">
      <w:pPr>
        <w:spacing w:line="480" w:lineRule="auto"/>
        <w:rPr>
          <w:rFonts w:ascii="宋体" w:hAnsi="宋体" w:eastAsia="宋体" w:cs="宋体"/>
          <w:bCs/>
          <w:color w:val="auto"/>
          <w:szCs w:val="21"/>
        </w:rPr>
      </w:pPr>
      <w:r>
        <w:rPr>
          <w:rFonts w:hint="eastAsia" w:ascii="宋体" w:hAnsi="宋体" w:eastAsia="宋体" w:cs="宋体"/>
          <w:bCs/>
          <w:color w:val="auto"/>
          <w:szCs w:val="21"/>
        </w:rPr>
        <w:t>乙方：</w:t>
      </w:r>
    </w:p>
    <w:p w14:paraId="60E5AC10">
      <w:pPr>
        <w:spacing w:line="480" w:lineRule="auto"/>
        <w:rPr>
          <w:rFonts w:ascii="宋体" w:hAnsi="宋体" w:eastAsia="宋体" w:cs="宋体"/>
          <w:color w:val="auto"/>
          <w:szCs w:val="21"/>
        </w:rPr>
      </w:pPr>
      <w:r>
        <w:rPr>
          <w:rFonts w:hint="eastAsia" w:ascii="宋体" w:hAnsi="宋体" w:eastAsia="宋体" w:cs="宋体"/>
          <w:color w:val="auto"/>
          <w:szCs w:val="21"/>
        </w:rPr>
        <w:t xml:space="preserve">法定代表（或负责）人：                 </w:t>
      </w:r>
    </w:p>
    <w:p w14:paraId="4D55C457">
      <w:pPr>
        <w:spacing w:line="480" w:lineRule="auto"/>
        <w:rPr>
          <w:rFonts w:hint="eastAsia" w:ascii="宋体" w:hAnsi="宋体" w:eastAsia="宋体" w:cs="宋体"/>
          <w:color w:val="auto"/>
          <w:szCs w:val="21"/>
        </w:rPr>
      </w:pPr>
    </w:p>
    <w:p w14:paraId="0FE4FA31">
      <w:pPr>
        <w:spacing w:line="480" w:lineRule="auto"/>
        <w:rPr>
          <w:rFonts w:hint="eastAsia" w:ascii="宋体" w:hAnsi="宋体" w:eastAsia="宋体" w:cs="宋体"/>
          <w:color w:val="auto"/>
          <w:szCs w:val="21"/>
        </w:rPr>
      </w:pPr>
    </w:p>
    <w:p w14:paraId="044554A9">
      <w:pPr>
        <w:spacing w:line="480" w:lineRule="auto"/>
        <w:rPr>
          <w:rFonts w:ascii="宋体" w:hAnsi="宋体" w:eastAsia="宋体" w:cs="宋体"/>
          <w:color w:val="auto"/>
          <w:szCs w:val="21"/>
        </w:rPr>
      </w:pPr>
      <w:r>
        <w:rPr>
          <w:rFonts w:hint="eastAsia" w:ascii="宋体" w:hAnsi="宋体" w:eastAsia="宋体" w:cs="宋体"/>
          <w:color w:val="auto"/>
          <w:szCs w:val="21"/>
        </w:rPr>
        <w:t xml:space="preserve">日期：     年     月    日                        </w:t>
      </w:r>
    </w:p>
    <w:p w14:paraId="2DFC60E2">
      <w:pPr>
        <w:spacing w:line="480" w:lineRule="auto"/>
        <w:rPr>
          <w:rFonts w:ascii="宋体" w:hAnsi="宋体" w:eastAsia="宋体" w:cs="宋体"/>
          <w:color w:val="auto"/>
          <w:szCs w:val="21"/>
        </w:rPr>
      </w:pPr>
      <w:r>
        <w:rPr>
          <w:rFonts w:hint="eastAsia" w:ascii="宋体" w:hAnsi="宋体" w:eastAsia="宋体" w:cs="宋体"/>
          <w:color w:val="auto"/>
          <w:szCs w:val="21"/>
        </w:rPr>
        <w:t>签订地点：广东省东莞市</w:t>
      </w:r>
    </w:p>
    <w:p w14:paraId="3D0A6887">
      <w:pPr>
        <w:keepNext w:val="0"/>
        <w:keepLines w:val="0"/>
        <w:pageBreakBefore w:val="0"/>
        <w:kinsoku/>
        <w:wordWrap/>
        <w:overflowPunct/>
        <w:topLinePunct w:val="0"/>
        <w:bidi w:val="0"/>
        <w:snapToGrid/>
        <w:spacing w:line="360" w:lineRule="auto"/>
        <w:rPr>
          <w:rFonts w:hint="eastAsia" w:ascii="宋体" w:hAnsi="宋体" w:eastAsia="宋体" w:cs="宋体"/>
          <w:color w:val="auto"/>
          <w:sz w:val="21"/>
          <w:szCs w:val="21"/>
        </w:rPr>
      </w:pPr>
    </w:p>
    <w:p w14:paraId="2FEF5147">
      <w:pPr>
        <w:autoSpaceDE w:val="0"/>
        <w:autoSpaceDN w:val="0"/>
        <w:adjustRightInd w:val="0"/>
        <w:jc w:val="left"/>
        <w:rPr>
          <w:rFonts w:ascii="宋体" w:hAnsi="宋体" w:eastAsia="宋体" w:cs="宋体"/>
          <w:b/>
          <w:bCs/>
          <w:color w:val="auto"/>
          <w:kern w:val="0"/>
          <w:sz w:val="28"/>
          <w:szCs w:val="28"/>
          <w:highlight w:val="none"/>
        </w:rPr>
      </w:pPr>
    </w:p>
    <w:p w14:paraId="193C1DAF">
      <w:pPr>
        <w:pStyle w:val="36"/>
        <w:keepNext w:val="0"/>
        <w:keepLines w:val="0"/>
        <w:pageBreakBefore/>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0"/>
          <w:sz w:val="21"/>
          <w:szCs w:val="21"/>
          <w:lang w:val="en-US"/>
        </w:rPr>
      </w:pPr>
      <w:r>
        <w:rPr>
          <w:rFonts w:hint="eastAsia" w:ascii="宋体" w:hAnsi="宋体" w:eastAsia="宋体" w:cs="宋体"/>
          <w:b/>
          <w:bCs/>
          <w:color w:val="auto"/>
          <w:kern w:val="0"/>
          <w:sz w:val="21"/>
          <w:szCs w:val="21"/>
          <w:lang w:val="en-US"/>
        </w:rPr>
        <w:t>附件四：承诺书</w:t>
      </w:r>
    </w:p>
    <w:p w14:paraId="395194E7">
      <w:pPr>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承诺书</w:t>
      </w:r>
    </w:p>
    <w:p w14:paraId="24A92D3A">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东莞市水务集团管网有限公司</w:t>
      </w:r>
      <w:r>
        <w:rPr>
          <w:rFonts w:hint="eastAsia" w:ascii="宋体" w:hAnsi="宋体" w:eastAsia="宋体" w:cs="宋体"/>
          <w:b/>
          <w:bCs/>
          <w:color w:val="auto"/>
          <w:kern w:val="0"/>
          <w:sz w:val="21"/>
          <w:szCs w:val="21"/>
          <w:lang w:eastAsia="zh-CN"/>
        </w:rPr>
        <w:t>、</w:t>
      </w:r>
      <w:r>
        <w:rPr>
          <w:rFonts w:hint="eastAsia" w:ascii="宋体" w:hAnsi="宋体" w:eastAsia="宋体" w:cs="宋体"/>
          <w:b/>
          <w:bCs/>
          <w:color w:val="auto"/>
          <w:kern w:val="0"/>
          <w:sz w:val="21"/>
          <w:szCs w:val="21"/>
        </w:rPr>
        <w:t>东莞市东信水环境投资有限公司、东莞市东泽水环境投资有限公司：</w:t>
      </w:r>
    </w:p>
    <w:p w14:paraId="50442E92">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我司根据《东莞市水务集团管网有限公司2025年保安服务采购项目合同》相关条款全力配合贵公司工作，并自愿做出如下承诺：</w:t>
      </w:r>
    </w:p>
    <w:p w14:paraId="65BA95EB">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如我司有拖欠所雇用员工工资等，发生劳资纠纷、上访、闹事或其他影响贵公司生产经营等情况而未及时妥善处理的，我司同意贵公司可直接启用履约担保或从未付款中直接扣除相应款项予以支付或作出相应处理，由此产生的一切法律后果由我司承担；</w:t>
      </w:r>
    </w:p>
    <w:p w14:paraId="29099CDD">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如我司不履行、怠于履行或没有在约定时间内完成合同项下的全部义务，合同条款中有相应违约条款的，我司承诺将按照合同约定承担违约责任；其他无约定情形的，我司同意按照合同价（含税）的5%向贵公司承担违约金。同时，贵公司有权另行委派其他单位实施本项目，由此产生的差价及相关费用等由我司承担；</w:t>
      </w:r>
    </w:p>
    <w:p w14:paraId="1A6CBBCC">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（三）如我司有违反本项目管理及合同约定等行为，我司将同意并接受贵公司根据相关约定对我司进行处罚；</w:t>
      </w:r>
    </w:p>
    <w:p w14:paraId="3792C1E0">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如我司有违反本项目管理及合同约定等行为，贵公司有权将我司列入贵公司母公司东莞市水务集团有限公司“黑名单”，我公司清楚并接受后续因此无法承接贵公司及贵公司母公司相关项目的后果；且我司将同意并接受贵公司向东莞阳光网、东莞日报等媒体公开我司失信行为，并愿按相关规定接受处理，由此产生的影响将由我司承担。</w:t>
      </w:r>
    </w:p>
    <w:p w14:paraId="510C3D8A">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p>
    <w:p w14:paraId="1C81371C">
      <w:pPr>
        <w:keepNext w:val="0"/>
        <w:keepLines w:val="0"/>
        <w:pageBreakBefore w:val="0"/>
        <w:widowControl w:val="0"/>
        <w:kinsoku/>
        <w:wordWrap/>
        <w:overflowPunct/>
        <w:topLinePunct w:val="0"/>
        <w:bidi w:val="0"/>
        <w:spacing w:line="360" w:lineRule="auto"/>
        <w:ind w:right="1004" w:firstLine="2970" w:firstLineChars="1350"/>
        <w:textAlignment w:val="auto"/>
        <w:rPr>
          <w:rFonts w:hint="eastAsia" w:ascii="宋体" w:hAnsi="宋体" w:eastAsia="宋体" w:cs="宋体"/>
          <w:color w:val="auto"/>
          <w:w w:val="105"/>
          <w:sz w:val="21"/>
          <w:szCs w:val="21"/>
        </w:rPr>
      </w:pPr>
      <w:r>
        <w:rPr>
          <w:rFonts w:hint="eastAsia" w:ascii="宋体" w:hAnsi="宋体" w:eastAsia="宋体" w:cs="宋体"/>
          <w:color w:val="auto"/>
          <w:w w:val="105"/>
          <w:sz w:val="21"/>
          <w:szCs w:val="21"/>
        </w:rPr>
        <w:t xml:space="preserve">          </w:t>
      </w:r>
      <w:r>
        <w:rPr>
          <w:rFonts w:hint="eastAsia" w:ascii="宋体" w:hAnsi="宋体" w:eastAsia="宋体" w:cs="宋体"/>
          <w:color w:val="auto"/>
          <w:w w:val="105"/>
          <w:sz w:val="21"/>
          <w:szCs w:val="21"/>
          <w:lang w:val="en-US" w:eastAsia="zh-CN"/>
        </w:rPr>
        <w:t xml:space="preserve">         </w:t>
      </w:r>
      <w:r>
        <w:rPr>
          <w:rFonts w:hint="eastAsia" w:ascii="宋体" w:hAnsi="宋体" w:eastAsia="宋体" w:cs="宋体"/>
          <w:color w:val="auto"/>
          <w:w w:val="105"/>
          <w:sz w:val="21"/>
          <w:szCs w:val="21"/>
        </w:rPr>
        <w:t xml:space="preserve"> 承诺单位（盖章）：</w:t>
      </w:r>
    </w:p>
    <w:p w14:paraId="3E58D2B9">
      <w:pPr>
        <w:keepNext w:val="0"/>
        <w:keepLines w:val="0"/>
        <w:pageBreakBefore w:val="0"/>
        <w:widowControl w:val="0"/>
        <w:kinsoku/>
        <w:wordWrap/>
        <w:overflowPunct/>
        <w:topLinePunct w:val="0"/>
        <w:bidi w:val="0"/>
        <w:spacing w:line="360" w:lineRule="auto"/>
        <w:ind w:right="96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法人代表人（授权代理人）签名（或盖私章）：</w:t>
      </w:r>
    </w:p>
    <w:p w14:paraId="49FA5DD1">
      <w:pPr>
        <w:keepNext w:val="0"/>
        <w:keepLines w:val="0"/>
        <w:pageBreakBefore w:val="0"/>
        <w:widowControl w:val="0"/>
        <w:kinsoku/>
        <w:wordWrap/>
        <w:overflowPunct/>
        <w:topLinePunct w:val="0"/>
        <w:bidi w:val="0"/>
        <w:spacing w:line="360" w:lineRule="auto"/>
        <w:ind w:right="96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年    月    日</w:t>
      </w:r>
    </w:p>
    <w:p w14:paraId="24C64616">
      <w:pPr>
        <w:spacing w:line="360" w:lineRule="auto"/>
        <w:jc w:val="center"/>
        <w:rPr>
          <w:rFonts w:hint="eastAsia" w:ascii="宋体" w:hAnsi="宋体" w:eastAsia="宋体" w:cs="宋体"/>
          <w:color w:val="auto"/>
          <w:sz w:val="21"/>
          <w:szCs w:val="21"/>
        </w:rPr>
      </w:pPr>
    </w:p>
    <w:p w14:paraId="4905F59E">
      <w:pPr>
        <w:spacing w:line="360" w:lineRule="auto"/>
        <w:jc w:val="center"/>
        <w:rPr>
          <w:rFonts w:hint="eastAsia" w:ascii="宋体" w:hAnsi="宋体" w:eastAsia="宋体" w:cs="宋体"/>
          <w:color w:val="auto"/>
          <w:sz w:val="21"/>
          <w:szCs w:val="21"/>
        </w:rPr>
      </w:pPr>
    </w:p>
    <w:p w14:paraId="5A1ACF75">
      <w:pPr>
        <w:spacing w:line="360" w:lineRule="auto"/>
        <w:jc w:val="both"/>
        <w:rPr>
          <w:rFonts w:hint="eastAsia" w:ascii="宋体" w:hAnsi="宋体" w:eastAsia="宋体" w:cs="宋体"/>
          <w:color w:val="auto"/>
          <w:sz w:val="21"/>
          <w:szCs w:val="21"/>
        </w:rPr>
      </w:pPr>
    </w:p>
    <w:p w14:paraId="6E821916">
      <w:pPr>
        <w:pStyle w:val="5"/>
        <w:spacing w:line="360" w:lineRule="auto"/>
        <w:rPr>
          <w:rFonts w:hint="eastAsia" w:ascii="宋体" w:hAnsi="宋体" w:eastAsia="宋体" w:cs="宋体"/>
          <w:color w:val="auto"/>
          <w:sz w:val="21"/>
          <w:szCs w:val="21"/>
        </w:rPr>
      </w:pPr>
    </w:p>
    <w:p w14:paraId="458D80BB">
      <w:pPr>
        <w:keepNext w:val="0"/>
        <w:keepLines w:val="0"/>
        <w:pageBreakBefore/>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附件</w:t>
      </w:r>
      <w:r>
        <w:rPr>
          <w:rFonts w:hint="eastAsia" w:ascii="宋体" w:hAnsi="宋体" w:eastAsia="宋体" w:cs="宋体"/>
          <w:b/>
          <w:bCs/>
          <w:color w:val="auto"/>
          <w:sz w:val="21"/>
          <w:szCs w:val="21"/>
          <w:lang w:val="en-US" w:eastAsia="zh-CN"/>
        </w:rPr>
        <w:t>五</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安全生产管理协议书</w:t>
      </w:r>
    </w:p>
    <w:p w14:paraId="1C2FE5CD">
      <w:pPr>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安全生产管理协议书</w:t>
      </w:r>
    </w:p>
    <w:p w14:paraId="1E79A061">
      <w:pPr>
        <w:spacing w:before="156" w:beforeLines="50" w:after="156" w:afterLines="50" w:line="360" w:lineRule="auto"/>
        <w:rPr>
          <w:rFonts w:hint="eastAsia" w:ascii="宋体" w:hAnsi="宋体" w:eastAsia="宋体" w:cs="宋体"/>
          <w:color w:val="auto"/>
          <w:sz w:val="21"/>
          <w:szCs w:val="21"/>
          <w:u w:val="single"/>
        </w:rPr>
      </w:pPr>
      <w:r>
        <w:rPr>
          <w:rFonts w:hint="eastAsia" w:ascii="宋体" w:hAnsi="宋体" w:eastAsia="宋体" w:cs="宋体"/>
          <w:b/>
          <w:bCs/>
          <w:color w:val="auto"/>
          <w:sz w:val="21"/>
          <w:szCs w:val="21"/>
        </w:rPr>
        <w:t>甲方</w:t>
      </w: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（发包单位）</w:t>
      </w:r>
      <w:r>
        <w:rPr>
          <w:rFonts w:hint="eastAsia" w:ascii="宋体" w:hAnsi="宋体" w:eastAsia="宋体" w:cs="宋体"/>
          <w:color w:val="auto"/>
          <w:sz w:val="21"/>
          <w:szCs w:val="21"/>
        </w:rPr>
        <w:t>：</w:t>
      </w:r>
      <w:r>
        <w:rPr>
          <w:rFonts w:hint="eastAsia" w:ascii="宋体" w:hAnsi="宋体" w:eastAsia="宋体" w:cs="宋体"/>
          <w:b/>
          <w:bCs/>
          <w:color w:val="auto"/>
          <w:sz w:val="21"/>
          <w:szCs w:val="21"/>
          <w:u w:val="single"/>
        </w:rPr>
        <w:t>东莞市水务集团管网有限公司</w:t>
      </w:r>
    </w:p>
    <w:p w14:paraId="5815CE99">
      <w:pPr>
        <w:spacing w:before="156" w:beforeLines="50" w:after="156" w:afterLines="50" w:line="360" w:lineRule="auto"/>
        <w:rPr>
          <w:rFonts w:hint="eastAsia" w:ascii="宋体" w:hAnsi="宋体" w:eastAsia="宋体" w:cs="宋体"/>
          <w:b/>
          <w:bCs/>
          <w:color w:val="auto"/>
          <w:sz w:val="21"/>
          <w:szCs w:val="21"/>
          <w:u w:val="single"/>
        </w:rPr>
      </w:pPr>
      <w:r>
        <w:rPr>
          <w:rFonts w:hint="eastAsia" w:ascii="宋体" w:hAnsi="宋体" w:eastAsia="宋体" w:cs="宋体"/>
          <w:color w:val="auto"/>
          <w:sz w:val="21"/>
          <w:szCs w:val="21"/>
        </w:rPr>
        <w:t>地址：</w:t>
      </w:r>
      <w:r>
        <w:rPr>
          <w:rFonts w:hint="eastAsia" w:ascii="宋体" w:hAnsi="宋体" w:eastAsia="宋体" w:cs="宋体"/>
          <w:b w:val="0"/>
          <w:bCs w:val="0"/>
          <w:color w:val="auto"/>
          <w:sz w:val="21"/>
          <w:szCs w:val="21"/>
          <w:u w:val="single"/>
          <w:lang w:val="en-US" w:eastAsia="zh-CN"/>
        </w:rPr>
        <w:t>广东省东莞市东城街道东城运河路5号108室</w:t>
      </w:r>
    </w:p>
    <w:p w14:paraId="70BB2520">
      <w:pPr>
        <w:spacing w:before="156" w:beforeLines="50" w:after="156" w:afterLines="50" w:line="360" w:lineRule="auto"/>
        <w:rPr>
          <w:rFonts w:hint="eastAsia" w:ascii="宋体" w:hAnsi="宋体" w:eastAsia="宋体" w:cs="宋体"/>
          <w:b/>
          <w:bCs/>
          <w:color w:val="auto"/>
          <w:sz w:val="21"/>
          <w:szCs w:val="21"/>
        </w:rPr>
      </w:pPr>
      <w:r>
        <w:rPr>
          <w:rFonts w:hint="eastAsia" w:ascii="宋体" w:hAnsi="宋体" w:eastAsia="宋体" w:cs="宋体"/>
          <w:color w:val="auto"/>
          <w:sz w:val="21"/>
          <w:szCs w:val="21"/>
        </w:rPr>
        <w:t>法定代表人：</w:t>
      </w:r>
      <w:r>
        <w:rPr>
          <w:rFonts w:hint="eastAsia" w:ascii="宋体" w:hAnsi="宋体" w:eastAsia="宋体" w:cs="宋体"/>
          <w:color w:val="auto"/>
          <w:sz w:val="21"/>
          <w:szCs w:val="21"/>
          <w:u w:val="single"/>
          <w:lang w:val="en-US" w:eastAsia="zh-CN"/>
        </w:rPr>
        <w:t>黄浩辉</w:t>
      </w:r>
      <w:r>
        <w:rPr>
          <w:rFonts w:hint="eastAsia" w:ascii="宋体" w:hAnsi="宋体" w:eastAsia="宋体" w:cs="宋体"/>
          <w:b/>
          <w:bCs/>
          <w:color w:val="auto"/>
          <w:sz w:val="21"/>
          <w:szCs w:val="21"/>
        </w:rPr>
        <w:t xml:space="preserve">     </w:t>
      </w:r>
    </w:p>
    <w:p w14:paraId="4BA6AD58">
      <w:pPr>
        <w:spacing w:before="156" w:beforeLines="50" w:after="156" w:afterLines="50" w:line="360" w:lineRule="auto"/>
        <w:rPr>
          <w:rFonts w:hint="eastAsia" w:ascii="宋体" w:hAnsi="宋体" w:eastAsia="宋体" w:cs="宋体"/>
          <w:color w:val="auto"/>
          <w:sz w:val="21"/>
          <w:szCs w:val="21"/>
          <w:u w:val="single"/>
        </w:rPr>
      </w:pPr>
      <w:r>
        <w:rPr>
          <w:rFonts w:hint="eastAsia" w:ascii="宋体" w:hAnsi="宋体" w:eastAsia="宋体" w:cs="宋体"/>
          <w:b/>
          <w:bCs/>
          <w:color w:val="auto"/>
          <w:sz w:val="21"/>
          <w:szCs w:val="21"/>
        </w:rPr>
        <w:t>甲方</w:t>
      </w: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（发包单位）</w:t>
      </w:r>
      <w:r>
        <w:rPr>
          <w:rFonts w:hint="eastAsia" w:ascii="宋体" w:hAnsi="宋体" w:eastAsia="宋体" w:cs="宋体"/>
          <w:color w:val="auto"/>
          <w:sz w:val="21"/>
          <w:szCs w:val="21"/>
        </w:rPr>
        <w:t>：</w:t>
      </w:r>
      <w:r>
        <w:rPr>
          <w:rFonts w:hint="eastAsia" w:ascii="宋体" w:hAnsi="宋体" w:eastAsia="宋体" w:cs="宋体"/>
          <w:b/>
          <w:bCs/>
          <w:color w:val="auto"/>
          <w:sz w:val="21"/>
          <w:szCs w:val="21"/>
          <w:u w:val="single"/>
        </w:rPr>
        <w:t>东莞市</w:t>
      </w:r>
      <w:r>
        <w:rPr>
          <w:rFonts w:hint="eastAsia" w:ascii="宋体" w:hAnsi="宋体" w:eastAsia="宋体" w:cs="宋体"/>
          <w:b/>
          <w:bCs/>
          <w:color w:val="auto"/>
          <w:sz w:val="21"/>
          <w:szCs w:val="21"/>
          <w:u w:val="single"/>
          <w:lang w:val="en-US" w:eastAsia="zh-CN"/>
        </w:rPr>
        <w:t>东信水环境投资</w:t>
      </w:r>
      <w:r>
        <w:rPr>
          <w:rFonts w:hint="eastAsia" w:ascii="宋体" w:hAnsi="宋体" w:eastAsia="宋体" w:cs="宋体"/>
          <w:b/>
          <w:bCs/>
          <w:color w:val="auto"/>
          <w:sz w:val="21"/>
          <w:szCs w:val="21"/>
          <w:u w:val="single"/>
        </w:rPr>
        <w:t>有限公司</w:t>
      </w:r>
    </w:p>
    <w:p w14:paraId="33EFE501">
      <w:pPr>
        <w:spacing w:before="156" w:beforeLines="50" w:after="156" w:afterLines="50" w:line="360" w:lineRule="auto"/>
        <w:rPr>
          <w:rFonts w:hint="eastAsia" w:ascii="宋体" w:hAnsi="宋体" w:eastAsia="宋体" w:cs="宋体"/>
          <w:b/>
          <w:bCs/>
          <w:color w:val="auto"/>
          <w:sz w:val="21"/>
          <w:szCs w:val="21"/>
          <w:u w:val="single"/>
        </w:rPr>
      </w:pPr>
      <w:r>
        <w:rPr>
          <w:rFonts w:hint="eastAsia" w:ascii="宋体" w:hAnsi="宋体" w:eastAsia="宋体" w:cs="宋体"/>
          <w:color w:val="auto"/>
          <w:sz w:val="21"/>
          <w:szCs w:val="21"/>
        </w:rPr>
        <w:t>地址：</w:t>
      </w:r>
      <w:r>
        <w:rPr>
          <w:rFonts w:hint="eastAsia" w:ascii="宋体" w:hAnsi="宋体" w:eastAsia="宋体" w:cs="宋体"/>
          <w:b w:val="0"/>
          <w:bCs w:val="0"/>
          <w:color w:val="auto"/>
          <w:sz w:val="21"/>
          <w:szCs w:val="21"/>
          <w:u w:val="single"/>
          <w:lang w:val="en-US" w:eastAsia="zh-CN"/>
        </w:rPr>
        <w:t>广东省东莞市东城街道东城运河路5号103室</w:t>
      </w:r>
    </w:p>
    <w:p w14:paraId="5A932883">
      <w:pPr>
        <w:spacing w:before="156" w:beforeLines="50" w:after="156" w:afterLines="50" w:line="360" w:lineRule="auto"/>
        <w:rPr>
          <w:rFonts w:hint="eastAsia" w:ascii="宋体" w:hAnsi="宋体" w:eastAsia="宋体" w:cs="宋体"/>
          <w:b/>
          <w:bCs/>
          <w:color w:val="auto"/>
          <w:sz w:val="21"/>
          <w:szCs w:val="21"/>
        </w:rPr>
      </w:pPr>
      <w:r>
        <w:rPr>
          <w:rFonts w:hint="eastAsia" w:ascii="宋体" w:hAnsi="宋体" w:eastAsia="宋体" w:cs="宋体"/>
          <w:color w:val="auto"/>
          <w:sz w:val="21"/>
          <w:szCs w:val="21"/>
        </w:rPr>
        <w:t>法定代表人：</w:t>
      </w:r>
      <w:r>
        <w:rPr>
          <w:rFonts w:hint="eastAsia" w:ascii="宋体" w:hAnsi="宋体" w:eastAsia="宋体" w:cs="宋体"/>
          <w:color w:val="auto"/>
          <w:sz w:val="21"/>
          <w:szCs w:val="21"/>
          <w:u w:val="single"/>
          <w:lang w:val="en-US" w:eastAsia="zh-CN"/>
        </w:rPr>
        <w:t>梁曦</w:t>
      </w:r>
      <w:r>
        <w:rPr>
          <w:rFonts w:hint="eastAsia" w:ascii="宋体" w:hAnsi="宋体" w:eastAsia="宋体" w:cs="宋体"/>
          <w:b/>
          <w:bCs/>
          <w:color w:val="auto"/>
          <w:sz w:val="21"/>
          <w:szCs w:val="21"/>
        </w:rPr>
        <w:t xml:space="preserve">   </w:t>
      </w:r>
    </w:p>
    <w:p w14:paraId="681642A4">
      <w:pPr>
        <w:spacing w:before="156" w:beforeLines="50" w:after="156" w:afterLines="50" w:line="360" w:lineRule="auto"/>
        <w:rPr>
          <w:rFonts w:hint="eastAsia" w:ascii="宋体" w:hAnsi="宋体" w:eastAsia="宋体" w:cs="宋体"/>
          <w:color w:val="auto"/>
          <w:sz w:val="21"/>
          <w:szCs w:val="21"/>
          <w:u w:val="single"/>
        </w:rPr>
      </w:pPr>
      <w:r>
        <w:rPr>
          <w:rFonts w:hint="eastAsia" w:ascii="宋体" w:hAnsi="宋体" w:eastAsia="宋体" w:cs="宋体"/>
          <w:b/>
          <w:bCs/>
          <w:color w:val="auto"/>
          <w:sz w:val="21"/>
          <w:szCs w:val="21"/>
        </w:rPr>
        <w:t>甲方</w:t>
      </w: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（发包单位）</w:t>
      </w:r>
      <w:r>
        <w:rPr>
          <w:rFonts w:hint="eastAsia" w:ascii="宋体" w:hAnsi="宋体" w:eastAsia="宋体" w:cs="宋体"/>
          <w:color w:val="auto"/>
          <w:sz w:val="21"/>
          <w:szCs w:val="21"/>
        </w:rPr>
        <w:t>：</w:t>
      </w:r>
      <w:r>
        <w:rPr>
          <w:rFonts w:hint="eastAsia" w:ascii="宋体" w:hAnsi="宋体" w:eastAsia="宋体" w:cs="宋体"/>
          <w:b/>
          <w:bCs/>
          <w:color w:val="auto"/>
          <w:sz w:val="21"/>
          <w:szCs w:val="21"/>
          <w:u w:val="single"/>
        </w:rPr>
        <w:t>东莞市</w:t>
      </w:r>
      <w:r>
        <w:rPr>
          <w:rFonts w:hint="eastAsia" w:ascii="宋体" w:hAnsi="宋体" w:eastAsia="宋体" w:cs="宋体"/>
          <w:b/>
          <w:bCs/>
          <w:color w:val="auto"/>
          <w:sz w:val="21"/>
          <w:szCs w:val="21"/>
          <w:u w:val="single"/>
          <w:lang w:val="en-US" w:eastAsia="zh-CN"/>
        </w:rPr>
        <w:t>东泽水环境投资</w:t>
      </w:r>
      <w:r>
        <w:rPr>
          <w:rFonts w:hint="eastAsia" w:ascii="宋体" w:hAnsi="宋体" w:eastAsia="宋体" w:cs="宋体"/>
          <w:b/>
          <w:bCs/>
          <w:color w:val="auto"/>
          <w:sz w:val="21"/>
          <w:szCs w:val="21"/>
          <w:u w:val="single"/>
        </w:rPr>
        <w:t>有限公司</w:t>
      </w:r>
    </w:p>
    <w:p w14:paraId="4E17A49D">
      <w:pPr>
        <w:spacing w:before="156" w:beforeLines="50" w:after="156" w:afterLines="50" w:line="360" w:lineRule="auto"/>
        <w:rPr>
          <w:rFonts w:hint="eastAsia" w:ascii="宋体" w:hAnsi="宋体" w:eastAsia="宋体" w:cs="宋体"/>
          <w:b/>
          <w:bCs/>
          <w:color w:val="auto"/>
          <w:sz w:val="21"/>
          <w:szCs w:val="21"/>
          <w:u w:val="single"/>
        </w:rPr>
      </w:pPr>
      <w:r>
        <w:rPr>
          <w:rFonts w:hint="eastAsia" w:ascii="宋体" w:hAnsi="宋体" w:eastAsia="宋体" w:cs="宋体"/>
          <w:color w:val="auto"/>
          <w:sz w:val="21"/>
          <w:szCs w:val="21"/>
        </w:rPr>
        <w:t>地址：</w:t>
      </w:r>
      <w:r>
        <w:rPr>
          <w:rFonts w:hint="eastAsia" w:ascii="宋体" w:hAnsi="宋体" w:eastAsia="宋体" w:cs="宋体"/>
          <w:b w:val="0"/>
          <w:bCs w:val="0"/>
          <w:color w:val="auto"/>
          <w:sz w:val="21"/>
          <w:szCs w:val="21"/>
          <w:u w:val="single"/>
          <w:lang w:val="en-US" w:eastAsia="zh-CN"/>
        </w:rPr>
        <w:t>广东省东莞市东城街道东城运河路5号107室</w:t>
      </w:r>
    </w:p>
    <w:p w14:paraId="67B32452">
      <w:pPr>
        <w:spacing w:before="156" w:beforeLines="50" w:after="156" w:afterLines="50" w:line="360" w:lineRule="auto"/>
        <w:rPr>
          <w:rFonts w:hint="eastAsia" w:ascii="宋体" w:hAnsi="宋体" w:eastAsia="宋体" w:cs="宋体"/>
          <w:b/>
          <w:bCs/>
          <w:color w:val="auto"/>
          <w:sz w:val="21"/>
          <w:szCs w:val="21"/>
          <w:u w:val="single"/>
        </w:rPr>
      </w:pPr>
      <w:r>
        <w:rPr>
          <w:rFonts w:hint="eastAsia" w:ascii="宋体" w:hAnsi="宋体" w:eastAsia="宋体" w:cs="宋体"/>
          <w:color w:val="auto"/>
          <w:sz w:val="21"/>
          <w:szCs w:val="21"/>
        </w:rPr>
        <w:t>法定代表人：</w:t>
      </w:r>
      <w:r>
        <w:rPr>
          <w:rFonts w:hint="eastAsia" w:ascii="宋体" w:hAnsi="宋体" w:eastAsia="宋体" w:cs="宋体"/>
          <w:color w:val="auto"/>
          <w:sz w:val="21"/>
          <w:szCs w:val="21"/>
          <w:u w:val="single"/>
          <w:lang w:val="en-US" w:eastAsia="zh-CN"/>
        </w:rPr>
        <w:t>梁曦</w:t>
      </w:r>
      <w:r>
        <w:rPr>
          <w:rFonts w:hint="eastAsia" w:ascii="宋体" w:hAnsi="宋体" w:eastAsia="宋体" w:cs="宋体"/>
          <w:b/>
          <w:bCs/>
          <w:color w:val="auto"/>
          <w:sz w:val="21"/>
          <w:szCs w:val="21"/>
        </w:rPr>
        <w:t xml:space="preserve">                                </w:t>
      </w:r>
    </w:p>
    <w:p w14:paraId="6DDDE027">
      <w:pPr>
        <w:spacing w:before="156" w:beforeLines="50" w:after="156" w:afterLines="50" w:line="360" w:lineRule="auto"/>
        <w:rPr>
          <w:rFonts w:hint="eastAsia" w:ascii="宋体" w:hAnsi="宋体" w:eastAsia="宋体" w:cs="宋体"/>
          <w:color w:val="auto"/>
          <w:sz w:val="21"/>
          <w:szCs w:val="21"/>
        </w:rPr>
      </w:pPr>
      <w:r>
        <w:rPr>
          <w:rFonts w:hint="eastAsia" w:ascii="宋体" w:hAnsi="宋体" w:eastAsia="宋体" w:cs="宋体"/>
          <w:b/>
          <w:bCs/>
          <w:color w:val="auto"/>
          <w:sz w:val="21"/>
          <w:szCs w:val="21"/>
        </w:rPr>
        <w:t>乙方（承包单位）</w:t>
      </w:r>
      <w:r>
        <w:rPr>
          <w:rFonts w:hint="eastAsia" w:ascii="宋体" w:hAnsi="宋体" w:eastAsia="宋体" w:cs="宋体"/>
          <w:color w:val="auto"/>
          <w:sz w:val="21"/>
          <w:szCs w:val="21"/>
        </w:rPr>
        <w:t xml:space="preserve">：                               </w:t>
      </w:r>
    </w:p>
    <w:p w14:paraId="0B4E6A44">
      <w:pPr>
        <w:spacing w:before="156" w:beforeLines="50" w:after="156" w:afterLines="5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地址：                                          </w:t>
      </w:r>
    </w:p>
    <w:p w14:paraId="31BAE85B">
      <w:pPr>
        <w:spacing w:before="156" w:beforeLines="50" w:after="156" w:afterLines="50" w:line="360" w:lineRule="auto"/>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rPr>
        <w:t>法定代表人：</w:t>
      </w:r>
    </w:p>
    <w:p w14:paraId="775EF346">
      <w:pPr>
        <w:keepNext w:val="0"/>
        <w:keepLines w:val="0"/>
        <w:pageBreakBefore w:val="0"/>
        <w:kinsoku/>
        <w:wordWrap/>
        <w:overflowPunct/>
        <w:topLinePunct w:val="0"/>
        <w:autoSpaceDE/>
        <w:autoSpaceDN/>
        <w:bidi w:val="0"/>
        <w:adjustRightInd/>
        <w:snapToGrid/>
        <w:spacing w:before="156" w:beforeLines="50" w:after="156" w:afterLines="50" w:line="360" w:lineRule="auto"/>
        <w:ind w:firstLine="0" w:firstLineChars="0"/>
        <w:textAlignment w:val="auto"/>
        <w:rPr>
          <w:rFonts w:hint="eastAsia" w:ascii="宋体" w:hAnsi="宋体" w:eastAsia="宋体" w:cs="宋体"/>
          <w:color w:val="auto"/>
          <w:sz w:val="21"/>
          <w:szCs w:val="21"/>
          <w:highlight w:val="none"/>
        </w:rPr>
      </w:pPr>
    </w:p>
    <w:p w14:paraId="22061F43">
      <w:pPr>
        <w:keepNext w:val="0"/>
        <w:keepLines w:val="0"/>
        <w:pageBreakBefore w:val="0"/>
        <w:numPr>
          <w:ilvl w:val="0"/>
          <w:numId w:val="6"/>
        </w:numPr>
        <w:kinsoku/>
        <w:wordWrap/>
        <w:overflowPunct/>
        <w:topLinePunct w:val="0"/>
        <w:autoSpaceDE/>
        <w:autoSpaceDN/>
        <w:bidi w:val="0"/>
        <w:adjustRightInd/>
        <w:snapToGrid/>
        <w:spacing w:before="0" w:beforeLines="0" w:after="0" w:afterLines="0"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总则</w:t>
      </w:r>
    </w:p>
    <w:p w14:paraId="230D61EB">
      <w:pPr>
        <w:keepNext w:val="0"/>
        <w:keepLines w:val="0"/>
        <w:pageBreakBefore w:val="0"/>
        <w:kinsoku/>
        <w:wordWrap/>
        <w:overflowPunct/>
        <w:topLinePunct w:val="0"/>
        <w:autoSpaceDE/>
        <w:autoSpaceDN/>
        <w:bidi w:val="0"/>
        <w:adjustRightInd/>
        <w:snapToGrid/>
        <w:spacing w:before="0" w:beforeLines="0" w:after="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为加强承包作业过程的安全生产管理，明确甲乙双方各自在安全生产管理方面的责任、权利和义务，保障施工生产的顺利进行，依据《中华人民共和国安全生产法》《中华人民共和国</w:t>
      </w:r>
      <w:r>
        <w:rPr>
          <w:rFonts w:hint="eastAsia" w:ascii="宋体" w:hAnsi="宋体" w:eastAsia="宋体" w:cs="宋体"/>
          <w:color w:val="auto"/>
          <w:sz w:val="21"/>
          <w:szCs w:val="21"/>
          <w:highlight w:val="none"/>
          <w:lang w:eastAsia="zh-CN"/>
        </w:rPr>
        <w:t>民法典</w:t>
      </w:r>
      <w:r>
        <w:rPr>
          <w:rFonts w:hint="eastAsia" w:ascii="宋体" w:hAnsi="宋体" w:eastAsia="宋体" w:cs="宋体"/>
          <w:color w:val="auto"/>
          <w:sz w:val="21"/>
          <w:szCs w:val="21"/>
          <w:highlight w:val="none"/>
        </w:rPr>
        <w:t>》《建设工程安全生产管理条例》等法律法规，甲乙双方遵循平等、公平和诚实守信的原则，经双方协商一致签订本协议。</w:t>
      </w:r>
    </w:p>
    <w:p w14:paraId="0E3BCC91">
      <w:pPr>
        <w:keepNext w:val="0"/>
        <w:keepLines w:val="0"/>
        <w:pageBreakBefore w:val="0"/>
        <w:numPr>
          <w:ilvl w:val="0"/>
          <w:numId w:val="6"/>
        </w:numPr>
        <w:kinsoku/>
        <w:wordWrap/>
        <w:overflowPunct/>
        <w:topLinePunct w:val="0"/>
        <w:autoSpaceDE/>
        <w:autoSpaceDN/>
        <w:bidi w:val="0"/>
        <w:adjustRightInd/>
        <w:snapToGrid/>
        <w:spacing w:before="0" w:beforeLines="0" w:after="0" w:afterLines="0"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承包项目概况</w:t>
      </w:r>
    </w:p>
    <w:p w14:paraId="0AF415BF">
      <w:pPr>
        <w:keepNext w:val="0"/>
        <w:keepLines w:val="0"/>
        <w:pageBreakBefore w:val="0"/>
        <w:kinsoku/>
        <w:wordWrap/>
        <w:overflowPunct/>
        <w:topLinePunct w:val="0"/>
        <w:autoSpaceDE/>
        <w:autoSpaceDN/>
        <w:bidi w:val="0"/>
        <w:adjustRightInd/>
        <w:snapToGrid/>
        <w:spacing w:beforeLines="0" w:afterLines="0" w:line="360" w:lineRule="auto"/>
        <w:ind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1、承包项目全称：</w:t>
      </w:r>
      <w:r>
        <w:rPr>
          <w:rFonts w:hint="eastAsia" w:ascii="宋体" w:hAnsi="宋体" w:eastAsia="宋体" w:cs="宋体"/>
          <w:color w:val="auto"/>
          <w:sz w:val="21"/>
          <w:szCs w:val="21"/>
          <w:highlight w:val="none"/>
          <w:u w:val="single"/>
          <w:lang w:val="en-US" w:eastAsia="zh-CN"/>
        </w:rPr>
        <w:t>东莞市水务集团管网有限公司2025年保安服务采购项目</w:t>
      </w:r>
    </w:p>
    <w:p w14:paraId="25EE8599">
      <w:pPr>
        <w:keepNext w:val="0"/>
        <w:keepLines w:val="0"/>
        <w:pageBreakBefore w:val="0"/>
        <w:kinsoku/>
        <w:wordWrap/>
        <w:overflowPunct/>
        <w:topLinePunct w:val="0"/>
        <w:autoSpaceDE/>
        <w:autoSpaceDN/>
        <w:bidi w:val="0"/>
        <w:adjustRightInd/>
        <w:snapToGrid/>
        <w:spacing w:beforeLines="0" w:afterLines="0"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2、承包项目施工地址：</w:t>
      </w:r>
      <w:r>
        <w:rPr>
          <w:rFonts w:hint="eastAsia" w:ascii="宋体" w:hAnsi="宋体" w:eastAsia="宋体" w:cs="宋体"/>
          <w:color w:val="auto"/>
          <w:sz w:val="21"/>
          <w:szCs w:val="21"/>
          <w:highlight w:val="none"/>
          <w:u w:val="single"/>
          <w:lang w:val="en-US" w:eastAsia="zh-CN"/>
        </w:rPr>
        <w:t>详用户需求书</w:t>
      </w:r>
    </w:p>
    <w:p w14:paraId="14217E13">
      <w:pPr>
        <w:keepNext w:val="0"/>
        <w:keepLines w:val="0"/>
        <w:pageBreakBefore w:val="0"/>
        <w:kinsoku/>
        <w:wordWrap/>
        <w:overflowPunct/>
        <w:topLinePunct w:val="0"/>
        <w:autoSpaceDE/>
        <w:autoSpaceDN/>
        <w:bidi w:val="0"/>
        <w:adjustRightInd/>
        <w:snapToGrid/>
        <w:spacing w:beforeLines="0" w:afterLines="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3、承包项目主要内容：见甲乙双方签订的</w:t>
      </w:r>
      <w:r>
        <w:rPr>
          <w:rFonts w:hint="eastAsia" w:ascii="宋体" w:hAnsi="宋体" w:eastAsia="宋体" w:cs="宋体"/>
          <w:color w:val="auto"/>
          <w:sz w:val="21"/>
          <w:szCs w:val="21"/>
          <w:highlight w:val="none"/>
          <w:u w:val="single"/>
        </w:rPr>
        <w:t>东莞市水务集团管网有限公司2025年保安服务采购项目合同</w:t>
      </w:r>
      <w:r>
        <w:rPr>
          <w:rFonts w:hint="eastAsia" w:ascii="宋体" w:hAnsi="宋体" w:eastAsia="宋体" w:cs="宋体"/>
          <w:color w:val="auto"/>
          <w:sz w:val="21"/>
          <w:szCs w:val="21"/>
          <w:highlight w:val="none"/>
        </w:rPr>
        <w:t>（以下简称为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承包合同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）内容。</w:t>
      </w:r>
    </w:p>
    <w:p w14:paraId="625CE5CA">
      <w:pPr>
        <w:numPr>
          <w:ilvl w:val="0"/>
          <w:numId w:val="6"/>
        </w:numPr>
        <w:spacing w:before="0" w:beforeLines="0" w:after="0" w:afterLines="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甲乙双方共同责任</w:t>
      </w:r>
    </w:p>
    <w:p w14:paraId="42C4EF23">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必须共同遵守《中华人民共和国安全生产法》、《建设工程安全生产管理条例》、《工贸企业有限空间作业安全管理与监督暂行规定》、《生产安全事故报告和调查处理条例》等一系列有关安全生产的法律法规。</w:t>
      </w:r>
    </w:p>
    <w:p w14:paraId="7C26AAA5">
      <w:pPr>
        <w:numPr>
          <w:ilvl w:val="0"/>
          <w:numId w:val="6"/>
        </w:numPr>
        <w:spacing w:before="0" w:beforeLines="0" w:after="0" w:afterLines="0"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 w:val="21"/>
          <w:szCs w:val="21"/>
          <w:highlight w:val="none"/>
        </w:rPr>
        <w:t xml:space="preserve"> 甲方的责任、权利和义务</w:t>
      </w:r>
    </w:p>
    <w:p w14:paraId="0C1BA90B">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1、甲方负责乙方在施工生产中总体的调度和协调工作，为乙方创造良好的外围施工作业环境。</w:t>
      </w:r>
    </w:p>
    <w:p w14:paraId="5BCE2135">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2、甲方有权依据国家安全生产政策、法规和各项安全技术操作规程对乙方安全生产进行监督、检查和管理，对违规、违章行为有权制止和要求立即整改。</w:t>
      </w:r>
    </w:p>
    <w:p w14:paraId="7F21D10E">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3、甲方有权对乙方所制定的安全方案和安全技术措施进行检查和督促落实，对无方案、无措施和措施落实不到位的有权停止施工，限期整改，并根据具体执行情况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甲方可按照</w:t>
      </w:r>
      <w:bookmarkStart w:id="430" w:name="_Hlk57389993"/>
      <w:r>
        <w:rPr>
          <w:rFonts w:hint="eastAsia" w:ascii="宋体" w:hAnsi="宋体" w:eastAsia="宋体" w:cs="宋体"/>
          <w:color w:val="auto"/>
          <w:sz w:val="21"/>
          <w:szCs w:val="21"/>
          <w:highlight w:val="none"/>
        </w:rPr>
        <w:t>双方订立的与承包项目有关的所有合同和协议</w:t>
      </w:r>
      <w:r>
        <w:rPr>
          <w:rFonts w:hint="eastAsia" w:ascii="宋体" w:hAnsi="宋体" w:eastAsia="宋体" w:cs="宋体"/>
          <w:color w:val="auto"/>
          <w:sz w:val="21"/>
          <w:szCs w:val="21"/>
          <w:highlight w:val="none"/>
          <w:lang w:eastAsia="zh-CN"/>
        </w:rPr>
        <w:t>（以下简称为“承包合同”）</w:t>
      </w:r>
      <w:r>
        <w:rPr>
          <w:rFonts w:hint="eastAsia" w:ascii="宋体" w:hAnsi="宋体" w:eastAsia="宋体" w:cs="宋体"/>
          <w:color w:val="auto"/>
          <w:sz w:val="21"/>
          <w:szCs w:val="21"/>
          <w:highlight w:val="none"/>
        </w:rPr>
        <w:t>要求乙方承担违约责任</w:t>
      </w:r>
      <w:bookmarkEnd w:id="430"/>
      <w:r>
        <w:rPr>
          <w:rFonts w:hint="eastAsia" w:ascii="宋体" w:hAnsi="宋体" w:eastAsia="宋体" w:cs="宋体"/>
          <w:color w:val="auto"/>
          <w:sz w:val="21"/>
          <w:szCs w:val="21"/>
          <w:highlight w:val="none"/>
        </w:rPr>
        <w:t>。</w:t>
      </w:r>
    </w:p>
    <w:p w14:paraId="69FD4A5B">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4、甲方在巡查、检查过程中对乙方在施工生产过程中存在的安全隐患，有权要求乙方按规定限期整改，对未及时完成整改或拒绝整改的，</w:t>
      </w:r>
      <w:r>
        <w:rPr>
          <w:rFonts w:hint="eastAsia" w:ascii="宋体" w:hAnsi="宋体" w:eastAsia="宋体" w:cs="宋体"/>
          <w:color w:val="auto"/>
          <w:sz w:val="21"/>
          <w:szCs w:val="21"/>
          <w:highlight w:val="none"/>
          <w:lang w:val="en-US" w:eastAsia="zh-CN"/>
        </w:rPr>
        <w:t>甲方可按承包合同条款或甲方有关规定对乙方进行违约经济处罚</w:t>
      </w:r>
      <w:r>
        <w:rPr>
          <w:rFonts w:hint="eastAsia" w:ascii="宋体" w:hAnsi="宋体" w:eastAsia="宋体" w:cs="宋体"/>
          <w:color w:val="auto"/>
          <w:sz w:val="21"/>
          <w:szCs w:val="21"/>
          <w:highlight w:val="none"/>
        </w:rPr>
        <w:t>。因乙方原因造成生产安全事故的，由乙方负全部责任。</w:t>
      </w:r>
    </w:p>
    <w:p w14:paraId="37C761DC">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5、甲方对乙方建设运营实施的安全监督行为，属于甲方依自身管理需要的监管行为，其行为不构成责任主体行为，无需对该项目</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发生的安全事故承担任何责任。</w:t>
      </w:r>
    </w:p>
    <w:p w14:paraId="675A230D">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甲方对乙方所报的设计、施工、运营、维护方案等的认可行为，属于甲方对自身污水处理设施的维护、监管行为，不构成该项目的责任主体行为，相关事项的责任主体均为乙方，甲方的认可行为不免除或减轻乙方的安全责任。</w:t>
      </w:r>
    </w:p>
    <w:p w14:paraId="3589CC96">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甲方有权进入乙方施工和</w:t>
      </w:r>
      <w:r>
        <w:rPr>
          <w:rFonts w:hint="eastAsia" w:ascii="宋体" w:hAnsi="宋体" w:eastAsia="宋体" w:cs="宋体"/>
          <w:color w:val="auto"/>
          <w:sz w:val="21"/>
          <w:szCs w:val="21"/>
          <w:highlight w:val="none"/>
          <w:lang w:val="en-US" w:eastAsia="zh-CN"/>
        </w:rPr>
        <w:t>作业</w:t>
      </w:r>
      <w:r>
        <w:rPr>
          <w:rFonts w:hint="eastAsia" w:ascii="宋体" w:hAnsi="宋体" w:eastAsia="宋体" w:cs="宋体"/>
          <w:color w:val="auto"/>
          <w:sz w:val="21"/>
          <w:szCs w:val="21"/>
          <w:highlight w:val="none"/>
        </w:rPr>
        <w:t>场所查看，乙方须如实报告有关安全情况，并提供甲方要求的资料。甲方对乙方危及甲方设施、设备及人员安全的行为有权要求整改，乙方应按照甲方提出的意见及时</w:t>
      </w:r>
      <w:r>
        <w:rPr>
          <w:rFonts w:hint="eastAsia" w:ascii="宋体" w:hAnsi="宋体" w:eastAsia="宋体" w:cs="宋体"/>
          <w:color w:val="auto"/>
          <w:sz w:val="21"/>
          <w:szCs w:val="21"/>
          <w:highlight w:val="none"/>
          <w:lang w:val="en-US" w:eastAsia="zh-CN"/>
        </w:rPr>
        <w:t>完成</w:t>
      </w:r>
      <w:r>
        <w:rPr>
          <w:rFonts w:hint="eastAsia" w:ascii="宋体" w:hAnsi="宋体" w:eastAsia="宋体" w:cs="宋体"/>
          <w:color w:val="auto"/>
          <w:sz w:val="21"/>
          <w:szCs w:val="21"/>
          <w:highlight w:val="none"/>
        </w:rPr>
        <w:t>整改。该项目发生任何人身安全事故或危及甲方生产运行的不安全情况，乙方必须立即报告甲方，并采取有效的防护措施防止事故的进一步扩大，减少损失。</w:t>
      </w:r>
    </w:p>
    <w:p w14:paraId="4CD5E816">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8、甲方有权对乙方从事特种作业人员</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资格进行验证，禁止乙方未持有相应有效特种作业操作资格证件的人员从事特种作业。</w:t>
      </w:r>
    </w:p>
    <w:p w14:paraId="5F745BB5">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9、甲方有权要求安全管理不到位、存在重大安全隐患或发生安全事故的</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限期退场和终止承包合同。</w:t>
      </w:r>
    </w:p>
    <w:p w14:paraId="1BB9FDDB">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10、有义务对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发生生产安全事故时提供协助救援服务。</w:t>
      </w:r>
    </w:p>
    <w:p w14:paraId="1EBFE2CB">
      <w:pPr>
        <w:numPr>
          <w:ilvl w:val="0"/>
          <w:numId w:val="6"/>
        </w:numPr>
        <w:spacing w:before="0" w:beforeLines="0" w:after="0" w:afterLines="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乙方的责任、权力和义务</w:t>
      </w:r>
    </w:p>
    <w:p w14:paraId="15BA4BD7">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1、乙方所提供的承包工程要求的相关资质证明材料应真实、合法、有效。</w:t>
      </w:r>
    </w:p>
    <w:p w14:paraId="6FC2A7BE">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2、乙方应认真贯彻执行国家安全生产政策、法规和行业安全规程、规定及甲方制定的各项安全管理制度，自觉遵守本协议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有权</w:t>
      </w:r>
      <w:r>
        <w:rPr>
          <w:rFonts w:hint="eastAsia" w:ascii="宋体" w:hAnsi="宋体" w:eastAsia="宋体" w:cs="宋体"/>
          <w:color w:val="auto"/>
          <w:sz w:val="21"/>
          <w:szCs w:val="21"/>
          <w:highlight w:val="none"/>
          <w:lang w:val="en-US" w:eastAsia="zh-CN"/>
        </w:rPr>
        <w:t>请</w:t>
      </w:r>
      <w:r>
        <w:rPr>
          <w:rFonts w:hint="eastAsia" w:ascii="宋体" w:hAnsi="宋体" w:eastAsia="宋体" w:cs="宋体"/>
          <w:color w:val="auto"/>
          <w:sz w:val="21"/>
          <w:szCs w:val="21"/>
          <w:highlight w:val="none"/>
        </w:rPr>
        <w:t>求甲方统一协调涉及双方的重大安全生产问题。</w:t>
      </w:r>
    </w:p>
    <w:p w14:paraId="120ADD41">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3、乙方应建立安全生产保证体系及安全组织机构，配备专职安全生产管理人员对作业现场进行安全管理</w:t>
      </w:r>
      <w:r>
        <w:rPr>
          <w:rFonts w:hint="eastAsia" w:ascii="宋体" w:hAnsi="宋体" w:eastAsia="宋体" w:cs="宋体"/>
          <w:color w:val="auto"/>
          <w:sz w:val="21"/>
          <w:szCs w:val="21"/>
          <w:highlight w:val="none"/>
          <w:lang w:eastAsia="zh-CN"/>
        </w:rPr>
        <w:t>，建立健全本单位安全</w:t>
      </w:r>
      <w:r>
        <w:rPr>
          <w:rFonts w:hint="eastAsia" w:ascii="宋体" w:hAnsi="宋体" w:eastAsia="宋体" w:cs="宋体"/>
          <w:color w:val="auto"/>
          <w:sz w:val="21"/>
          <w:szCs w:val="21"/>
          <w:highlight w:val="none"/>
          <w:lang w:val="en-US" w:eastAsia="zh-CN"/>
        </w:rPr>
        <w:t>生产</w:t>
      </w:r>
      <w:r>
        <w:rPr>
          <w:rFonts w:hint="eastAsia" w:ascii="宋体" w:hAnsi="宋体" w:eastAsia="宋体" w:cs="宋体"/>
          <w:color w:val="auto"/>
          <w:sz w:val="21"/>
          <w:szCs w:val="21"/>
          <w:highlight w:val="none"/>
          <w:lang w:eastAsia="zh-CN"/>
        </w:rPr>
        <w:t>责任制、安全生产规章制度和各工种安全操作规程</w:t>
      </w:r>
      <w:r>
        <w:rPr>
          <w:rFonts w:hint="eastAsia" w:ascii="宋体" w:hAnsi="宋体" w:eastAsia="宋体" w:cs="宋体"/>
          <w:color w:val="auto"/>
          <w:sz w:val="21"/>
          <w:szCs w:val="21"/>
          <w:highlight w:val="none"/>
        </w:rPr>
        <w:t>。</w:t>
      </w:r>
    </w:p>
    <w:p w14:paraId="5FFB1BBB">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乙方在该项目建设及运营期间，应遵守甲方安全管理规定，接受甲方的监督；严格遵守国家工程建设有关技术标准和规范，遵循国家安全规范，按照甲方要求做好设备设施的保护措施，且不对甲方污水处理设施、设备的正常运行产生影响或对安全运行构成干扰和妨碍，否则乙方应采取措施予以消除，并承担全部责任和损失、费用。</w:t>
      </w:r>
    </w:p>
    <w:p w14:paraId="5D12FCD1">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每逢法定节日（含元旦、春节、清明、端午、五一、中秋、国庆）或甲方上级单位或市有关部门进行监督检查时，乙方应无条件配合甲方及有关部门组织的突击性任务及迎检活动，按时、按标准、按要求完成甲方所分配的工作。乙方应积极响应并接受市、镇街相关部门及其他上级部门的监督检查以及接受广大市民监督。</w:t>
      </w:r>
    </w:p>
    <w:p w14:paraId="3593EE54">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、乙方人员从事特种作业的，必须要持有相应有效的特种作业操作资格证。</w:t>
      </w:r>
    </w:p>
    <w:p w14:paraId="443F2E04">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、乙方必须依法参加工伤保险，为从业人员足额缴纳工伤保险费。为在高危行业岗位或从事危险作业的人员，办理人身意外伤害保险，支付保险费，并将保单复印件交给甲方备案。</w:t>
      </w:r>
    </w:p>
    <w:p w14:paraId="77E297CE">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、乙方根据项目作业实际情况，需在施工组织设计（或施工方案）中编制安全保证措施，对于存在危险性较大的分部分项工程，必须编制有审批程序完整的专项安全施工方案，</w:t>
      </w:r>
      <w:r>
        <w:rPr>
          <w:rFonts w:hint="eastAsia" w:ascii="宋体" w:hAnsi="宋体" w:eastAsia="宋体" w:cs="宋体"/>
          <w:color w:val="auto"/>
          <w:sz w:val="21"/>
          <w:szCs w:val="21"/>
          <w:highlight w:val="none"/>
          <w:lang w:val="en-US" w:eastAsia="zh-CN"/>
        </w:rPr>
        <w:t>根据国家有关规范，对</w:t>
      </w:r>
      <w:r>
        <w:rPr>
          <w:rFonts w:hint="eastAsia" w:ascii="宋体" w:hAnsi="宋体" w:eastAsia="宋体" w:cs="宋体"/>
          <w:color w:val="auto"/>
          <w:sz w:val="21"/>
          <w:szCs w:val="21"/>
          <w:highlight w:val="none"/>
        </w:rPr>
        <w:t>超过一定规模的危险性较大分部分项工程，还需按有关规定对施工方案组织专家论证。</w:t>
      </w:r>
    </w:p>
    <w:p w14:paraId="57440B7C">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、乙方应做好现场作业人员的安全教育和安全技术交底工作，保证现场作业人员全部经安全知识教育培训合格，未经安全教育培训合格者不得组织进入</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施工区域作业。</w:t>
      </w:r>
    </w:p>
    <w:p w14:paraId="3AA36F41">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、乙方须为现场作业人员配备配齐符合国家法律法规及行业标准要求的个人劳动防护用品，并督促教育其作业人员按要求正确穿戴</w:t>
      </w:r>
      <w:r>
        <w:rPr>
          <w:rFonts w:hint="eastAsia" w:ascii="宋体" w:hAnsi="宋体" w:eastAsia="宋体" w:cs="宋体"/>
          <w:color w:val="auto"/>
          <w:sz w:val="21"/>
          <w:szCs w:val="21"/>
          <w:highlight w:val="none"/>
          <w:lang w:val="en-US" w:eastAsia="zh-CN"/>
        </w:rPr>
        <w:t>和使用</w:t>
      </w:r>
      <w:r>
        <w:rPr>
          <w:rFonts w:hint="eastAsia" w:ascii="宋体" w:hAnsi="宋体" w:eastAsia="宋体" w:cs="宋体"/>
          <w:color w:val="auto"/>
          <w:sz w:val="21"/>
          <w:szCs w:val="21"/>
          <w:highlight w:val="none"/>
        </w:rPr>
        <w:t>。</w:t>
      </w:r>
    </w:p>
    <w:p w14:paraId="1D27F432">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、乙方要定期组织对作业现场进行安全检查，对甲方检查后下达的安全隐患整改通知书，应立即组织落实完成整改，并及时书面回复给甲方。如甲方要求，乙方应当向甲方提交安全台账等资料。</w:t>
      </w:r>
    </w:p>
    <w:p w14:paraId="0AF5EAC7">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必须严格执行甲方有关安全生产的制度、规定，服从甲方现场安全生产管理，对承包施工区域或作业活动的安全生产全面负责。</w:t>
      </w:r>
    </w:p>
    <w:p w14:paraId="3891CE39">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自带</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机械设备、设施应符合国家现行有关安全标准，对自带</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机械设备、设施的安全性能和使用、维修全面负责。自用大型机械设备时，应在安装使用前向甲方备案。使用</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特种设备应符合国家有关安全管理规定。</w:t>
      </w:r>
    </w:p>
    <w:p w14:paraId="7CF237B2">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、乙方有权拒绝甲方人员的违章指挥和提供的不安全</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设施</w:t>
      </w:r>
      <w:r>
        <w:rPr>
          <w:rFonts w:hint="eastAsia" w:ascii="宋体" w:hAnsi="宋体" w:eastAsia="宋体" w:cs="宋体"/>
          <w:color w:val="auto"/>
          <w:sz w:val="21"/>
          <w:szCs w:val="21"/>
          <w:highlight w:val="none"/>
          <w:lang w:val="en-US" w:eastAsia="zh-CN"/>
        </w:rPr>
        <w:t>设备</w:t>
      </w:r>
      <w:r>
        <w:rPr>
          <w:rFonts w:hint="eastAsia" w:ascii="宋体" w:hAnsi="宋体" w:eastAsia="宋体" w:cs="宋体"/>
          <w:color w:val="auto"/>
          <w:sz w:val="21"/>
          <w:szCs w:val="21"/>
          <w:highlight w:val="none"/>
        </w:rPr>
        <w:t>。</w:t>
      </w:r>
    </w:p>
    <w:p w14:paraId="3D46FCCD">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、乙方人员必须在双方确认的范围内作业，不得超出施工或运营范围，</w:t>
      </w:r>
      <w:r>
        <w:rPr>
          <w:rFonts w:hint="eastAsia" w:ascii="宋体" w:hAnsi="宋体" w:eastAsia="宋体" w:cs="宋体"/>
          <w:color w:val="auto"/>
          <w:sz w:val="21"/>
          <w:szCs w:val="21"/>
          <w:highlight w:val="none"/>
          <w:lang w:val="en-US" w:eastAsia="zh-CN"/>
        </w:rPr>
        <w:t>超出承包范围</w:t>
      </w:r>
      <w:r>
        <w:rPr>
          <w:rFonts w:hint="eastAsia" w:ascii="宋体" w:hAnsi="宋体" w:eastAsia="宋体" w:cs="宋体"/>
          <w:color w:val="auto"/>
          <w:sz w:val="21"/>
          <w:szCs w:val="21"/>
          <w:highlight w:val="none"/>
        </w:rPr>
        <w:t>出现人身损害或伤亡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，由乙方自行承担一切责任。乙方人员需动用甲方所属设备、电器、管道以及其他设施等，必须事先征得甲方的同意，并采取安全防护措施。</w:t>
      </w:r>
    </w:p>
    <w:p w14:paraId="55B8F520">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、乙方发生生产安全事故时，乙方应当</w:t>
      </w:r>
      <w:r>
        <w:rPr>
          <w:rFonts w:hint="eastAsia" w:ascii="宋体" w:hAnsi="宋体" w:eastAsia="宋体" w:cs="宋体"/>
          <w:color w:val="auto"/>
          <w:sz w:val="21"/>
          <w:szCs w:val="21"/>
          <w:highlight w:val="none"/>
          <w:lang w:val="en-US" w:eastAsia="zh-CN"/>
        </w:rPr>
        <w:t>立即</w:t>
      </w:r>
      <w:r>
        <w:rPr>
          <w:rFonts w:hint="eastAsia" w:ascii="宋体" w:hAnsi="宋体" w:eastAsia="宋体" w:cs="宋体"/>
          <w:color w:val="auto"/>
          <w:sz w:val="21"/>
          <w:szCs w:val="21"/>
          <w:highlight w:val="none"/>
        </w:rPr>
        <w:t>如实上报给甲方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同时</w:t>
      </w:r>
      <w:r>
        <w:rPr>
          <w:rFonts w:hint="eastAsia" w:ascii="宋体" w:hAnsi="宋体" w:eastAsia="宋体" w:cs="宋体"/>
          <w:color w:val="auto"/>
          <w:sz w:val="21"/>
          <w:szCs w:val="21"/>
          <w:highlight w:val="none"/>
        </w:rPr>
        <w:t>应当采取有效措施防止事故和损失扩大，保护好事故现场，不得瞒报、谎报、迟报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积极配合</w:t>
      </w:r>
      <w:r>
        <w:rPr>
          <w:rFonts w:hint="eastAsia" w:ascii="宋体" w:hAnsi="宋体" w:eastAsia="宋体" w:cs="宋体"/>
          <w:color w:val="auto"/>
          <w:sz w:val="21"/>
          <w:szCs w:val="21"/>
          <w:highlight w:val="none"/>
          <w:lang w:val="en-US" w:eastAsia="zh-CN"/>
        </w:rPr>
        <w:t>开展</w:t>
      </w:r>
      <w:r>
        <w:rPr>
          <w:rFonts w:hint="eastAsia" w:ascii="宋体" w:hAnsi="宋体" w:eastAsia="宋体" w:cs="宋体"/>
          <w:color w:val="auto"/>
          <w:sz w:val="21"/>
          <w:szCs w:val="21"/>
          <w:highlight w:val="none"/>
        </w:rPr>
        <w:t>事故调查</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w:t>
      </w:r>
    </w:p>
    <w:p w14:paraId="7A23D708">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、因乙方责任造成甲方、乙方或第三方人员伤亡事故</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，由乙方承担全部责任。</w:t>
      </w:r>
    </w:p>
    <w:p w14:paraId="68FE2FFA">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、项目建设、运营期间，乙方应按省市有关规定做好</w:t>
      </w:r>
      <w:r>
        <w:rPr>
          <w:rFonts w:hint="eastAsia" w:ascii="宋体" w:hAnsi="宋体" w:eastAsia="宋体" w:cs="宋体"/>
          <w:color w:val="auto"/>
          <w:sz w:val="21"/>
          <w:szCs w:val="21"/>
          <w:highlight w:val="none"/>
          <w:lang w:val="en-US" w:eastAsia="zh-CN"/>
        </w:rPr>
        <w:t>本单位</w:t>
      </w:r>
      <w:r>
        <w:rPr>
          <w:rFonts w:hint="eastAsia" w:ascii="宋体" w:hAnsi="宋体" w:eastAsia="宋体" w:cs="宋体"/>
          <w:color w:val="auto"/>
          <w:sz w:val="21"/>
          <w:szCs w:val="21"/>
          <w:highlight w:val="none"/>
        </w:rPr>
        <w:t>消防、治安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外来人口等管理工作。</w:t>
      </w:r>
    </w:p>
    <w:p w14:paraId="0A2F49FF">
      <w:pPr>
        <w:numPr>
          <w:ilvl w:val="0"/>
          <w:numId w:val="6"/>
        </w:numPr>
        <w:spacing w:before="0" w:beforeLines="0" w:after="0" w:afterLines="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协议主要内容</w:t>
      </w:r>
    </w:p>
    <w:p w14:paraId="63B5FDD1">
      <w:pPr>
        <w:numPr>
          <w:ilvl w:val="-1"/>
          <w:numId w:val="0"/>
        </w:num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乙方应严格执行并遵守甲方的《危险作业安全管理制度》。</w:t>
      </w:r>
    </w:p>
    <w:p w14:paraId="59F96900">
      <w:pPr>
        <w:numPr>
          <w:ilvl w:val="-1"/>
          <w:numId w:val="0"/>
        </w:num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乙方人员禁止在甲方严禁烟火的生产范围内吸烟和使用明火。</w:t>
      </w:r>
    </w:p>
    <w:p w14:paraId="60E7ED16">
      <w:pPr>
        <w:numPr>
          <w:ilvl w:val="-1"/>
          <w:numId w:val="0"/>
        </w:num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乙方人员未经过甲方允许，不得擅自进入甲方生产场所的危险区域。</w:t>
      </w:r>
    </w:p>
    <w:p w14:paraId="5ACE4D7A">
      <w:pPr>
        <w:numPr>
          <w:ilvl w:val="-1"/>
          <w:numId w:val="0"/>
        </w:num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乙方不得弄虚作假，转借、假冒、伪造资质证明，否则发生的一切后果由乙方承担。</w:t>
      </w:r>
    </w:p>
    <w:p w14:paraId="48E09072">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5、乙方人员在甲方有急性中毒或窒息</w:t>
      </w:r>
      <w:r>
        <w:rPr>
          <w:rFonts w:hint="eastAsia" w:ascii="宋体" w:hAnsi="宋体" w:eastAsia="宋体" w:cs="宋体"/>
          <w:color w:val="auto"/>
          <w:sz w:val="21"/>
          <w:szCs w:val="21"/>
          <w:highlight w:val="none"/>
          <w:lang w:eastAsia="zh-CN"/>
        </w:rPr>
        <w:t>风险</w:t>
      </w:r>
      <w:r>
        <w:rPr>
          <w:rFonts w:hint="eastAsia" w:ascii="宋体" w:hAnsi="宋体" w:eastAsia="宋体" w:cs="宋体"/>
          <w:color w:val="auto"/>
          <w:sz w:val="21"/>
          <w:szCs w:val="21"/>
          <w:highlight w:val="none"/>
        </w:rPr>
        <w:t>的危险场所作业时，应严格落实有限空间作业“先通风、后检测、再进入”的制度，正确穿戴好隔离式呼吸器或</w:t>
      </w:r>
      <w:r>
        <w:rPr>
          <w:rFonts w:hint="eastAsia" w:ascii="宋体" w:hAnsi="宋体" w:eastAsia="宋体" w:cs="宋体"/>
          <w:color w:val="auto"/>
          <w:sz w:val="21"/>
          <w:szCs w:val="21"/>
          <w:highlight w:val="none"/>
          <w:lang w:eastAsia="zh-CN"/>
        </w:rPr>
        <w:t>佩戴好</w:t>
      </w:r>
      <w:r>
        <w:rPr>
          <w:rFonts w:hint="eastAsia" w:ascii="宋体" w:hAnsi="宋体" w:eastAsia="宋体" w:cs="宋体"/>
          <w:color w:val="auto"/>
          <w:sz w:val="21"/>
          <w:szCs w:val="21"/>
          <w:highlight w:val="none"/>
        </w:rPr>
        <w:t>防毒面具以及安全带、安全绳等防护用品，作业前应办理《有限空间作业许可证》和组织落实各项防护措施，并派专人监护。没有《有限空间作业许可证》，严禁擅自进行有限空间作业。</w:t>
      </w:r>
    </w:p>
    <w:p w14:paraId="34DC1E8E">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人员在易燃易爆部位或场所从事电焊、氧焊氧割、打磨切割等动火作业时，必须先清理干净作业现场周围易燃易爆物品，配备灭火器材、落实防火措施、派专人监护确认达到动火条件，办理《动火作业许可证》后方可进行动火作业。使用氧气瓶、乙炔瓶时要竖放并有防倾倒措施，且两瓶之间的距离不少于5米，两瓶离动火地点或其它火源至少10米。</w:t>
      </w:r>
    </w:p>
    <w:p w14:paraId="72073D3B">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7、乙方人员从事两米以上的高</w:t>
      </w:r>
      <w:r>
        <w:rPr>
          <w:rFonts w:hint="eastAsia" w:ascii="宋体" w:hAnsi="宋体" w:eastAsia="宋体" w:cs="宋体"/>
          <w:color w:val="auto"/>
          <w:sz w:val="21"/>
          <w:szCs w:val="21"/>
          <w:highlight w:val="none"/>
          <w:lang w:val="en-US" w:eastAsia="zh-CN"/>
        </w:rPr>
        <w:t>处</w:t>
      </w:r>
      <w:r>
        <w:rPr>
          <w:rFonts w:hint="eastAsia" w:ascii="宋体" w:hAnsi="宋体" w:eastAsia="宋体" w:cs="宋体"/>
          <w:color w:val="auto"/>
          <w:sz w:val="21"/>
          <w:szCs w:val="21"/>
          <w:highlight w:val="none"/>
        </w:rPr>
        <w:t>作业，必须佩戴安全帽和安全带，在作业过程中严禁抛掷工具和其它物品，作业面垂直上下方不能同时施工作业，六级（含六级）以上大风严禁高</w:t>
      </w:r>
      <w:r>
        <w:rPr>
          <w:rFonts w:hint="eastAsia" w:ascii="宋体" w:hAnsi="宋体" w:eastAsia="宋体" w:cs="宋体"/>
          <w:color w:val="auto"/>
          <w:sz w:val="21"/>
          <w:szCs w:val="21"/>
          <w:highlight w:val="none"/>
          <w:lang w:val="en-US" w:eastAsia="zh-CN"/>
        </w:rPr>
        <w:t>处</w:t>
      </w:r>
      <w:r>
        <w:rPr>
          <w:rFonts w:hint="eastAsia" w:ascii="宋体" w:hAnsi="宋体" w:eastAsia="宋体" w:cs="宋体"/>
          <w:color w:val="auto"/>
          <w:sz w:val="21"/>
          <w:szCs w:val="21"/>
          <w:highlight w:val="none"/>
        </w:rPr>
        <w:t>作业，在施工前应办理《高</w:t>
      </w:r>
      <w:r>
        <w:rPr>
          <w:rFonts w:hint="eastAsia" w:ascii="宋体" w:hAnsi="宋体" w:eastAsia="宋体" w:cs="宋体"/>
          <w:color w:val="auto"/>
          <w:sz w:val="21"/>
          <w:szCs w:val="21"/>
          <w:highlight w:val="none"/>
          <w:lang w:val="en-US" w:eastAsia="zh-CN"/>
        </w:rPr>
        <w:t>处</w:t>
      </w:r>
      <w:r>
        <w:rPr>
          <w:rFonts w:hint="eastAsia" w:ascii="宋体" w:hAnsi="宋体" w:eastAsia="宋体" w:cs="宋体"/>
          <w:color w:val="auto"/>
          <w:sz w:val="21"/>
          <w:szCs w:val="21"/>
          <w:highlight w:val="none"/>
        </w:rPr>
        <w:t>作业许可证》，设定危险禁戒区，并派专人监护。</w:t>
      </w:r>
    </w:p>
    <w:p w14:paraId="076A3617">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8、乙方人员起吊安装大型设备，需按照国家有关法律法规要求，提前编制专项施工（安装）方案，严格按照审批后的方案进行吊装作业，并做好起吊现场的安全防护措施，设定危险禁戒区，派专人监护。</w:t>
      </w:r>
    </w:p>
    <w:p w14:paraId="3BB11D70">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乙方人员从事动土作业，施工现场应设置防护栏杆、防护盖板和安全警示标志等防护设施，夜间应挂红色警示灯，挖土方应自上而下，不能采取挖底脚的方法挖掘，施工前应办理《动土作业许可证》，并设定危险禁戒区，派专人监护，施工结束后应及时回土，恢复地面设施。</w:t>
      </w:r>
    </w:p>
    <w:p w14:paraId="73131A28">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乙方在甲方生产范围内严禁私自乱拉乱接电线，乙方作业的临时用电应严格执行三级配电两极保护系统，符合“一机一箱一闸一漏保”规范要求，使用的电缆线必须是双层绝缘型，现场的机械设备按要求做好接地或接零保护措施。</w:t>
      </w:r>
    </w:p>
    <w:p w14:paraId="74E9B334">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11、乙方在施工过程中使用危险化学品时，应远离热源、火源和电源，搬运或装卸时要轻拿轻放，严禁拖、拉、滚动，严禁使用易产生撞击火花的工具开启危险化学品。</w:t>
      </w:r>
    </w:p>
    <w:p w14:paraId="3257B72C">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12、乙方应保持施工作业现场的机具、材料摆放整齐有序，施工材料要按规定地点分类堆放，严禁乱扔乱堆，要做到工完料尽场地清，做到文明施工。</w:t>
      </w:r>
    </w:p>
    <w:p w14:paraId="5136D456">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13、未经甲方同意，乙方不得擅自使用与施工无关的甲方设备；不得私拉乱接甲方的水、电等管路、线路；不得擅自拆除、破坏甲方现场的安全防护设施及警示标识。</w:t>
      </w:r>
    </w:p>
    <w:p w14:paraId="2A02D9A2">
      <w:pPr>
        <w:spacing w:beforeLines="0" w:afterLines="0"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14、乙方必须在施工维修或清淤封堵现场设置好封闭围挡、警示标牌、警示隔离、临边洞口防护等安全措施，并不定期进行检查维护，保证施工围挡、警示标志等防护措施完好有效。</w:t>
      </w:r>
    </w:p>
    <w:p w14:paraId="44EE00B1">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15、乙方在施工过程中，因不遵守本《安全生产管理协议》、违章作业、违章指挥或未落实安全防护措施而发生的生产安全事故，一切责任由乙方负责，所发生的经济费用全部由乙方承担。</w:t>
      </w:r>
    </w:p>
    <w:p w14:paraId="70D33D30">
      <w:pPr>
        <w:numPr>
          <w:ilvl w:val="0"/>
          <w:numId w:val="6"/>
        </w:numPr>
        <w:spacing w:before="0" w:beforeLines="0" w:after="0" w:afterLines="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协议补充</w:t>
      </w:r>
    </w:p>
    <w:p w14:paraId="4A513C13">
      <w:pPr>
        <w:numPr>
          <w:ilvl w:val="0"/>
          <w:numId w:val="0"/>
        </w:num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甲乙双方根据法律、行政法规规定，结合作业现场实际，经协商一致，对本协议条款补充或修改约定如下：</w:t>
      </w:r>
    </w:p>
    <w:p w14:paraId="068DEE66">
      <w:pPr>
        <w:numPr>
          <w:ilvl w:val="0"/>
          <w:numId w:val="0"/>
        </w:numPr>
        <w:spacing w:beforeLines="0" w:afterLines="0"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                                                                  </w:t>
      </w:r>
    </w:p>
    <w:p w14:paraId="2F04F363">
      <w:pPr>
        <w:numPr>
          <w:ilvl w:val="0"/>
          <w:numId w:val="6"/>
        </w:numPr>
        <w:spacing w:before="0" w:beforeLines="0" w:after="0" w:afterLines="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其它事项</w:t>
      </w:r>
    </w:p>
    <w:p w14:paraId="6D1BAD69">
      <w:pPr>
        <w:numPr>
          <w:ilvl w:val="0"/>
          <w:numId w:val="0"/>
        </w:numPr>
        <w:spacing w:beforeLines="0" w:afterLines="0"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1、乙方在与甲方签订本协议时，已经熟知本协议内容，并愿意严格遵守，如违反以上协议内容，愿意承担相应的法律责任及经济责任。 </w:t>
      </w:r>
    </w:p>
    <w:p w14:paraId="0132584A">
      <w:pPr>
        <w:numPr>
          <w:ilvl w:val="0"/>
          <w:numId w:val="0"/>
        </w:num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2、本协议与承包合同具有同等效力，期限与承包合同一致，如果承包合同期限有变动，本协议期限也随之变动，承包合同终止时，本协议也一同解除。</w:t>
      </w:r>
    </w:p>
    <w:p w14:paraId="3201F1D5">
      <w:pPr>
        <w:numPr>
          <w:ilvl w:val="0"/>
          <w:numId w:val="0"/>
        </w:num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3、因履行本协议发生争议时，双方应本着友好态度，协商解决；协商不成时，双方一致同意提交甲方住所地有管辖权的人民法院诉讼解决。</w:t>
      </w:r>
    </w:p>
    <w:p w14:paraId="0FA983D5">
      <w:pPr>
        <w:numPr>
          <w:ilvl w:val="0"/>
          <w:numId w:val="0"/>
        </w:numPr>
        <w:spacing w:beforeLines="0" w:afterLines="0" w:line="360" w:lineRule="auto"/>
        <w:ind w:firstLine="420" w:firstLineChars="200"/>
        <w:rPr>
          <w:color w:val="auto"/>
        </w:rPr>
      </w:pPr>
      <w:r>
        <w:rPr>
          <w:rFonts w:hint="eastAsia" w:ascii="宋体" w:hAnsi="宋体" w:eastAsia="宋体" w:cs="宋体"/>
          <w:color w:val="auto"/>
          <w:sz w:val="21"/>
          <w:szCs w:val="21"/>
          <w:highlight w:val="none"/>
        </w:rPr>
        <w:t>4、本协议自甲、乙双方</w:t>
      </w:r>
      <w:r>
        <w:rPr>
          <w:rFonts w:hint="eastAsia" w:ascii="宋体" w:hAnsi="宋体" w:eastAsia="宋体" w:cs="宋体"/>
          <w:color w:val="auto"/>
          <w:sz w:val="21"/>
          <w:szCs w:val="21"/>
          <w:highlight w:val="none"/>
          <w:lang w:val="en-US" w:eastAsia="zh-CN"/>
        </w:rPr>
        <w:t>法定</w:t>
      </w:r>
      <w:r>
        <w:rPr>
          <w:rFonts w:hint="eastAsia" w:ascii="宋体" w:hAnsi="宋体" w:eastAsia="宋体" w:cs="宋体"/>
          <w:color w:val="auto"/>
          <w:sz w:val="21"/>
          <w:szCs w:val="21"/>
          <w:highlight w:val="none"/>
        </w:rPr>
        <w:t>代表</w:t>
      </w:r>
      <w:r>
        <w:rPr>
          <w:rFonts w:hint="eastAsia" w:ascii="宋体" w:hAnsi="宋体" w:eastAsia="宋体" w:cs="宋体"/>
          <w:color w:val="auto"/>
          <w:sz w:val="21"/>
          <w:szCs w:val="21"/>
          <w:highlight w:val="none"/>
          <w:lang w:val="en-US" w:eastAsia="zh-CN"/>
        </w:rPr>
        <w:t>人或授权委托人</w:t>
      </w:r>
      <w:r>
        <w:rPr>
          <w:rFonts w:hint="eastAsia" w:ascii="宋体" w:hAnsi="宋体" w:eastAsia="宋体" w:cs="宋体"/>
          <w:color w:val="auto"/>
          <w:sz w:val="21"/>
          <w:szCs w:val="21"/>
          <w:highlight w:val="none"/>
        </w:rPr>
        <w:t>签字并加盖公章后生效，一式三份，乙方持壹份，甲方持</w:t>
      </w:r>
      <w:r>
        <w:rPr>
          <w:rFonts w:hint="eastAsia" w:ascii="宋体" w:hAnsi="宋体" w:eastAsia="宋体" w:cs="宋体"/>
          <w:color w:val="auto"/>
          <w:sz w:val="21"/>
          <w:szCs w:val="21"/>
          <w:highlight w:val="none"/>
          <w:lang w:val="en-US" w:eastAsia="zh-CN"/>
        </w:rPr>
        <w:t>贰</w:t>
      </w:r>
      <w:r>
        <w:rPr>
          <w:rFonts w:hint="eastAsia" w:ascii="宋体" w:hAnsi="宋体" w:eastAsia="宋体" w:cs="宋体"/>
          <w:color w:val="auto"/>
          <w:sz w:val="21"/>
          <w:szCs w:val="21"/>
          <w:highlight w:val="none"/>
        </w:rPr>
        <w:t>份。</w:t>
      </w:r>
    </w:p>
    <w:p w14:paraId="67DEB32F">
      <w:pPr>
        <w:keepNext w:val="0"/>
        <w:keepLines w:val="0"/>
        <w:pageBreakBefore w:val="0"/>
        <w:kinsoku/>
        <w:wordWrap/>
        <w:overflowPunct/>
        <w:topLinePunct w:val="0"/>
        <w:autoSpaceDE/>
        <w:autoSpaceDN/>
        <w:bidi w:val="0"/>
        <w:adjustRightInd/>
        <w:snapToGrid/>
        <w:spacing w:beforeLines="0" w:afterLines="0"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附件一：</w:t>
      </w:r>
      <w:r>
        <w:rPr>
          <w:rFonts w:hint="eastAsia" w:ascii="宋体" w:hAnsi="宋体" w:eastAsia="宋体" w:cs="宋体"/>
          <w:color w:val="auto"/>
          <w:sz w:val="21"/>
          <w:szCs w:val="21"/>
          <w:highlight w:val="none"/>
        </w:rPr>
        <w:t>东莞市水务集团管网有限公司危险作业安全管理</w:t>
      </w:r>
      <w:r>
        <w:rPr>
          <w:rFonts w:hint="eastAsia" w:ascii="宋体" w:hAnsi="宋体" w:eastAsia="宋体" w:cs="宋体"/>
          <w:color w:val="auto"/>
          <w:sz w:val="21"/>
          <w:szCs w:val="21"/>
          <w:highlight w:val="none"/>
          <w:lang w:val="en-US" w:eastAsia="zh-CN"/>
        </w:rPr>
        <w:t>办法</w:t>
      </w:r>
    </w:p>
    <w:p w14:paraId="6536294B">
      <w:pPr>
        <w:keepNext w:val="0"/>
        <w:keepLines w:val="0"/>
        <w:pageBreakBefore w:val="0"/>
        <w:widowControl w:val="0"/>
        <w:kinsoku/>
        <w:wordWrap/>
        <w:overflowPunct/>
        <w:topLinePunct w:val="0"/>
        <w:autoSpaceDE/>
        <w:autoSpaceDN/>
        <w:bidi w:val="0"/>
        <w:adjustRightInd/>
        <w:snapToGrid/>
        <w:spacing w:before="0" w:beforeLines="0" w:afterLines="0" w:line="360" w:lineRule="auto"/>
        <w:ind w:left="0"/>
        <w:jc w:val="both"/>
        <w:textAlignment w:val="auto"/>
        <w:rPr>
          <w:rFonts w:hint="eastAsia" w:ascii="宋体" w:hAnsi="宋体" w:eastAsia="宋体" w:cs="宋体"/>
          <w:color w:val="auto"/>
          <w:kern w:val="2"/>
          <w:sz w:val="21"/>
          <w:szCs w:val="21"/>
          <w:highlight w:val="none"/>
          <w:lang w:val="zh-CN" w:eastAsia="zh-CN" w:bidi="zh-CN"/>
        </w:rPr>
      </w:pPr>
    </w:p>
    <w:p w14:paraId="2765F9B3">
      <w:pPr>
        <w:pStyle w:val="202"/>
        <w:rPr>
          <w:rFonts w:hint="eastAsia" w:ascii="宋体" w:hAnsi="宋体" w:eastAsia="宋体" w:cs="宋体"/>
          <w:color w:val="auto"/>
          <w:kern w:val="2"/>
          <w:sz w:val="21"/>
          <w:szCs w:val="21"/>
          <w:highlight w:val="none"/>
          <w:lang w:val="zh-CN" w:eastAsia="zh-CN" w:bidi="zh-CN"/>
        </w:rPr>
      </w:pPr>
    </w:p>
    <w:p w14:paraId="70CAFC6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甲方</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：（公章）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p>
    <w:p w14:paraId="249EA6B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p>
    <w:p w14:paraId="364DB63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法定</w:t>
      </w:r>
      <w:r>
        <w:rPr>
          <w:rFonts w:hint="eastAsia" w:ascii="宋体" w:hAnsi="宋体" w:eastAsia="宋体" w:cs="宋体"/>
          <w:color w:val="auto"/>
          <w:sz w:val="21"/>
          <w:szCs w:val="21"/>
        </w:rPr>
        <w:t>代表人</w:t>
      </w:r>
      <w:r>
        <w:rPr>
          <w:rFonts w:hint="eastAsia" w:ascii="宋体" w:hAnsi="宋体" w:eastAsia="宋体" w:cs="宋体"/>
          <w:color w:val="auto"/>
          <w:sz w:val="21"/>
          <w:szCs w:val="21"/>
          <w:lang w:val="en-US" w:eastAsia="zh-CN"/>
        </w:rPr>
        <w:t>/授权委托人</w:t>
      </w:r>
      <w:r>
        <w:rPr>
          <w:rFonts w:hint="eastAsia" w:ascii="宋体" w:hAnsi="宋体" w:eastAsia="宋体" w:cs="宋体"/>
          <w:color w:val="auto"/>
          <w:sz w:val="21"/>
          <w:szCs w:val="21"/>
        </w:rPr>
        <w:t xml:space="preserve">（签字）：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p>
    <w:p w14:paraId="1FE6020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xml:space="preserve">日期：    年   月   日   </w:t>
      </w:r>
      <w:r>
        <w:rPr>
          <w:rFonts w:hint="eastAsia" w:ascii="宋体" w:hAnsi="宋体" w:eastAsia="宋体" w:cs="宋体"/>
          <w:color w:val="auto"/>
          <w:sz w:val="21"/>
          <w:szCs w:val="21"/>
          <w:lang w:val="en-US" w:eastAsia="zh-CN"/>
        </w:rPr>
        <w:t xml:space="preserve">        </w:t>
      </w:r>
    </w:p>
    <w:p w14:paraId="593BE89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p>
    <w:p w14:paraId="5BA5824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0AD38CB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甲方</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：（公章）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p>
    <w:p w14:paraId="3E976D3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p>
    <w:p w14:paraId="52649F8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法定</w:t>
      </w:r>
      <w:r>
        <w:rPr>
          <w:rFonts w:hint="eastAsia" w:ascii="宋体" w:hAnsi="宋体" w:eastAsia="宋体" w:cs="宋体"/>
          <w:color w:val="auto"/>
          <w:sz w:val="21"/>
          <w:szCs w:val="21"/>
        </w:rPr>
        <w:t>代表人</w:t>
      </w:r>
      <w:r>
        <w:rPr>
          <w:rFonts w:hint="eastAsia" w:ascii="宋体" w:hAnsi="宋体" w:eastAsia="宋体" w:cs="宋体"/>
          <w:color w:val="auto"/>
          <w:sz w:val="21"/>
          <w:szCs w:val="21"/>
          <w:lang w:val="en-US" w:eastAsia="zh-CN"/>
        </w:rPr>
        <w:t>/授权委托人</w:t>
      </w:r>
      <w:r>
        <w:rPr>
          <w:rFonts w:hint="eastAsia" w:ascii="宋体" w:hAnsi="宋体" w:eastAsia="宋体" w:cs="宋体"/>
          <w:color w:val="auto"/>
          <w:sz w:val="21"/>
          <w:szCs w:val="21"/>
        </w:rPr>
        <w:t xml:space="preserve">（签字）：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p>
    <w:p w14:paraId="0EFAADBA">
      <w:pPr>
        <w:pStyle w:val="2"/>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xml:space="preserve">日期：    年   月   日   </w:t>
      </w:r>
      <w:r>
        <w:rPr>
          <w:rFonts w:hint="eastAsia" w:ascii="宋体" w:hAnsi="宋体" w:eastAsia="宋体" w:cs="宋体"/>
          <w:color w:val="auto"/>
          <w:sz w:val="21"/>
          <w:szCs w:val="21"/>
          <w:lang w:val="en-US" w:eastAsia="zh-CN"/>
        </w:rPr>
        <w:t xml:space="preserve">    </w:t>
      </w:r>
    </w:p>
    <w:p w14:paraId="5948250C">
      <w:pPr>
        <w:pStyle w:val="2"/>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lang w:val="en-US" w:eastAsia="zh-CN"/>
        </w:rPr>
      </w:pPr>
    </w:p>
    <w:p w14:paraId="4980F61E">
      <w:pPr>
        <w:pStyle w:val="2"/>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lang w:val="en-US" w:eastAsia="zh-CN"/>
        </w:rPr>
      </w:pPr>
    </w:p>
    <w:p w14:paraId="1A4DC07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甲方</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 xml:space="preserve">：（公章）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p>
    <w:p w14:paraId="468E713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p>
    <w:p w14:paraId="65C5A69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法定</w:t>
      </w:r>
      <w:r>
        <w:rPr>
          <w:rFonts w:hint="eastAsia" w:ascii="宋体" w:hAnsi="宋体" w:eastAsia="宋体" w:cs="宋体"/>
          <w:color w:val="auto"/>
          <w:sz w:val="21"/>
          <w:szCs w:val="21"/>
        </w:rPr>
        <w:t>代表人</w:t>
      </w:r>
      <w:r>
        <w:rPr>
          <w:rFonts w:hint="eastAsia" w:ascii="宋体" w:hAnsi="宋体" w:eastAsia="宋体" w:cs="宋体"/>
          <w:color w:val="auto"/>
          <w:sz w:val="21"/>
          <w:szCs w:val="21"/>
          <w:lang w:val="en-US" w:eastAsia="zh-CN"/>
        </w:rPr>
        <w:t>/授权委托人</w:t>
      </w:r>
      <w:r>
        <w:rPr>
          <w:rFonts w:hint="eastAsia" w:ascii="宋体" w:hAnsi="宋体" w:eastAsia="宋体" w:cs="宋体"/>
          <w:color w:val="auto"/>
          <w:sz w:val="21"/>
          <w:szCs w:val="21"/>
        </w:rPr>
        <w:t xml:space="preserve">（签字）：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p>
    <w:p w14:paraId="01F69056">
      <w:pPr>
        <w:pStyle w:val="2"/>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xml:space="preserve">日期：    年   月   日   </w:t>
      </w:r>
      <w:r>
        <w:rPr>
          <w:rFonts w:hint="eastAsia" w:ascii="宋体" w:hAnsi="宋体" w:eastAsia="宋体" w:cs="宋体"/>
          <w:color w:val="auto"/>
          <w:sz w:val="21"/>
          <w:szCs w:val="21"/>
          <w:lang w:val="en-US" w:eastAsia="zh-CN"/>
        </w:rPr>
        <w:t xml:space="preserve">    </w:t>
      </w:r>
    </w:p>
    <w:p w14:paraId="5501432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lang w:eastAsia="zh-CN"/>
        </w:rPr>
      </w:pPr>
    </w:p>
    <w:p w14:paraId="288807CA">
      <w:pPr>
        <w:pStyle w:val="202"/>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lang w:eastAsia="zh-CN"/>
        </w:rPr>
      </w:pPr>
    </w:p>
    <w:p w14:paraId="60E6D38D">
      <w:pPr>
        <w:pStyle w:val="2"/>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乙方：（</w:t>
      </w:r>
      <w:r>
        <w:rPr>
          <w:rFonts w:hint="eastAsia" w:ascii="宋体" w:hAnsi="宋体" w:eastAsia="宋体" w:cs="宋体"/>
          <w:b w:val="0"/>
          <w:bCs w:val="0"/>
          <w:color w:val="auto"/>
          <w:sz w:val="21"/>
          <w:szCs w:val="21"/>
          <w:lang w:val="en-US" w:eastAsia="zh-CN"/>
        </w:rPr>
        <w:t>公章）</w:t>
      </w:r>
    </w:p>
    <w:p w14:paraId="629F5620">
      <w:pPr>
        <w:pStyle w:val="2"/>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1"/>
          <w:szCs w:val="21"/>
          <w:lang w:val="en-US" w:eastAsia="zh-CN"/>
        </w:rPr>
      </w:pPr>
    </w:p>
    <w:p w14:paraId="17D2FA2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法定</w:t>
      </w:r>
      <w:r>
        <w:rPr>
          <w:rFonts w:hint="eastAsia" w:ascii="宋体" w:hAnsi="宋体" w:eastAsia="宋体" w:cs="宋体"/>
          <w:color w:val="auto"/>
          <w:sz w:val="21"/>
          <w:szCs w:val="21"/>
        </w:rPr>
        <w:t>代表人</w:t>
      </w:r>
      <w:r>
        <w:rPr>
          <w:rFonts w:hint="eastAsia" w:ascii="宋体" w:hAnsi="宋体" w:eastAsia="宋体" w:cs="宋体"/>
          <w:color w:val="auto"/>
          <w:sz w:val="21"/>
          <w:szCs w:val="21"/>
          <w:lang w:val="en-US" w:eastAsia="zh-CN"/>
        </w:rPr>
        <w:t>/授权委托人</w:t>
      </w:r>
      <w:r>
        <w:rPr>
          <w:rFonts w:hint="eastAsia" w:ascii="宋体" w:hAnsi="宋体" w:eastAsia="宋体" w:cs="宋体"/>
          <w:color w:val="auto"/>
          <w:sz w:val="21"/>
          <w:szCs w:val="21"/>
        </w:rPr>
        <w:t>（签字）：</w:t>
      </w:r>
    </w:p>
    <w:p w14:paraId="4764572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日期：    年   月   日</w:t>
      </w:r>
    </w:p>
    <w:p w14:paraId="133AC638">
      <w:pPr>
        <w:spacing w:beforeLines="0" w:afterLines="0" w:line="600" w:lineRule="exact"/>
        <w:ind w:firstLine="0" w:firstLineChars="0"/>
        <w:jc w:val="center"/>
        <w:rPr>
          <w:rFonts w:ascii="Times New Roman" w:hAnsi="Times New Roman" w:eastAsia="方正小标宋简体"/>
          <w:color w:val="auto"/>
          <w:sz w:val="44"/>
          <w:szCs w:val="44"/>
        </w:rPr>
      </w:pPr>
      <w:r>
        <w:rPr>
          <w:rFonts w:ascii="Times New Roman" w:hAnsi="Times New Roman" w:eastAsia="方正小标宋简体"/>
          <w:color w:val="auto"/>
          <w:sz w:val="44"/>
          <w:szCs w:val="44"/>
        </w:rPr>
        <w:t>东莞市水务集团管网有限公司</w:t>
      </w:r>
    </w:p>
    <w:p w14:paraId="6EC5F6F4">
      <w:pPr>
        <w:spacing w:beforeLines="0" w:afterLines="0" w:line="600" w:lineRule="exact"/>
        <w:ind w:firstLine="0" w:firstLineChars="0"/>
        <w:jc w:val="center"/>
        <w:rPr>
          <w:rFonts w:ascii="Times New Roman" w:hAnsi="Times New Roman" w:eastAsia="方正小标宋简体"/>
          <w:color w:val="auto"/>
          <w:sz w:val="44"/>
          <w:szCs w:val="44"/>
        </w:rPr>
      </w:pPr>
      <w:r>
        <w:rPr>
          <w:rFonts w:ascii="Times New Roman" w:hAnsi="Times New Roman" w:eastAsia="方正小标宋简体"/>
          <w:color w:val="auto"/>
          <w:sz w:val="44"/>
          <w:szCs w:val="44"/>
        </w:rPr>
        <w:t>危险作业安全管理</w:t>
      </w:r>
      <w:r>
        <w:rPr>
          <w:rFonts w:hint="eastAsia" w:ascii="Times New Roman" w:hAnsi="Times New Roman" w:eastAsia="方正小标宋简体"/>
          <w:color w:val="auto"/>
          <w:sz w:val="44"/>
          <w:szCs w:val="44"/>
          <w:lang w:val="en-US" w:eastAsia="zh-CN"/>
        </w:rPr>
        <w:t>办法</w:t>
      </w:r>
    </w:p>
    <w:p w14:paraId="77E096DC">
      <w:pPr>
        <w:spacing w:beforeLines="0" w:afterLines="0" w:line="600" w:lineRule="exact"/>
        <w:ind w:firstLine="0"/>
        <w:jc w:val="center"/>
        <w:rPr>
          <w:rFonts w:ascii="Times New Roman" w:hAnsi="Times New Roman" w:eastAsia="黑体"/>
          <w:color w:val="auto"/>
          <w:sz w:val="32"/>
          <w:szCs w:val="32"/>
        </w:rPr>
      </w:pPr>
    </w:p>
    <w:p w14:paraId="798A1821">
      <w:pPr>
        <w:spacing w:beforeLines="0" w:afterLines="0" w:line="600" w:lineRule="exact"/>
        <w:ind w:firstLine="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第一章 总则</w:t>
      </w:r>
    </w:p>
    <w:p w14:paraId="570540E8">
      <w:pPr>
        <w:spacing w:beforeLines="0" w:afterLines="0" w:line="440" w:lineRule="exact"/>
        <w:ind w:firstLine="640"/>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b/>
          <w:bCs/>
          <w:color w:val="auto"/>
          <w:kern w:val="0"/>
          <w:sz w:val="21"/>
          <w:szCs w:val="21"/>
          <w:shd w:val="clear" w:color="auto" w:fill="FFFFFF"/>
          <w:lang w:bidi="ar"/>
        </w:rPr>
        <w:t>第一条</w:t>
      </w:r>
      <w:r>
        <w:rPr>
          <w:rFonts w:hint="eastAsia" w:ascii="宋体" w:hAnsi="宋体" w:eastAsia="宋体" w:cs="宋体"/>
          <w:color w:val="auto"/>
          <w:kern w:val="0"/>
          <w:sz w:val="21"/>
          <w:szCs w:val="21"/>
          <w:shd w:val="clear" w:color="auto" w:fill="FFFFFF"/>
          <w:lang w:bidi="ar"/>
        </w:rPr>
        <w:t xml:space="preserve"> 为规范东莞市水务集团管网有限公司（以下简称“管网公司”）危险作业的安全管理工作，有效管控作业过程风险，防范事故的发生，根据《安全生产法》《企业安全生产标准化基本规范》等法律法规以及技术规范，制定本</w:t>
      </w:r>
      <w:r>
        <w:rPr>
          <w:rFonts w:hint="eastAsia" w:ascii="宋体" w:hAnsi="宋体" w:eastAsia="宋体" w:cs="宋体"/>
          <w:color w:val="auto"/>
          <w:kern w:val="0"/>
          <w:sz w:val="21"/>
          <w:szCs w:val="21"/>
          <w:shd w:val="clear" w:color="auto" w:fill="FFFFFF"/>
          <w:lang w:val="en-US" w:eastAsia="zh-CN" w:bidi="ar"/>
        </w:rPr>
        <w:t>办法</w:t>
      </w:r>
      <w:r>
        <w:rPr>
          <w:rFonts w:hint="eastAsia" w:ascii="宋体" w:hAnsi="宋体" w:eastAsia="宋体" w:cs="宋体"/>
          <w:color w:val="auto"/>
          <w:kern w:val="0"/>
          <w:sz w:val="21"/>
          <w:szCs w:val="21"/>
          <w:shd w:val="clear" w:color="auto" w:fill="FFFFFF"/>
          <w:lang w:bidi="ar"/>
        </w:rPr>
        <w:t>。</w:t>
      </w:r>
    </w:p>
    <w:p w14:paraId="2E4CB0C7">
      <w:pPr>
        <w:spacing w:beforeLines="0" w:afterLines="0" w:line="440" w:lineRule="exact"/>
        <w:ind w:firstLine="640"/>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b/>
          <w:bCs/>
          <w:color w:val="auto"/>
          <w:kern w:val="0"/>
          <w:sz w:val="21"/>
          <w:szCs w:val="21"/>
          <w:shd w:val="clear" w:color="auto" w:fill="FFFFFF"/>
          <w:lang w:bidi="ar"/>
        </w:rPr>
        <w:t>第二条</w:t>
      </w:r>
      <w:r>
        <w:rPr>
          <w:rFonts w:hint="eastAsia" w:ascii="宋体" w:hAnsi="宋体" w:eastAsia="宋体" w:cs="宋体"/>
          <w:b w:val="0"/>
          <w:bCs w:val="0"/>
          <w:color w:val="auto"/>
          <w:kern w:val="0"/>
          <w:sz w:val="21"/>
          <w:szCs w:val="21"/>
          <w:shd w:val="clear" w:color="auto" w:fill="FFFFFF"/>
          <w:lang w:val="en-US" w:eastAsia="zh-CN" w:bidi="ar"/>
        </w:rPr>
        <w:t xml:space="preserve"> </w:t>
      </w:r>
      <w:r>
        <w:rPr>
          <w:rFonts w:hint="eastAsia" w:ascii="宋体" w:hAnsi="宋体" w:eastAsia="宋体" w:cs="宋体"/>
          <w:b w:val="0"/>
          <w:bCs/>
          <w:color w:val="auto"/>
          <w:sz w:val="21"/>
          <w:szCs w:val="21"/>
          <w:highlight w:val="none"/>
          <w:lang w:val="en-US" w:eastAsia="zh-CN"/>
        </w:rPr>
        <w:t>危险作业是指任务情况特殊，不适于执行一般性安全规程，安全可靠性较差，容易发生人身伤亡或设备损坏事故，且后果严重，需采取特别控制措施的特殊作业。管网公司危险作业主要包括：吊装作业、有限空间作业、高处作业、动土作业、动火作业、临时用电作业、断路作业等。</w:t>
      </w:r>
    </w:p>
    <w:p w14:paraId="53725E54">
      <w:pPr>
        <w:spacing w:beforeLines="0" w:afterLines="0" w:line="440" w:lineRule="exact"/>
        <w:ind w:firstLine="64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shd w:val="clear" w:color="auto" w:fill="FFFFFF"/>
          <w:lang w:bidi="ar"/>
        </w:rPr>
        <w:t>第三条</w:t>
      </w:r>
      <w:r>
        <w:rPr>
          <w:rFonts w:hint="eastAsia" w:ascii="宋体" w:hAnsi="宋体" w:eastAsia="宋体" w:cs="宋体"/>
          <w:color w:val="auto"/>
          <w:kern w:val="0"/>
          <w:sz w:val="21"/>
          <w:szCs w:val="21"/>
          <w:shd w:val="clear" w:color="auto" w:fill="FFFFFF"/>
          <w:lang w:bidi="ar"/>
        </w:rPr>
        <w:t xml:space="preserve"> </w:t>
      </w:r>
      <w:r>
        <w:rPr>
          <w:rFonts w:hint="eastAsia" w:ascii="宋体" w:hAnsi="宋体" w:eastAsia="宋体" w:cs="宋体"/>
          <w:color w:val="auto"/>
          <w:sz w:val="21"/>
          <w:szCs w:val="21"/>
          <w:highlight w:val="none"/>
          <w:lang w:eastAsia="zh-CN"/>
        </w:rPr>
        <w:t>本</w:t>
      </w:r>
      <w:r>
        <w:rPr>
          <w:rFonts w:hint="eastAsia" w:ascii="宋体" w:hAnsi="宋体" w:eastAsia="宋体" w:cs="宋体"/>
          <w:color w:val="auto"/>
          <w:sz w:val="21"/>
          <w:szCs w:val="21"/>
          <w:highlight w:val="none"/>
          <w:lang w:val="en-US" w:eastAsia="zh-CN"/>
        </w:rPr>
        <w:t>办法适用于</w:t>
      </w:r>
      <w:r>
        <w:rPr>
          <w:rFonts w:hint="eastAsia" w:ascii="宋体" w:hAnsi="宋体" w:eastAsia="宋体" w:cs="宋体"/>
          <w:color w:val="auto"/>
          <w:sz w:val="21"/>
          <w:szCs w:val="21"/>
          <w:highlight w:val="none"/>
          <w:lang w:eastAsia="zh-CN"/>
        </w:rPr>
        <w:t>公司及各部门、直属企业，“公司”是指东莞市水务集团管网有限公司，“直属企业”是指东莞市水务集团管网有限公司拥有实际管理控制权的全资、控股企业，“部门”是指公司各部室、分公司。</w:t>
      </w:r>
      <w:r>
        <w:rPr>
          <w:rFonts w:hint="eastAsia" w:ascii="宋体" w:hAnsi="宋体" w:eastAsia="宋体" w:cs="宋体"/>
          <w:color w:val="auto"/>
          <w:sz w:val="21"/>
          <w:szCs w:val="21"/>
          <w:highlight w:val="none"/>
          <w:lang w:val="en-US" w:eastAsia="zh-CN"/>
        </w:rPr>
        <w:t>各直属企业遵照本办法执行。</w:t>
      </w:r>
    </w:p>
    <w:p w14:paraId="6777F6BF">
      <w:pPr>
        <w:spacing w:beforeLines="0" w:afterLines="0" w:line="440" w:lineRule="exact"/>
        <w:ind w:firstLine="640"/>
        <w:rPr>
          <w:rFonts w:hint="eastAsia" w:ascii="宋体" w:hAnsi="宋体" w:eastAsia="宋体" w:cs="宋体"/>
          <w:color w:val="auto"/>
          <w:sz w:val="21"/>
          <w:szCs w:val="21"/>
          <w:highlight w:val="none"/>
          <w:lang w:val="en-US" w:eastAsia="zh-CN"/>
        </w:rPr>
      </w:pPr>
    </w:p>
    <w:p w14:paraId="423A6A2D">
      <w:pPr>
        <w:spacing w:beforeLines="0" w:afterLines="0" w:line="440" w:lineRule="exact"/>
        <w:ind w:firstLine="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第二章 职责</w:t>
      </w:r>
    </w:p>
    <w:p w14:paraId="7FDD2179">
      <w:pPr>
        <w:spacing w:beforeLines="0" w:afterLines="0" w:line="440" w:lineRule="exact"/>
        <w:ind w:firstLine="640"/>
        <w:jc w:val="left"/>
        <w:rPr>
          <w:rFonts w:hint="eastAsia" w:ascii="宋体" w:hAnsi="宋体" w:eastAsia="宋体" w:cs="宋体"/>
          <w:color w:val="auto"/>
          <w:kern w:val="0"/>
          <w:sz w:val="21"/>
          <w:szCs w:val="21"/>
          <w:shd w:val="clear" w:color="auto" w:fill="FFFFFF"/>
          <w:lang w:bidi="ar"/>
        </w:rPr>
      </w:pPr>
      <w:r>
        <w:rPr>
          <w:rFonts w:hint="eastAsia" w:ascii="宋体" w:hAnsi="宋体" w:eastAsia="宋体" w:cs="宋体"/>
          <w:b/>
          <w:bCs/>
          <w:color w:val="auto"/>
          <w:kern w:val="0"/>
          <w:sz w:val="21"/>
          <w:szCs w:val="21"/>
          <w:shd w:val="clear" w:color="auto" w:fill="FFFFFF"/>
          <w:lang w:bidi="ar"/>
        </w:rPr>
        <w:t>第</w:t>
      </w:r>
      <w:r>
        <w:rPr>
          <w:rFonts w:hint="eastAsia" w:ascii="宋体" w:hAnsi="宋体" w:eastAsia="宋体" w:cs="宋体"/>
          <w:b/>
          <w:bCs/>
          <w:color w:val="auto"/>
          <w:kern w:val="0"/>
          <w:sz w:val="21"/>
          <w:szCs w:val="21"/>
          <w:shd w:val="clear" w:color="auto" w:fill="FFFFFF"/>
          <w:lang w:val="en-US" w:eastAsia="zh-CN" w:bidi="ar"/>
        </w:rPr>
        <w:t>四</w:t>
      </w:r>
      <w:r>
        <w:rPr>
          <w:rFonts w:hint="eastAsia" w:ascii="宋体" w:hAnsi="宋体" w:eastAsia="宋体" w:cs="宋体"/>
          <w:b/>
          <w:bCs/>
          <w:color w:val="auto"/>
          <w:kern w:val="0"/>
          <w:sz w:val="21"/>
          <w:szCs w:val="21"/>
          <w:shd w:val="clear" w:color="auto" w:fill="FFFFFF"/>
          <w:lang w:bidi="ar"/>
        </w:rPr>
        <w:t xml:space="preserve">条 </w:t>
      </w:r>
      <w:r>
        <w:rPr>
          <w:rFonts w:hint="eastAsia" w:ascii="宋体" w:hAnsi="宋体" w:eastAsia="宋体" w:cs="宋体"/>
          <w:b w:val="0"/>
          <w:bCs w:val="0"/>
          <w:color w:val="auto"/>
          <w:kern w:val="0"/>
          <w:sz w:val="21"/>
          <w:szCs w:val="21"/>
          <w:shd w:val="clear" w:color="auto" w:fill="FFFFFF"/>
          <w:lang w:bidi="ar"/>
        </w:rPr>
        <w:t>部门职责</w:t>
      </w:r>
    </w:p>
    <w:p w14:paraId="45DC4EB5">
      <w:pPr>
        <w:spacing w:beforeLines="0" w:afterLines="0" w:line="440" w:lineRule="exact"/>
        <w:ind w:firstLine="640"/>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kern w:val="0"/>
          <w:sz w:val="21"/>
          <w:szCs w:val="21"/>
          <w:shd w:val="clear" w:color="auto" w:fill="FFFFFF"/>
          <w:lang w:bidi="ar"/>
        </w:rPr>
        <w:t>（一）</w:t>
      </w:r>
      <w:r>
        <w:rPr>
          <w:rFonts w:hint="eastAsia" w:ascii="宋体" w:hAnsi="宋体" w:eastAsia="宋体" w:cs="宋体"/>
          <w:b w:val="0"/>
          <w:bCs/>
          <w:color w:val="auto"/>
          <w:sz w:val="21"/>
          <w:szCs w:val="21"/>
          <w:highlight w:val="none"/>
          <w:lang w:val="en-US" w:eastAsia="zh-CN"/>
        </w:rPr>
        <w:t>安全监管部负责对本单位的各项危险作业的安全管理作出具体要求，形成实施细则，进一步明确危险作业安全责任、危险作业审批流程、危险作业现场安全管理要求，</w:t>
      </w:r>
      <w:r>
        <w:rPr>
          <w:rFonts w:hint="eastAsia" w:ascii="宋体" w:hAnsi="宋体" w:eastAsia="宋体" w:cs="宋体"/>
          <w:bCs/>
          <w:color w:val="auto"/>
          <w:sz w:val="21"/>
          <w:szCs w:val="21"/>
          <w:highlight w:val="none"/>
        </w:rPr>
        <w:t>并</w:t>
      </w:r>
      <w:r>
        <w:rPr>
          <w:rFonts w:hint="eastAsia" w:ascii="宋体" w:hAnsi="宋体" w:eastAsia="宋体" w:cs="宋体"/>
          <w:bCs/>
          <w:color w:val="auto"/>
          <w:sz w:val="21"/>
          <w:szCs w:val="21"/>
          <w:highlight w:val="none"/>
          <w:lang w:eastAsia="zh-CN"/>
        </w:rPr>
        <w:t>定期</w:t>
      </w:r>
      <w:r>
        <w:rPr>
          <w:rFonts w:hint="eastAsia" w:ascii="宋体" w:hAnsi="宋体" w:eastAsia="宋体" w:cs="宋体"/>
          <w:bCs/>
          <w:color w:val="auto"/>
          <w:sz w:val="21"/>
          <w:szCs w:val="21"/>
          <w:highlight w:val="none"/>
        </w:rPr>
        <w:t>组织</w:t>
      </w:r>
      <w:r>
        <w:rPr>
          <w:rFonts w:hint="eastAsia" w:ascii="宋体" w:hAnsi="宋体" w:eastAsia="宋体" w:cs="宋体"/>
          <w:bCs/>
          <w:color w:val="auto"/>
          <w:sz w:val="21"/>
          <w:szCs w:val="21"/>
          <w:highlight w:val="none"/>
          <w:lang w:val="en-US" w:eastAsia="zh-CN"/>
        </w:rPr>
        <w:t>监督检查，确保各项管理规定执行到位。</w:t>
      </w:r>
    </w:p>
    <w:p w14:paraId="197D0E6A">
      <w:pPr>
        <w:pStyle w:val="2"/>
        <w:autoSpaceDE/>
        <w:autoSpaceDN/>
        <w:spacing w:beforeLines="0" w:afterLines="0" w:line="440" w:lineRule="exact"/>
        <w:ind w:firstLine="420" w:firstLineChars="200"/>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二）合同管理部应将危险作业发包给具备国家规定的资质，并具备相应的安全生产条件，满足相关危险作业安全所需的安全生产责任制、安全生产规章制度、安全操作规程、安全防护设备、应急救援装备、作业人员有相应资格和应急处置能力等方面要求的承包商；在签订合同的同时与承包商签订《安全生产管理协议书》或在承包合同中明确各自的安全管理职责，并将管网公司的危险作业管理办法作为合同附件，要求承包商落实管网公司的安全管理规定。</w:t>
      </w:r>
    </w:p>
    <w:p w14:paraId="5FEADDE3">
      <w:pPr>
        <w:widowControl/>
        <w:numPr>
          <w:ilvl w:val="0"/>
          <w:numId w:val="0"/>
        </w:numPr>
        <w:tabs>
          <w:tab w:val="left" w:pos="0"/>
        </w:tabs>
        <w:snapToGrid w:val="0"/>
        <w:spacing w:beforeLines="0" w:afterLines="0" w:line="440" w:lineRule="exact"/>
        <w:ind w:firstLine="0"/>
        <w:outlineLvl w:val="1"/>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eastAsia="zh-CN" w:bidi="ar"/>
        </w:rPr>
        <w:t>　　（</w:t>
      </w:r>
      <w:r>
        <w:rPr>
          <w:rFonts w:hint="eastAsia" w:ascii="宋体" w:hAnsi="宋体" w:eastAsia="宋体" w:cs="宋体"/>
          <w:color w:val="auto"/>
          <w:kern w:val="0"/>
          <w:sz w:val="21"/>
          <w:szCs w:val="21"/>
          <w:shd w:val="clear" w:color="auto" w:fill="FFFFFF"/>
          <w:lang w:val="en-US" w:eastAsia="zh-CN" w:bidi="ar"/>
        </w:rPr>
        <w:t>三）</w:t>
      </w:r>
      <w:r>
        <w:rPr>
          <w:rFonts w:hint="eastAsia" w:ascii="宋体" w:hAnsi="宋体" w:eastAsia="宋体" w:cs="宋体"/>
          <w:b w:val="0"/>
          <w:bCs/>
          <w:color w:val="auto"/>
          <w:sz w:val="21"/>
          <w:szCs w:val="21"/>
          <w:highlight w:val="none"/>
          <w:lang w:val="en-US" w:eastAsia="zh-CN"/>
        </w:rPr>
        <w:t>危险作业的实施部门负责</w:t>
      </w:r>
      <w:r>
        <w:rPr>
          <w:rFonts w:hint="eastAsia" w:ascii="宋体" w:hAnsi="宋体" w:eastAsia="宋体" w:cs="宋体"/>
          <w:bCs/>
          <w:color w:val="auto"/>
          <w:sz w:val="21"/>
          <w:szCs w:val="21"/>
          <w:highlight w:val="none"/>
        </w:rPr>
        <w:t>按要求</w:t>
      </w:r>
      <w:r>
        <w:rPr>
          <w:rFonts w:hint="eastAsia" w:ascii="宋体" w:hAnsi="宋体" w:eastAsia="宋体" w:cs="宋体"/>
          <w:bCs/>
          <w:color w:val="auto"/>
          <w:sz w:val="21"/>
          <w:szCs w:val="21"/>
          <w:highlight w:val="none"/>
          <w:lang w:val="en-US" w:eastAsia="zh-CN"/>
        </w:rPr>
        <w:t>落实</w:t>
      </w:r>
      <w:r>
        <w:rPr>
          <w:rFonts w:hint="eastAsia" w:ascii="宋体" w:hAnsi="宋体" w:eastAsia="宋体" w:cs="宋体"/>
          <w:bCs/>
          <w:color w:val="auto"/>
          <w:sz w:val="21"/>
          <w:szCs w:val="21"/>
          <w:highlight w:val="none"/>
        </w:rPr>
        <w:t>危险作业</w:t>
      </w:r>
      <w:r>
        <w:rPr>
          <w:rFonts w:hint="eastAsia" w:ascii="宋体" w:hAnsi="宋体" w:eastAsia="宋体" w:cs="宋体"/>
          <w:bCs/>
          <w:color w:val="auto"/>
          <w:sz w:val="21"/>
          <w:szCs w:val="21"/>
          <w:highlight w:val="none"/>
          <w:lang w:eastAsia="zh-CN"/>
        </w:rPr>
        <w:t>审批</w:t>
      </w:r>
      <w:r>
        <w:rPr>
          <w:rFonts w:hint="eastAsia" w:ascii="宋体" w:hAnsi="宋体" w:eastAsia="宋体" w:cs="宋体"/>
          <w:bCs/>
          <w:color w:val="auto"/>
          <w:sz w:val="21"/>
          <w:szCs w:val="21"/>
          <w:highlight w:val="none"/>
          <w:lang w:val="en-US" w:eastAsia="zh-CN"/>
        </w:rPr>
        <w:t>手续</w:t>
      </w:r>
      <w:r>
        <w:rPr>
          <w:rFonts w:hint="eastAsia" w:ascii="宋体" w:hAnsi="宋体" w:eastAsia="宋体" w:cs="宋体"/>
          <w:bCs/>
          <w:color w:val="auto"/>
          <w:sz w:val="21"/>
          <w:szCs w:val="21"/>
          <w:highlight w:val="none"/>
        </w:rPr>
        <w:t>，并严格落实危险作业过程的安全工作</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包括但不限于：</w:t>
      </w:r>
      <w:r>
        <w:rPr>
          <w:rFonts w:hint="eastAsia" w:ascii="宋体" w:hAnsi="宋体" w:eastAsia="宋体" w:cs="宋体"/>
          <w:b w:val="0"/>
          <w:bCs/>
          <w:color w:val="auto"/>
          <w:sz w:val="21"/>
          <w:szCs w:val="21"/>
          <w:highlight w:val="none"/>
          <w:lang w:val="en-US" w:eastAsia="zh-CN"/>
        </w:rPr>
        <w:t>安排专人现场旁站监督管理、向承包单位进行现场安全交底、协助承包单位进行安全作业准备、检查承包单位是否按规范或制度进行作业、发现安全隐患及时发出整改通知单并督促承包商及时整改。</w:t>
      </w:r>
    </w:p>
    <w:p w14:paraId="418A3503">
      <w:pPr>
        <w:spacing w:beforeLines="0" w:afterLines="0" w:line="440" w:lineRule="exact"/>
        <w:ind w:firstLine="640"/>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w:t>
      </w:r>
      <w:r>
        <w:rPr>
          <w:rFonts w:hint="eastAsia" w:ascii="宋体" w:hAnsi="宋体" w:eastAsia="宋体" w:cs="宋体"/>
          <w:color w:val="auto"/>
          <w:kern w:val="0"/>
          <w:sz w:val="21"/>
          <w:szCs w:val="21"/>
          <w:shd w:val="clear" w:color="auto" w:fill="FFFFFF"/>
          <w:lang w:val="en-US" w:eastAsia="zh-CN" w:bidi="ar"/>
        </w:rPr>
        <w:t>四</w:t>
      </w:r>
      <w:r>
        <w:rPr>
          <w:rFonts w:hint="eastAsia" w:ascii="宋体" w:hAnsi="宋体" w:eastAsia="宋体" w:cs="宋体"/>
          <w:color w:val="auto"/>
          <w:kern w:val="0"/>
          <w:sz w:val="21"/>
          <w:szCs w:val="21"/>
          <w:shd w:val="clear" w:color="auto" w:fill="FFFFFF"/>
          <w:lang w:bidi="ar"/>
        </w:rPr>
        <w:t>）危险作业协助部门，履行部门职责，遵循危险作业许可证的防范措施要求，配合危险作业部门落实安全防范措施。</w:t>
      </w:r>
    </w:p>
    <w:p w14:paraId="0E03D43B">
      <w:pPr>
        <w:spacing w:beforeLines="0" w:afterLines="0" w:line="440" w:lineRule="exact"/>
        <w:ind w:firstLine="640"/>
        <w:jc w:val="left"/>
        <w:rPr>
          <w:rFonts w:hint="eastAsia" w:ascii="宋体" w:hAnsi="宋体" w:eastAsia="宋体" w:cs="宋体"/>
          <w:b/>
          <w:bCs/>
          <w:color w:val="auto"/>
          <w:kern w:val="0"/>
          <w:sz w:val="21"/>
          <w:szCs w:val="21"/>
          <w:shd w:val="clear" w:color="auto" w:fill="FFFFFF"/>
          <w:lang w:bidi="ar"/>
        </w:rPr>
      </w:pPr>
      <w:r>
        <w:rPr>
          <w:rFonts w:hint="eastAsia" w:ascii="宋体" w:hAnsi="宋体" w:eastAsia="宋体" w:cs="宋体"/>
          <w:b/>
          <w:bCs/>
          <w:color w:val="auto"/>
          <w:kern w:val="0"/>
          <w:sz w:val="21"/>
          <w:szCs w:val="21"/>
          <w:shd w:val="clear" w:color="auto" w:fill="FFFFFF"/>
          <w:lang w:bidi="ar"/>
        </w:rPr>
        <w:t>第</w:t>
      </w:r>
      <w:r>
        <w:rPr>
          <w:rFonts w:hint="eastAsia" w:ascii="宋体" w:hAnsi="宋体" w:eastAsia="宋体" w:cs="宋体"/>
          <w:b/>
          <w:bCs/>
          <w:color w:val="auto"/>
          <w:kern w:val="0"/>
          <w:sz w:val="21"/>
          <w:szCs w:val="21"/>
          <w:shd w:val="clear" w:color="auto" w:fill="FFFFFF"/>
          <w:lang w:val="en-US" w:eastAsia="zh-CN" w:bidi="ar"/>
        </w:rPr>
        <w:t>五</w:t>
      </w:r>
      <w:r>
        <w:rPr>
          <w:rFonts w:hint="eastAsia" w:ascii="宋体" w:hAnsi="宋体" w:eastAsia="宋体" w:cs="宋体"/>
          <w:b/>
          <w:bCs/>
          <w:color w:val="auto"/>
          <w:kern w:val="0"/>
          <w:sz w:val="21"/>
          <w:szCs w:val="21"/>
          <w:shd w:val="clear" w:color="auto" w:fill="FFFFFF"/>
          <w:lang w:bidi="ar"/>
        </w:rPr>
        <w:t xml:space="preserve">条 </w:t>
      </w:r>
      <w:r>
        <w:rPr>
          <w:rFonts w:hint="eastAsia" w:ascii="宋体" w:hAnsi="宋体" w:eastAsia="宋体" w:cs="宋体"/>
          <w:b w:val="0"/>
          <w:bCs w:val="0"/>
          <w:color w:val="auto"/>
          <w:kern w:val="0"/>
          <w:sz w:val="21"/>
          <w:szCs w:val="21"/>
          <w:shd w:val="clear" w:color="auto" w:fill="FFFFFF"/>
          <w:lang w:bidi="ar"/>
        </w:rPr>
        <w:t>作业人员的职责</w:t>
      </w:r>
    </w:p>
    <w:p w14:paraId="5A792497">
      <w:pPr>
        <w:pStyle w:val="128"/>
        <w:tabs>
          <w:tab w:val="left" w:pos="8280"/>
        </w:tabs>
        <w:autoSpaceDE/>
        <w:autoSpaceDN/>
        <w:adjustRightInd w:val="0"/>
        <w:spacing w:beforeLines="0" w:afterLines="0" w:line="440" w:lineRule="exact"/>
        <w:ind w:firstLine="640"/>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（一）负责在保障安全的前提下实施作业任务。作业前应了解危险作业的内容，熟知作业中的危害因素和应采取的安全措施。</w:t>
      </w:r>
    </w:p>
    <w:p w14:paraId="7B925A5C">
      <w:pPr>
        <w:pStyle w:val="128"/>
        <w:tabs>
          <w:tab w:val="left" w:pos="8280"/>
        </w:tabs>
        <w:autoSpaceDE/>
        <w:autoSpaceDN/>
        <w:adjustRightInd w:val="0"/>
        <w:spacing w:beforeLines="0" w:afterLines="0" w:line="440" w:lineRule="exact"/>
        <w:ind w:firstLine="640"/>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（二）确认安全防护措施落实情况，检查使用的劳保用品和工器具是否完好。</w:t>
      </w:r>
    </w:p>
    <w:p w14:paraId="5DAACB74">
      <w:pPr>
        <w:pStyle w:val="128"/>
        <w:tabs>
          <w:tab w:val="left" w:pos="8280"/>
        </w:tabs>
        <w:autoSpaceDE/>
        <w:autoSpaceDN/>
        <w:adjustRightInd w:val="0"/>
        <w:spacing w:beforeLines="0" w:afterLines="0" w:line="440" w:lineRule="exact"/>
        <w:ind w:firstLine="640"/>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（三）遵守各项危险作业安全操作规程，正确安全使用设备设施与个体防护用品。</w:t>
      </w:r>
    </w:p>
    <w:p w14:paraId="68D7E87F">
      <w:pPr>
        <w:pStyle w:val="128"/>
        <w:tabs>
          <w:tab w:val="left" w:pos="8280"/>
        </w:tabs>
        <w:autoSpaceDE/>
        <w:autoSpaceDN/>
        <w:adjustRightInd w:val="0"/>
        <w:spacing w:beforeLines="0" w:afterLines="0" w:line="440" w:lineRule="exact"/>
        <w:ind w:firstLine="640"/>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（三）与作业监护人员进行有效的安全报警撤离等双向信息交流。</w:t>
      </w:r>
    </w:p>
    <w:p w14:paraId="69A54A00">
      <w:pPr>
        <w:pStyle w:val="128"/>
        <w:tabs>
          <w:tab w:val="left" w:pos="8280"/>
        </w:tabs>
        <w:autoSpaceDE/>
        <w:autoSpaceDN/>
        <w:adjustRightInd w:val="0"/>
        <w:spacing w:beforeLines="0" w:afterLines="0" w:line="440" w:lineRule="exact"/>
        <w:ind w:firstLine="640"/>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（四）服从作业监护人的指挥，如发现作业监护人员不履行职责时，应停止作业并撤出作业区域。</w:t>
      </w:r>
    </w:p>
    <w:p w14:paraId="55208A41">
      <w:pPr>
        <w:pStyle w:val="128"/>
        <w:tabs>
          <w:tab w:val="left" w:pos="8280"/>
        </w:tabs>
        <w:autoSpaceDE/>
        <w:autoSpaceDN/>
        <w:adjustRightInd w:val="0"/>
        <w:spacing w:beforeLines="0" w:afterLines="0" w:line="440" w:lineRule="exact"/>
        <w:ind w:firstLine="640"/>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（五）在作业中如出现异常情况或感到不适时，应立即向作业监护人发出信号，迅速撤离现场。</w:t>
      </w:r>
    </w:p>
    <w:p w14:paraId="00213F03">
      <w:pPr>
        <w:spacing w:beforeLines="0" w:afterLines="0" w:line="440" w:lineRule="exact"/>
        <w:ind w:firstLine="640"/>
        <w:jc w:val="left"/>
        <w:rPr>
          <w:rFonts w:hint="eastAsia" w:ascii="宋体" w:hAnsi="宋体" w:eastAsia="宋体" w:cs="宋体"/>
          <w:b/>
          <w:bCs/>
          <w:color w:val="auto"/>
          <w:kern w:val="0"/>
          <w:sz w:val="21"/>
          <w:szCs w:val="21"/>
          <w:shd w:val="clear" w:color="auto" w:fill="FFFFFF"/>
          <w:lang w:bidi="ar"/>
        </w:rPr>
      </w:pPr>
      <w:r>
        <w:rPr>
          <w:rFonts w:hint="eastAsia" w:ascii="宋体" w:hAnsi="宋体" w:eastAsia="宋体" w:cs="宋体"/>
          <w:b/>
          <w:bCs/>
          <w:color w:val="auto"/>
          <w:kern w:val="0"/>
          <w:sz w:val="21"/>
          <w:szCs w:val="21"/>
          <w:shd w:val="clear" w:color="auto" w:fill="FFFFFF"/>
          <w:lang w:bidi="ar"/>
        </w:rPr>
        <w:t>第</w:t>
      </w:r>
      <w:r>
        <w:rPr>
          <w:rFonts w:hint="eastAsia" w:ascii="宋体" w:hAnsi="宋体" w:eastAsia="宋体" w:cs="宋体"/>
          <w:b/>
          <w:bCs/>
          <w:color w:val="auto"/>
          <w:kern w:val="0"/>
          <w:sz w:val="21"/>
          <w:szCs w:val="21"/>
          <w:shd w:val="clear" w:color="auto" w:fill="FFFFFF"/>
          <w:lang w:val="en-US" w:eastAsia="zh-CN" w:bidi="ar"/>
        </w:rPr>
        <w:t>六</w:t>
      </w:r>
      <w:r>
        <w:rPr>
          <w:rFonts w:hint="eastAsia" w:ascii="宋体" w:hAnsi="宋体" w:eastAsia="宋体" w:cs="宋体"/>
          <w:b/>
          <w:bCs/>
          <w:color w:val="auto"/>
          <w:kern w:val="0"/>
          <w:sz w:val="21"/>
          <w:szCs w:val="21"/>
          <w:shd w:val="clear" w:color="auto" w:fill="FFFFFF"/>
          <w:lang w:bidi="ar"/>
        </w:rPr>
        <w:t xml:space="preserve">条 </w:t>
      </w:r>
      <w:r>
        <w:rPr>
          <w:rFonts w:hint="eastAsia" w:ascii="宋体" w:hAnsi="宋体" w:eastAsia="宋体" w:cs="宋体"/>
          <w:b w:val="0"/>
          <w:bCs w:val="0"/>
          <w:color w:val="auto"/>
          <w:kern w:val="0"/>
          <w:sz w:val="21"/>
          <w:szCs w:val="21"/>
          <w:shd w:val="clear" w:color="auto" w:fill="FFFFFF"/>
          <w:lang w:bidi="ar"/>
        </w:rPr>
        <w:t>作业监护人员的职责</w:t>
      </w:r>
    </w:p>
    <w:p w14:paraId="0E1C3CEB">
      <w:pPr>
        <w:pStyle w:val="128"/>
        <w:tabs>
          <w:tab w:val="left" w:pos="8280"/>
        </w:tabs>
        <w:autoSpaceDE/>
        <w:autoSpaceDN/>
        <w:adjustRightInd w:val="0"/>
        <w:spacing w:beforeLines="0" w:afterLines="0" w:line="440" w:lineRule="exact"/>
        <w:ind w:firstLine="640"/>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（一）对危险作业人员的安全负有全程监督和保护的职责。</w:t>
      </w:r>
    </w:p>
    <w:p w14:paraId="1C9284C9">
      <w:pPr>
        <w:pStyle w:val="128"/>
        <w:tabs>
          <w:tab w:val="left" w:pos="8280"/>
        </w:tabs>
        <w:autoSpaceDE/>
        <w:autoSpaceDN/>
        <w:adjustRightInd w:val="0"/>
        <w:spacing w:beforeLines="0" w:afterLines="0" w:line="440" w:lineRule="exact"/>
        <w:ind w:firstLine="640"/>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（二）了解危险作业可能面临的危害，对作业人员出现的异常行为能够及时警觉并做出判断。与作业人员保持联系和交流，观察作业人员的状况。</w:t>
      </w:r>
    </w:p>
    <w:p w14:paraId="4F4E2DC3">
      <w:pPr>
        <w:pStyle w:val="128"/>
        <w:tabs>
          <w:tab w:val="left" w:pos="8280"/>
        </w:tabs>
        <w:autoSpaceDE/>
        <w:autoSpaceDN/>
        <w:adjustRightInd w:val="0"/>
        <w:spacing w:beforeLines="0" w:afterLines="0" w:line="440" w:lineRule="exact"/>
        <w:ind w:firstLine="640"/>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（三）作业前应检查确认作业人员劳保用品是否正确佩戴以及现场安全防范措施落实情况。</w:t>
      </w:r>
    </w:p>
    <w:p w14:paraId="041BED24">
      <w:pPr>
        <w:pStyle w:val="128"/>
        <w:tabs>
          <w:tab w:val="left" w:pos="8280"/>
        </w:tabs>
        <w:autoSpaceDE/>
        <w:autoSpaceDN/>
        <w:adjustRightInd w:val="0"/>
        <w:spacing w:beforeLines="0" w:afterLines="0" w:line="440" w:lineRule="exact"/>
        <w:ind w:firstLine="640"/>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（四）当发现异常时，立即向作业人员发出撤离警报，并帮助作业人员撤离危险区域，同时立即呼叫紧急救援。</w:t>
      </w:r>
    </w:p>
    <w:p w14:paraId="7E3D2D88">
      <w:pPr>
        <w:pStyle w:val="128"/>
        <w:tabs>
          <w:tab w:val="left" w:pos="8280"/>
        </w:tabs>
        <w:autoSpaceDE/>
        <w:autoSpaceDN/>
        <w:adjustRightInd w:val="0"/>
        <w:spacing w:beforeLines="0" w:afterLines="0" w:line="440" w:lineRule="exact"/>
        <w:ind w:firstLine="640"/>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（五）掌握应急救援的基本知识。</w:t>
      </w:r>
    </w:p>
    <w:p w14:paraId="68E2B145">
      <w:pPr>
        <w:tabs>
          <w:tab w:val="left" w:pos="8280"/>
        </w:tabs>
        <w:autoSpaceDE/>
        <w:autoSpaceDN/>
        <w:adjustRightInd w:val="0"/>
        <w:spacing w:beforeLines="0" w:afterLines="0" w:line="440" w:lineRule="exact"/>
        <w:ind w:firstLine="640"/>
        <w:jc w:val="left"/>
        <w:rPr>
          <w:rFonts w:hint="eastAsia" w:ascii="宋体" w:hAnsi="宋体" w:eastAsia="宋体" w:cs="宋体"/>
          <w:bCs/>
          <w:color w:val="auto"/>
          <w:sz w:val="21"/>
          <w:szCs w:val="21"/>
        </w:rPr>
      </w:pPr>
      <w:r>
        <w:rPr>
          <w:rFonts w:hint="eastAsia" w:ascii="宋体" w:hAnsi="宋体" w:eastAsia="宋体" w:cs="宋体"/>
          <w:b/>
          <w:bCs/>
          <w:color w:val="auto"/>
          <w:kern w:val="0"/>
          <w:sz w:val="21"/>
          <w:szCs w:val="21"/>
          <w:shd w:val="clear" w:color="auto" w:fill="FFFFFF"/>
          <w:lang w:bidi="ar"/>
        </w:rPr>
        <w:t>第</w:t>
      </w:r>
      <w:r>
        <w:rPr>
          <w:rFonts w:hint="eastAsia" w:ascii="宋体" w:hAnsi="宋体" w:eastAsia="宋体" w:cs="宋体"/>
          <w:b/>
          <w:bCs/>
          <w:color w:val="auto"/>
          <w:kern w:val="0"/>
          <w:sz w:val="21"/>
          <w:szCs w:val="21"/>
          <w:shd w:val="clear" w:color="auto" w:fill="FFFFFF"/>
          <w:lang w:val="en-US" w:eastAsia="zh-CN" w:bidi="ar"/>
        </w:rPr>
        <w:t>七</w:t>
      </w:r>
      <w:r>
        <w:rPr>
          <w:rFonts w:hint="eastAsia" w:ascii="宋体" w:hAnsi="宋体" w:eastAsia="宋体" w:cs="宋体"/>
          <w:b/>
          <w:bCs/>
          <w:color w:val="auto"/>
          <w:kern w:val="0"/>
          <w:sz w:val="21"/>
          <w:szCs w:val="21"/>
          <w:shd w:val="clear" w:color="auto" w:fill="FFFFFF"/>
          <w:lang w:bidi="ar"/>
        </w:rPr>
        <w:t xml:space="preserve">条 </w:t>
      </w:r>
      <w:r>
        <w:rPr>
          <w:rFonts w:hint="eastAsia" w:ascii="宋体" w:hAnsi="宋体" w:eastAsia="宋体" w:cs="宋体"/>
          <w:b w:val="0"/>
          <w:bCs w:val="0"/>
          <w:color w:val="auto"/>
          <w:kern w:val="0"/>
          <w:sz w:val="21"/>
          <w:szCs w:val="21"/>
          <w:shd w:val="clear" w:color="auto" w:fill="FFFFFF"/>
          <w:lang w:bidi="ar"/>
        </w:rPr>
        <w:t>作业负责人的职责</w:t>
      </w:r>
    </w:p>
    <w:p w14:paraId="293B25D4">
      <w:pPr>
        <w:pStyle w:val="128"/>
        <w:tabs>
          <w:tab w:val="left" w:pos="8280"/>
        </w:tabs>
        <w:autoSpaceDE/>
        <w:autoSpaceDN/>
        <w:adjustRightInd w:val="0"/>
        <w:spacing w:beforeLines="0" w:afterLines="0" w:line="440" w:lineRule="exact"/>
        <w:ind w:firstLine="640"/>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（一）对开展的危险作业安全负全面责任。</w:t>
      </w:r>
    </w:p>
    <w:p w14:paraId="6B11FFEA">
      <w:pPr>
        <w:pStyle w:val="128"/>
        <w:tabs>
          <w:tab w:val="left" w:pos="8280"/>
        </w:tabs>
        <w:autoSpaceDE/>
        <w:autoSpaceDN/>
        <w:adjustRightInd w:val="0"/>
        <w:spacing w:beforeLines="0" w:afterLines="0" w:line="440" w:lineRule="exact"/>
        <w:ind w:firstLine="640"/>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（二）危险作业前，作业负责人应对作业现场存在的风险进行辨识、评估，填写危险作业许可证并落实危险作业许可证审批程序。</w:t>
      </w:r>
    </w:p>
    <w:p w14:paraId="499BC916">
      <w:pPr>
        <w:pStyle w:val="128"/>
        <w:tabs>
          <w:tab w:val="left" w:pos="8280"/>
        </w:tabs>
        <w:autoSpaceDE/>
        <w:autoSpaceDN/>
        <w:adjustRightInd w:val="0"/>
        <w:spacing w:beforeLines="0" w:afterLines="0" w:line="440" w:lineRule="exact"/>
        <w:ind w:firstLine="640"/>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（三）组织作业人员进行安全培训、安全交底，确保作业人员掌握相关作业的安全技能。</w:t>
      </w:r>
    </w:p>
    <w:p w14:paraId="682FFA07">
      <w:pPr>
        <w:pStyle w:val="128"/>
        <w:tabs>
          <w:tab w:val="left" w:pos="8280"/>
        </w:tabs>
        <w:autoSpaceDE/>
        <w:autoSpaceDN/>
        <w:adjustRightInd w:val="0"/>
        <w:spacing w:beforeLines="0" w:afterLines="0" w:line="440" w:lineRule="exact"/>
        <w:ind w:firstLine="640"/>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（四）在作业环境、作业方案、防护设施及防护用品达到安全要求后，方可安排人员开展危险作业。</w:t>
      </w:r>
    </w:p>
    <w:p w14:paraId="0EB83F8B">
      <w:pPr>
        <w:pStyle w:val="128"/>
        <w:tabs>
          <w:tab w:val="left" w:pos="8280"/>
        </w:tabs>
        <w:autoSpaceDE/>
        <w:autoSpaceDN/>
        <w:adjustRightInd w:val="0"/>
        <w:spacing w:beforeLines="0" w:afterLines="0" w:line="440" w:lineRule="exact"/>
        <w:ind w:firstLine="640"/>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（五）检查确认应急准备情况，核实内外联络及呼叫方法。</w:t>
      </w:r>
    </w:p>
    <w:p w14:paraId="15704754">
      <w:pPr>
        <w:pStyle w:val="128"/>
        <w:tabs>
          <w:tab w:val="left" w:pos="8280"/>
        </w:tabs>
        <w:autoSpaceDE/>
        <w:autoSpaceDN/>
        <w:adjustRightInd w:val="0"/>
        <w:spacing w:beforeLines="0" w:afterLines="0" w:line="440" w:lineRule="exact"/>
        <w:ind w:firstLine="640"/>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（六）对未经允许试图开展危险作业者进行劝阻或责令退出。</w:t>
      </w:r>
    </w:p>
    <w:p w14:paraId="43BF5CE5">
      <w:pPr>
        <w:pStyle w:val="128"/>
        <w:tabs>
          <w:tab w:val="left" w:pos="8280"/>
        </w:tabs>
        <w:autoSpaceDE/>
        <w:autoSpaceDN/>
        <w:adjustRightInd w:val="0"/>
        <w:spacing w:beforeLines="0" w:afterLines="0" w:line="440" w:lineRule="exact"/>
        <w:ind w:firstLine="640"/>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（七）在作业过程发生异常情况时，应停止作业，组织人员撤离现场，临时指挥事故事件应急救援。</w:t>
      </w:r>
    </w:p>
    <w:p w14:paraId="046B5388">
      <w:pPr>
        <w:pStyle w:val="128"/>
        <w:autoSpaceDE/>
        <w:autoSpaceDN/>
        <w:adjustRightInd w:val="0"/>
        <w:spacing w:beforeLines="0" w:afterLines="0" w:line="440" w:lineRule="exact"/>
        <w:ind w:firstLine="640"/>
        <w:jc w:val="left"/>
        <w:rPr>
          <w:rFonts w:hint="eastAsia" w:ascii="宋体" w:hAnsi="宋体" w:eastAsia="宋体" w:cs="宋体"/>
          <w:b/>
          <w:bCs/>
          <w:color w:val="auto"/>
          <w:kern w:val="0"/>
          <w:sz w:val="21"/>
          <w:szCs w:val="21"/>
          <w:shd w:val="clear" w:color="auto" w:fill="FFFFFF"/>
          <w:lang w:bidi="ar"/>
        </w:rPr>
      </w:pPr>
      <w:r>
        <w:rPr>
          <w:rFonts w:hint="eastAsia" w:ascii="宋体" w:hAnsi="宋体" w:eastAsia="宋体" w:cs="宋体"/>
          <w:b/>
          <w:bCs/>
          <w:color w:val="auto"/>
          <w:kern w:val="0"/>
          <w:sz w:val="21"/>
          <w:szCs w:val="21"/>
          <w:shd w:val="clear" w:color="auto" w:fill="FFFFFF"/>
          <w:lang w:bidi="ar"/>
        </w:rPr>
        <w:t>第</w:t>
      </w:r>
      <w:r>
        <w:rPr>
          <w:rFonts w:hint="eastAsia" w:ascii="宋体" w:hAnsi="宋体" w:eastAsia="宋体" w:cs="宋体"/>
          <w:b/>
          <w:bCs/>
          <w:color w:val="auto"/>
          <w:kern w:val="0"/>
          <w:sz w:val="21"/>
          <w:szCs w:val="21"/>
          <w:shd w:val="clear" w:color="auto" w:fill="FFFFFF"/>
          <w:lang w:val="en-US" w:eastAsia="zh-CN" w:bidi="ar"/>
        </w:rPr>
        <w:t>八</w:t>
      </w:r>
      <w:r>
        <w:rPr>
          <w:rFonts w:hint="eastAsia" w:ascii="宋体" w:hAnsi="宋体" w:eastAsia="宋体" w:cs="宋体"/>
          <w:b/>
          <w:bCs/>
          <w:color w:val="auto"/>
          <w:kern w:val="0"/>
          <w:sz w:val="21"/>
          <w:szCs w:val="21"/>
          <w:shd w:val="clear" w:color="auto" w:fill="FFFFFF"/>
          <w:lang w:bidi="ar"/>
        </w:rPr>
        <w:t xml:space="preserve">条 </w:t>
      </w:r>
      <w:r>
        <w:rPr>
          <w:rFonts w:hint="eastAsia" w:ascii="宋体" w:hAnsi="宋体" w:eastAsia="宋体" w:cs="宋体"/>
          <w:b w:val="0"/>
          <w:bCs w:val="0"/>
          <w:color w:val="auto"/>
          <w:kern w:val="0"/>
          <w:sz w:val="21"/>
          <w:szCs w:val="21"/>
          <w:shd w:val="clear" w:color="auto" w:fill="FFFFFF"/>
          <w:lang w:bidi="ar"/>
        </w:rPr>
        <w:t>审批人员的职责</w:t>
      </w:r>
    </w:p>
    <w:p w14:paraId="43521EC5">
      <w:pPr>
        <w:pStyle w:val="128"/>
        <w:tabs>
          <w:tab w:val="left" w:pos="8280"/>
        </w:tabs>
        <w:autoSpaceDE/>
        <w:autoSpaceDN/>
        <w:adjustRightInd w:val="0"/>
        <w:spacing w:beforeLines="0" w:afterLines="0" w:line="440" w:lineRule="exact"/>
        <w:ind w:firstLine="640"/>
        <w:jc w:val="left"/>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（一）审查危险作业许可证的办理是否符合要求。</w:t>
      </w:r>
    </w:p>
    <w:p w14:paraId="172CBD5C">
      <w:pPr>
        <w:pStyle w:val="128"/>
        <w:tabs>
          <w:tab w:val="left" w:pos="8280"/>
        </w:tabs>
        <w:autoSpaceDE/>
        <w:autoSpaceDN/>
        <w:adjustRightInd w:val="0"/>
        <w:spacing w:beforeLines="0" w:afterLines="0" w:line="440" w:lineRule="exact"/>
        <w:ind w:firstLine="640"/>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（二）审核危险作业许可证中拟写的安全防范措施是否存在缺漏。</w:t>
      </w:r>
    </w:p>
    <w:p w14:paraId="5D36B40F">
      <w:pPr>
        <w:pStyle w:val="128"/>
        <w:tabs>
          <w:tab w:val="left" w:pos="8280"/>
        </w:tabs>
        <w:autoSpaceDE/>
        <w:autoSpaceDN/>
        <w:adjustRightInd w:val="0"/>
        <w:spacing w:beforeLines="0" w:afterLines="0" w:line="440" w:lineRule="exact"/>
        <w:ind w:firstLine="640"/>
        <w:jc w:val="left"/>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（三）监督检查作业现场安全防范措施落实情况。</w:t>
      </w:r>
    </w:p>
    <w:p w14:paraId="192AD490">
      <w:pPr>
        <w:widowControl/>
        <w:spacing w:beforeLines="0" w:afterLines="0" w:line="440" w:lineRule="exact"/>
        <w:ind w:firstLine="640"/>
        <w:jc w:val="center"/>
        <w:rPr>
          <w:rFonts w:hint="eastAsia" w:ascii="宋体" w:hAnsi="宋体" w:eastAsia="宋体" w:cs="宋体"/>
          <w:color w:val="auto"/>
          <w:sz w:val="21"/>
          <w:szCs w:val="21"/>
        </w:rPr>
      </w:pPr>
    </w:p>
    <w:p w14:paraId="20840273">
      <w:pPr>
        <w:widowControl/>
        <w:spacing w:beforeLines="0" w:afterLines="0" w:line="440" w:lineRule="exact"/>
        <w:ind w:firstLine="0"/>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第三章</w:t>
      </w:r>
      <w:r>
        <w:rPr>
          <w:rFonts w:hint="eastAsia" w:ascii="宋体" w:hAnsi="宋体" w:eastAsia="宋体" w:cs="宋体"/>
          <w:color w:val="auto"/>
          <w:sz w:val="21"/>
          <w:szCs w:val="21"/>
        </w:rPr>
        <w:t xml:space="preserve"> 各项危险作业的定义和安全管理要求</w:t>
      </w:r>
    </w:p>
    <w:p w14:paraId="3468FE4B">
      <w:pPr>
        <w:tabs>
          <w:tab w:val="left" w:pos="8280"/>
        </w:tabs>
        <w:autoSpaceDE/>
        <w:autoSpaceDN/>
        <w:adjustRightInd w:val="0"/>
        <w:spacing w:beforeLines="0" w:afterLines="0" w:line="440" w:lineRule="exact"/>
        <w:ind w:firstLine="640"/>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b/>
          <w:bCs/>
          <w:color w:val="auto"/>
          <w:kern w:val="0"/>
          <w:sz w:val="21"/>
          <w:szCs w:val="21"/>
          <w:shd w:val="clear" w:color="auto" w:fill="FFFFFF"/>
          <w:lang w:bidi="ar"/>
        </w:rPr>
        <w:t>第</w:t>
      </w:r>
      <w:r>
        <w:rPr>
          <w:rFonts w:hint="eastAsia" w:ascii="宋体" w:hAnsi="宋体" w:eastAsia="宋体" w:cs="宋体"/>
          <w:b/>
          <w:bCs/>
          <w:color w:val="auto"/>
          <w:kern w:val="0"/>
          <w:sz w:val="21"/>
          <w:szCs w:val="21"/>
          <w:shd w:val="clear" w:color="auto" w:fill="FFFFFF"/>
          <w:lang w:val="en-US" w:eastAsia="zh-CN" w:bidi="ar"/>
        </w:rPr>
        <w:t>九</w:t>
      </w:r>
      <w:r>
        <w:rPr>
          <w:rFonts w:hint="eastAsia" w:ascii="宋体" w:hAnsi="宋体" w:eastAsia="宋体" w:cs="宋体"/>
          <w:b/>
          <w:bCs/>
          <w:color w:val="auto"/>
          <w:kern w:val="0"/>
          <w:sz w:val="21"/>
          <w:szCs w:val="21"/>
          <w:shd w:val="clear" w:color="auto" w:fill="FFFFFF"/>
          <w:lang w:bidi="ar"/>
        </w:rPr>
        <w:t>条</w:t>
      </w:r>
      <w:r>
        <w:rPr>
          <w:rFonts w:hint="eastAsia" w:ascii="宋体" w:hAnsi="宋体" w:eastAsia="宋体" w:cs="宋体"/>
          <w:color w:val="auto"/>
          <w:kern w:val="0"/>
          <w:sz w:val="21"/>
          <w:szCs w:val="21"/>
          <w:shd w:val="clear" w:color="auto" w:fill="FFFFFF"/>
          <w:lang w:bidi="ar"/>
        </w:rPr>
        <w:t xml:space="preserve"> 吊装作业指在安装、检维修过程中利用各种吊装机具将设备、工件、器具、材料等吊起，使其发生位置变化的作业过程。吊装作业的安全管理要求：</w:t>
      </w:r>
    </w:p>
    <w:p w14:paraId="0E302B66">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（一）作业前应对从事指挥和操作的人员进行资质确认。</w:t>
      </w:r>
    </w:p>
    <w:p w14:paraId="623D8164">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（二）实施吊装作业的有关人员应对起重吊装机械和吊具进行安全检查，确保处于完好状态。</w:t>
      </w:r>
    </w:p>
    <w:p w14:paraId="217CB321">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（三）实施吊装作业的有关人员应对吊装区域内设置安全警戒标志，并设专人监护，非作业人员禁止入内。</w:t>
      </w:r>
    </w:p>
    <w:p w14:paraId="5F18A8CC">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（四）实施吊装作业的有关人员应在施工现场核实天气情况。室外作业遇到大雪、暴雨、大雾及六级以上大风时，不应安排吊装作业。</w:t>
      </w:r>
    </w:p>
    <w:p w14:paraId="4AA6C08E">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（五）吊装作业时应明确指挥人员，指挥人员应佩戴明显的标志，佩戴安全帽，并按《起重吊运指挥信号（GB 5082）》规定的联络信号，统一指挥。</w:t>
      </w:r>
    </w:p>
    <w:p w14:paraId="5BF24F0F">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（六）正式起吊前应进行试吊，试吊中检查全部机具、地锚受力情况，发现问题应将工件放回地面，排除故障后重新试吊，确认一切正常，方可正式吊装。</w:t>
      </w:r>
    </w:p>
    <w:p w14:paraId="1B4AB9E0">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（七）严禁利用管道、管架、电杆、机电设备等作吊装锚点。</w:t>
      </w:r>
    </w:p>
    <w:p w14:paraId="594EDA51">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（八）吊装过程中，出现故障，应立即向指挥者报告，没有指挥令，任何人不得擅自离开岗位。</w:t>
      </w:r>
    </w:p>
    <w:p w14:paraId="08C84365">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（九）利用两台或多台起重机械吊运同一重物时，升降、运行应保持同步；各台起重机械所承受地载荷不得超过各自额定起重能力的80％。</w:t>
      </w:r>
    </w:p>
    <w:p w14:paraId="3B947336">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（十）对紧急停车信号，不论由何人发出，均应立即执行。</w:t>
      </w:r>
    </w:p>
    <w:p w14:paraId="17CD9A63">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十一）作业完毕后，将起重臂和吊钩收放到规定的位置，所有控制手柄均应放到零位，使用电气控制的起重机械，应断开电源开关；吊索、吊具应收回放置到规定的地方，并对其进行检查、维护、保养；对接替工作人员，应告知设备存在的异常情况及尚未消除的故障。</w:t>
      </w:r>
    </w:p>
    <w:p w14:paraId="0AF1DA30">
      <w:pPr>
        <w:tabs>
          <w:tab w:val="left" w:pos="8280"/>
        </w:tabs>
        <w:autoSpaceDE/>
        <w:autoSpaceDN/>
        <w:adjustRightInd w:val="0"/>
        <w:spacing w:beforeLines="0" w:afterLines="0" w:line="440" w:lineRule="exact"/>
        <w:ind w:firstLine="640"/>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b/>
          <w:bCs/>
          <w:color w:val="auto"/>
          <w:kern w:val="0"/>
          <w:sz w:val="21"/>
          <w:szCs w:val="21"/>
          <w:shd w:val="clear" w:color="auto" w:fill="FFFFFF"/>
          <w:lang w:bidi="ar"/>
        </w:rPr>
        <w:t>第十条</w:t>
      </w:r>
      <w:r>
        <w:rPr>
          <w:rFonts w:hint="eastAsia" w:ascii="宋体" w:hAnsi="宋体" w:eastAsia="宋体" w:cs="宋体"/>
          <w:color w:val="auto"/>
          <w:kern w:val="0"/>
          <w:sz w:val="21"/>
          <w:szCs w:val="21"/>
          <w:shd w:val="clear" w:color="auto" w:fill="FFFFFF"/>
          <w:lang w:bidi="ar"/>
        </w:rPr>
        <w:t xml:space="preserve"> 有限空间作业指在封闭或者部分封闭，与外界相对隔离，出入口较为狭窄，作业人员不能长时间在内工作，自然通风不良，易造成有毒有害、易燃易爆物质积聚或者氧含量不足的空间内作业（如：地下管道、检查井、泵站集水池、污水提升站、各种设备内部等）。有限空间作业的安全管理要求：</w:t>
      </w:r>
    </w:p>
    <w:p w14:paraId="633B137C">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（一）作业前作业负责人应组织参与作业人员开展有限空间作业安全培训，告知作业人员有限空间作业安全要点和存在的危害因素及防范措施。</w:t>
      </w:r>
    </w:p>
    <w:p w14:paraId="0D9D8FBA">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（二）采取可靠的隔断（隔离）措施，将可能危及作业安全的设施设备、存在有毒有害物质的空间与作业地点隔开。</w:t>
      </w:r>
    </w:p>
    <w:p w14:paraId="37CE8211">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（三）有限空间作业应当严格遵守“先通风、再检测、后作业”的原则。检测指标包括氧浓度、易燃易爆物质（可燃性气体、爆炸性粉尘）浓度、有毒有害气体浓度。检测应当符合以下规定：</w:t>
      </w:r>
    </w:p>
    <w:p w14:paraId="3EDE7DC8">
      <w:pPr>
        <w:pStyle w:val="128"/>
        <w:tabs>
          <w:tab w:val="left" w:pos="8280"/>
        </w:tabs>
        <w:autoSpaceDE/>
        <w:autoSpaceDN/>
        <w:adjustRightInd w:val="0"/>
        <w:spacing w:beforeLines="0" w:afterLines="0" w:line="440" w:lineRule="exact"/>
        <w:ind w:left="0" w:firstLine="420" w:firstLineChars="200"/>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1.含氧量在19.5%～23.5%之间；</w:t>
      </w:r>
    </w:p>
    <w:p w14:paraId="562AF187">
      <w:pPr>
        <w:pStyle w:val="128"/>
        <w:tabs>
          <w:tab w:val="left" w:pos="8280"/>
        </w:tabs>
        <w:autoSpaceDE/>
        <w:autoSpaceDN/>
        <w:adjustRightInd w:val="0"/>
        <w:spacing w:beforeLines="0" w:afterLines="0" w:line="440" w:lineRule="exact"/>
        <w:ind w:left="0" w:firstLine="420" w:firstLineChars="200"/>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2.可燃性气体浓度应在其爆炸下限浓度的</w:t>
      </w:r>
      <w:r>
        <w:rPr>
          <w:rFonts w:hint="eastAsia" w:ascii="宋体" w:hAnsi="宋体" w:eastAsia="宋体" w:cs="宋体"/>
          <w:color w:val="auto"/>
          <w:kern w:val="0"/>
          <w:sz w:val="21"/>
          <w:szCs w:val="21"/>
          <w:shd w:val="clear" w:color="auto" w:fill="FFFFFF"/>
          <w:lang w:val="en-US" w:eastAsia="zh-CN" w:bidi="ar"/>
        </w:rPr>
        <w:t>10</w:t>
      </w:r>
      <w:r>
        <w:rPr>
          <w:rFonts w:hint="eastAsia" w:ascii="宋体" w:hAnsi="宋体" w:eastAsia="宋体" w:cs="宋体"/>
          <w:color w:val="auto"/>
          <w:kern w:val="0"/>
          <w:sz w:val="21"/>
          <w:szCs w:val="21"/>
          <w:shd w:val="clear" w:color="auto" w:fill="FFFFFF"/>
          <w:lang w:bidi="ar"/>
        </w:rPr>
        <w:t>%以下；</w:t>
      </w:r>
    </w:p>
    <w:p w14:paraId="42781C1A">
      <w:pPr>
        <w:pStyle w:val="128"/>
        <w:tabs>
          <w:tab w:val="left" w:pos="8280"/>
        </w:tabs>
        <w:autoSpaceDE/>
        <w:autoSpaceDN/>
        <w:adjustRightInd w:val="0"/>
        <w:spacing w:beforeLines="0" w:afterLines="0" w:line="440" w:lineRule="exact"/>
        <w:ind w:left="0" w:firstLine="420" w:firstLineChars="200"/>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3.有毒有害气体浓度应符合GBZ2.1《工作场所有害因素职业接触限值第1部分化学有害因素》的限值。</w:t>
      </w:r>
    </w:p>
    <w:p w14:paraId="3AF909FB">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四）对有限空间内的气体或粉尘进行检测分析，不得早于进入有限空间作业开始前30分钟；作业中断超过30分钟，作业人员再次进入有限空间作业前，应当重新通风、检测合格后方可进入；有限空间长时间作业时，应至少每隔</w:t>
      </w:r>
      <w:r>
        <w:rPr>
          <w:rFonts w:hint="eastAsia" w:ascii="宋体" w:hAnsi="宋体" w:eastAsia="宋体" w:cs="宋体"/>
          <w:color w:val="auto"/>
          <w:kern w:val="0"/>
          <w:sz w:val="21"/>
          <w:szCs w:val="21"/>
          <w:shd w:val="clear" w:color="auto" w:fill="FFFFFF"/>
          <w:lang w:val="en-US" w:bidi="ar"/>
        </w:rPr>
        <w:t>2</w:t>
      </w:r>
      <w:r>
        <w:rPr>
          <w:rFonts w:hint="eastAsia" w:ascii="宋体" w:hAnsi="宋体" w:eastAsia="宋体" w:cs="宋体"/>
          <w:color w:val="auto"/>
          <w:kern w:val="0"/>
          <w:sz w:val="21"/>
          <w:szCs w:val="21"/>
          <w:shd w:val="clear" w:color="auto" w:fill="FFFFFF"/>
          <w:lang w:bidi="ar"/>
        </w:rPr>
        <w:t>小时进行一次检测分析。</w:t>
      </w:r>
    </w:p>
    <w:p w14:paraId="16B0C961">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（五）检测人员应当采取相应的安全防护措施，防止中毒窒息等事故发生。</w:t>
      </w:r>
    </w:p>
    <w:p w14:paraId="1B067756">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（六）有限空间内盛装或者残留的物料对作业存在危害时，作业人员应当在作业前对物料进行清洗、清空或者置换，经检测合格后，方可进入有限空间作业。</w:t>
      </w:r>
    </w:p>
    <w:p w14:paraId="63D7B870">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（七）在有限空间作业过程中，应当采取通风措施，保持空气流通，禁止采用纯氧通风换气。</w:t>
      </w:r>
    </w:p>
    <w:p w14:paraId="0FAA321A">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（八）发现通风设备停止运转、有限空间内氧含量浓度低于或者有毒有害气体浓度高于国家标准或者行业标准规定的限值时，必须立即停止有限空间作业，清点作业人员，撤离作业现场。</w:t>
      </w:r>
    </w:p>
    <w:p w14:paraId="73F163DA">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（九）有限空间作业的照明电压应使用不高于36V的安全电压，狭小或潮湿场所应使用不高于12V的安全电压；使用的电动工具必须装有防触电的电气保护装置。</w:t>
      </w:r>
    </w:p>
    <w:p w14:paraId="056E8FD2">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（十）在易燃易爆作业环境中应使用防爆型低压灯具和电动工具，电气线路必须绝缘良好，无断线接头，电源接点无松动，防止产生电气火花造成事故；作业人员不得穿戴化纤类等易产生静电的工作服。</w:t>
      </w:r>
    </w:p>
    <w:p w14:paraId="659582BB">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（十一）在有酸碱等腐蚀性作业环境中，应穿戴好防护用品，在设备外部应设有急救用的冲洗装置和水源等。</w:t>
      </w:r>
    </w:p>
    <w:p w14:paraId="2F9843CD">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（十二）若有异常情况发生，应立即召集急救人员穿戴好防护器具进行抢救，不得在无防护措施情况下盲目进入抢救。</w:t>
      </w:r>
    </w:p>
    <w:p w14:paraId="2EDEBEA7">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（十三）有限空间作业结束后，作业现场负责人、监护人员应当清点人数，并对作业现场进行清理。</w:t>
      </w:r>
    </w:p>
    <w:p w14:paraId="626833B4">
      <w:pPr>
        <w:pStyle w:val="128"/>
        <w:tabs>
          <w:tab w:val="left" w:pos="8280"/>
        </w:tabs>
        <w:autoSpaceDE/>
        <w:autoSpaceDN/>
        <w:adjustRightInd w:val="0"/>
        <w:spacing w:beforeLines="0" w:afterLines="0" w:line="440" w:lineRule="exact"/>
        <w:ind w:left="0" w:firstLine="420" w:firstLineChars="200"/>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（十四）有限空间作业还应符合下列要求：</w:t>
      </w:r>
    </w:p>
    <w:p w14:paraId="379B0689">
      <w:pPr>
        <w:pStyle w:val="128"/>
        <w:tabs>
          <w:tab w:val="left" w:pos="8280"/>
        </w:tabs>
        <w:autoSpaceDE/>
        <w:autoSpaceDN/>
        <w:adjustRightInd w:val="0"/>
        <w:spacing w:beforeLines="0" w:afterLines="0" w:line="440" w:lineRule="exact"/>
        <w:ind w:left="0" w:firstLine="420" w:firstLineChars="200"/>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1.保持有限空间出入口畅通；</w:t>
      </w:r>
    </w:p>
    <w:p w14:paraId="1AD38394">
      <w:pPr>
        <w:pStyle w:val="128"/>
        <w:tabs>
          <w:tab w:val="left" w:pos="8280"/>
        </w:tabs>
        <w:autoSpaceDE/>
        <w:autoSpaceDN/>
        <w:adjustRightInd w:val="0"/>
        <w:spacing w:beforeLines="0" w:afterLines="0" w:line="440" w:lineRule="exact"/>
        <w:ind w:left="0" w:firstLine="420" w:firstLineChars="200"/>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2.设置明显的安全警示标志和警示说明；</w:t>
      </w:r>
    </w:p>
    <w:p w14:paraId="119EC45E">
      <w:pPr>
        <w:pStyle w:val="128"/>
        <w:tabs>
          <w:tab w:val="left" w:pos="8280"/>
        </w:tabs>
        <w:autoSpaceDE/>
        <w:autoSpaceDN/>
        <w:adjustRightInd w:val="0"/>
        <w:spacing w:beforeLines="0" w:afterLines="0" w:line="440" w:lineRule="exact"/>
        <w:ind w:left="0" w:firstLine="420" w:firstLineChars="200"/>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3.作业人员与外部有可靠的通讯联络；</w:t>
      </w:r>
    </w:p>
    <w:p w14:paraId="3DFF5898">
      <w:pPr>
        <w:pStyle w:val="128"/>
        <w:tabs>
          <w:tab w:val="left" w:pos="8280"/>
        </w:tabs>
        <w:autoSpaceDE/>
        <w:autoSpaceDN/>
        <w:adjustRightInd w:val="0"/>
        <w:spacing w:beforeLines="0" w:afterLines="0" w:line="440" w:lineRule="exact"/>
        <w:ind w:firstLine="420" w:firstLineChars="200"/>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4.监护人员不得离开作业现场，并与作业人员保持联系；</w:t>
      </w:r>
    </w:p>
    <w:p w14:paraId="7F3069A2">
      <w:pPr>
        <w:pStyle w:val="128"/>
        <w:tabs>
          <w:tab w:val="left" w:pos="8280"/>
        </w:tabs>
        <w:autoSpaceDE/>
        <w:autoSpaceDN/>
        <w:adjustRightInd w:val="0"/>
        <w:spacing w:beforeLines="0" w:afterLines="0" w:line="440" w:lineRule="exact"/>
        <w:ind w:left="0" w:firstLine="420" w:firstLineChars="200"/>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5.存在交叉作业时，采取避免互相伤害的措施。</w:t>
      </w:r>
    </w:p>
    <w:p w14:paraId="0984F264">
      <w:pPr>
        <w:pStyle w:val="128"/>
        <w:tabs>
          <w:tab w:val="left" w:pos="8280"/>
        </w:tabs>
        <w:autoSpaceDE/>
        <w:autoSpaceDN/>
        <w:adjustRightInd w:val="0"/>
        <w:spacing w:beforeLines="0" w:afterLines="0" w:line="440" w:lineRule="exact"/>
        <w:ind w:left="0" w:leftChars="0" w:firstLine="420" w:firstLineChars="200"/>
        <w:jc w:val="both"/>
        <w:rPr>
          <w:rFonts w:hint="eastAsia" w:ascii="宋体" w:hAnsi="宋体" w:eastAsia="宋体" w:cs="宋体"/>
          <w:color w:val="auto"/>
          <w:kern w:val="0"/>
          <w:sz w:val="21"/>
          <w:szCs w:val="21"/>
          <w:shd w:val="clear" w:color="auto" w:fill="FFFFFF"/>
          <w:lang w:val="en-US" w:eastAsia="zh-CN" w:bidi="ar"/>
        </w:rPr>
      </w:pPr>
      <w:r>
        <w:rPr>
          <w:rFonts w:hint="eastAsia" w:ascii="宋体" w:hAnsi="宋体" w:eastAsia="宋体" w:cs="宋体"/>
          <w:color w:val="auto"/>
          <w:kern w:val="0"/>
          <w:sz w:val="21"/>
          <w:szCs w:val="21"/>
          <w:shd w:val="clear" w:color="auto" w:fill="FFFFFF"/>
          <w:lang w:bidi="ar"/>
        </w:rPr>
        <w:t>（十</w:t>
      </w:r>
      <w:r>
        <w:rPr>
          <w:rFonts w:hint="eastAsia" w:ascii="宋体" w:hAnsi="宋体" w:eastAsia="宋体" w:cs="宋体"/>
          <w:color w:val="auto"/>
          <w:kern w:val="0"/>
          <w:sz w:val="21"/>
          <w:szCs w:val="21"/>
          <w:shd w:val="clear" w:color="auto" w:fill="FFFFFF"/>
          <w:lang w:val="en-US" w:eastAsia="zh-CN" w:bidi="ar"/>
        </w:rPr>
        <w:t>五</w:t>
      </w:r>
      <w:r>
        <w:rPr>
          <w:rFonts w:hint="eastAsia" w:ascii="宋体" w:hAnsi="宋体" w:eastAsia="宋体" w:cs="宋体"/>
          <w:color w:val="auto"/>
          <w:kern w:val="0"/>
          <w:sz w:val="21"/>
          <w:szCs w:val="21"/>
          <w:shd w:val="clear" w:color="auto" w:fill="FFFFFF"/>
          <w:lang w:bidi="ar"/>
        </w:rPr>
        <w:t>）</w:t>
      </w:r>
      <w:r>
        <w:rPr>
          <w:rFonts w:hint="eastAsia" w:ascii="宋体" w:hAnsi="宋体" w:eastAsia="宋体" w:cs="宋体"/>
          <w:color w:val="auto"/>
          <w:kern w:val="0"/>
          <w:sz w:val="21"/>
          <w:szCs w:val="21"/>
          <w:shd w:val="clear" w:color="auto" w:fill="FFFFFF"/>
          <w:lang w:val="en-US" w:eastAsia="zh-CN" w:bidi="ar"/>
        </w:rPr>
        <w:t>如有限空间涉及水下作业时，应符合以下要求：</w:t>
      </w:r>
    </w:p>
    <w:p w14:paraId="2DA109A1">
      <w:pPr>
        <w:pStyle w:val="128"/>
        <w:tabs>
          <w:tab w:val="left" w:pos="8280"/>
        </w:tabs>
        <w:autoSpaceDE/>
        <w:autoSpaceDN/>
        <w:adjustRightInd w:val="0"/>
        <w:spacing w:beforeLines="0" w:afterLines="0" w:line="440" w:lineRule="exact"/>
        <w:ind w:firstLine="420" w:firstLineChars="200"/>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1</w:t>
      </w:r>
      <w:r>
        <w:rPr>
          <w:rFonts w:hint="eastAsia" w:ascii="宋体" w:hAnsi="宋体" w:eastAsia="宋体" w:cs="宋体"/>
          <w:color w:val="auto"/>
          <w:kern w:val="0"/>
          <w:sz w:val="21"/>
          <w:szCs w:val="21"/>
          <w:shd w:val="clear" w:color="auto" w:fill="FFFFFF"/>
          <w:lang w:eastAsia="zh-CN" w:bidi="ar"/>
        </w:rPr>
        <w:t>．</w:t>
      </w:r>
      <w:r>
        <w:rPr>
          <w:rFonts w:hint="eastAsia" w:ascii="宋体" w:hAnsi="宋体" w:eastAsia="宋体" w:cs="宋体"/>
          <w:color w:val="auto"/>
          <w:kern w:val="0"/>
          <w:sz w:val="21"/>
          <w:szCs w:val="21"/>
          <w:shd w:val="clear" w:color="auto" w:fill="FFFFFF"/>
          <w:lang w:bidi="ar"/>
        </w:rPr>
        <w:t>水下作业，属于危险性较大的部分项工程，应制定专项施工方案，对封堵点各类危险源进行辨识，并采取对应措施，降低作业风险。</w:t>
      </w:r>
    </w:p>
    <w:p w14:paraId="00BF73A8">
      <w:pPr>
        <w:pStyle w:val="128"/>
        <w:tabs>
          <w:tab w:val="left" w:pos="8280"/>
        </w:tabs>
        <w:autoSpaceDE/>
        <w:autoSpaceDN/>
        <w:adjustRightInd w:val="0"/>
        <w:spacing w:beforeLines="0" w:afterLines="0" w:line="440" w:lineRule="exact"/>
        <w:ind w:firstLine="420" w:firstLineChars="200"/>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2</w:t>
      </w:r>
      <w:r>
        <w:rPr>
          <w:rFonts w:hint="eastAsia" w:ascii="宋体" w:hAnsi="宋体" w:eastAsia="宋体" w:cs="宋体"/>
          <w:color w:val="auto"/>
          <w:kern w:val="0"/>
          <w:sz w:val="21"/>
          <w:szCs w:val="21"/>
          <w:shd w:val="clear" w:color="auto" w:fill="FFFFFF"/>
          <w:lang w:eastAsia="zh-CN" w:bidi="ar"/>
        </w:rPr>
        <w:t>．</w:t>
      </w:r>
      <w:r>
        <w:rPr>
          <w:rFonts w:hint="eastAsia" w:ascii="宋体" w:hAnsi="宋体" w:eastAsia="宋体" w:cs="宋体"/>
          <w:color w:val="auto"/>
          <w:kern w:val="0"/>
          <w:sz w:val="21"/>
          <w:szCs w:val="21"/>
          <w:shd w:val="clear" w:color="auto" w:fill="FFFFFF"/>
          <w:lang w:bidi="ar"/>
        </w:rPr>
        <w:t>作业人员应参加安全教育培训和安全技术交底，熟悉专项施工方案内容、存在的危害因素以及防范措施。</w:t>
      </w:r>
    </w:p>
    <w:p w14:paraId="39C7AE6F">
      <w:pPr>
        <w:pStyle w:val="128"/>
        <w:tabs>
          <w:tab w:val="left" w:pos="8280"/>
        </w:tabs>
        <w:autoSpaceDE/>
        <w:autoSpaceDN/>
        <w:adjustRightInd w:val="0"/>
        <w:spacing w:beforeLines="0" w:afterLines="0" w:line="440" w:lineRule="exact"/>
        <w:ind w:firstLine="420" w:firstLineChars="200"/>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val="en-US" w:eastAsia="zh-CN" w:bidi="ar"/>
        </w:rPr>
        <w:t>3</w:t>
      </w:r>
      <w:r>
        <w:rPr>
          <w:rFonts w:hint="eastAsia" w:ascii="宋体" w:hAnsi="宋体" w:eastAsia="宋体" w:cs="宋体"/>
          <w:color w:val="auto"/>
          <w:kern w:val="0"/>
          <w:sz w:val="21"/>
          <w:szCs w:val="21"/>
          <w:shd w:val="clear" w:color="auto" w:fill="FFFFFF"/>
          <w:lang w:eastAsia="zh-CN" w:bidi="ar"/>
        </w:rPr>
        <w:t>．</w:t>
      </w:r>
      <w:r>
        <w:rPr>
          <w:rFonts w:hint="eastAsia" w:ascii="宋体" w:hAnsi="宋体" w:eastAsia="宋体" w:cs="宋体"/>
          <w:color w:val="auto"/>
          <w:kern w:val="0"/>
          <w:sz w:val="21"/>
          <w:szCs w:val="21"/>
          <w:shd w:val="clear" w:color="auto" w:fill="FFFFFF"/>
          <w:lang w:bidi="ar"/>
        </w:rPr>
        <w:t>潜水作业人员必须经过专业培训，并取得有效潜水作业资格证后才能进行水下封堵作业。</w:t>
      </w:r>
    </w:p>
    <w:p w14:paraId="00E44BAF">
      <w:pPr>
        <w:pStyle w:val="128"/>
        <w:tabs>
          <w:tab w:val="left" w:pos="8280"/>
        </w:tabs>
        <w:autoSpaceDE/>
        <w:autoSpaceDN/>
        <w:adjustRightInd w:val="0"/>
        <w:spacing w:beforeLines="0" w:afterLines="0" w:line="440" w:lineRule="exact"/>
        <w:ind w:firstLine="420" w:firstLineChars="200"/>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val="en-US" w:eastAsia="zh-CN" w:bidi="ar"/>
        </w:rPr>
        <w:t>4</w:t>
      </w:r>
      <w:r>
        <w:rPr>
          <w:rFonts w:hint="eastAsia" w:ascii="宋体" w:hAnsi="宋体" w:eastAsia="宋体" w:cs="宋体"/>
          <w:color w:val="auto"/>
          <w:kern w:val="0"/>
          <w:sz w:val="21"/>
          <w:szCs w:val="21"/>
          <w:shd w:val="clear" w:color="auto" w:fill="FFFFFF"/>
          <w:lang w:eastAsia="zh-CN" w:bidi="ar"/>
        </w:rPr>
        <w:t>．</w:t>
      </w:r>
      <w:r>
        <w:rPr>
          <w:rFonts w:hint="eastAsia" w:ascii="宋体" w:hAnsi="宋体" w:eastAsia="宋体" w:cs="宋体"/>
          <w:color w:val="auto"/>
          <w:kern w:val="0"/>
          <w:sz w:val="21"/>
          <w:szCs w:val="21"/>
          <w:shd w:val="clear" w:color="auto" w:fill="FFFFFF"/>
          <w:lang w:bidi="ar"/>
        </w:rPr>
        <w:t>作业前对使用的工器具进行全面检查，并检查调试需要使用的设备设施，作业监护人与水下封堵作业人员约定好上下联系信号，确定无误后进行下一步操作。若使用气囊封堵，必须确保使用的气囊质量可靠、符合要求</w:t>
      </w:r>
      <w:r>
        <w:rPr>
          <w:rFonts w:hint="eastAsia" w:ascii="宋体" w:hAnsi="宋体" w:eastAsia="宋体" w:cs="宋体"/>
          <w:color w:val="auto"/>
          <w:kern w:val="0"/>
          <w:sz w:val="21"/>
          <w:szCs w:val="21"/>
          <w:shd w:val="clear" w:color="auto" w:fill="FFFFFF"/>
          <w:lang w:val="en-US" w:eastAsia="zh-CN" w:bidi="ar"/>
        </w:rPr>
        <w:t>、符合现场水位和管径要求</w:t>
      </w:r>
      <w:r>
        <w:rPr>
          <w:rFonts w:hint="eastAsia" w:ascii="宋体" w:hAnsi="宋体" w:eastAsia="宋体" w:cs="宋体"/>
          <w:color w:val="auto"/>
          <w:kern w:val="0"/>
          <w:sz w:val="21"/>
          <w:szCs w:val="21"/>
          <w:shd w:val="clear" w:color="auto" w:fill="FFFFFF"/>
          <w:lang w:bidi="ar"/>
        </w:rPr>
        <w:t>。</w:t>
      </w:r>
    </w:p>
    <w:p w14:paraId="21F99619">
      <w:pPr>
        <w:pStyle w:val="128"/>
        <w:tabs>
          <w:tab w:val="left" w:pos="8280"/>
        </w:tabs>
        <w:autoSpaceDE/>
        <w:autoSpaceDN/>
        <w:adjustRightInd w:val="0"/>
        <w:spacing w:beforeLines="0" w:afterLines="0" w:line="440" w:lineRule="exact"/>
        <w:ind w:firstLine="420" w:firstLineChars="200"/>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val="en-US" w:eastAsia="zh-CN" w:bidi="ar"/>
        </w:rPr>
        <w:t>5</w:t>
      </w:r>
      <w:r>
        <w:rPr>
          <w:rFonts w:hint="eastAsia" w:ascii="宋体" w:hAnsi="宋体" w:eastAsia="宋体" w:cs="宋体"/>
          <w:color w:val="auto"/>
          <w:kern w:val="0"/>
          <w:sz w:val="21"/>
          <w:szCs w:val="21"/>
          <w:shd w:val="clear" w:color="auto" w:fill="FFFFFF"/>
          <w:lang w:eastAsia="zh-CN" w:bidi="ar"/>
        </w:rPr>
        <w:t>．</w:t>
      </w:r>
      <w:r>
        <w:rPr>
          <w:rFonts w:hint="eastAsia" w:ascii="宋体" w:hAnsi="宋体" w:eastAsia="宋体" w:cs="宋体"/>
          <w:color w:val="auto"/>
          <w:kern w:val="0"/>
          <w:sz w:val="21"/>
          <w:szCs w:val="21"/>
          <w:shd w:val="clear" w:color="auto" w:fill="FFFFFF"/>
          <w:lang w:bidi="ar"/>
        </w:rPr>
        <w:t>水下封堵作业人员必须佩戴能持续供氧的隔离式防护用具、安全绳、潜水电话等工器具。</w:t>
      </w:r>
    </w:p>
    <w:p w14:paraId="36617521">
      <w:pPr>
        <w:pStyle w:val="128"/>
        <w:tabs>
          <w:tab w:val="left" w:pos="8280"/>
        </w:tabs>
        <w:autoSpaceDE/>
        <w:autoSpaceDN/>
        <w:adjustRightInd w:val="0"/>
        <w:spacing w:beforeLines="0" w:afterLines="0" w:line="440" w:lineRule="exact"/>
        <w:ind w:firstLine="420" w:firstLineChars="200"/>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val="en-US" w:eastAsia="zh-CN" w:bidi="ar"/>
        </w:rPr>
        <w:t>6</w:t>
      </w:r>
      <w:r>
        <w:rPr>
          <w:rFonts w:hint="eastAsia" w:ascii="宋体" w:hAnsi="宋体" w:eastAsia="宋体" w:cs="宋体"/>
          <w:color w:val="auto"/>
          <w:kern w:val="0"/>
          <w:sz w:val="21"/>
          <w:szCs w:val="21"/>
          <w:shd w:val="clear" w:color="auto" w:fill="FFFFFF"/>
          <w:lang w:eastAsia="zh-CN" w:bidi="ar"/>
        </w:rPr>
        <w:t>．</w:t>
      </w:r>
      <w:r>
        <w:rPr>
          <w:rFonts w:hint="eastAsia" w:ascii="宋体" w:hAnsi="宋体" w:eastAsia="宋体" w:cs="宋体"/>
          <w:color w:val="auto"/>
          <w:kern w:val="0"/>
          <w:sz w:val="21"/>
          <w:szCs w:val="21"/>
          <w:shd w:val="clear" w:color="auto" w:fill="FFFFFF"/>
          <w:lang w:bidi="ar"/>
        </w:rPr>
        <w:t>下井作业时，作业人员应用手拉住梯子，缓缓爬至井底，井上操作人员协助其操作空气管、</w:t>
      </w:r>
      <w:r>
        <w:rPr>
          <w:rFonts w:hint="eastAsia" w:ascii="宋体" w:hAnsi="宋体" w:eastAsia="宋体" w:cs="宋体"/>
          <w:color w:val="auto"/>
          <w:kern w:val="0"/>
          <w:sz w:val="21"/>
          <w:szCs w:val="21"/>
          <w:shd w:val="clear" w:color="auto" w:fill="FFFFFF"/>
          <w:lang w:val="en-US" w:eastAsia="zh-CN" w:bidi="ar"/>
        </w:rPr>
        <w:t>通讯线缆</w:t>
      </w:r>
      <w:r>
        <w:rPr>
          <w:rFonts w:hint="eastAsia" w:ascii="宋体" w:hAnsi="宋体" w:eastAsia="宋体" w:cs="宋体"/>
          <w:color w:val="auto"/>
          <w:kern w:val="0"/>
          <w:sz w:val="21"/>
          <w:szCs w:val="21"/>
          <w:shd w:val="clear" w:color="auto" w:fill="FFFFFF"/>
          <w:lang w:bidi="ar"/>
        </w:rPr>
        <w:t>、安全绳等设施，以防空气管、</w:t>
      </w:r>
      <w:r>
        <w:rPr>
          <w:rFonts w:hint="eastAsia" w:ascii="宋体" w:hAnsi="宋体" w:eastAsia="宋体" w:cs="宋体"/>
          <w:color w:val="auto"/>
          <w:kern w:val="0"/>
          <w:sz w:val="21"/>
          <w:szCs w:val="21"/>
          <w:shd w:val="clear" w:color="auto" w:fill="FFFFFF"/>
          <w:lang w:val="en-US" w:eastAsia="zh-CN" w:bidi="ar"/>
        </w:rPr>
        <w:t>通讯线缆</w:t>
      </w:r>
      <w:r>
        <w:rPr>
          <w:rFonts w:hint="eastAsia" w:ascii="宋体" w:hAnsi="宋体" w:eastAsia="宋体" w:cs="宋体"/>
          <w:color w:val="auto"/>
          <w:kern w:val="0"/>
          <w:sz w:val="21"/>
          <w:szCs w:val="21"/>
          <w:shd w:val="clear" w:color="auto" w:fill="FFFFFF"/>
          <w:lang w:bidi="ar"/>
        </w:rPr>
        <w:t>缠绕至爬梯上，发生安全事故。</w:t>
      </w:r>
    </w:p>
    <w:p w14:paraId="516683D5">
      <w:pPr>
        <w:pStyle w:val="128"/>
        <w:tabs>
          <w:tab w:val="left" w:pos="8280"/>
        </w:tabs>
        <w:autoSpaceDE/>
        <w:autoSpaceDN/>
        <w:adjustRightInd w:val="0"/>
        <w:spacing w:beforeLines="0" w:afterLines="0" w:line="440" w:lineRule="exact"/>
        <w:ind w:firstLine="420" w:firstLineChars="200"/>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val="en-US" w:eastAsia="zh-CN" w:bidi="ar"/>
        </w:rPr>
        <w:t>7</w:t>
      </w:r>
      <w:r>
        <w:rPr>
          <w:rFonts w:hint="eastAsia" w:ascii="宋体" w:hAnsi="宋体" w:eastAsia="宋体" w:cs="宋体"/>
          <w:color w:val="auto"/>
          <w:kern w:val="0"/>
          <w:sz w:val="21"/>
          <w:szCs w:val="21"/>
          <w:shd w:val="clear" w:color="auto" w:fill="FFFFFF"/>
          <w:lang w:eastAsia="zh-CN" w:bidi="ar"/>
        </w:rPr>
        <w:t>．</w:t>
      </w:r>
      <w:r>
        <w:rPr>
          <w:rFonts w:hint="eastAsia" w:ascii="宋体" w:hAnsi="宋体" w:eastAsia="宋体" w:cs="宋体"/>
          <w:color w:val="auto"/>
          <w:kern w:val="0"/>
          <w:sz w:val="21"/>
          <w:szCs w:val="21"/>
          <w:shd w:val="clear" w:color="auto" w:fill="FFFFFF"/>
          <w:lang w:bidi="ar"/>
        </w:rPr>
        <w:t>当封堵点水位超过</w:t>
      </w:r>
      <w:r>
        <w:rPr>
          <w:rFonts w:hint="eastAsia" w:ascii="宋体" w:hAnsi="宋体" w:eastAsia="宋体" w:cs="宋体"/>
          <w:color w:val="auto"/>
          <w:kern w:val="0"/>
          <w:sz w:val="21"/>
          <w:szCs w:val="21"/>
          <w:shd w:val="clear" w:color="auto" w:fill="FFFFFF"/>
          <w:lang w:val="en-US" w:eastAsia="zh-CN" w:bidi="ar"/>
        </w:rPr>
        <w:t>5</w:t>
      </w:r>
      <w:r>
        <w:rPr>
          <w:rFonts w:hint="eastAsia" w:ascii="宋体" w:hAnsi="宋体" w:eastAsia="宋体" w:cs="宋体"/>
          <w:color w:val="auto"/>
          <w:kern w:val="0"/>
          <w:sz w:val="21"/>
          <w:szCs w:val="21"/>
          <w:shd w:val="clear" w:color="auto" w:fill="FFFFFF"/>
          <w:lang w:bidi="ar"/>
        </w:rPr>
        <w:t>0厘米时，必须穿着潜水服，并经水密检查无漏后方可进行封堵作业。</w:t>
      </w:r>
    </w:p>
    <w:p w14:paraId="35C794F6">
      <w:pPr>
        <w:pStyle w:val="128"/>
        <w:tabs>
          <w:tab w:val="left" w:pos="8280"/>
        </w:tabs>
        <w:autoSpaceDE/>
        <w:autoSpaceDN/>
        <w:adjustRightInd w:val="0"/>
        <w:spacing w:beforeLines="0" w:afterLines="0" w:line="440" w:lineRule="exact"/>
        <w:ind w:firstLine="420" w:firstLineChars="200"/>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val="en-US" w:eastAsia="zh-CN" w:bidi="ar"/>
        </w:rPr>
        <w:t>8</w:t>
      </w:r>
      <w:r>
        <w:rPr>
          <w:rFonts w:hint="eastAsia" w:ascii="宋体" w:hAnsi="宋体" w:eastAsia="宋体" w:cs="宋体"/>
          <w:color w:val="auto"/>
          <w:kern w:val="0"/>
          <w:sz w:val="21"/>
          <w:szCs w:val="21"/>
          <w:shd w:val="clear" w:color="auto" w:fill="FFFFFF"/>
          <w:lang w:eastAsia="zh-CN" w:bidi="ar"/>
        </w:rPr>
        <w:t>．</w:t>
      </w:r>
      <w:r>
        <w:rPr>
          <w:rFonts w:hint="eastAsia" w:ascii="宋体" w:hAnsi="宋体" w:eastAsia="宋体" w:cs="宋体"/>
          <w:color w:val="auto"/>
          <w:kern w:val="0"/>
          <w:sz w:val="21"/>
          <w:szCs w:val="21"/>
          <w:shd w:val="clear" w:color="auto" w:fill="FFFFFF"/>
          <w:lang w:bidi="ar"/>
        </w:rPr>
        <w:t>水下封堵作业人员下到封堵作业点后，应立即通过潜水电话与井上监护人员取得联系，报告实际作业位置以及水下环境情况。</w:t>
      </w:r>
    </w:p>
    <w:p w14:paraId="23BCA447">
      <w:pPr>
        <w:pStyle w:val="128"/>
        <w:tabs>
          <w:tab w:val="left" w:pos="8280"/>
        </w:tabs>
        <w:autoSpaceDE/>
        <w:autoSpaceDN/>
        <w:adjustRightInd w:val="0"/>
        <w:spacing w:beforeLines="0" w:afterLines="0" w:line="440" w:lineRule="exact"/>
        <w:ind w:firstLine="420" w:firstLineChars="200"/>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val="en-US" w:eastAsia="zh-CN" w:bidi="ar"/>
        </w:rPr>
        <w:t>9</w:t>
      </w:r>
      <w:r>
        <w:rPr>
          <w:rFonts w:hint="eastAsia" w:ascii="宋体" w:hAnsi="宋体" w:eastAsia="宋体" w:cs="宋体"/>
          <w:color w:val="auto"/>
          <w:kern w:val="0"/>
          <w:sz w:val="21"/>
          <w:szCs w:val="21"/>
          <w:shd w:val="clear" w:color="auto" w:fill="FFFFFF"/>
          <w:lang w:eastAsia="zh-CN" w:bidi="ar"/>
        </w:rPr>
        <w:t>．</w:t>
      </w:r>
      <w:r>
        <w:rPr>
          <w:rFonts w:hint="eastAsia" w:ascii="宋体" w:hAnsi="宋体" w:eastAsia="宋体" w:cs="宋体"/>
          <w:color w:val="auto"/>
          <w:kern w:val="0"/>
          <w:sz w:val="21"/>
          <w:szCs w:val="21"/>
          <w:shd w:val="clear" w:color="auto" w:fill="FFFFFF"/>
          <w:lang w:bidi="ar"/>
        </w:rPr>
        <w:t>水下封堵作业人员连续工作不得超过1小时。</w:t>
      </w:r>
    </w:p>
    <w:p w14:paraId="5BCB97CD">
      <w:pPr>
        <w:pStyle w:val="128"/>
        <w:tabs>
          <w:tab w:val="left" w:pos="8280"/>
        </w:tabs>
        <w:autoSpaceDE/>
        <w:autoSpaceDN/>
        <w:adjustRightInd w:val="0"/>
        <w:spacing w:beforeLines="0" w:afterLines="0" w:line="440" w:lineRule="exact"/>
        <w:ind w:firstLine="420" w:firstLineChars="200"/>
        <w:jc w:val="both"/>
        <w:rPr>
          <w:rFonts w:hint="eastAsia" w:ascii="宋体" w:hAnsi="宋体" w:eastAsia="宋体" w:cs="宋体"/>
          <w:color w:val="auto"/>
          <w:kern w:val="0"/>
          <w:sz w:val="21"/>
          <w:szCs w:val="21"/>
          <w:highlight w:val="none"/>
          <w:shd w:val="clear" w:color="auto" w:fill="FFFFFF"/>
          <w:lang w:eastAsia="zh-CN" w:bidi="ar"/>
        </w:rPr>
      </w:pPr>
      <w:r>
        <w:rPr>
          <w:rFonts w:hint="eastAsia" w:ascii="宋体" w:hAnsi="宋体" w:eastAsia="宋体" w:cs="宋体"/>
          <w:color w:val="auto"/>
          <w:kern w:val="0"/>
          <w:sz w:val="21"/>
          <w:szCs w:val="21"/>
          <w:highlight w:val="none"/>
          <w:shd w:val="clear" w:color="auto" w:fill="FFFFFF"/>
          <w:lang w:val="en-US" w:eastAsia="zh-CN" w:bidi="ar"/>
        </w:rPr>
        <w:t>10</w:t>
      </w:r>
      <w:r>
        <w:rPr>
          <w:rFonts w:hint="eastAsia" w:ascii="宋体" w:hAnsi="宋体" w:eastAsia="宋体" w:cs="宋体"/>
          <w:color w:val="auto"/>
          <w:kern w:val="0"/>
          <w:sz w:val="21"/>
          <w:szCs w:val="21"/>
          <w:shd w:val="clear" w:color="auto" w:fill="FFFFFF"/>
          <w:lang w:eastAsia="zh-CN" w:bidi="ar"/>
        </w:rPr>
        <w:t>．</w:t>
      </w:r>
      <w:r>
        <w:rPr>
          <w:rFonts w:hint="eastAsia" w:ascii="宋体" w:hAnsi="宋体" w:eastAsia="宋体" w:cs="宋体"/>
          <w:color w:val="auto"/>
          <w:kern w:val="0"/>
          <w:sz w:val="21"/>
          <w:szCs w:val="21"/>
          <w:highlight w:val="none"/>
          <w:shd w:val="clear" w:color="auto" w:fill="FFFFFF"/>
          <w:lang w:bidi="ar"/>
        </w:rPr>
        <w:t>水下封堵作业全程应安排至少2名监护人员</w:t>
      </w:r>
      <w:r>
        <w:rPr>
          <w:rFonts w:hint="eastAsia" w:ascii="宋体" w:hAnsi="宋体" w:eastAsia="宋体" w:cs="宋体"/>
          <w:color w:val="auto"/>
          <w:kern w:val="0"/>
          <w:sz w:val="21"/>
          <w:szCs w:val="21"/>
          <w:highlight w:val="none"/>
          <w:shd w:val="clear" w:color="auto" w:fill="FFFFFF"/>
          <w:lang w:eastAsia="zh-CN" w:bidi="ar"/>
        </w:rPr>
        <w:t>。</w:t>
      </w:r>
    </w:p>
    <w:p w14:paraId="09204E39">
      <w:pPr>
        <w:pStyle w:val="128"/>
        <w:tabs>
          <w:tab w:val="left" w:pos="8280"/>
        </w:tabs>
        <w:autoSpaceDE/>
        <w:autoSpaceDN/>
        <w:adjustRightInd w:val="0"/>
        <w:spacing w:beforeLines="0" w:afterLines="0" w:line="440" w:lineRule="exact"/>
        <w:ind w:firstLine="420" w:firstLineChars="200"/>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val="en-US" w:eastAsia="zh-CN" w:bidi="ar"/>
        </w:rPr>
        <w:t>11．</w:t>
      </w:r>
      <w:r>
        <w:rPr>
          <w:rFonts w:hint="eastAsia" w:ascii="宋体" w:hAnsi="宋体" w:eastAsia="宋体" w:cs="宋体"/>
          <w:color w:val="auto"/>
          <w:kern w:val="0"/>
          <w:sz w:val="21"/>
          <w:szCs w:val="21"/>
          <w:shd w:val="clear" w:color="auto" w:fill="FFFFFF"/>
          <w:lang w:bidi="ar"/>
        </w:rPr>
        <w:t>水下封堵作业人员必须持续与井上监护人保持联系，发生紧急情况时，及时呼救，并有序撤离。</w:t>
      </w:r>
    </w:p>
    <w:p w14:paraId="30D7044B">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val="en-US" w:eastAsia="zh-CN" w:bidi="ar"/>
        </w:rPr>
        <w:t>12．</w:t>
      </w:r>
      <w:r>
        <w:rPr>
          <w:rFonts w:hint="eastAsia" w:ascii="宋体" w:hAnsi="宋体" w:eastAsia="宋体" w:cs="宋体"/>
          <w:color w:val="auto"/>
          <w:kern w:val="0"/>
          <w:sz w:val="21"/>
          <w:szCs w:val="21"/>
          <w:shd w:val="clear" w:color="auto" w:fill="FFFFFF"/>
          <w:lang w:bidi="ar"/>
        </w:rPr>
        <w:t>井上操作人员为水下封堵人员提供所需的材料及设备时，应使用容器延井壁缓慢送至水下封堵人员手中，在送料过程中应与水下封堵人员通过潜水电话持续联系沟通，防止物品坠落伤人。</w:t>
      </w:r>
    </w:p>
    <w:p w14:paraId="1FE02BF2">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val="en-US" w:eastAsia="zh-CN" w:bidi="ar"/>
        </w:rPr>
        <w:t>13．</w:t>
      </w:r>
      <w:r>
        <w:rPr>
          <w:rFonts w:hint="eastAsia" w:ascii="宋体" w:hAnsi="宋体" w:eastAsia="宋体" w:cs="宋体"/>
          <w:color w:val="auto"/>
          <w:kern w:val="0"/>
          <w:sz w:val="21"/>
          <w:szCs w:val="21"/>
          <w:shd w:val="clear" w:color="auto" w:fill="FFFFFF"/>
          <w:lang w:bidi="ar"/>
        </w:rPr>
        <w:t>水下封堵操作完成后，水下封堵人员应向作业监护人员发送信号，然后拉住梯子，缓缓爬出井面，并在作业监护人员的协助下坐立至井边稳定处，由其他工作人员帮其卸下压件及头盔等物。</w:t>
      </w:r>
    </w:p>
    <w:p w14:paraId="28E2255A">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val="en-US" w:eastAsia="zh-CN" w:bidi="ar"/>
        </w:rPr>
        <w:t>14．</w:t>
      </w:r>
      <w:r>
        <w:rPr>
          <w:rFonts w:hint="eastAsia" w:ascii="宋体" w:hAnsi="宋体" w:eastAsia="宋体" w:cs="宋体"/>
          <w:color w:val="auto"/>
          <w:kern w:val="0"/>
          <w:sz w:val="21"/>
          <w:szCs w:val="21"/>
          <w:shd w:val="clear" w:color="auto" w:fill="FFFFFF"/>
          <w:lang w:bidi="ar"/>
        </w:rPr>
        <w:t>水下封堵人员发生溺水事故时，在地面上的潜水员在保证自身安全的前提下，应迅速设法将溺水者救出。从水中救出后，如出现呼吸、心跳停止的，立即使用心肺复苏急救方式进行救治，并及时拨打120求助。</w:t>
      </w:r>
    </w:p>
    <w:p w14:paraId="354C65A2">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val="en-US" w:eastAsia="zh-CN" w:bidi="ar"/>
        </w:rPr>
        <w:t>15．</w:t>
      </w:r>
      <w:r>
        <w:rPr>
          <w:rFonts w:hint="eastAsia" w:ascii="宋体" w:hAnsi="宋体" w:eastAsia="宋体" w:cs="宋体"/>
          <w:color w:val="auto"/>
          <w:kern w:val="0"/>
          <w:sz w:val="21"/>
          <w:szCs w:val="21"/>
          <w:shd w:val="clear" w:color="auto" w:fill="FFFFFF"/>
          <w:lang w:bidi="ar"/>
        </w:rPr>
        <w:t>施救者如不懂得水中施救和不了解现场水情的，不可轻易下水，可充分利用现场器材，如绳、竿、救生圈、安全绳等进行救助。</w:t>
      </w:r>
    </w:p>
    <w:p w14:paraId="73D379DE">
      <w:pPr>
        <w:pStyle w:val="128"/>
        <w:tabs>
          <w:tab w:val="left" w:pos="8280"/>
        </w:tabs>
        <w:autoSpaceDE/>
        <w:autoSpaceDN/>
        <w:adjustRightInd w:val="0"/>
        <w:spacing w:beforeLines="0" w:afterLines="0" w:line="440" w:lineRule="exact"/>
        <w:ind w:left="0"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val="en-US" w:eastAsia="zh-CN" w:bidi="ar"/>
        </w:rPr>
        <w:t>16．</w:t>
      </w:r>
      <w:r>
        <w:rPr>
          <w:rFonts w:hint="eastAsia" w:ascii="宋体" w:hAnsi="宋体" w:eastAsia="宋体" w:cs="宋体"/>
          <w:color w:val="auto"/>
          <w:kern w:val="0"/>
          <w:sz w:val="21"/>
          <w:szCs w:val="21"/>
          <w:shd w:val="clear" w:color="auto" w:fill="FFFFFF"/>
          <w:lang w:bidi="ar"/>
        </w:rPr>
        <w:t>进行水下作业，必须充分考虑恶劣天气、汛期、上游开闸等因素。</w:t>
      </w:r>
    </w:p>
    <w:p w14:paraId="12E8FA92">
      <w:pPr>
        <w:pStyle w:val="128"/>
        <w:tabs>
          <w:tab w:val="left" w:pos="8280"/>
        </w:tabs>
        <w:autoSpaceDE/>
        <w:autoSpaceDN/>
        <w:adjustRightInd w:val="0"/>
        <w:spacing w:beforeLines="0" w:afterLines="0" w:line="440" w:lineRule="exact"/>
        <w:ind w:firstLine="417"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b/>
          <w:bCs/>
          <w:color w:val="auto"/>
          <w:kern w:val="0"/>
          <w:sz w:val="21"/>
          <w:szCs w:val="21"/>
          <w:shd w:val="clear" w:color="auto" w:fill="FFFFFF"/>
          <w:lang w:bidi="ar"/>
        </w:rPr>
        <w:t>第十</w:t>
      </w:r>
      <w:r>
        <w:rPr>
          <w:rFonts w:hint="eastAsia" w:ascii="宋体" w:hAnsi="宋体" w:eastAsia="宋体" w:cs="宋体"/>
          <w:b/>
          <w:bCs/>
          <w:color w:val="auto"/>
          <w:kern w:val="0"/>
          <w:sz w:val="21"/>
          <w:szCs w:val="21"/>
          <w:shd w:val="clear" w:color="auto" w:fill="FFFFFF"/>
          <w:lang w:val="en-US" w:eastAsia="zh-CN" w:bidi="ar"/>
        </w:rPr>
        <w:t>一</w:t>
      </w:r>
      <w:r>
        <w:rPr>
          <w:rFonts w:hint="eastAsia" w:ascii="宋体" w:hAnsi="宋体" w:eastAsia="宋体" w:cs="宋体"/>
          <w:b/>
          <w:bCs/>
          <w:color w:val="auto"/>
          <w:kern w:val="0"/>
          <w:sz w:val="21"/>
          <w:szCs w:val="21"/>
          <w:shd w:val="clear" w:color="auto" w:fill="FFFFFF"/>
          <w:lang w:bidi="ar"/>
        </w:rPr>
        <w:t>条</w:t>
      </w:r>
      <w:r>
        <w:rPr>
          <w:rFonts w:hint="eastAsia" w:ascii="宋体" w:hAnsi="宋体" w:eastAsia="宋体" w:cs="宋体"/>
          <w:color w:val="auto"/>
          <w:kern w:val="0"/>
          <w:sz w:val="21"/>
          <w:szCs w:val="21"/>
          <w:shd w:val="clear" w:color="auto" w:fill="FFFFFF"/>
          <w:lang w:bidi="ar"/>
        </w:rPr>
        <w:t xml:space="preserve"> 高处作业是指在距坠落高度基准面2米（含）以上，有可能坠落的高处进行作业。高处作业的安全管理要求：</w:t>
      </w:r>
    </w:p>
    <w:p w14:paraId="650B9E8F">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（一）高处作业人员必须接受安全教育，熟悉现场环境和施工安全要求。禁止职业禁忌症患者、年老、体弱、疲劳过度和视力不佳等人员进行高处作业。</w:t>
      </w:r>
    </w:p>
    <w:p w14:paraId="070DBF18">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（二）高处作业前要检查使用的工器具是否符合要求，作业人员应按照规定穿戴劳动保护用品、工器具，不得使用不符合高处作业安全要求的劳保用品。</w:t>
      </w:r>
    </w:p>
    <w:p w14:paraId="766A2471">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（三）在化学危险物品储存场所或附近有放空管线的位置作业时，应事先与区域负责人取得联系，建立联系信号。</w:t>
      </w:r>
    </w:p>
    <w:p w14:paraId="1B5DD320">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（四）作业人员作业前应确认高处作业许可证，检查安全措施落实后才能作业，否则有权拒绝作业。</w:t>
      </w:r>
    </w:p>
    <w:p w14:paraId="4590C6A4">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（五）高处作业所使用的工具、材料、零件等必须装入工具袋，上下时手中不得持物，不准投掷工具材料及其它物品。易滑动易滚动的工具材料应采取防止坠落措施。</w:t>
      </w:r>
    </w:p>
    <w:p w14:paraId="53965F8F">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（六）高处作业全程均须正确使用安全带、防滑鞋、安全帽等劳保用品，连续作业时间不得超过8小时。</w:t>
      </w:r>
    </w:p>
    <w:p w14:paraId="594403DF">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（七）高处作业与其他作业交叉进行时，必须按指定的路线上下，禁止上下垂直作业，若必须垂直进行作业时，应采取可靠的隔离措施。</w:t>
      </w:r>
    </w:p>
    <w:p w14:paraId="7BD6676C">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（八）高处作业应与地面保持联系，根据现场情况配备必要的联络工具，并指定专人负责联系。</w:t>
      </w:r>
    </w:p>
    <w:p w14:paraId="2C964E60">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（九）若作业过程中因工作需要临时拆除已搭好的脚手板或安全网的，必须做好评估，并在完工后及时恢复。</w:t>
      </w:r>
    </w:p>
    <w:p w14:paraId="294BE989">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（十）使用移动式梯子时，梯子与地面宜成60～70度，梯子底部应设防滑装置。使用移动式的人字梯时，中间应设有防止张开的装置。</w:t>
      </w:r>
    </w:p>
    <w:p w14:paraId="72BD5654">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（十一）如必须站在移动梯子上操作时，应离梯子顶端不少于1米，禁止站在梯子最高一层上作业，站立位置距离基准面应在2米以下。</w:t>
      </w:r>
    </w:p>
    <w:p w14:paraId="739FD017">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（十二）施工区域的风力达到</w:t>
      </w:r>
      <w:r>
        <w:rPr>
          <w:rFonts w:hint="eastAsia" w:ascii="宋体" w:hAnsi="宋体" w:eastAsia="宋体" w:cs="宋体"/>
          <w:color w:val="auto"/>
          <w:kern w:val="0"/>
          <w:sz w:val="21"/>
          <w:szCs w:val="21"/>
          <w:shd w:val="clear" w:color="auto" w:fill="FFFFFF"/>
          <w:lang w:val="en-US" w:eastAsia="zh-CN" w:bidi="ar"/>
        </w:rPr>
        <w:t>五</w:t>
      </w:r>
      <w:r>
        <w:rPr>
          <w:rFonts w:hint="eastAsia" w:ascii="宋体" w:hAnsi="宋体" w:eastAsia="宋体" w:cs="宋体"/>
          <w:color w:val="auto"/>
          <w:kern w:val="0"/>
          <w:sz w:val="21"/>
          <w:szCs w:val="21"/>
          <w:shd w:val="clear" w:color="auto" w:fill="FFFFFF"/>
          <w:lang w:bidi="ar"/>
        </w:rPr>
        <w:t>级（包括</w:t>
      </w:r>
      <w:r>
        <w:rPr>
          <w:rFonts w:hint="eastAsia" w:ascii="宋体" w:hAnsi="宋体" w:eastAsia="宋体" w:cs="宋体"/>
          <w:color w:val="auto"/>
          <w:kern w:val="0"/>
          <w:sz w:val="21"/>
          <w:szCs w:val="21"/>
          <w:shd w:val="clear" w:color="auto" w:fill="FFFFFF"/>
          <w:lang w:val="en-US" w:eastAsia="zh-CN" w:bidi="ar"/>
        </w:rPr>
        <w:t>五</w:t>
      </w:r>
      <w:r>
        <w:rPr>
          <w:rFonts w:hint="eastAsia" w:ascii="宋体" w:hAnsi="宋体" w:eastAsia="宋体" w:cs="宋体"/>
          <w:color w:val="auto"/>
          <w:kern w:val="0"/>
          <w:sz w:val="21"/>
          <w:szCs w:val="21"/>
          <w:shd w:val="clear" w:color="auto" w:fill="FFFFFF"/>
          <w:lang w:bidi="ar"/>
        </w:rPr>
        <w:t>级）以上时，应停止高处作业。</w:t>
      </w:r>
    </w:p>
    <w:p w14:paraId="4C8575FF">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（十三）在易断裂的工作面作业时，应先搭好脚手架，站在脚手架上作业，严禁直接踩在作业面上操作。</w:t>
      </w:r>
    </w:p>
    <w:p w14:paraId="7646E29F">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（十四）完成高</w:t>
      </w:r>
      <w:r>
        <w:rPr>
          <w:rFonts w:hint="eastAsia" w:ascii="宋体" w:hAnsi="宋体" w:eastAsia="宋体" w:cs="宋体"/>
          <w:color w:val="auto"/>
          <w:kern w:val="0"/>
          <w:sz w:val="21"/>
          <w:szCs w:val="21"/>
          <w:shd w:val="clear" w:color="auto" w:fill="FFFFFF"/>
          <w:lang w:val="en-US" w:eastAsia="zh-CN" w:bidi="ar"/>
        </w:rPr>
        <w:t>处</w:t>
      </w:r>
      <w:r>
        <w:rPr>
          <w:rFonts w:hint="eastAsia" w:ascii="宋体" w:hAnsi="宋体" w:eastAsia="宋体" w:cs="宋体"/>
          <w:color w:val="auto"/>
          <w:kern w:val="0"/>
          <w:sz w:val="21"/>
          <w:szCs w:val="21"/>
          <w:shd w:val="clear" w:color="auto" w:fill="FFFFFF"/>
          <w:lang w:bidi="ar"/>
        </w:rPr>
        <w:t>作业后，作业现场负责人、监护人员应当清点人数，并对作业现场进行清理。</w:t>
      </w:r>
    </w:p>
    <w:p w14:paraId="55BDC42B">
      <w:pPr>
        <w:tabs>
          <w:tab w:val="left" w:pos="8280"/>
        </w:tabs>
        <w:autoSpaceDE/>
        <w:autoSpaceDN/>
        <w:adjustRightInd w:val="0"/>
        <w:spacing w:beforeLines="0" w:afterLines="0" w:line="440" w:lineRule="exact"/>
        <w:ind w:firstLine="640"/>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b/>
          <w:bCs/>
          <w:color w:val="auto"/>
          <w:kern w:val="0"/>
          <w:sz w:val="21"/>
          <w:szCs w:val="21"/>
          <w:shd w:val="clear" w:color="auto" w:fill="FFFFFF"/>
          <w:lang w:bidi="ar"/>
        </w:rPr>
        <w:t>第十</w:t>
      </w:r>
      <w:r>
        <w:rPr>
          <w:rFonts w:hint="eastAsia" w:ascii="宋体" w:hAnsi="宋体" w:eastAsia="宋体" w:cs="宋体"/>
          <w:b/>
          <w:bCs/>
          <w:color w:val="auto"/>
          <w:kern w:val="0"/>
          <w:sz w:val="21"/>
          <w:szCs w:val="21"/>
          <w:shd w:val="clear" w:color="auto" w:fill="FFFFFF"/>
          <w:lang w:val="en-US" w:eastAsia="zh-CN" w:bidi="ar"/>
        </w:rPr>
        <w:t>二</w:t>
      </w:r>
      <w:r>
        <w:rPr>
          <w:rFonts w:hint="eastAsia" w:ascii="宋体" w:hAnsi="宋体" w:eastAsia="宋体" w:cs="宋体"/>
          <w:b/>
          <w:bCs/>
          <w:color w:val="auto"/>
          <w:kern w:val="0"/>
          <w:sz w:val="21"/>
          <w:szCs w:val="21"/>
          <w:shd w:val="clear" w:color="auto" w:fill="FFFFFF"/>
          <w:lang w:bidi="ar"/>
        </w:rPr>
        <w:t>条</w:t>
      </w:r>
      <w:r>
        <w:rPr>
          <w:rFonts w:hint="eastAsia" w:ascii="宋体" w:hAnsi="宋体" w:eastAsia="宋体" w:cs="宋体"/>
          <w:color w:val="auto"/>
          <w:kern w:val="0"/>
          <w:sz w:val="21"/>
          <w:szCs w:val="21"/>
          <w:shd w:val="clear" w:color="auto" w:fill="FFFFFF"/>
          <w:lang w:bidi="ar"/>
        </w:rPr>
        <w:t xml:space="preserve"> 动土作业是指挖土、打桩、钻探、坑探、地锚入土深度在0.5米以上或使用推土机、压路机等施工机械进行填土或平整场地等，可能对地下隐蔽设施产生影响的作业。动土作业的安全管理要求：</w:t>
      </w:r>
    </w:p>
    <w:p w14:paraId="0631BEC7">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（一）动土作业前必须摸清地下情况，向作业人员作好安全交底，并对其进行安全教育培训。</w:t>
      </w:r>
    </w:p>
    <w:p w14:paraId="48CCA7C8">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（二）动土作业过程中若暴露出电缆、管线以及不能辨认的物品时，应立即停止作业，妥善加以保护，报告有关单位处理，经采取安全措施后方可继续作业。</w:t>
      </w:r>
    </w:p>
    <w:p w14:paraId="0822ECD1">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（三）动土作业临近地下隐蔽设施时，应轻轻挖掘，禁止使用铁棒、铁稿或抓斗等机械工具。</w:t>
      </w:r>
    </w:p>
    <w:p w14:paraId="6909A021">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（四）挖土应自上而下进行，禁止采用挖空底脚的办法。使用机械挖土时，挖土机回转范围内不准进行其它作业。</w:t>
      </w:r>
    </w:p>
    <w:p w14:paraId="0CC50EC6">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（五）挖土施工应视土壤性质、湿度和挖掘深度留有安全边坡或放置支撑。如发现边坡有裂缝、疏松或支撑有滑动、折断等危险征兆，应立即停止作业，并采取有效措施。拆除支撑时，必须按回填自下而上进行。</w:t>
      </w:r>
    </w:p>
    <w:p w14:paraId="4D757B84">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（六）挖出土方堆放距离沟边不得少于0.8米，在沟道转弯拐角处不得少于1.5米，土方堆置高度不得超过1.5米。</w:t>
      </w:r>
    </w:p>
    <w:p w14:paraId="4F8053DA">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（七）在坑、沟内作业时，还应按照有限空间作业要求对有毒、有害气体进行检测，保持良好通风或机械通风；发现有毒气体时，应立即撤出施工人员，排查原因并采取措施。</w:t>
      </w:r>
    </w:p>
    <w:p w14:paraId="2BC683B8">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（八）在靠近建筑物及构筑物地点动土时，应按挖掘深度采取必要的安全措施。</w:t>
      </w:r>
    </w:p>
    <w:p w14:paraId="21F9895C">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（九）若作业有可能影响到工艺管线、公用工程，必须召集相关部门共同确定动土安全方案后，才能进行作业。</w:t>
      </w:r>
    </w:p>
    <w:p w14:paraId="5E368C2F">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（十）动土作业现场应设置护栏、盖板和警告标志，夜间应悬挂夜间警示灯。施工结束后应及时回填，并恢复地面设施。</w:t>
      </w:r>
    </w:p>
    <w:p w14:paraId="6676BCD2">
      <w:pPr>
        <w:pStyle w:val="128"/>
        <w:spacing w:beforeLines="0" w:afterLines="0" w:line="440" w:lineRule="exact"/>
        <w:ind w:firstLine="422" w:firstLineChars="200"/>
        <w:rPr>
          <w:rFonts w:hint="eastAsia" w:ascii="宋体" w:hAnsi="宋体" w:eastAsia="宋体" w:cs="宋体"/>
          <w:color w:val="auto"/>
          <w:kern w:val="0"/>
          <w:sz w:val="21"/>
          <w:szCs w:val="21"/>
          <w:shd w:val="clear" w:color="auto" w:fill="FFFFFF"/>
          <w:lang w:bidi="ar"/>
        </w:rPr>
      </w:pPr>
      <w:r>
        <w:rPr>
          <w:rFonts w:hint="eastAsia" w:ascii="宋体" w:hAnsi="宋体" w:eastAsia="宋体" w:cs="宋体"/>
          <w:b/>
          <w:bCs/>
          <w:color w:val="auto"/>
          <w:kern w:val="0"/>
          <w:sz w:val="21"/>
          <w:szCs w:val="21"/>
          <w:shd w:val="clear" w:color="auto" w:fill="FFFFFF"/>
          <w:lang w:bidi="ar"/>
        </w:rPr>
        <w:t>第十</w:t>
      </w:r>
      <w:r>
        <w:rPr>
          <w:rFonts w:hint="eastAsia" w:ascii="宋体" w:hAnsi="宋体" w:eastAsia="宋体" w:cs="宋体"/>
          <w:b/>
          <w:bCs/>
          <w:color w:val="auto"/>
          <w:kern w:val="0"/>
          <w:sz w:val="21"/>
          <w:szCs w:val="21"/>
          <w:shd w:val="clear" w:color="auto" w:fill="FFFFFF"/>
          <w:lang w:val="en-US" w:eastAsia="zh-CN" w:bidi="ar"/>
        </w:rPr>
        <w:t>三</w:t>
      </w:r>
      <w:r>
        <w:rPr>
          <w:rFonts w:hint="eastAsia" w:ascii="宋体" w:hAnsi="宋体" w:eastAsia="宋体" w:cs="宋体"/>
          <w:b/>
          <w:bCs/>
          <w:color w:val="auto"/>
          <w:kern w:val="0"/>
          <w:sz w:val="21"/>
          <w:szCs w:val="21"/>
          <w:shd w:val="clear" w:color="auto" w:fill="FFFFFF"/>
          <w:lang w:bidi="ar"/>
        </w:rPr>
        <w:t>条</w:t>
      </w:r>
      <w:r>
        <w:rPr>
          <w:rFonts w:hint="eastAsia" w:ascii="宋体" w:hAnsi="宋体" w:eastAsia="宋体" w:cs="宋体"/>
          <w:color w:val="auto"/>
          <w:kern w:val="0"/>
          <w:sz w:val="21"/>
          <w:szCs w:val="21"/>
          <w:shd w:val="clear" w:color="auto" w:fill="FFFFFF"/>
          <w:lang w:bidi="ar"/>
        </w:rPr>
        <w:t xml:space="preserve"> 动火作业是指在禁火区进行焊接与切割作业，或在易燃易爆场所使用喷灯、电钻、砂轮等进行可能产生火焰、火花和炽热表面的临时性作业。动火作业的安全管理要求：</w:t>
      </w:r>
    </w:p>
    <w:p w14:paraId="2FC86660">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（一）动火作业前，应对参与作业人员开展安全教育培训、安全技术交底，使其熟悉动火作业存在的危害因素和防范措施。</w:t>
      </w:r>
    </w:p>
    <w:p w14:paraId="700A3068">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（二）动火作业前，应清除动火现场及周围的可燃物品，采取有效的安全防范措施，配备充足的消防器材。</w:t>
      </w:r>
    </w:p>
    <w:p w14:paraId="18476BBA">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（三）动火作业前，应检查作业工器具和劳保用品，保证安全可靠，不准带病使用。</w:t>
      </w:r>
    </w:p>
    <w:p w14:paraId="4F784A25">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（四）对盛有或盛过化学危险物品的容器设备管道等生产装置，动火作业前必须进行清洗置换，经分析检测合格后，方可动火作业。</w:t>
      </w:r>
    </w:p>
    <w:p w14:paraId="512FE6A5">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（五）高</w:t>
      </w:r>
      <w:r>
        <w:rPr>
          <w:rFonts w:hint="eastAsia" w:ascii="宋体" w:hAnsi="宋体" w:eastAsia="宋体" w:cs="宋体"/>
          <w:color w:val="auto"/>
          <w:kern w:val="0"/>
          <w:sz w:val="21"/>
          <w:szCs w:val="21"/>
          <w:shd w:val="clear" w:color="auto" w:fill="FFFFFF"/>
          <w:lang w:val="en-US" w:eastAsia="zh-CN" w:bidi="ar"/>
        </w:rPr>
        <w:t>处</w:t>
      </w:r>
      <w:r>
        <w:rPr>
          <w:rFonts w:hint="eastAsia" w:ascii="宋体" w:hAnsi="宋体" w:eastAsia="宋体" w:cs="宋体"/>
          <w:color w:val="auto"/>
          <w:kern w:val="0"/>
          <w:sz w:val="21"/>
          <w:szCs w:val="21"/>
          <w:shd w:val="clear" w:color="auto" w:fill="FFFFFF"/>
          <w:lang w:bidi="ar"/>
        </w:rPr>
        <w:t>进行动火作业，其下部地面如有可燃物、孔洞、阴井、电缆沟及储池等，应检查分析，并采取隔离措施，以防火花溅落引起火灾爆炸事故。遇四级风以上（含四级风）天气，应停止室外动火作业。</w:t>
      </w:r>
    </w:p>
    <w:p w14:paraId="3901ABFA">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（六）动火区附近的下水道井口、地沟、管沟或电缆沟等应注意清除其中积存的可燃物，并暂时隔离封闭。</w:t>
      </w:r>
    </w:p>
    <w:p w14:paraId="4A5A7178">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（七）特殊情况下动火，应事先制定安全施工方案，落实安全防火措施，必要时可请专职消防队到现场监护。</w:t>
      </w:r>
    </w:p>
    <w:p w14:paraId="32140101">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（八）若现场环境发生变化，附近有易燃物料外溅，或因风向而受到可燃气体吹袭，应立即停止工作。</w:t>
      </w:r>
    </w:p>
    <w:p w14:paraId="5B462325">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（九）由于风向变化或风力过大，而难以控制动火时所产生的火花，为避免火花被吹向生产现场，应立即停止工作。</w:t>
      </w:r>
    </w:p>
    <w:p w14:paraId="1704DADC">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（十）使用氧气乙炔动火作业时，氧气瓶与乙炔气瓶间距不小于5米的安全距离，二者与动火作业地点均不小于10米，乙炔气瓶应安装阻火器，并直立放置，不准烈日曝晒。</w:t>
      </w:r>
    </w:p>
    <w:p w14:paraId="5823BE57">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（十一）动火作业中遇到气焊工具或气瓶泄漏，或工具设备有故障时，均应暂停工作，并排除故障。</w:t>
      </w:r>
    </w:p>
    <w:p w14:paraId="7617D8D6">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color w:val="auto"/>
          <w:sz w:val="21"/>
          <w:szCs w:val="21"/>
        </w:rPr>
      </w:pPr>
      <w:r>
        <w:rPr>
          <w:rFonts w:hint="eastAsia" w:ascii="宋体" w:hAnsi="宋体" w:eastAsia="宋体" w:cs="宋体"/>
          <w:color w:val="auto"/>
          <w:kern w:val="0"/>
          <w:sz w:val="21"/>
          <w:szCs w:val="21"/>
          <w:shd w:val="clear" w:color="auto" w:fill="FFFFFF"/>
          <w:lang w:bidi="ar"/>
        </w:rPr>
        <w:t>（十二）动火作业完毕后，动火作业人员应清理现场，经作业监护人、作业负责人确认无残留火种后，方可离开</w:t>
      </w:r>
      <w:r>
        <w:rPr>
          <w:rFonts w:hint="eastAsia" w:ascii="宋体" w:hAnsi="宋体" w:eastAsia="宋体" w:cs="宋体"/>
          <w:color w:val="auto"/>
          <w:sz w:val="21"/>
          <w:szCs w:val="21"/>
        </w:rPr>
        <w:t>。</w:t>
      </w:r>
    </w:p>
    <w:p w14:paraId="086692C0">
      <w:pPr>
        <w:pStyle w:val="128"/>
        <w:tabs>
          <w:tab w:val="left" w:pos="8280"/>
        </w:tabs>
        <w:autoSpaceDE/>
        <w:autoSpaceDN/>
        <w:adjustRightInd w:val="0"/>
        <w:spacing w:beforeLines="0" w:afterLines="0" w:line="440" w:lineRule="exact"/>
        <w:ind w:firstLine="417" w:firstLineChars="198"/>
        <w:jc w:val="both"/>
        <w:rPr>
          <w:rFonts w:hint="eastAsia" w:ascii="宋体" w:hAnsi="宋体" w:eastAsia="宋体" w:cs="宋体"/>
          <w:b w:val="0"/>
          <w:bCs/>
          <w:color w:val="auto"/>
          <w:sz w:val="21"/>
          <w:szCs w:val="21"/>
          <w:lang w:val="en-US" w:eastAsia="zh-CN" w:bidi="th-TH"/>
        </w:rPr>
      </w:pPr>
      <w:r>
        <w:rPr>
          <w:rFonts w:hint="eastAsia" w:ascii="宋体" w:hAnsi="宋体" w:eastAsia="宋体" w:cs="宋体"/>
          <w:b/>
          <w:bCs/>
          <w:color w:val="auto"/>
          <w:kern w:val="0"/>
          <w:sz w:val="21"/>
          <w:szCs w:val="21"/>
          <w:shd w:val="clear" w:color="auto" w:fill="FFFFFF"/>
          <w:lang w:bidi="ar"/>
        </w:rPr>
        <w:t>第十</w:t>
      </w:r>
      <w:r>
        <w:rPr>
          <w:rFonts w:hint="eastAsia" w:ascii="宋体" w:hAnsi="宋体" w:eastAsia="宋体" w:cs="宋体"/>
          <w:b/>
          <w:bCs/>
          <w:color w:val="auto"/>
          <w:kern w:val="0"/>
          <w:sz w:val="21"/>
          <w:szCs w:val="21"/>
          <w:shd w:val="clear" w:color="auto" w:fill="FFFFFF"/>
          <w:lang w:val="en-US" w:eastAsia="zh-CN" w:bidi="ar"/>
        </w:rPr>
        <w:t>四</w:t>
      </w:r>
      <w:r>
        <w:rPr>
          <w:rFonts w:hint="eastAsia" w:ascii="宋体" w:hAnsi="宋体" w:eastAsia="宋体" w:cs="宋体"/>
          <w:b/>
          <w:bCs/>
          <w:color w:val="auto"/>
          <w:kern w:val="0"/>
          <w:sz w:val="21"/>
          <w:szCs w:val="21"/>
          <w:shd w:val="clear" w:color="auto" w:fill="FFFFFF"/>
          <w:lang w:bidi="ar"/>
        </w:rPr>
        <w:t>条</w:t>
      </w:r>
      <w:r>
        <w:rPr>
          <w:rFonts w:hint="eastAsia" w:ascii="宋体" w:hAnsi="宋体" w:eastAsia="宋体" w:cs="宋体"/>
          <w:b w:val="0"/>
          <w:bCs w:val="0"/>
          <w:color w:val="auto"/>
          <w:kern w:val="0"/>
          <w:sz w:val="21"/>
          <w:szCs w:val="21"/>
          <w:shd w:val="clear" w:color="auto" w:fill="FFFFFF"/>
          <w:lang w:val="en-US" w:eastAsia="zh-CN" w:bidi="ar"/>
        </w:rPr>
        <w:t xml:space="preserve">  </w:t>
      </w:r>
      <w:r>
        <w:rPr>
          <w:rFonts w:hint="eastAsia" w:ascii="宋体" w:hAnsi="宋体" w:eastAsia="宋体" w:cs="宋体"/>
          <w:b w:val="0"/>
          <w:bCs/>
          <w:color w:val="auto"/>
          <w:sz w:val="21"/>
          <w:szCs w:val="21"/>
          <w:lang w:val="en-US" w:eastAsia="zh-CN" w:bidi="th-TH"/>
        </w:rPr>
        <w:t>断路作业是指在交通道路上进行工程施工、管网清淤、吊装吊运物体等各种影响正常交通的作业。断路作业安全管理要求：</w:t>
      </w:r>
    </w:p>
    <w:p w14:paraId="7F54F6FA">
      <w:pPr>
        <w:keepNext w:val="0"/>
        <w:keepLines w:val="0"/>
        <w:pageBreakBefore w:val="0"/>
        <w:widowControl/>
        <w:kinsoku/>
        <w:wordWrap/>
        <w:overflowPunct/>
        <w:topLinePunct w:val="0"/>
        <w:autoSpaceDE/>
        <w:autoSpaceDN/>
        <w:bidi w:val="0"/>
        <w:adjustRightInd/>
        <w:spacing w:beforeLines="0" w:afterLines="0" w:line="440" w:lineRule="exact"/>
        <w:ind w:firstLine="420" w:firstLineChars="200"/>
        <w:jc w:val="both"/>
        <w:textAlignment w:val="auto"/>
        <w:rPr>
          <w:rFonts w:hint="eastAsia" w:ascii="宋体" w:hAnsi="宋体" w:eastAsia="宋体" w:cs="宋体"/>
          <w:b w:val="0"/>
          <w:bCs/>
          <w:color w:val="auto"/>
          <w:sz w:val="21"/>
          <w:szCs w:val="21"/>
          <w:lang w:val="en-US" w:eastAsia="zh-CN" w:bidi="th-TH"/>
        </w:rPr>
      </w:pPr>
      <w:r>
        <w:rPr>
          <w:rFonts w:hint="eastAsia" w:ascii="宋体" w:hAnsi="宋体" w:eastAsia="宋体" w:cs="宋体"/>
          <w:b w:val="0"/>
          <w:bCs/>
          <w:color w:val="auto"/>
          <w:sz w:val="21"/>
          <w:szCs w:val="21"/>
          <w:lang w:val="en-US" w:eastAsia="zh-CN" w:bidi="th-TH"/>
        </w:rPr>
        <w:t>（一）断路作业应制定交通疏导组织方案，设置相应的警示标志及隔离围蔽设施，以确保作业期间的交通安全。</w:t>
      </w:r>
    </w:p>
    <w:p w14:paraId="4CA644B2">
      <w:pPr>
        <w:pStyle w:val="2"/>
        <w:keepNext w:val="0"/>
        <w:keepLines w:val="0"/>
        <w:pageBreakBefore w:val="0"/>
        <w:kinsoku/>
        <w:wordWrap/>
        <w:overflowPunct/>
        <w:topLinePunct w:val="0"/>
        <w:autoSpaceDE/>
        <w:autoSpaceDN/>
        <w:bidi w:val="0"/>
        <w:adjustRightInd/>
        <w:spacing w:before="0" w:beforeLines="0" w:afterLines="0" w:line="440" w:lineRule="exact"/>
        <w:ind w:firstLine="420" w:firstLineChars="200"/>
        <w:jc w:val="both"/>
        <w:textAlignment w:val="auto"/>
        <w:rPr>
          <w:rFonts w:hint="eastAsia" w:ascii="宋体" w:hAnsi="宋体" w:eastAsia="宋体" w:cs="宋体"/>
          <w:b w:val="0"/>
          <w:bCs/>
          <w:color w:val="auto"/>
          <w:sz w:val="21"/>
          <w:szCs w:val="21"/>
          <w:lang w:val="en-US" w:eastAsia="zh-CN" w:bidi="th-TH"/>
        </w:rPr>
      </w:pPr>
      <w:r>
        <w:rPr>
          <w:rFonts w:hint="eastAsia" w:ascii="宋体" w:hAnsi="宋体" w:eastAsia="宋体" w:cs="宋体"/>
          <w:b w:val="0"/>
          <w:bCs/>
          <w:color w:val="auto"/>
          <w:sz w:val="21"/>
          <w:szCs w:val="21"/>
          <w:lang w:val="en-US" w:eastAsia="zh-CN" w:bidi="th-TH"/>
        </w:rPr>
        <w:t>（二）作业前，现场负责人应对作业人员进行安全交底，并进行双方签字确认。作业人员应按规定着装并佩戴安全帽、反光衣等个人防护用品。</w:t>
      </w:r>
    </w:p>
    <w:p w14:paraId="7ACF9D85">
      <w:pPr>
        <w:pStyle w:val="2"/>
        <w:keepNext w:val="0"/>
        <w:keepLines w:val="0"/>
        <w:pageBreakBefore w:val="0"/>
        <w:kinsoku/>
        <w:wordWrap/>
        <w:overflowPunct/>
        <w:topLinePunct w:val="0"/>
        <w:autoSpaceDE/>
        <w:autoSpaceDN/>
        <w:bidi w:val="0"/>
        <w:adjustRightInd/>
        <w:spacing w:before="0" w:beforeLines="0" w:afterLines="0" w:line="440" w:lineRule="exact"/>
        <w:ind w:firstLine="420" w:firstLineChars="200"/>
        <w:jc w:val="both"/>
        <w:textAlignment w:val="auto"/>
        <w:rPr>
          <w:rFonts w:hint="eastAsia" w:ascii="宋体" w:hAnsi="宋体" w:eastAsia="宋体" w:cs="宋体"/>
          <w:b w:val="0"/>
          <w:bCs/>
          <w:color w:val="auto"/>
          <w:sz w:val="21"/>
          <w:szCs w:val="21"/>
          <w:lang w:val="en-US" w:eastAsia="zh-CN" w:bidi="th-TH"/>
        </w:rPr>
      </w:pPr>
      <w:r>
        <w:rPr>
          <w:rFonts w:hint="eastAsia" w:ascii="宋体" w:hAnsi="宋体" w:eastAsia="宋体" w:cs="宋体"/>
          <w:b w:val="0"/>
          <w:bCs/>
          <w:color w:val="auto"/>
          <w:sz w:val="21"/>
          <w:szCs w:val="21"/>
          <w:lang w:val="en-US" w:eastAsia="zh-CN" w:bidi="th-TH"/>
        </w:rPr>
        <w:t>（三）用于道路作业的工具设备、材料应放置在作业区内或其它不影响正常交通的场所。</w:t>
      </w:r>
    </w:p>
    <w:p w14:paraId="60494092">
      <w:pPr>
        <w:keepNext w:val="0"/>
        <w:keepLines w:val="0"/>
        <w:pageBreakBefore w:val="0"/>
        <w:widowControl/>
        <w:kinsoku/>
        <w:wordWrap/>
        <w:overflowPunct/>
        <w:topLinePunct w:val="0"/>
        <w:autoSpaceDE/>
        <w:autoSpaceDN/>
        <w:bidi w:val="0"/>
        <w:adjustRightInd/>
        <w:spacing w:beforeLines="0" w:afterLines="0" w:line="440" w:lineRule="exact"/>
        <w:ind w:firstLine="420" w:firstLineChars="200"/>
        <w:jc w:val="both"/>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val="0"/>
          <w:bCs/>
          <w:color w:val="auto"/>
          <w:sz w:val="21"/>
          <w:szCs w:val="21"/>
          <w:lang w:val="en-US" w:eastAsia="zh-CN" w:bidi="th-TH"/>
        </w:rPr>
        <w:t>（四）</w:t>
      </w:r>
      <w:r>
        <w:rPr>
          <w:rFonts w:hint="eastAsia" w:ascii="宋体" w:hAnsi="宋体" w:eastAsia="宋体" w:cs="宋体"/>
          <w:b w:val="0"/>
          <w:bCs/>
          <w:color w:val="auto"/>
          <w:kern w:val="2"/>
          <w:sz w:val="21"/>
          <w:szCs w:val="21"/>
          <w:lang w:val="en-US" w:eastAsia="zh-CN" w:bidi="th-TH"/>
        </w:rPr>
        <w:t>断路作业区域应留有足够的防火通道。</w:t>
      </w:r>
    </w:p>
    <w:p w14:paraId="6A07FA48">
      <w:pPr>
        <w:pStyle w:val="128"/>
        <w:tabs>
          <w:tab w:val="left" w:pos="8280"/>
        </w:tabs>
        <w:autoSpaceDE/>
        <w:autoSpaceDN/>
        <w:adjustRightInd w:val="0"/>
        <w:spacing w:beforeLines="0" w:afterLines="0" w:line="440" w:lineRule="exact"/>
        <w:ind w:firstLine="415" w:firstLineChars="198"/>
        <w:jc w:val="both"/>
        <w:rPr>
          <w:rFonts w:hint="eastAsia" w:ascii="宋体" w:hAnsi="宋体" w:eastAsia="宋体" w:cs="宋体"/>
          <w:b w:val="0"/>
          <w:bCs/>
          <w:color w:val="auto"/>
          <w:sz w:val="21"/>
          <w:szCs w:val="21"/>
          <w:lang w:val="en-US" w:eastAsia="zh-CN" w:bidi="th-TH"/>
        </w:rPr>
      </w:pPr>
      <w:r>
        <w:rPr>
          <w:rFonts w:hint="eastAsia" w:ascii="宋体" w:hAnsi="宋体" w:eastAsia="宋体" w:cs="宋体"/>
          <w:b w:val="0"/>
          <w:bCs/>
          <w:color w:val="auto"/>
          <w:sz w:val="21"/>
          <w:szCs w:val="21"/>
          <w:lang w:val="en-US" w:eastAsia="zh-CN" w:bidi="th-TH"/>
        </w:rPr>
        <w:t>（五）夜间断路作业应设置作业警示灯，断路作业警示灯设置在作业区周围的隔离设施路标处，应能反映作业区的轮廓。</w:t>
      </w:r>
    </w:p>
    <w:p w14:paraId="22FA2265">
      <w:pPr>
        <w:pStyle w:val="2"/>
        <w:keepNext w:val="0"/>
        <w:keepLines w:val="0"/>
        <w:pageBreakBefore w:val="0"/>
        <w:kinsoku/>
        <w:wordWrap/>
        <w:overflowPunct/>
        <w:topLinePunct w:val="0"/>
        <w:autoSpaceDE/>
        <w:autoSpaceDN/>
        <w:bidi w:val="0"/>
        <w:adjustRightInd/>
        <w:snapToGrid/>
        <w:spacing w:before="0" w:beforeLines="0" w:afterLines="0" w:line="440" w:lineRule="exact"/>
        <w:ind w:firstLine="420" w:firstLineChars="200"/>
        <w:jc w:val="both"/>
        <w:textAlignment w:val="auto"/>
        <w:rPr>
          <w:rFonts w:hint="eastAsia" w:ascii="宋体" w:hAnsi="宋体" w:eastAsia="宋体" w:cs="宋体"/>
          <w:b w:val="0"/>
          <w:bCs/>
          <w:color w:val="auto"/>
          <w:sz w:val="21"/>
          <w:szCs w:val="21"/>
          <w:lang w:val="en-US" w:eastAsia="zh-CN" w:bidi="th-TH"/>
        </w:rPr>
      </w:pPr>
      <w:r>
        <w:rPr>
          <w:rFonts w:hint="eastAsia" w:ascii="宋体" w:hAnsi="宋体" w:eastAsia="宋体" w:cs="宋体"/>
          <w:b w:val="0"/>
          <w:bCs/>
          <w:color w:val="auto"/>
          <w:sz w:val="21"/>
          <w:szCs w:val="21"/>
          <w:lang w:val="en-US" w:eastAsia="zh-CN" w:bidi="th-TH"/>
        </w:rPr>
        <w:t>（六）若断路作业区域车流量大，应安排一名交通指挥员疏导作业区域附近的车辆，避免造成交通拥堵。</w:t>
      </w:r>
    </w:p>
    <w:p w14:paraId="6CB40A4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440" w:lineRule="exact"/>
        <w:ind w:firstLine="422" w:firstLineChars="200"/>
        <w:jc w:val="both"/>
        <w:textAlignment w:val="auto"/>
        <w:outlineLvl w:val="1"/>
        <w:rPr>
          <w:rFonts w:hint="eastAsia" w:ascii="宋体" w:hAnsi="宋体" w:eastAsia="宋体" w:cs="宋体"/>
          <w:color w:val="auto"/>
          <w:sz w:val="21"/>
          <w:szCs w:val="21"/>
          <w:lang w:val="en-US" w:eastAsia="zh-CN"/>
        </w:rPr>
      </w:pPr>
      <w:r>
        <w:rPr>
          <w:rFonts w:hint="eastAsia" w:ascii="宋体" w:hAnsi="宋体" w:eastAsia="宋体" w:cs="宋体"/>
          <w:b/>
          <w:bCs w:val="0"/>
          <w:color w:val="auto"/>
          <w:sz w:val="21"/>
          <w:szCs w:val="21"/>
          <w:lang w:val="en-US" w:eastAsia="zh-CN" w:bidi="th-TH"/>
        </w:rPr>
        <w:t>第十五条</w:t>
      </w:r>
      <w:r>
        <w:rPr>
          <w:rFonts w:hint="eastAsia" w:ascii="宋体" w:hAnsi="宋体" w:eastAsia="宋体" w:cs="宋体"/>
          <w:b w:val="0"/>
          <w:bCs/>
          <w:color w:val="auto"/>
          <w:sz w:val="21"/>
          <w:szCs w:val="21"/>
          <w:lang w:val="en-US" w:eastAsia="zh-CN" w:bidi="th-TH"/>
        </w:rPr>
        <w:t>　</w:t>
      </w:r>
      <w:r>
        <w:rPr>
          <w:rFonts w:hint="eastAsia" w:ascii="宋体" w:hAnsi="宋体" w:eastAsia="宋体" w:cs="宋体"/>
          <w:color w:val="auto"/>
          <w:sz w:val="21"/>
          <w:szCs w:val="21"/>
          <w:lang w:val="en-US" w:eastAsia="zh-CN"/>
        </w:rPr>
        <w:t>临时用电作业是指在生产区域或施工区域内临时性使用非标准配置380V及以下的低电压电力系统作业</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土建维修、管网清疏、泵站维修等项目临时用电。</w:t>
      </w:r>
    </w:p>
    <w:p w14:paraId="0DBCEB0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440" w:lineRule="exact"/>
        <w:jc w:val="both"/>
        <w:textAlignment w:val="auto"/>
        <w:outlineLvl w:val="1"/>
        <w:rPr>
          <w:rFonts w:hint="eastAsia" w:ascii="宋体" w:hAnsi="宋体" w:eastAsia="宋体" w:cs="宋体"/>
          <w:color w:val="auto"/>
          <w:sz w:val="21"/>
          <w:szCs w:val="21"/>
          <w:lang w:val="en-US" w:eastAsia="zh-CN"/>
        </w:rPr>
      </w:pPr>
      <w:r>
        <w:rPr>
          <w:rFonts w:hint="eastAsia" w:ascii="宋体" w:hAnsi="宋体" w:eastAsia="宋体" w:cs="宋体"/>
          <w:b w:val="0"/>
          <w:bCs/>
          <w:color w:val="auto"/>
          <w:sz w:val="21"/>
          <w:szCs w:val="21"/>
          <w:lang w:val="en-US" w:eastAsia="zh-CN" w:bidi="th-TH"/>
        </w:rPr>
        <w:t>　　（一）</w:t>
      </w:r>
      <w:r>
        <w:rPr>
          <w:rFonts w:hint="eastAsia" w:ascii="宋体" w:hAnsi="宋体" w:eastAsia="宋体" w:cs="宋体"/>
          <w:color w:val="auto"/>
          <w:sz w:val="21"/>
          <w:szCs w:val="21"/>
          <w:lang w:val="en-US" w:eastAsia="zh-CN"/>
        </w:rPr>
        <w:t>临时用电作业前，应确认作业区域和内容，进行安全风险辨识，制定相应的安全措施。</w:t>
      </w:r>
    </w:p>
    <w:p w14:paraId="1E0093C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440" w:lineRule="exact"/>
        <w:jc w:val="both"/>
        <w:textAlignment w:val="auto"/>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（二）严格按照临时用电作业方案实施，不得随意变更地点和工作内容，禁止增加用电负荷或私自向其他单位转供电，禁止将自备电源接入配电系统。</w:t>
      </w:r>
    </w:p>
    <w:p w14:paraId="243F387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440" w:lineRule="exact"/>
        <w:jc w:val="both"/>
        <w:textAlignment w:val="auto"/>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（三）安排持证电工负责临时配电系统及用电设备的操作及监督检查，并做好相关检查记录，确保临时用电安全。</w:t>
      </w:r>
    </w:p>
    <w:p w14:paraId="2D405834">
      <w:pPr>
        <w:pStyle w:val="2"/>
        <w:autoSpaceDE/>
        <w:autoSpaceDN/>
        <w:spacing w:beforeLines="0" w:afterLines="0" w:line="440" w:lineRule="exact"/>
        <w:ind w:firstLine="422"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四）临时用电设施必须安装符合规范要求的漏电保护器，移动工具、手持式电动工具等设备应“一机一闸一漏”。严禁用同一开关电器直接控制2台及2台以上的用电设备；一般场所使用的漏电保护器额定漏电动作电流应为30mA，额定漏电动作，动作时间应小于0.1s。</w:t>
      </w:r>
    </w:p>
    <w:p w14:paraId="114CB19E">
      <w:pPr>
        <w:pStyle w:val="2"/>
        <w:autoSpaceDE/>
        <w:autoSpaceDN/>
        <w:spacing w:beforeLines="0" w:afterLines="0" w:line="440" w:lineRule="exact"/>
        <w:ind w:firstLine="422"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（五）落实监护制，临时用电设专人监护，确保现场安全措施落实到位。</w:t>
      </w:r>
    </w:p>
    <w:p w14:paraId="7D62D010">
      <w:pPr>
        <w:pStyle w:val="2"/>
        <w:autoSpaceDE/>
        <w:autoSpaceDN/>
        <w:spacing w:beforeLines="0" w:afterLines="0" w:line="440" w:lineRule="exact"/>
        <w:ind w:firstLine="422"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（六）临时用电作业结束后，清理作业现场，确保现场恢复至安全状态。</w:t>
      </w:r>
    </w:p>
    <w:p w14:paraId="0D509D2C">
      <w:pPr>
        <w:pStyle w:val="2"/>
        <w:autoSpaceDE/>
        <w:autoSpaceDN/>
        <w:spacing w:beforeLines="0" w:afterLines="0" w:line="440" w:lineRule="exact"/>
        <w:ind w:firstLine="422" w:firstLineChars="200"/>
        <w:rPr>
          <w:rFonts w:hint="eastAsia" w:ascii="宋体" w:hAnsi="宋体" w:eastAsia="宋体" w:cs="宋体"/>
          <w:color w:val="auto"/>
          <w:sz w:val="21"/>
          <w:szCs w:val="21"/>
          <w:lang w:val="en-US" w:eastAsia="zh-CN"/>
        </w:rPr>
      </w:pPr>
    </w:p>
    <w:p w14:paraId="79F67C27">
      <w:pPr>
        <w:widowControl/>
        <w:spacing w:beforeLines="0" w:afterLines="0" w:line="440" w:lineRule="exact"/>
        <w:ind w:firstLine="0"/>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第四章</w:t>
      </w:r>
      <w:r>
        <w:rPr>
          <w:rFonts w:hint="eastAsia" w:ascii="宋体" w:hAnsi="宋体" w:eastAsia="宋体" w:cs="宋体"/>
          <w:color w:val="auto"/>
          <w:sz w:val="21"/>
          <w:szCs w:val="21"/>
        </w:rPr>
        <w:t xml:space="preserve"> 危险作业审批程序</w:t>
      </w:r>
    </w:p>
    <w:p w14:paraId="23E68852">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beforeLines="0" w:afterLines="0" w:line="440" w:lineRule="exact"/>
        <w:ind w:firstLine="422" w:firstLineChars="200"/>
        <w:jc w:val="both"/>
        <w:textAlignment w:val="auto"/>
        <w:outlineLvl w:val="1"/>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color w:val="auto"/>
          <w:kern w:val="0"/>
          <w:sz w:val="21"/>
          <w:szCs w:val="21"/>
          <w:shd w:val="clear" w:color="auto" w:fill="FFFFFF"/>
          <w:lang w:bidi="ar"/>
        </w:rPr>
        <w:t>第十六条</w:t>
      </w:r>
      <w:r>
        <w:rPr>
          <w:rFonts w:hint="eastAsia" w:ascii="宋体" w:hAnsi="宋体" w:eastAsia="宋体" w:cs="宋体"/>
          <w:color w:val="auto"/>
          <w:kern w:val="0"/>
          <w:sz w:val="21"/>
          <w:szCs w:val="21"/>
          <w:shd w:val="clear" w:color="auto" w:fill="FFFFFF"/>
          <w:lang w:bidi="ar"/>
        </w:rPr>
        <w:t xml:space="preserve"> </w:t>
      </w:r>
      <w:r>
        <w:rPr>
          <w:rFonts w:hint="eastAsia" w:ascii="宋体" w:hAnsi="宋体" w:eastAsia="宋体" w:cs="宋体"/>
          <w:b w:val="0"/>
          <w:bCs/>
          <w:color w:val="auto"/>
          <w:sz w:val="21"/>
          <w:szCs w:val="21"/>
          <w:highlight w:val="none"/>
          <w:lang w:val="en-US" w:eastAsia="zh-CN"/>
        </w:rPr>
        <w:t>危险作业部门应至少提前一天将次日作业计划报送至分公司安全监管部。管网公司本部开展危险作业应至少提前一天将次日作业计划报送至公司安全监管部。</w:t>
      </w:r>
    </w:p>
    <w:p w14:paraId="22900DAD">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beforeLines="0" w:afterLines="0" w:line="440" w:lineRule="exact"/>
        <w:jc w:val="both"/>
        <w:textAlignment w:val="auto"/>
        <w:outlineLvl w:val="1"/>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w:t>
      </w:r>
      <w:r>
        <w:rPr>
          <w:rFonts w:hint="eastAsia" w:ascii="宋体" w:hAnsi="宋体" w:eastAsia="宋体" w:cs="宋体"/>
          <w:b/>
          <w:bCs w:val="0"/>
          <w:color w:val="auto"/>
          <w:sz w:val="21"/>
          <w:szCs w:val="21"/>
          <w:highlight w:val="none"/>
          <w:lang w:val="en-US" w:eastAsia="zh-CN"/>
        </w:rPr>
        <w:t>第十七条</w:t>
      </w:r>
      <w:r>
        <w:rPr>
          <w:rFonts w:hint="eastAsia" w:ascii="宋体" w:hAnsi="宋体" w:eastAsia="宋体" w:cs="宋体"/>
          <w:b w:val="0"/>
          <w:bCs/>
          <w:color w:val="auto"/>
          <w:sz w:val="21"/>
          <w:szCs w:val="21"/>
          <w:highlight w:val="none"/>
          <w:lang w:val="en-US" w:eastAsia="zh-CN"/>
        </w:rPr>
        <w:t>　危险作业部门应根据危险作业环境和作业内容，确保配足配齐符合国家标准的安全防护设备设施，指定专人建立设备台账，负责维护、保养和定期检验、检定和校准等工作，确保处于完好状态，发现设备设施影响安全使用时，应及时修复或更换。</w:t>
      </w:r>
    </w:p>
    <w:p w14:paraId="58728E57">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beforeLines="0" w:afterLines="0" w:line="440" w:lineRule="exact"/>
        <w:jc w:val="both"/>
        <w:textAlignment w:val="auto"/>
        <w:outlineLvl w:val="1"/>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w:t>
      </w:r>
      <w:r>
        <w:rPr>
          <w:rFonts w:hint="eastAsia" w:ascii="宋体" w:hAnsi="宋体" w:eastAsia="宋体" w:cs="宋体"/>
          <w:b/>
          <w:bCs w:val="0"/>
          <w:color w:val="auto"/>
          <w:sz w:val="21"/>
          <w:szCs w:val="21"/>
          <w:highlight w:val="none"/>
          <w:lang w:val="en-US" w:eastAsia="zh-CN"/>
        </w:rPr>
        <w:t>第十八条</w:t>
      </w:r>
      <w:r>
        <w:rPr>
          <w:rFonts w:hint="eastAsia" w:ascii="宋体" w:hAnsi="宋体" w:eastAsia="宋体" w:cs="宋体"/>
          <w:b w:val="0"/>
          <w:bCs/>
          <w:color w:val="auto"/>
          <w:sz w:val="21"/>
          <w:szCs w:val="21"/>
          <w:highlight w:val="none"/>
          <w:lang w:val="en-US" w:eastAsia="zh-CN"/>
        </w:rPr>
        <w:t>　危险作业负责人、监护人员、作业人员、应急救援人员等相关人员应定期进行专项安全培训教育和安全操作技能培训和考核。</w:t>
      </w:r>
    </w:p>
    <w:p w14:paraId="27C41177">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beforeLines="0" w:afterLines="0" w:line="440" w:lineRule="exact"/>
        <w:jc w:val="both"/>
        <w:textAlignment w:val="auto"/>
        <w:outlineLvl w:val="1"/>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w:t>
      </w:r>
      <w:r>
        <w:rPr>
          <w:rFonts w:hint="eastAsia" w:ascii="宋体" w:hAnsi="宋体" w:eastAsia="宋体" w:cs="宋体"/>
          <w:b/>
          <w:bCs w:val="0"/>
          <w:color w:val="auto"/>
          <w:sz w:val="21"/>
          <w:szCs w:val="21"/>
          <w:highlight w:val="none"/>
          <w:lang w:val="en-US" w:eastAsia="zh-CN"/>
        </w:rPr>
        <w:t>第十九条</w:t>
      </w:r>
      <w:r>
        <w:rPr>
          <w:rFonts w:hint="eastAsia" w:ascii="宋体" w:hAnsi="宋体" w:eastAsia="宋体" w:cs="宋体"/>
          <w:b w:val="0"/>
          <w:bCs/>
          <w:color w:val="auto"/>
          <w:sz w:val="21"/>
          <w:szCs w:val="21"/>
          <w:highlight w:val="none"/>
          <w:lang w:val="en-US" w:eastAsia="zh-CN"/>
        </w:rPr>
        <w:t>　危险作业实施部门要确认相关危险作业人员的上岗条件，确保危险作业人员、特种作业人员、特种设备操作人员持有相关执业资格证书、具备专业技能方能上岗作业。</w:t>
      </w:r>
    </w:p>
    <w:p w14:paraId="5F0DF1F4">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beforeLines="0" w:afterLines="0" w:line="440" w:lineRule="exact"/>
        <w:ind w:left="0" w:leftChars="0" w:firstLine="420" w:firstLineChars="200"/>
        <w:jc w:val="both"/>
        <w:textAlignment w:val="auto"/>
        <w:outlineLvl w:val="1"/>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有相关作业禁忌症、生理缺陷、劳动纪律差及有不良心理状态等人员，不得安排上岗作业。</w:t>
      </w:r>
    </w:p>
    <w:p w14:paraId="0BF25F9B">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beforeLines="0" w:afterLines="0" w:line="440" w:lineRule="exact"/>
        <w:ind w:left="0" w:leftChars="0" w:firstLine="420" w:firstLineChars="200"/>
        <w:jc w:val="both"/>
        <w:textAlignment w:val="auto"/>
        <w:outlineLvl w:val="1"/>
        <w:rPr>
          <w:rFonts w:hint="eastAsia" w:ascii="宋体" w:hAnsi="宋体" w:eastAsia="宋体" w:cs="宋体"/>
          <w:b w:val="0"/>
          <w:bCs/>
          <w:color w:val="auto"/>
          <w:sz w:val="21"/>
          <w:szCs w:val="21"/>
          <w:highlight w:val="none"/>
          <w:lang w:val="en-US" w:eastAsia="zh-CN"/>
        </w:rPr>
      </w:pPr>
    </w:p>
    <w:p w14:paraId="560187A6">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beforeLines="0" w:afterLines="0" w:line="440" w:lineRule="exact"/>
        <w:ind w:left="0" w:leftChars="0" w:firstLine="0" w:firstLineChars="0"/>
        <w:jc w:val="center"/>
        <w:textAlignment w:val="auto"/>
        <w:outlineLvl w:val="1"/>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第五章</w:t>
      </w:r>
      <w:r>
        <w:rPr>
          <w:rFonts w:hint="eastAsia" w:ascii="宋体" w:hAnsi="宋体" w:eastAsia="宋体" w:cs="宋体"/>
          <w:b w:val="0"/>
          <w:bCs/>
          <w:color w:val="auto"/>
          <w:sz w:val="21"/>
          <w:szCs w:val="21"/>
          <w:highlight w:val="none"/>
          <w:lang w:val="en-US" w:eastAsia="zh-CN"/>
        </w:rPr>
        <w:t xml:space="preserve"> 危险作业审批管理</w:t>
      </w:r>
    </w:p>
    <w:p w14:paraId="4030EEEC">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beforeLines="0" w:afterLines="0" w:line="440" w:lineRule="exact"/>
        <w:jc w:val="both"/>
        <w:textAlignment w:val="auto"/>
        <w:outlineLvl w:val="1"/>
        <w:rPr>
          <w:rFonts w:hint="eastAsia" w:ascii="宋体" w:hAnsi="宋体" w:eastAsia="宋体" w:cs="宋体"/>
          <w:b w:val="0"/>
          <w:bCs/>
          <w:color w:val="auto"/>
          <w:sz w:val="21"/>
          <w:szCs w:val="21"/>
          <w:highlight w:val="none"/>
          <w:u w:val="single"/>
          <w:lang w:val="en-US" w:eastAsia="zh-CN"/>
        </w:rPr>
      </w:pPr>
      <w:r>
        <w:rPr>
          <w:rFonts w:hint="eastAsia" w:ascii="宋体" w:hAnsi="宋体" w:eastAsia="宋体" w:cs="宋体"/>
          <w:b w:val="0"/>
          <w:bCs/>
          <w:color w:val="auto"/>
          <w:sz w:val="21"/>
          <w:szCs w:val="21"/>
          <w:highlight w:val="none"/>
          <w:lang w:val="en-US" w:eastAsia="zh-CN"/>
        </w:rPr>
        <w:t>　　</w:t>
      </w:r>
      <w:r>
        <w:rPr>
          <w:rFonts w:hint="eastAsia" w:ascii="宋体" w:hAnsi="宋体" w:eastAsia="宋体" w:cs="宋体"/>
          <w:b/>
          <w:bCs w:val="0"/>
          <w:color w:val="auto"/>
          <w:sz w:val="21"/>
          <w:szCs w:val="21"/>
          <w:highlight w:val="none"/>
          <w:lang w:val="en-US" w:eastAsia="zh-CN"/>
        </w:rPr>
        <w:t>第二十条</w:t>
      </w:r>
      <w:r>
        <w:rPr>
          <w:rFonts w:hint="eastAsia" w:ascii="宋体" w:hAnsi="宋体" w:eastAsia="宋体" w:cs="宋体"/>
          <w:b w:val="0"/>
          <w:bCs/>
          <w:color w:val="auto"/>
          <w:sz w:val="21"/>
          <w:szCs w:val="21"/>
          <w:highlight w:val="none"/>
          <w:lang w:val="en-US" w:eastAsia="zh-CN"/>
        </w:rPr>
        <w:t>　危险作业必须严格执行审批管理相关要求，危险作业部门应至少在作业前一天将相关资料送审，审批通过并将作业计划报送至分公司安全监管部后方可实施作业。具体审批权限根据各项危险作业实施细则执行。</w:t>
      </w:r>
    </w:p>
    <w:p w14:paraId="36EAF0BC">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beforeLines="0" w:afterLines="0" w:line="440" w:lineRule="exact"/>
        <w:jc w:val="both"/>
        <w:textAlignment w:val="auto"/>
        <w:outlineLvl w:val="1"/>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lang w:val="en-US" w:eastAsia="zh-CN"/>
        </w:rPr>
        <w:t>　　</w:t>
      </w:r>
      <w:r>
        <w:rPr>
          <w:rFonts w:hint="eastAsia" w:ascii="宋体" w:hAnsi="宋体" w:eastAsia="宋体" w:cs="宋体"/>
          <w:b/>
          <w:bCs w:val="0"/>
          <w:color w:val="auto"/>
          <w:sz w:val="21"/>
          <w:szCs w:val="21"/>
          <w:highlight w:val="none"/>
          <w:lang w:val="en-US" w:eastAsia="zh-CN"/>
        </w:rPr>
        <w:t>第二十一条</w:t>
      </w:r>
      <w:r>
        <w:rPr>
          <w:rFonts w:hint="eastAsia" w:ascii="宋体" w:hAnsi="宋体" w:eastAsia="宋体" w:cs="宋体"/>
          <w:b w:val="0"/>
          <w:bCs/>
          <w:color w:val="auto"/>
          <w:sz w:val="21"/>
          <w:szCs w:val="21"/>
          <w:highlight w:val="none"/>
          <w:lang w:val="en-US" w:eastAsia="zh-CN"/>
        </w:rPr>
        <w:t>　危险作业开展前，危险作业部门应对当次作业环境进行全面的安全风险辨识，分析存在的危险有害因素，明确消除、控制危害的安全措施，达到一定规模的危险性较大的项目还需要有针对性的编制出详细的作业方案。</w:t>
      </w:r>
    </w:p>
    <w:p w14:paraId="71D13681">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beforeLines="0" w:afterLines="0" w:line="440" w:lineRule="exact"/>
        <w:jc w:val="both"/>
        <w:textAlignment w:val="auto"/>
        <w:outlineLvl w:val="1"/>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w:t>
      </w:r>
      <w:r>
        <w:rPr>
          <w:rFonts w:hint="eastAsia" w:ascii="宋体" w:hAnsi="宋体" w:eastAsia="宋体" w:cs="宋体"/>
          <w:b/>
          <w:bCs w:val="0"/>
          <w:color w:val="auto"/>
          <w:sz w:val="21"/>
          <w:szCs w:val="21"/>
          <w:highlight w:val="none"/>
          <w:lang w:val="en-US" w:eastAsia="zh-CN"/>
        </w:rPr>
        <w:t>第二十二条</w:t>
      </w:r>
      <w:r>
        <w:rPr>
          <w:rFonts w:hint="eastAsia" w:ascii="宋体" w:hAnsi="宋体" w:eastAsia="宋体" w:cs="宋体"/>
          <w:b w:val="0"/>
          <w:bCs/>
          <w:color w:val="auto"/>
          <w:sz w:val="21"/>
          <w:szCs w:val="21"/>
          <w:highlight w:val="none"/>
          <w:lang w:val="en-US" w:eastAsia="zh-CN"/>
        </w:rPr>
        <w:t>　各级作业审批部门对危险作业进行审批时，应重点对危险作业的危险源辨识，风险评估，安全措施进行审查，相关作业人员是否持有相关资格证书并查验真伪，应急准备等相关安全措施，必要时应当到作业现场进行勘查，了解作业部位及作业周围情况，符合安全作业要求的方能批准作业，对于不能保证安全作业的，不得批准。</w:t>
      </w:r>
    </w:p>
    <w:p w14:paraId="0378DA0F">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beforeLines="0" w:afterLines="0" w:line="440" w:lineRule="exact"/>
        <w:jc w:val="both"/>
        <w:textAlignment w:val="auto"/>
        <w:outlineLvl w:val="1"/>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w:t>
      </w:r>
      <w:r>
        <w:rPr>
          <w:rFonts w:hint="eastAsia" w:ascii="宋体" w:hAnsi="宋体" w:eastAsia="宋体" w:cs="宋体"/>
          <w:b/>
          <w:bCs w:val="0"/>
          <w:color w:val="auto"/>
          <w:sz w:val="21"/>
          <w:szCs w:val="21"/>
          <w:highlight w:val="none"/>
          <w:lang w:val="en-US" w:eastAsia="zh-CN"/>
        </w:rPr>
        <w:t>第二十三条</w:t>
      </w:r>
      <w:r>
        <w:rPr>
          <w:rFonts w:hint="eastAsia" w:ascii="宋体" w:hAnsi="宋体" w:eastAsia="宋体" w:cs="宋体"/>
          <w:b w:val="0"/>
          <w:bCs/>
          <w:color w:val="auto"/>
          <w:sz w:val="21"/>
          <w:szCs w:val="21"/>
          <w:highlight w:val="none"/>
          <w:lang w:val="en-US" w:eastAsia="zh-CN"/>
        </w:rPr>
        <w:t>　当次危险作业任务涉及其它危险作业时，应同时办理其他危险作业相应的审批手续，不得遗漏，如有限空间作业过程涉及动火、临时用电的情况，则需要同时办理有限空间作业、动火作业、临时用电的审批。</w:t>
      </w:r>
    </w:p>
    <w:p w14:paraId="4600B41B">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beforeLines="0" w:afterLines="0" w:line="440" w:lineRule="exact"/>
        <w:jc w:val="both"/>
        <w:textAlignment w:val="auto"/>
        <w:outlineLvl w:val="1"/>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w:t>
      </w:r>
      <w:r>
        <w:rPr>
          <w:rFonts w:hint="eastAsia" w:ascii="宋体" w:hAnsi="宋体" w:eastAsia="宋体" w:cs="宋体"/>
          <w:b/>
          <w:bCs w:val="0"/>
          <w:color w:val="auto"/>
          <w:sz w:val="21"/>
          <w:szCs w:val="21"/>
          <w:highlight w:val="none"/>
          <w:lang w:val="en-US" w:eastAsia="zh-CN"/>
        </w:rPr>
        <w:t>第二十四条</w:t>
      </w:r>
      <w:r>
        <w:rPr>
          <w:rFonts w:hint="eastAsia" w:ascii="宋体" w:hAnsi="宋体" w:eastAsia="宋体" w:cs="宋体"/>
          <w:b w:val="0"/>
          <w:bCs/>
          <w:color w:val="auto"/>
          <w:sz w:val="21"/>
          <w:szCs w:val="21"/>
          <w:highlight w:val="none"/>
          <w:lang w:val="en-US" w:eastAsia="zh-CN"/>
        </w:rPr>
        <w:t>　危险作业部门在作业前还应将作业审批表送到与当次危险作业相关的部门或单位，以便协助断水、断电、断气等隔断等相关辅助作业。</w:t>
      </w:r>
    </w:p>
    <w:p w14:paraId="4EEC164C">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beforeLines="0" w:afterLines="0" w:line="440" w:lineRule="exact"/>
        <w:jc w:val="both"/>
        <w:textAlignment w:val="auto"/>
        <w:outlineLvl w:val="1"/>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w:t>
      </w:r>
      <w:r>
        <w:rPr>
          <w:rFonts w:hint="eastAsia" w:ascii="宋体" w:hAnsi="宋体" w:eastAsia="宋体" w:cs="宋体"/>
          <w:b/>
          <w:bCs w:val="0"/>
          <w:color w:val="auto"/>
          <w:sz w:val="21"/>
          <w:szCs w:val="21"/>
          <w:highlight w:val="none"/>
          <w:lang w:val="en-US" w:eastAsia="zh-CN"/>
        </w:rPr>
        <w:t>第二十五条</w:t>
      </w:r>
      <w:r>
        <w:rPr>
          <w:rFonts w:hint="eastAsia" w:ascii="宋体" w:hAnsi="宋体" w:eastAsia="宋体" w:cs="宋体"/>
          <w:b w:val="0"/>
          <w:bCs/>
          <w:color w:val="auto"/>
          <w:sz w:val="21"/>
          <w:szCs w:val="21"/>
          <w:highlight w:val="none"/>
          <w:lang w:val="en-US" w:eastAsia="zh-CN"/>
        </w:rPr>
        <w:t>　当作业项目、作业区域、作业条件发生变化、因作业人员严重违章被监护人员或检查人员叫停、作业过程中发生轻伤及以上事故、重要安全防护设备设施损坏、当次作业负责人和监护人等发生变动、现场出现险情紧急撤离再次进入现场前，以及其他影响安全作业的情形时，作业单位必须重新确认安全条件，完善作业方案，整改安全隐患后重新办理作业审批手续。</w:t>
      </w:r>
    </w:p>
    <w:p w14:paraId="173E2EF3">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beforeLines="0" w:afterLines="0" w:line="440" w:lineRule="exact"/>
        <w:jc w:val="both"/>
        <w:textAlignment w:val="auto"/>
        <w:outlineLvl w:val="1"/>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w:t>
      </w:r>
      <w:r>
        <w:rPr>
          <w:rFonts w:hint="eastAsia" w:ascii="宋体" w:hAnsi="宋体" w:eastAsia="宋体" w:cs="宋体"/>
          <w:b/>
          <w:bCs w:val="0"/>
          <w:color w:val="auto"/>
          <w:sz w:val="21"/>
          <w:szCs w:val="21"/>
          <w:highlight w:val="none"/>
          <w:lang w:val="en-US" w:eastAsia="zh-CN"/>
        </w:rPr>
        <w:t>第二十六条</w:t>
      </w:r>
      <w:r>
        <w:rPr>
          <w:rFonts w:hint="eastAsia" w:ascii="宋体" w:hAnsi="宋体" w:eastAsia="宋体" w:cs="宋体"/>
          <w:b w:val="0"/>
          <w:bCs/>
          <w:color w:val="auto"/>
          <w:sz w:val="21"/>
          <w:szCs w:val="21"/>
          <w:highlight w:val="none"/>
          <w:lang w:val="en-US" w:eastAsia="zh-CN"/>
        </w:rPr>
        <w:t>　危险作业必需在审批许可中规定的时间内进行，危险作业审批表最长作业时限结合作业实际紧凑安排，超过规定时间的，必需重新办理危险作业审批手续或延期手续。</w:t>
      </w:r>
    </w:p>
    <w:p w14:paraId="2F510FD0">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beforeLines="0" w:afterLines="0" w:line="440" w:lineRule="exact"/>
        <w:ind w:left="0" w:leftChars="0" w:firstLine="422" w:firstLineChars="200"/>
        <w:jc w:val="both"/>
        <w:textAlignment w:val="auto"/>
        <w:outlineLvl w:val="1"/>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第二十七条</w:t>
      </w:r>
      <w:r>
        <w:rPr>
          <w:rFonts w:hint="eastAsia" w:ascii="宋体" w:hAnsi="宋体" w:eastAsia="宋体" w:cs="宋体"/>
          <w:b w:val="0"/>
          <w:bCs/>
          <w:color w:val="auto"/>
          <w:sz w:val="21"/>
          <w:szCs w:val="21"/>
          <w:highlight w:val="none"/>
          <w:lang w:val="en-US" w:eastAsia="zh-CN"/>
        </w:rPr>
        <w:t>　除突发事件应急处置等紧急情况涉及的危险作业外，危险作业不宜安排在夜晚、法定节假日进行。</w:t>
      </w:r>
    </w:p>
    <w:p w14:paraId="4C7D1EE7">
      <w:pPr>
        <w:pStyle w:val="2"/>
        <w:autoSpaceDE/>
        <w:autoSpaceDN/>
        <w:spacing w:beforeLines="0" w:afterLines="0" w:line="440" w:lineRule="exact"/>
        <w:rPr>
          <w:rFonts w:hint="eastAsia" w:ascii="宋体" w:hAnsi="宋体" w:eastAsia="宋体" w:cs="宋体"/>
          <w:color w:val="auto"/>
          <w:sz w:val="21"/>
          <w:szCs w:val="21"/>
          <w:lang w:val="en-US" w:eastAsia="zh-CN"/>
        </w:rPr>
      </w:pPr>
    </w:p>
    <w:p w14:paraId="43FF001C">
      <w:pPr>
        <w:keepNext w:val="0"/>
        <w:keepLines w:val="0"/>
        <w:pageBreakBefore w:val="0"/>
        <w:widowControl/>
        <w:kinsoku/>
        <w:wordWrap/>
        <w:overflowPunct/>
        <w:topLinePunct w:val="0"/>
        <w:autoSpaceDE/>
        <w:autoSpaceDN/>
        <w:bidi w:val="0"/>
        <w:adjustRightInd/>
        <w:snapToGrid w:val="0"/>
        <w:spacing w:beforeLines="0" w:afterLines="0" w:line="440" w:lineRule="exact"/>
        <w:ind w:left="0" w:leftChars="0" w:firstLine="0" w:firstLineChars="0"/>
        <w:jc w:val="center"/>
        <w:textAlignment w:val="auto"/>
        <w:outlineLvl w:val="1"/>
        <w:rPr>
          <w:rFonts w:hint="eastAsia" w:ascii="宋体" w:hAnsi="宋体" w:eastAsia="宋体" w:cs="宋体"/>
          <w:b/>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第六章</w:t>
      </w:r>
      <w:r>
        <w:rPr>
          <w:rFonts w:hint="eastAsia" w:ascii="宋体" w:hAnsi="宋体" w:eastAsia="宋体" w:cs="宋体"/>
          <w:b w:val="0"/>
          <w:bCs/>
          <w:color w:val="auto"/>
          <w:sz w:val="21"/>
          <w:szCs w:val="21"/>
          <w:highlight w:val="none"/>
          <w:lang w:val="en-US" w:eastAsia="zh-CN"/>
        </w:rPr>
        <w:t xml:space="preserve"> 危险作业现场安全管理</w:t>
      </w:r>
    </w:p>
    <w:p w14:paraId="3B3E479A">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beforeLines="0" w:afterLines="0" w:line="440" w:lineRule="exact"/>
        <w:jc w:val="both"/>
        <w:textAlignment w:val="auto"/>
        <w:outlineLvl w:val="1"/>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w:t>
      </w:r>
      <w:r>
        <w:rPr>
          <w:rFonts w:hint="eastAsia" w:ascii="宋体" w:hAnsi="宋体" w:eastAsia="宋体" w:cs="宋体"/>
          <w:b/>
          <w:bCs w:val="0"/>
          <w:color w:val="auto"/>
          <w:sz w:val="21"/>
          <w:szCs w:val="21"/>
          <w:highlight w:val="none"/>
          <w:lang w:val="en-US" w:eastAsia="zh-CN"/>
        </w:rPr>
        <w:t>第二十八条</w:t>
      </w:r>
      <w:r>
        <w:rPr>
          <w:rFonts w:hint="eastAsia" w:ascii="宋体" w:hAnsi="宋体" w:eastAsia="宋体" w:cs="宋体"/>
          <w:b w:val="0"/>
          <w:bCs/>
          <w:color w:val="auto"/>
          <w:sz w:val="21"/>
          <w:szCs w:val="21"/>
          <w:highlight w:val="none"/>
          <w:lang w:val="en-US" w:eastAsia="zh-CN"/>
        </w:rPr>
        <w:t>　危险作业获得作业批准后，应在作业负责人、监护人的组织和监护下开始作业。委外的危险作业必须要管网公司业务部门管理人员在场同意后方可开展作业。</w:t>
      </w:r>
    </w:p>
    <w:p w14:paraId="4CFA9558">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beforeLines="0" w:afterLines="0" w:line="440" w:lineRule="exact"/>
        <w:jc w:val="both"/>
        <w:textAlignment w:val="auto"/>
        <w:outlineLvl w:val="1"/>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w:t>
      </w:r>
      <w:r>
        <w:rPr>
          <w:rFonts w:hint="eastAsia" w:ascii="宋体" w:hAnsi="宋体" w:eastAsia="宋体" w:cs="宋体"/>
          <w:b/>
          <w:bCs w:val="0"/>
          <w:color w:val="auto"/>
          <w:sz w:val="21"/>
          <w:szCs w:val="21"/>
          <w:highlight w:val="none"/>
          <w:lang w:val="en-US" w:eastAsia="zh-CN"/>
        </w:rPr>
        <w:t>第二十九条</w:t>
      </w:r>
      <w:r>
        <w:rPr>
          <w:rFonts w:hint="eastAsia" w:ascii="宋体" w:hAnsi="宋体" w:eastAsia="宋体" w:cs="宋体"/>
          <w:b w:val="0"/>
          <w:bCs/>
          <w:color w:val="auto"/>
          <w:sz w:val="21"/>
          <w:szCs w:val="21"/>
          <w:highlight w:val="none"/>
          <w:lang w:val="en-US" w:eastAsia="zh-CN"/>
        </w:rPr>
        <w:t>　在作业开展前，作业负责人必须将作业方案和作业现场可能存在的危险有害因素、防控措施、作业安全要求和应急处置措施等向实施作业的全体人员进行有针对性的安全交底，落实安全措施，交底完成后，交底人与被交底人双方应签字确认，未经交底或交底不合格不得开展作业。</w:t>
      </w:r>
    </w:p>
    <w:p w14:paraId="6CB1091C">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beforeLines="0" w:afterLines="0" w:line="440" w:lineRule="exact"/>
        <w:jc w:val="both"/>
        <w:textAlignment w:val="auto"/>
        <w:outlineLvl w:val="1"/>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w:t>
      </w:r>
      <w:r>
        <w:rPr>
          <w:rFonts w:hint="eastAsia" w:ascii="宋体" w:hAnsi="宋体" w:eastAsia="宋体" w:cs="宋体"/>
          <w:b/>
          <w:bCs w:val="0"/>
          <w:color w:val="auto"/>
          <w:sz w:val="21"/>
          <w:szCs w:val="21"/>
          <w:highlight w:val="none"/>
          <w:lang w:val="en-US" w:eastAsia="zh-CN"/>
        </w:rPr>
        <w:t>第三十条</w:t>
      </w:r>
      <w:r>
        <w:rPr>
          <w:rFonts w:hint="eastAsia" w:ascii="宋体" w:hAnsi="宋体" w:eastAsia="宋体" w:cs="宋体"/>
          <w:b w:val="0"/>
          <w:bCs/>
          <w:color w:val="auto"/>
          <w:sz w:val="21"/>
          <w:szCs w:val="21"/>
          <w:highlight w:val="none"/>
          <w:lang w:val="en-US" w:eastAsia="zh-CN"/>
        </w:rPr>
        <w:t>　在作业开展前，作业人员必须对安全防护设备、个体防护用品、应急救援装备、作业设备和用具的齐备性和安全性进行检查，发现问题应立即修复或更换，当作业环境可能为易燃易爆环境时，设备和用具应符合防爆安全要求，若发现不具备安全作业条件时，有权拒绝作业，可要求补充完善作业条件。</w:t>
      </w:r>
    </w:p>
    <w:p w14:paraId="4687AA4F">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beforeLines="0" w:afterLines="0" w:line="440" w:lineRule="exact"/>
        <w:jc w:val="both"/>
        <w:textAlignment w:val="auto"/>
        <w:outlineLvl w:val="1"/>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w:t>
      </w:r>
      <w:r>
        <w:rPr>
          <w:rFonts w:hint="eastAsia" w:ascii="宋体" w:hAnsi="宋体" w:eastAsia="宋体" w:cs="宋体"/>
          <w:b/>
          <w:bCs w:val="0"/>
          <w:color w:val="auto"/>
          <w:sz w:val="21"/>
          <w:szCs w:val="21"/>
          <w:highlight w:val="none"/>
          <w:lang w:val="en-US" w:eastAsia="zh-CN"/>
        </w:rPr>
        <w:t>第三十一条</w:t>
      </w:r>
      <w:r>
        <w:rPr>
          <w:rFonts w:hint="eastAsia" w:ascii="宋体" w:hAnsi="宋体" w:eastAsia="宋体" w:cs="宋体"/>
          <w:b w:val="0"/>
          <w:bCs/>
          <w:color w:val="auto"/>
          <w:sz w:val="21"/>
          <w:szCs w:val="21"/>
          <w:highlight w:val="none"/>
          <w:lang w:val="en-US" w:eastAsia="zh-CN"/>
        </w:rPr>
        <w:t>　危险作业现场必须符合安全管理要求，做到现场整齐有序，道路畅通，安全标识清晰、明显，围挡有效。</w:t>
      </w:r>
    </w:p>
    <w:p w14:paraId="58C5BD70">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beforeLines="0" w:afterLines="0" w:line="440" w:lineRule="exact"/>
        <w:jc w:val="both"/>
        <w:textAlignment w:val="auto"/>
        <w:outlineLvl w:val="1"/>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w:t>
      </w:r>
      <w:r>
        <w:rPr>
          <w:rFonts w:hint="eastAsia" w:ascii="宋体" w:hAnsi="宋体" w:eastAsia="宋体" w:cs="宋体"/>
          <w:b/>
          <w:bCs w:val="0"/>
          <w:color w:val="auto"/>
          <w:sz w:val="21"/>
          <w:szCs w:val="21"/>
          <w:highlight w:val="none"/>
          <w:lang w:val="en-US" w:eastAsia="zh-CN"/>
        </w:rPr>
        <w:t>第三十二条</w:t>
      </w:r>
      <w:r>
        <w:rPr>
          <w:rFonts w:hint="eastAsia" w:ascii="宋体" w:hAnsi="宋体" w:eastAsia="宋体" w:cs="宋体"/>
          <w:b w:val="0"/>
          <w:bCs/>
          <w:color w:val="auto"/>
          <w:sz w:val="21"/>
          <w:szCs w:val="21"/>
          <w:highlight w:val="none"/>
          <w:lang w:val="en-US" w:eastAsia="zh-CN"/>
        </w:rPr>
        <w:t>　作业监护人员对作业过程中的安全措施和方案执行情况进行监督检查，确认应急准备情况，核实内外联络及呼叫方法，与作业人员保持联络与交流，对异常情况发出警告，监护期间不得离开现场或做与危险作业监护无关的事。</w:t>
      </w:r>
    </w:p>
    <w:p w14:paraId="459D4CE6">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beforeLines="0" w:afterLines="0" w:line="440" w:lineRule="exact"/>
        <w:jc w:val="both"/>
        <w:textAlignment w:val="auto"/>
        <w:outlineLvl w:val="1"/>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w:t>
      </w:r>
      <w:r>
        <w:rPr>
          <w:rFonts w:hint="eastAsia" w:ascii="宋体" w:hAnsi="宋体" w:eastAsia="宋体" w:cs="宋体"/>
          <w:b/>
          <w:bCs w:val="0"/>
          <w:color w:val="auto"/>
          <w:sz w:val="21"/>
          <w:szCs w:val="21"/>
          <w:highlight w:val="none"/>
          <w:lang w:val="en-US" w:eastAsia="zh-CN"/>
        </w:rPr>
        <w:t>第三十三条</w:t>
      </w:r>
      <w:r>
        <w:rPr>
          <w:rFonts w:hint="eastAsia" w:ascii="宋体" w:hAnsi="宋体" w:eastAsia="宋体" w:cs="宋体"/>
          <w:b w:val="0"/>
          <w:bCs/>
          <w:color w:val="auto"/>
          <w:sz w:val="21"/>
          <w:szCs w:val="21"/>
          <w:highlight w:val="none"/>
          <w:lang w:val="en-US" w:eastAsia="zh-CN"/>
        </w:rPr>
        <w:t>　涉及不同工种的人在同一场地内交叉作业的，作业负责人应根据作业危险因素采取安全措施，做到“四不伤害”</w:t>
      </w:r>
      <w:r>
        <w:rPr>
          <w:rFonts w:hint="eastAsia" w:ascii="宋体" w:hAnsi="宋体" w:eastAsia="宋体" w:cs="宋体"/>
          <w:b w:val="0"/>
          <w:bCs/>
          <w:i w:val="0"/>
          <w:caps w:val="0"/>
          <w:color w:val="auto"/>
          <w:spacing w:val="0"/>
          <w:sz w:val="21"/>
          <w:szCs w:val="21"/>
          <w:highlight w:val="none"/>
          <w:shd w:val="clear" w:color="auto" w:fill="auto"/>
          <w:lang w:eastAsia="zh-CN"/>
        </w:rPr>
        <w:t>（</w:t>
      </w:r>
      <w:r>
        <w:rPr>
          <w:rFonts w:hint="eastAsia" w:ascii="宋体" w:hAnsi="宋体" w:eastAsia="宋体" w:cs="宋体"/>
          <w:b w:val="0"/>
          <w:bCs/>
          <w:i w:val="0"/>
          <w:caps w:val="0"/>
          <w:color w:val="auto"/>
          <w:spacing w:val="0"/>
          <w:sz w:val="21"/>
          <w:szCs w:val="21"/>
          <w:highlight w:val="none"/>
          <w:shd w:val="clear" w:color="auto" w:fill="auto"/>
          <w:lang w:val="en-US" w:eastAsia="zh-CN"/>
        </w:rPr>
        <w:t>即</w:t>
      </w:r>
      <w:r>
        <w:rPr>
          <w:rFonts w:hint="eastAsia" w:ascii="宋体" w:hAnsi="宋体" w:eastAsia="宋体" w:cs="宋体"/>
          <w:b w:val="0"/>
          <w:bCs/>
          <w:i w:val="0"/>
          <w:caps w:val="0"/>
          <w:color w:val="auto"/>
          <w:spacing w:val="0"/>
          <w:sz w:val="21"/>
          <w:szCs w:val="21"/>
          <w:highlight w:val="none"/>
          <w:shd w:val="clear" w:color="auto" w:fill="auto"/>
          <w:lang w:eastAsia="zh-CN"/>
        </w:rPr>
        <w:t>不伤害自己、不伤害他人、不被他人伤害、保护他人不受伤害）</w:t>
      </w:r>
      <w:r>
        <w:rPr>
          <w:rFonts w:hint="eastAsia" w:ascii="宋体" w:hAnsi="宋体" w:eastAsia="宋体" w:cs="宋体"/>
          <w:b w:val="0"/>
          <w:bCs/>
          <w:i w:val="0"/>
          <w:caps w:val="0"/>
          <w:color w:val="auto"/>
          <w:spacing w:val="0"/>
          <w:sz w:val="21"/>
          <w:szCs w:val="21"/>
          <w:highlight w:val="none"/>
          <w:shd w:val="clear" w:color="auto" w:fill="auto"/>
        </w:rPr>
        <w:t>。</w:t>
      </w:r>
    </w:p>
    <w:p w14:paraId="00DB79D1">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beforeLines="0" w:afterLines="0" w:line="440" w:lineRule="exact"/>
        <w:jc w:val="both"/>
        <w:textAlignment w:val="auto"/>
        <w:outlineLvl w:val="1"/>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w:t>
      </w:r>
      <w:r>
        <w:rPr>
          <w:rFonts w:hint="eastAsia" w:ascii="宋体" w:hAnsi="宋体" w:eastAsia="宋体" w:cs="宋体"/>
          <w:b/>
          <w:bCs w:val="0"/>
          <w:color w:val="auto"/>
          <w:sz w:val="21"/>
          <w:szCs w:val="21"/>
          <w:highlight w:val="none"/>
          <w:lang w:val="en-US" w:eastAsia="zh-CN"/>
        </w:rPr>
        <w:t>第三十四条</w:t>
      </w:r>
      <w:r>
        <w:rPr>
          <w:rFonts w:hint="eastAsia" w:ascii="宋体" w:hAnsi="宋体" w:eastAsia="宋体" w:cs="宋体"/>
          <w:b w:val="0"/>
          <w:bCs/>
          <w:color w:val="auto"/>
          <w:sz w:val="21"/>
          <w:szCs w:val="21"/>
          <w:highlight w:val="none"/>
          <w:lang w:val="en-US" w:eastAsia="zh-CN"/>
        </w:rPr>
        <w:t>　在作业期间，危险作业审批部门、作业单位负责人、专业技术人员应经常深入现场检查，发现隐患及时整改，并做好记录，对于不能保证作业安全的隐患，监护人员和安全检查人员有权责令停止本次作业，因重大安全隐患或严重违章作业被停止的作业，应通告该危险作业审批人及直接主管。</w:t>
      </w:r>
    </w:p>
    <w:p w14:paraId="7778FA78">
      <w:pPr>
        <w:widowControl/>
        <w:numPr>
          <w:ilvl w:val="0"/>
          <w:numId w:val="0"/>
        </w:numPr>
        <w:tabs>
          <w:tab w:val="left" w:pos="0"/>
        </w:tabs>
        <w:autoSpaceDE/>
        <w:autoSpaceDN/>
        <w:adjustRightInd/>
        <w:snapToGrid w:val="0"/>
        <w:spacing w:beforeLines="0" w:afterLines="0" w:line="440" w:lineRule="exact"/>
        <w:ind w:firstLine="0"/>
        <w:jc w:val="both"/>
        <w:outlineLvl w:val="1"/>
        <w:rPr>
          <w:rFonts w:hint="eastAsia" w:ascii="宋体" w:hAnsi="宋体" w:eastAsia="宋体" w:cs="宋体"/>
          <w:color w:val="auto"/>
          <w:kern w:val="0"/>
          <w:sz w:val="21"/>
          <w:szCs w:val="21"/>
          <w:shd w:val="clear" w:color="auto" w:fill="FFFFFF"/>
          <w:lang w:bidi="ar"/>
        </w:rPr>
      </w:pPr>
      <w:r>
        <w:rPr>
          <w:rFonts w:hint="eastAsia" w:ascii="宋体" w:hAnsi="宋体" w:eastAsia="宋体" w:cs="宋体"/>
          <w:b w:val="0"/>
          <w:bCs/>
          <w:color w:val="auto"/>
          <w:sz w:val="21"/>
          <w:szCs w:val="21"/>
          <w:highlight w:val="none"/>
          <w:lang w:val="en-US" w:eastAsia="zh-CN"/>
        </w:rPr>
        <w:t>　　</w:t>
      </w:r>
      <w:r>
        <w:rPr>
          <w:rFonts w:hint="eastAsia" w:ascii="宋体" w:hAnsi="宋体" w:eastAsia="宋体" w:cs="宋体"/>
          <w:b/>
          <w:bCs w:val="0"/>
          <w:color w:val="auto"/>
          <w:sz w:val="21"/>
          <w:szCs w:val="21"/>
          <w:highlight w:val="none"/>
          <w:lang w:val="en-US" w:eastAsia="zh-CN"/>
        </w:rPr>
        <w:t>第三十五条</w:t>
      </w:r>
      <w:r>
        <w:rPr>
          <w:rFonts w:hint="eastAsia" w:ascii="宋体" w:hAnsi="宋体" w:eastAsia="宋体" w:cs="宋体"/>
          <w:b w:val="0"/>
          <w:bCs/>
          <w:color w:val="auto"/>
          <w:sz w:val="21"/>
          <w:szCs w:val="21"/>
          <w:highlight w:val="none"/>
          <w:lang w:val="en-US" w:eastAsia="zh-CN"/>
        </w:rPr>
        <w:t>　作业结束、现场恢复完毕后，作业负责人在对应危险作业审批表上签字，结束闭环本次作业许可。危险作业部门应将</w:t>
      </w:r>
      <w:r>
        <w:rPr>
          <w:rFonts w:hint="eastAsia" w:ascii="宋体" w:hAnsi="宋体" w:eastAsia="宋体" w:cs="宋体"/>
          <w:b w:val="0"/>
          <w:bCs/>
          <w:strike w:val="0"/>
          <w:color w:val="auto"/>
          <w:sz w:val="21"/>
          <w:szCs w:val="21"/>
          <w:highlight w:val="none"/>
          <w:lang w:val="en-US" w:eastAsia="zh-CN"/>
        </w:rPr>
        <w:t>作业审批表、作业人员资格证书复印件和作业方案等相关资料规范存档，保存时间不少于3年，以备查核。</w:t>
      </w:r>
    </w:p>
    <w:p w14:paraId="0DB1B3C0">
      <w:pPr>
        <w:keepNext w:val="0"/>
        <w:keepLines w:val="0"/>
        <w:pageBreakBefore w:val="0"/>
        <w:widowControl/>
        <w:kinsoku/>
        <w:wordWrap/>
        <w:overflowPunct/>
        <w:topLinePunct w:val="0"/>
        <w:autoSpaceDE/>
        <w:autoSpaceDN/>
        <w:bidi w:val="0"/>
        <w:adjustRightInd/>
        <w:snapToGrid w:val="0"/>
        <w:spacing w:beforeLines="0" w:afterLines="0" w:line="440" w:lineRule="exact"/>
        <w:ind w:left="0" w:leftChars="0" w:firstLine="0" w:firstLineChars="0"/>
        <w:jc w:val="center"/>
        <w:textAlignment w:val="auto"/>
        <w:outlineLvl w:val="1"/>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第七章</w:t>
      </w:r>
      <w:r>
        <w:rPr>
          <w:rFonts w:hint="eastAsia" w:ascii="宋体" w:hAnsi="宋体" w:eastAsia="宋体" w:cs="宋体"/>
          <w:b w:val="0"/>
          <w:bCs/>
          <w:color w:val="auto"/>
          <w:sz w:val="21"/>
          <w:szCs w:val="21"/>
          <w:highlight w:val="none"/>
          <w:lang w:val="en-US" w:eastAsia="zh-CN"/>
        </w:rPr>
        <w:t xml:space="preserve"> 应急管理</w:t>
      </w:r>
    </w:p>
    <w:p w14:paraId="626D9508">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beforeLines="0" w:afterLines="0" w:line="440" w:lineRule="exact"/>
        <w:ind w:firstLine="422" w:firstLineChars="200"/>
        <w:jc w:val="both"/>
        <w:textAlignment w:val="auto"/>
        <w:outlineLvl w:val="1"/>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第三十六条</w:t>
      </w:r>
      <w:r>
        <w:rPr>
          <w:rFonts w:hint="eastAsia" w:ascii="宋体" w:hAnsi="宋体" w:eastAsia="宋体" w:cs="宋体"/>
          <w:b w:val="0"/>
          <w:bCs/>
          <w:color w:val="auto"/>
          <w:sz w:val="21"/>
          <w:szCs w:val="21"/>
          <w:highlight w:val="none"/>
          <w:lang w:val="en-US" w:eastAsia="zh-CN"/>
        </w:rPr>
        <w:t xml:space="preserve"> 公司安全监管部应根据本单位涉及的危险作业，辨识安全风险，按照《生产安全事故应急预案管理办法》（应急管理部令第2号）、《生产经营单位生产安全事故应急预案编制导则》（GB/T29639—2020），制定科学、合理、可行、有效的各类危险作业的安全事故专项应急预案或现场处置方案，定期组织培训，确保本单位涉及危险作业的相关人员掌握应急预案内容。</w:t>
      </w:r>
    </w:p>
    <w:p w14:paraId="5E0C30F7">
      <w:pPr>
        <w:widowControl/>
        <w:spacing w:beforeLines="0" w:afterLines="0" w:line="440" w:lineRule="exact"/>
        <w:ind w:firstLine="422" w:firstLineChars="20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第三十七条</w:t>
      </w:r>
      <w:r>
        <w:rPr>
          <w:rFonts w:hint="eastAsia" w:ascii="宋体" w:hAnsi="宋体" w:eastAsia="宋体" w:cs="宋体"/>
          <w:b w:val="0"/>
          <w:bCs/>
          <w:color w:val="auto"/>
          <w:sz w:val="21"/>
          <w:szCs w:val="21"/>
          <w:highlight w:val="none"/>
          <w:lang w:val="en-US" w:eastAsia="zh-CN"/>
        </w:rPr>
        <w:t xml:space="preserve"> 各分公司应每年至少组织1次所涉及的危险作业的应急演练，涉及危险作业的相关人员应积极策划及参加演练，提高应急处置能力。</w:t>
      </w:r>
    </w:p>
    <w:p w14:paraId="3F1C8165">
      <w:pPr>
        <w:widowControl/>
        <w:spacing w:beforeLines="0" w:afterLines="0" w:line="440" w:lineRule="exact"/>
        <w:ind w:firstLine="640"/>
        <w:jc w:val="left"/>
        <w:rPr>
          <w:rFonts w:hint="eastAsia" w:ascii="宋体" w:hAnsi="宋体" w:eastAsia="宋体" w:cs="宋体"/>
          <w:b w:val="0"/>
          <w:bCs/>
          <w:color w:val="auto"/>
          <w:sz w:val="21"/>
          <w:szCs w:val="21"/>
          <w:highlight w:val="none"/>
          <w:lang w:val="en-US" w:eastAsia="zh-CN"/>
        </w:rPr>
      </w:pPr>
    </w:p>
    <w:p w14:paraId="5A79287D">
      <w:pPr>
        <w:widowControl/>
        <w:spacing w:beforeLines="0" w:afterLines="0" w:line="440" w:lineRule="exact"/>
        <w:ind w:firstLine="0"/>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第</w:t>
      </w:r>
      <w:r>
        <w:rPr>
          <w:rFonts w:hint="eastAsia" w:ascii="宋体" w:hAnsi="宋体" w:eastAsia="宋体" w:cs="宋体"/>
          <w:b/>
          <w:bCs/>
          <w:color w:val="auto"/>
          <w:sz w:val="21"/>
          <w:szCs w:val="21"/>
          <w:lang w:val="en-US" w:eastAsia="zh-CN"/>
        </w:rPr>
        <w:t>八</w:t>
      </w:r>
      <w:r>
        <w:rPr>
          <w:rFonts w:hint="eastAsia" w:ascii="宋体" w:hAnsi="宋体" w:eastAsia="宋体" w:cs="宋体"/>
          <w:b/>
          <w:bCs/>
          <w:color w:val="auto"/>
          <w:sz w:val="21"/>
          <w:szCs w:val="21"/>
        </w:rPr>
        <w:t>章</w:t>
      </w:r>
      <w:r>
        <w:rPr>
          <w:rFonts w:hint="eastAsia" w:ascii="宋体" w:hAnsi="宋体" w:eastAsia="宋体" w:cs="宋体"/>
          <w:color w:val="auto"/>
          <w:sz w:val="21"/>
          <w:szCs w:val="21"/>
        </w:rPr>
        <w:t xml:space="preserve"> 附则</w:t>
      </w:r>
    </w:p>
    <w:p w14:paraId="2FD339E3">
      <w:pPr>
        <w:tabs>
          <w:tab w:val="left" w:pos="8280"/>
        </w:tabs>
        <w:autoSpaceDE/>
        <w:autoSpaceDN/>
        <w:adjustRightInd w:val="0"/>
        <w:spacing w:beforeLines="0" w:afterLines="0" w:line="440" w:lineRule="exact"/>
        <w:ind w:firstLine="422" w:firstLineChars="200"/>
        <w:jc w:val="left"/>
        <w:rPr>
          <w:rFonts w:hint="eastAsia" w:ascii="宋体" w:hAnsi="宋体" w:eastAsia="宋体" w:cs="宋体"/>
          <w:color w:val="auto"/>
          <w:kern w:val="0"/>
          <w:sz w:val="21"/>
          <w:szCs w:val="21"/>
          <w:shd w:val="clear" w:color="auto" w:fill="FFFFFF"/>
          <w:lang w:bidi="ar"/>
        </w:rPr>
      </w:pPr>
      <w:r>
        <w:rPr>
          <w:rFonts w:hint="eastAsia" w:ascii="宋体" w:hAnsi="宋体" w:eastAsia="宋体" w:cs="宋体"/>
          <w:b/>
          <w:bCs/>
          <w:color w:val="auto"/>
          <w:kern w:val="0"/>
          <w:sz w:val="21"/>
          <w:szCs w:val="21"/>
          <w:shd w:val="clear" w:color="auto" w:fill="FFFFFF"/>
          <w:lang w:bidi="ar"/>
        </w:rPr>
        <w:t>第</w:t>
      </w:r>
      <w:r>
        <w:rPr>
          <w:rFonts w:hint="eastAsia" w:ascii="宋体" w:hAnsi="宋体" w:eastAsia="宋体" w:cs="宋体"/>
          <w:b/>
          <w:bCs/>
          <w:color w:val="auto"/>
          <w:kern w:val="0"/>
          <w:sz w:val="21"/>
          <w:szCs w:val="21"/>
          <w:shd w:val="clear" w:color="auto" w:fill="FFFFFF"/>
          <w:lang w:val="en-US" w:eastAsia="zh-CN" w:bidi="ar"/>
        </w:rPr>
        <w:t>三十八</w:t>
      </w:r>
      <w:r>
        <w:rPr>
          <w:rFonts w:hint="eastAsia" w:ascii="宋体" w:hAnsi="宋体" w:eastAsia="宋体" w:cs="宋体"/>
          <w:b/>
          <w:bCs/>
          <w:color w:val="auto"/>
          <w:kern w:val="0"/>
          <w:sz w:val="21"/>
          <w:szCs w:val="21"/>
          <w:shd w:val="clear" w:color="auto" w:fill="FFFFFF"/>
          <w:lang w:bidi="ar"/>
        </w:rPr>
        <w:t>条</w:t>
      </w:r>
      <w:r>
        <w:rPr>
          <w:rFonts w:hint="eastAsia" w:ascii="宋体" w:hAnsi="宋体" w:eastAsia="宋体" w:cs="宋体"/>
          <w:color w:val="auto"/>
          <w:kern w:val="0"/>
          <w:sz w:val="21"/>
          <w:szCs w:val="21"/>
          <w:shd w:val="clear" w:color="auto" w:fill="FFFFFF"/>
          <w:lang w:bidi="ar"/>
        </w:rPr>
        <w:t xml:space="preserve"> 本办法由管网公司安全监管部负责拟定、修改和解释。</w:t>
      </w:r>
    </w:p>
    <w:p w14:paraId="4F44B614">
      <w:pPr>
        <w:pStyle w:val="2"/>
        <w:autoSpaceDE/>
        <w:autoSpaceDN/>
        <w:spacing w:beforeLines="0" w:afterLines="0" w:line="440" w:lineRule="exact"/>
        <w:ind w:firstLine="422" w:firstLineChars="200"/>
        <w:jc w:val="left"/>
        <w:rPr>
          <w:rFonts w:hint="eastAsia" w:ascii="宋体" w:hAnsi="宋体" w:eastAsia="宋体" w:cs="宋体"/>
          <w:b w:val="0"/>
          <w:bCs w:val="0"/>
          <w:color w:val="auto"/>
          <w:kern w:val="0"/>
          <w:sz w:val="21"/>
          <w:szCs w:val="21"/>
          <w:shd w:val="clear" w:color="auto" w:fill="FFFFFF"/>
          <w:lang w:val="en-US" w:eastAsia="zh-CN" w:bidi="ar"/>
        </w:rPr>
      </w:pPr>
      <w:r>
        <w:rPr>
          <w:rFonts w:hint="eastAsia" w:ascii="宋体" w:hAnsi="宋体" w:eastAsia="宋体" w:cs="宋体"/>
          <w:b/>
          <w:bCs/>
          <w:color w:val="auto"/>
          <w:kern w:val="0"/>
          <w:sz w:val="21"/>
          <w:szCs w:val="21"/>
          <w:shd w:val="clear" w:color="auto" w:fill="FFFFFF"/>
          <w:lang w:bidi="ar"/>
        </w:rPr>
        <w:t>第</w:t>
      </w:r>
      <w:r>
        <w:rPr>
          <w:rFonts w:hint="eastAsia" w:ascii="宋体" w:hAnsi="宋体" w:eastAsia="宋体" w:cs="宋体"/>
          <w:b/>
          <w:bCs/>
          <w:color w:val="auto"/>
          <w:kern w:val="0"/>
          <w:sz w:val="21"/>
          <w:szCs w:val="21"/>
          <w:shd w:val="clear" w:color="auto" w:fill="FFFFFF"/>
          <w:lang w:val="en-US" w:eastAsia="zh-CN" w:bidi="ar"/>
        </w:rPr>
        <w:t>三十九</w:t>
      </w:r>
      <w:r>
        <w:rPr>
          <w:rFonts w:hint="eastAsia" w:ascii="宋体" w:hAnsi="宋体" w:eastAsia="宋体" w:cs="宋体"/>
          <w:b/>
          <w:bCs/>
          <w:color w:val="auto"/>
          <w:kern w:val="0"/>
          <w:sz w:val="21"/>
          <w:szCs w:val="21"/>
          <w:shd w:val="clear" w:color="auto" w:fill="FFFFFF"/>
          <w:lang w:bidi="ar"/>
        </w:rPr>
        <w:t>条</w:t>
      </w:r>
      <w:r>
        <w:rPr>
          <w:rFonts w:hint="eastAsia" w:ascii="宋体" w:hAnsi="宋体" w:eastAsia="宋体" w:cs="宋体"/>
          <w:b w:val="0"/>
          <w:bCs w:val="0"/>
          <w:color w:val="auto"/>
          <w:kern w:val="0"/>
          <w:sz w:val="21"/>
          <w:szCs w:val="21"/>
          <w:shd w:val="clear" w:color="auto" w:fill="FFFFFF"/>
          <w:lang w:val="en-US" w:eastAsia="zh-CN" w:bidi="ar"/>
        </w:rPr>
        <w:t xml:space="preserve"> 如危险作业进行委外，归口业务部门应向承包商进行安全交底，向其宣贯管网公司的危险作业管理规定，并督促其落实。</w:t>
      </w:r>
    </w:p>
    <w:p w14:paraId="1330C8D8">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beforeLines="0" w:afterLines="0" w:line="440" w:lineRule="exact"/>
        <w:ind w:left="0" w:leftChars="0" w:firstLine="420" w:firstLineChars="200"/>
        <w:jc w:val="both"/>
        <w:textAlignment w:val="auto"/>
        <w:outlineLvl w:val="1"/>
        <w:rPr>
          <w:rFonts w:hint="eastAsia" w:ascii="宋体" w:hAnsi="宋体" w:eastAsia="宋体" w:cs="宋体"/>
          <w:b w:val="0"/>
          <w:bCs/>
          <w:color w:val="auto"/>
          <w:sz w:val="21"/>
          <w:szCs w:val="21"/>
          <w:lang w:val="en-US" w:eastAsia="zh-CN"/>
        </w:rPr>
      </w:pPr>
      <w:r>
        <w:rPr>
          <w:rFonts w:hint="eastAsia" w:ascii="宋体" w:hAnsi="宋体" w:eastAsia="宋体" w:cs="宋体"/>
          <w:b w:val="0"/>
          <w:bCs w:val="0"/>
          <w:color w:val="auto"/>
          <w:kern w:val="0"/>
          <w:sz w:val="21"/>
          <w:szCs w:val="21"/>
          <w:shd w:val="clear" w:color="auto" w:fill="FFFFFF"/>
          <w:lang w:bidi="ar"/>
        </w:rPr>
        <w:t>第</w:t>
      </w:r>
      <w:r>
        <w:rPr>
          <w:rFonts w:hint="eastAsia" w:ascii="宋体" w:hAnsi="宋体" w:eastAsia="宋体" w:cs="宋体"/>
          <w:b w:val="0"/>
          <w:bCs w:val="0"/>
          <w:color w:val="auto"/>
          <w:kern w:val="0"/>
          <w:sz w:val="21"/>
          <w:szCs w:val="21"/>
          <w:shd w:val="clear" w:color="auto" w:fill="FFFFFF"/>
          <w:lang w:val="en-US" w:eastAsia="zh-CN" w:bidi="ar"/>
        </w:rPr>
        <w:t>四十</w:t>
      </w:r>
      <w:r>
        <w:rPr>
          <w:rFonts w:hint="eastAsia" w:ascii="宋体" w:hAnsi="宋体" w:eastAsia="宋体" w:cs="宋体"/>
          <w:b w:val="0"/>
          <w:bCs w:val="0"/>
          <w:color w:val="auto"/>
          <w:kern w:val="0"/>
          <w:sz w:val="21"/>
          <w:szCs w:val="21"/>
          <w:shd w:val="clear" w:color="auto" w:fill="FFFFFF"/>
          <w:lang w:bidi="ar"/>
        </w:rPr>
        <w:t>条</w:t>
      </w:r>
      <w:r>
        <w:rPr>
          <w:rFonts w:hint="eastAsia" w:ascii="宋体" w:hAnsi="宋体" w:eastAsia="宋体" w:cs="宋体"/>
          <w:color w:val="auto"/>
          <w:kern w:val="0"/>
          <w:sz w:val="21"/>
          <w:szCs w:val="21"/>
          <w:shd w:val="clear" w:color="auto" w:fill="FFFFFF"/>
          <w:lang w:bidi="ar"/>
        </w:rPr>
        <w:t xml:space="preserve">  本办法自</w:t>
      </w:r>
      <w:r>
        <w:rPr>
          <w:rFonts w:hint="eastAsia" w:ascii="宋体" w:hAnsi="宋体" w:eastAsia="宋体" w:cs="宋体"/>
          <w:color w:val="auto"/>
          <w:kern w:val="0"/>
          <w:sz w:val="21"/>
          <w:szCs w:val="21"/>
          <w:shd w:val="clear" w:color="auto" w:fill="FFFFFF"/>
          <w:lang w:val="en-US" w:eastAsia="zh-CN" w:bidi="ar"/>
        </w:rPr>
        <w:t>印发之日</w:t>
      </w:r>
      <w:r>
        <w:rPr>
          <w:rFonts w:hint="eastAsia" w:ascii="宋体" w:hAnsi="宋体" w:eastAsia="宋体" w:cs="宋体"/>
          <w:color w:val="auto"/>
          <w:kern w:val="0"/>
          <w:sz w:val="21"/>
          <w:szCs w:val="21"/>
          <w:shd w:val="clear" w:color="auto" w:fill="FFFFFF"/>
          <w:lang w:bidi="ar"/>
        </w:rPr>
        <w:t>起执行。</w:t>
      </w:r>
      <w:r>
        <w:rPr>
          <w:rFonts w:hint="eastAsia" w:ascii="宋体" w:hAnsi="宋体" w:eastAsia="宋体" w:cs="宋体"/>
          <w:b w:val="0"/>
          <w:bCs/>
          <w:color w:val="auto"/>
          <w:sz w:val="21"/>
          <w:szCs w:val="21"/>
          <w:lang w:val="en-US" w:eastAsia="zh-CN"/>
        </w:rPr>
        <w:t>原《</w:t>
      </w:r>
      <w:r>
        <w:rPr>
          <w:rFonts w:hint="eastAsia" w:ascii="宋体" w:hAnsi="宋体" w:eastAsia="宋体" w:cs="宋体"/>
          <w:bCs/>
          <w:color w:val="auto"/>
          <w:sz w:val="21"/>
          <w:szCs w:val="21"/>
          <w:lang w:val="en-US" w:eastAsia="zh-CN"/>
        </w:rPr>
        <w:t>东莞市水务集团管网有限公司危险作业安全管理制度（试行）</w:t>
      </w:r>
      <w:r>
        <w:rPr>
          <w:rFonts w:hint="eastAsia" w:ascii="宋体" w:hAnsi="宋体" w:eastAsia="宋体" w:cs="宋体"/>
          <w:b w:val="0"/>
          <w:bCs/>
          <w:color w:val="auto"/>
          <w:sz w:val="21"/>
          <w:szCs w:val="21"/>
          <w:lang w:val="en-US" w:eastAsia="zh-CN"/>
        </w:rPr>
        <w:t>》（东管网〔2020〕86号）同时废止。</w:t>
      </w:r>
    </w:p>
    <w:p w14:paraId="4B36EAEA">
      <w:pPr>
        <w:pStyle w:val="67"/>
        <w:keepNext w:val="0"/>
        <w:keepLines w:val="0"/>
        <w:pageBreakBefore w:val="0"/>
        <w:kinsoku/>
        <w:wordWrap w:val="0"/>
        <w:overflowPunct/>
        <w:topLinePunct w:val="0"/>
        <w:bidi w:val="0"/>
        <w:snapToGrid/>
        <w:spacing w:beforeLines="0" w:afterLines="0" w:line="440" w:lineRule="exact"/>
        <w:ind w:firstLine="420" w:firstLineChars="200"/>
        <w:jc w:val="both"/>
        <w:textAlignment w:val="auto"/>
        <w:rPr>
          <w:rFonts w:hint="eastAsia" w:ascii="宋体" w:hAnsi="宋体" w:eastAsia="宋体" w:cs="宋体"/>
          <w:color w:val="auto"/>
          <w:sz w:val="21"/>
          <w:szCs w:val="21"/>
          <w:highlight w:val="none"/>
        </w:rPr>
      </w:pPr>
    </w:p>
    <w:p w14:paraId="08A31D6C">
      <w:pPr>
        <w:pStyle w:val="67"/>
        <w:keepNext w:val="0"/>
        <w:keepLines w:val="0"/>
        <w:pageBreakBefore w:val="0"/>
        <w:kinsoku/>
        <w:wordWrap w:val="0"/>
        <w:overflowPunct/>
        <w:topLinePunct w:val="0"/>
        <w:bidi w:val="0"/>
        <w:snapToGrid/>
        <w:spacing w:beforeLines="0" w:afterLines="0" w:line="440" w:lineRule="exact"/>
        <w:ind w:firstLine="560" w:firstLineChars="200"/>
        <w:jc w:val="both"/>
        <w:textAlignment w:val="auto"/>
        <w:rPr>
          <w:rFonts w:hint="eastAsia" w:ascii="宋体" w:hAnsi="宋体" w:eastAsia="宋体" w:cs="宋体"/>
          <w:color w:val="auto"/>
          <w:sz w:val="28"/>
          <w:szCs w:val="28"/>
          <w:highlight w:val="none"/>
        </w:rPr>
      </w:pPr>
    </w:p>
    <w:p w14:paraId="3A66855F">
      <w:pPr>
        <w:pStyle w:val="67"/>
        <w:keepNext w:val="0"/>
        <w:keepLines w:val="0"/>
        <w:pageBreakBefore w:val="0"/>
        <w:kinsoku/>
        <w:wordWrap w:val="0"/>
        <w:overflowPunct/>
        <w:topLinePunct w:val="0"/>
        <w:bidi w:val="0"/>
        <w:snapToGrid/>
        <w:spacing w:beforeLines="0" w:afterLines="0" w:line="440" w:lineRule="exact"/>
        <w:ind w:firstLine="560" w:firstLineChars="200"/>
        <w:jc w:val="both"/>
        <w:textAlignment w:val="auto"/>
        <w:rPr>
          <w:rFonts w:hint="eastAsia" w:ascii="宋体" w:hAnsi="宋体" w:eastAsia="宋体" w:cs="宋体"/>
          <w:color w:val="auto"/>
          <w:sz w:val="28"/>
          <w:szCs w:val="28"/>
          <w:highlight w:val="none"/>
        </w:rPr>
      </w:pPr>
    </w:p>
    <w:p w14:paraId="1E5ADCD1">
      <w:pPr>
        <w:pStyle w:val="67"/>
        <w:keepNext w:val="0"/>
        <w:keepLines w:val="0"/>
        <w:pageBreakBefore w:val="0"/>
        <w:kinsoku/>
        <w:wordWrap w:val="0"/>
        <w:overflowPunct/>
        <w:topLinePunct w:val="0"/>
        <w:bidi w:val="0"/>
        <w:snapToGrid/>
        <w:spacing w:beforeLines="0" w:afterLines="0" w:line="440" w:lineRule="exact"/>
        <w:ind w:firstLine="560" w:firstLineChars="200"/>
        <w:jc w:val="both"/>
        <w:textAlignment w:val="auto"/>
        <w:rPr>
          <w:rFonts w:hint="eastAsia" w:ascii="宋体" w:hAnsi="宋体" w:eastAsia="宋体" w:cs="宋体"/>
          <w:color w:val="auto"/>
          <w:sz w:val="28"/>
          <w:szCs w:val="28"/>
          <w:highlight w:val="none"/>
        </w:rPr>
      </w:pPr>
    </w:p>
    <w:p w14:paraId="4C0366DB">
      <w:pPr>
        <w:pStyle w:val="67"/>
        <w:keepNext w:val="0"/>
        <w:keepLines w:val="0"/>
        <w:pageBreakBefore w:val="0"/>
        <w:kinsoku/>
        <w:wordWrap w:val="0"/>
        <w:overflowPunct/>
        <w:topLinePunct w:val="0"/>
        <w:bidi w:val="0"/>
        <w:snapToGrid/>
        <w:spacing w:beforeLines="0" w:afterLines="0" w:line="440" w:lineRule="exact"/>
        <w:ind w:firstLine="560" w:firstLineChars="200"/>
        <w:jc w:val="both"/>
        <w:textAlignment w:val="auto"/>
        <w:rPr>
          <w:rFonts w:hint="eastAsia" w:ascii="宋体" w:hAnsi="宋体" w:eastAsia="宋体" w:cs="宋体"/>
          <w:color w:val="auto"/>
          <w:sz w:val="28"/>
          <w:szCs w:val="28"/>
          <w:highlight w:val="none"/>
        </w:rPr>
      </w:pPr>
    </w:p>
    <w:p w14:paraId="6941B0E9">
      <w:pPr>
        <w:pStyle w:val="67"/>
        <w:keepNext w:val="0"/>
        <w:keepLines w:val="0"/>
        <w:pageBreakBefore w:val="0"/>
        <w:kinsoku/>
        <w:wordWrap w:val="0"/>
        <w:overflowPunct/>
        <w:topLinePunct w:val="0"/>
        <w:bidi w:val="0"/>
        <w:snapToGrid/>
        <w:spacing w:beforeLines="0" w:afterLines="0" w:line="360" w:lineRule="auto"/>
        <w:ind w:firstLine="560" w:firstLineChars="200"/>
        <w:jc w:val="both"/>
        <w:textAlignment w:val="auto"/>
        <w:rPr>
          <w:rFonts w:hint="eastAsia" w:ascii="宋体" w:hAnsi="宋体" w:eastAsia="宋体" w:cs="宋体"/>
          <w:color w:val="auto"/>
          <w:sz w:val="28"/>
          <w:szCs w:val="28"/>
          <w:highlight w:val="none"/>
        </w:rPr>
      </w:pPr>
    </w:p>
    <w:p w14:paraId="3B8B47B5">
      <w:pPr>
        <w:pStyle w:val="67"/>
        <w:keepNext w:val="0"/>
        <w:keepLines w:val="0"/>
        <w:pageBreakBefore w:val="0"/>
        <w:kinsoku/>
        <w:wordWrap w:val="0"/>
        <w:overflowPunct/>
        <w:topLinePunct w:val="0"/>
        <w:bidi w:val="0"/>
        <w:snapToGrid/>
        <w:spacing w:beforeLines="0" w:afterLines="0" w:line="360" w:lineRule="auto"/>
        <w:ind w:firstLine="560" w:firstLineChars="200"/>
        <w:jc w:val="both"/>
        <w:textAlignment w:val="auto"/>
        <w:rPr>
          <w:rFonts w:hint="eastAsia" w:ascii="宋体" w:hAnsi="宋体" w:eastAsia="宋体" w:cs="宋体"/>
          <w:color w:val="auto"/>
          <w:sz w:val="28"/>
          <w:szCs w:val="28"/>
          <w:highlight w:val="none"/>
        </w:rPr>
      </w:pPr>
    </w:p>
    <w:p w14:paraId="5DE1414B">
      <w:pPr>
        <w:pStyle w:val="67"/>
        <w:keepNext w:val="0"/>
        <w:keepLines w:val="0"/>
        <w:pageBreakBefore w:val="0"/>
        <w:kinsoku/>
        <w:wordWrap w:val="0"/>
        <w:overflowPunct/>
        <w:topLinePunct w:val="0"/>
        <w:bidi w:val="0"/>
        <w:snapToGrid/>
        <w:spacing w:beforeLines="0" w:afterLines="0" w:line="360" w:lineRule="auto"/>
        <w:ind w:firstLine="560" w:firstLineChars="200"/>
        <w:jc w:val="both"/>
        <w:textAlignment w:val="auto"/>
        <w:rPr>
          <w:rFonts w:hint="eastAsia" w:ascii="宋体" w:hAnsi="宋体" w:eastAsia="宋体" w:cs="宋体"/>
          <w:color w:val="auto"/>
          <w:sz w:val="28"/>
          <w:szCs w:val="28"/>
          <w:highlight w:val="none"/>
        </w:rPr>
      </w:pPr>
    </w:p>
    <w:p w14:paraId="07138A74">
      <w:pPr>
        <w:pStyle w:val="67"/>
        <w:keepNext w:val="0"/>
        <w:keepLines w:val="0"/>
        <w:pageBreakBefore w:val="0"/>
        <w:kinsoku/>
        <w:wordWrap w:val="0"/>
        <w:overflowPunct/>
        <w:topLinePunct w:val="0"/>
        <w:bidi w:val="0"/>
        <w:snapToGrid/>
        <w:spacing w:beforeLines="0" w:afterLines="0" w:line="360" w:lineRule="auto"/>
        <w:ind w:firstLine="560" w:firstLineChars="200"/>
        <w:jc w:val="both"/>
        <w:textAlignment w:val="auto"/>
        <w:rPr>
          <w:rFonts w:hint="eastAsia" w:ascii="宋体" w:hAnsi="宋体" w:eastAsia="宋体" w:cs="宋体"/>
          <w:color w:val="auto"/>
          <w:sz w:val="28"/>
          <w:szCs w:val="28"/>
          <w:highlight w:val="none"/>
        </w:rPr>
      </w:pPr>
    </w:p>
    <w:p w14:paraId="383D3C06">
      <w:pPr>
        <w:pStyle w:val="67"/>
        <w:keepNext w:val="0"/>
        <w:keepLines w:val="0"/>
        <w:pageBreakBefore w:val="0"/>
        <w:kinsoku/>
        <w:wordWrap w:val="0"/>
        <w:overflowPunct/>
        <w:topLinePunct w:val="0"/>
        <w:bidi w:val="0"/>
        <w:snapToGrid/>
        <w:spacing w:beforeLines="0" w:afterLines="0" w:line="360" w:lineRule="auto"/>
        <w:ind w:firstLine="560" w:firstLineChars="200"/>
        <w:jc w:val="both"/>
        <w:textAlignment w:val="auto"/>
        <w:rPr>
          <w:rFonts w:hint="eastAsia" w:ascii="宋体" w:hAnsi="宋体" w:eastAsia="宋体" w:cs="宋体"/>
          <w:color w:val="auto"/>
          <w:sz w:val="28"/>
          <w:szCs w:val="28"/>
          <w:highlight w:val="none"/>
        </w:rPr>
      </w:pPr>
    </w:p>
    <w:p w14:paraId="4D993443">
      <w:pPr>
        <w:pStyle w:val="67"/>
        <w:keepNext w:val="0"/>
        <w:keepLines w:val="0"/>
        <w:pageBreakBefore w:val="0"/>
        <w:kinsoku/>
        <w:wordWrap w:val="0"/>
        <w:overflowPunct/>
        <w:topLinePunct w:val="0"/>
        <w:bidi w:val="0"/>
        <w:snapToGrid/>
        <w:spacing w:beforeLines="0" w:afterLines="0" w:line="360" w:lineRule="auto"/>
        <w:ind w:left="0" w:leftChars="0" w:firstLine="0" w:firstLineChars="0"/>
        <w:jc w:val="both"/>
        <w:textAlignment w:val="auto"/>
        <w:rPr>
          <w:rFonts w:hint="eastAsia" w:ascii="宋体" w:hAnsi="宋体" w:eastAsia="宋体" w:cs="宋体"/>
          <w:color w:val="auto"/>
          <w:sz w:val="28"/>
          <w:szCs w:val="28"/>
          <w:highlight w:val="none"/>
        </w:rPr>
      </w:pPr>
    </w:p>
    <w:p w14:paraId="7A0DC8E3">
      <w:pPr>
        <w:keepNext w:val="0"/>
        <w:keepLines w:val="0"/>
        <w:pageBreakBefore/>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附件</w:t>
      </w:r>
      <w:r>
        <w:rPr>
          <w:rFonts w:hint="eastAsia" w:ascii="宋体" w:hAnsi="宋体" w:eastAsia="宋体" w:cs="宋体"/>
          <w:b/>
          <w:bCs/>
          <w:color w:val="auto"/>
          <w:sz w:val="21"/>
          <w:szCs w:val="21"/>
          <w:lang w:val="en-US" w:eastAsia="zh-CN"/>
        </w:rPr>
        <w:t>六</w:t>
      </w:r>
      <w:r>
        <w:rPr>
          <w:rFonts w:hint="eastAsia" w:ascii="宋体" w:hAnsi="宋体" w:eastAsia="宋体" w:cs="宋体"/>
          <w:b/>
          <w:bCs/>
          <w:color w:val="auto"/>
          <w:sz w:val="21"/>
          <w:szCs w:val="21"/>
        </w:rPr>
        <w:t>：廉洁协议书</w:t>
      </w:r>
    </w:p>
    <w:p w14:paraId="25EDC45A">
      <w:pPr>
        <w:keepNext w:val="0"/>
        <w:keepLines w:val="0"/>
        <w:pageBreakBefore w:val="0"/>
        <w:kinsoku/>
        <w:wordWrap/>
        <w:overflowPunct/>
        <w:topLinePunct w:val="0"/>
        <w:autoSpaceDE w:val="0"/>
        <w:autoSpaceDN w:val="0"/>
        <w:bidi w:val="0"/>
        <w:adjustRightInd w:val="0"/>
        <w:snapToGrid w:val="0"/>
        <w:spacing w:line="360" w:lineRule="auto"/>
        <w:jc w:val="center"/>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rPr>
        <w:t>廉洁协议书</w:t>
      </w:r>
    </w:p>
    <w:p w14:paraId="68B0D010">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kern w:val="0"/>
          <w:sz w:val="21"/>
          <w:szCs w:val="21"/>
        </w:rPr>
      </w:pPr>
    </w:p>
    <w:p w14:paraId="193078AD">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项目名称：</w:t>
      </w:r>
      <w:r>
        <w:rPr>
          <w:rFonts w:hint="eastAsia" w:ascii="宋体" w:hAnsi="宋体" w:eastAsia="宋体" w:cs="宋体"/>
          <w:color w:val="auto"/>
          <w:kern w:val="0"/>
          <w:sz w:val="21"/>
          <w:szCs w:val="21"/>
          <w:lang w:eastAsia="zh-CN"/>
        </w:rPr>
        <w:t>东莞市水务集团管网有限公司2025年保安服务采购项目</w:t>
      </w:r>
      <w:r>
        <w:rPr>
          <w:rFonts w:hint="eastAsia" w:ascii="宋体" w:hAnsi="宋体" w:eastAsia="宋体" w:cs="宋体"/>
          <w:color w:val="auto"/>
          <w:kern w:val="0"/>
          <w:sz w:val="21"/>
          <w:szCs w:val="21"/>
        </w:rPr>
        <w:t>（招标编号：）</w:t>
      </w:r>
    </w:p>
    <w:p w14:paraId="4F6F22CB">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甲方（业主单位）：东莞市水务集团管网有限公司</w:t>
      </w:r>
    </w:p>
    <w:p w14:paraId="56A74A37">
      <w:pPr>
        <w:keepNext w:val="0"/>
        <w:keepLines w:val="0"/>
        <w:pageBreakBefore w:val="0"/>
        <w:kinsoku/>
        <w:wordWrap/>
        <w:overflowPunct/>
        <w:topLinePunct w:val="0"/>
        <w:autoSpaceDE w:val="0"/>
        <w:autoSpaceDN w:val="0"/>
        <w:bidi w:val="0"/>
        <w:adjustRightInd w:val="0"/>
        <w:snapToGrid w:val="0"/>
        <w:spacing w:line="360" w:lineRule="auto"/>
        <w:ind w:firstLine="1890" w:firstLineChars="900"/>
        <w:jc w:val="left"/>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val="zh-CN" w:eastAsia="zh-CN"/>
        </w:rPr>
        <w:t>东莞市东信水环境投资有限公司</w:t>
      </w:r>
    </w:p>
    <w:p w14:paraId="53A204EA">
      <w:pPr>
        <w:keepNext w:val="0"/>
        <w:keepLines w:val="0"/>
        <w:pageBreakBefore w:val="0"/>
        <w:kinsoku/>
        <w:wordWrap/>
        <w:overflowPunct/>
        <w:topLinePunct w:val="0"/>
        <w:autoSpaceDE w:val="0"/>
        <w:autoSpaceDN w:val="0"/>
        <w:bidi w:val="0"/>
        <w:adjustRightInd w:val="0"/>
        <w:snapToGrid w:val="0"/>
        <w:spacing w:line="360" w:lineRule="auto"/>
        <w:ind w:firstLine="1890" w:firstLineChars="900"/>
        <w:jc w:val="left"/>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val="zh-CN" w:eastAsia="zh-CN"/>
        </w:rPr>
        <w:t>东莞市东泽水环境投资有限公司</w:t>
      </w:r>
    </w:p>
    <w:p w14:paraId="67C32D55">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乙方：</w:t>
      </w:r>
    </w:p>
    <w:p w14:paraId="11480A28">
      <w:pPr>
        <w:keepNext w:val="0"/>
        <w:keepLines w:val="0"/>
        <w:pageBreakBefore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0"/>
          <w:sz w:val="21"/>
          <w:szCs w:val="21"/>
        </w:rPr>
      </w:pPr>
    </w:p>
    <w:p w14:paraId="06B7D259">
      <w:pPr>
        <w:keepNext w:val="0"/>
        <w:keepLines w:val="0"/>
        <w:pageBreakBefore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70AC16B5">
      <w:pPr>
        <w:keepNext w:val="0"/>
        <w:keepLines w:val="0"/>
        <w:pageBreakBefore w:val="0"/>
        <w:kinsoku/>
        <w:wordWrap/>
        <w:overflowPunct/>
        <w:topLinePunct w:val="0"/>
        <w:autoSpaceDE w:val="0"/>
        <w:autoSpaceDN w:val="0"/>
        <w:bidi w:val="0"/>
        <w:adjustRightInd w:val="0"/>
        <w:snapToGrid w:val="0"/>
        <w:spacing w:before="164" w:beforeLines="50" w:line="360" w:lineRule="auto"/>
        <w:ind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第一条  甲乙双方的权利和义务</w:t>
      </w:r>
    </w:p>
    <w:p w14:paraId="72141CE6">
      <w:pPr>
        <w:keepNext w:val="0"/>
        <w:keepLines w:val="0"/>
        <w:pageBreakBefore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（一）严格遵守党和国家有关法律法规等有关廉洁从业规定。</w:t>
      </w:r>
    </w:p>
    <w:p w14:paraId="065D70F4">
      <w:pPr>
        <w:keepNext w:val="0"/>
        <w:keepLines w:val="0"/>
        <w:pageBreakBefore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（二）严格执行本项目的合同文件，自觉按合同办事。</w:t>
      </w:r>
    </w:p>
    <w:p w14:paraId="1DF124A6">
      <w:pPr>
        <w:keepNext w:val="0"/>
        <w:keepLines w:val="0"/>
        <w:pageBreakBefore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（三）双方的业务活动坚持公开、公正、诚信、透明的原则（除法律认定的商业秘密和合同文件另有规定之外）不得损害国家和集体利益，违反工程建设管理及其他法律法规规章制度。</w:t>
      </w:r>
    </w:p>
    <w:p w14:paraId="09689113">
      <w:pPr>
        <w:keepNext w:val="0"/>
        <w:keepLines w:val="0"/>
        <w:pageBreakBefore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（四）建立健全廉洁制度，开展廉洁教育，设立廉洁监督公示牌，公布举报电话，监督并认真查处违法违纪行为。</w:t>
      </w:r>
    </w:p>
    <w:p w14:paraId="58155DAC">
      <w:pPr>
        <w:keepNext w:val="0"/>
        <w:keepLines w:val="0"/>
        <w:pageBreakBefore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（五）发现对方在业务活动中有违反廉洁规定的行为，有及时提醒对方纠正的权利和义务。</w:t>
      </w:r>
    </w:p>
    <w:p w14:paraId="04CEBE7D">
      <w:pPr>
        <w:keepNext w:val="0"/>
        <w:keepLines w:val="0"/>
        <w:pageBreakBefore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（六）发现对方严重违反本协议义务条款的行为，有向其上级有关部门举报、建议给予处理并要求告知处理结果的权利。</w:t>
      </w:r>
    </w:p>
    <w:p w14:paraId="198CE53C">
      <w:pPr>
        <w:keepNext w:val="0"/>
        <w:keepLines w:val="0"/>
        <w:pageBreakBefore w:val="0"/>
        <w:kinsoku/>
        <w:wordWrap/>
        <w:overflowPunct/>
        <w:topLinePunct w:val="0"/>
        <w:autoSpaceDE w:val="0"/>
        <w:autoSpaceDN w:val="0"/>
        <w:bidi w:val="0"/>
        <w:adjustRightInd w:val="0"/>
        <w:snapToGrid w:val="0"/>
        <w:spacing w:before="164" w:beforeLines="50" w:line="360" w:lineRule="auto"/>
        <w:ind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第二条  甲方的义务</w:t>
      </w:r>
    </w:p>
    <w:p w14:paraId="071D3988">
      <w:pPr>
        <w:keepNext w:val="0"/>
        <w:keepLines w:val="0"/>
        <w:pageBreakBefore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（一）甲方及其工作人员不得索要或接受乙方的礼金、有价证券和贵重物品，不得在乙方报销任何应由甲方或个人支付的费用。</w:t>
      </w:r>
    </w:p>
    <w:p w14:paraId="5DCDF981">
      <w:pPr>
        <w:keepNext w:val="0"/>
        <w:keepLines w:val="0"/>
        <w:pageBreakBefore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（二）甲方工作人员不得参加乙方安排的高消费宴请和娱乐活动；不得接受乙方提供的通讯工具、交通工具和高档办公用品。</w:t>
      </w:r>
    </w:p>
    <w:p w14:paraId="33CC3221">
      <w:pPr>
        <w:keepNext w:val="0"/>
        <w:keepLines w:val="0"/>
        <w:pageBreakBefore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（三）甲方及其工作人员不得要求或者接受乙方为其住房装修、婚丧嫁娶活动、家属或亲友的工作安排以及出国出境、旅游等提供方便。</w:t>
      </w:r>
    </w:p>
    <w:p w14:paraId="0FB00E55">
      <w:pPr>
        <w:keepNext w:val="0"/>
        <w:keepLines w:val="0"/>
        <w:pageBreakBefore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（四）甲方工作人员不得向乙方介绍其家属或者亲友（包括家属或亲友开办的公司企业）从事于本项目涉及的经济业务活动。</w:t>
      </w:r>
    </w:p>
    <w:p w14:paraId="0AD83347">
      <w:pPr>
        <w:keepNext w:val="0"/>
        <w:keepLines w:val="0"/>
        <w:pageBreakBefore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（五）甲方及其工作人员不得以任何理由向乙方推荐分包单位，不得要求乙方购买合同规定外的材料和设备。</w:t>
      </w:r>
    </w:p>
    <w:p w14:paraId="5D645725">
      <w:pPr>
        <w:keepNext w:val="0"/>
        <w:keepLines w:val="0"/>
        <w:pageBreakBefore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（六）甲方及其工作人员不得进行违反廉洁规定的其他活动。</w:t>
      </w:r>
    </w:p>
    <w:p w14:paraId="7B88234F">
      <w:pPr>
        <w:keepNext w:val="0"/>
        <w:keepLines w:val="0"/>
        <w:pageBreakBefore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（七）甲方应对甲方工作人员进行廉洁监督管理，如甲方工作人员违反本协议第一、第二条，甲方应依据有关法律法规、党纪规定对其进行处理；涉嫌犯罪的，甲方应将其移交司法机关追究刑事责任。</w:t>
      </w:r>
    </w:p>
    <w:p w14:paraId="7AEC4E53">
      <w:pPr>
        <w:keepNext w:val="0"/>
        <w:keepLines w:val="0"/>
        <w:pageBreakBefore w:val="0"/>
        <w:kinsoku/>
        <w:wordWrap/>
        <w:overflowPunct/>
        <w:topLinePunct w:val="0"/>
        <w:autoSpaceDE w:val="0"/>
        <w:autoSpaceDN w:val="0"/>
        <w:bidi w:val="0"/>
        <w:adjustRightInd w:val="0"/>
        <w:snapToGrid w:val="0"/>
        <w:spacing w:before="164" w:beforeLines="50" w:line="360" w:lineRule="auto"/>
        <w:ind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第三条  乙方义务</w:t>
      </w:r>
    </w:p>
    <w:p w14:paraId="5EE323CE">
      <w:pPr>
        <w:keepNext w:val="0"/>
        <w:keepLines w:val="0"/>
        <w:pageBreakBefore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（一）乙方不得以任何理由向甲方及其工作人员馈赠礼金、有价证券、贵重礼品，或报销应由甲方单位或个人支付的任何费用。</w:t>
      </w:r>
    </w:p>
    <w:p w14:paraId="22C25957">
      <w:pPr>
        <w:keepNext w:val="0"/>
        <w:keepLines w:val="0"/>
        <w:pageBreakBefore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（二）乙方及其工作人员不得以考察、参观、洽谈业务、签订合同等的借口邀请甲方及其工作人员参加高消费的宴请、娱乐和健身等活动。</w:t>
      </w:r>
    </w:p>
    <w:p w14:paraId="635DF9C2">
      <w:pPr>
        <w:keepNext w:val="0"/>
        <w:keepLines w:val="0"/>
        <w:pageBreakBefore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（三）乙方不得为甲方单位和个人购置或提供通讯工具、交通工具和高档办公用品等。</w:t>
      </w:r>
    </w:p>
    <w:p w14:paraId="1831E88C">
      <w:pPr>
        <w:keepNext w:val="0"/>
        <w:keepLines w:val="0"/>
        <w:pageBreakBefore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（四）乙方及其工作人员不得为甲方工作人员购买、装修、维修私人住房、汽车等。</w:t>
      </w:r>
    </w:p>
    <w:p w14:paraId="40EAF99B">
      <w:pPr>
        <w:keepNext w:val="0"/>
        <w:keepLines w:val="0"/>
        <w:pageBreakBefore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（五）乙方及其工作人员不得为甲方工作人员的婚丧嫁娶、家属或亲友的工作安排，及出国出境提供方便以及报销任何私人消费的费用。</w:t>
      </w:r>
    </w:p>
    <w:p w14:paraId="05E76D51">
      <w:pPr>
        <w:keepNext w:val="0"/>
        <w:keepLines w:val="0"/>
        <w:pageBreakBefore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（六）乙方及其工作人员不得进行影响甲方及其工作人员公正执行合同和履行职务的其他活动。</w:t>
      </w:r>
    </w:p>
    <w:p w14:paraId="03BAC9D0">
      <w:pPr>
        <w:keepNext w:val="0"/>
        <w:keepLines w:val="0"/>
        <w:pageBreakBefore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476F2CD6">
      <w:pPr>
        <w:keepNext w:val="0"/>
        <w:keepLines w:val="0"/>
        <w:pageBreakBefore w:val="0"/>
        <w:kinsoku/>
        <w:wordWrap/>
        <w:overflowPunct/>
        <w:topLinePunct w:val="0"/>
        <w:autoSpaceDE w:val="0"/>
        <w:autoSpaceDN w:val="0"/>
        <w:bidi w:val="0"/>
        <w:adjustRightInd w:val="0"/>
        <w:snapToGrid w:val="0"/>
        <w:spacing w:before="164" w:beforeLines="50" w:line="360" w:lineRule="auto"/>
        <w:ind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第四条  违约责任</w:t>
      </w:r>
    </w:p>
    <w:p w14:paraId="15097245">
      <w:pPr>
        <w:keepNext w:val="0"/>
        <w:keepLines w:val="0"/>
        <w:pageBreakBefore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（一）甲方违反本协议第一、第二条给乙方单位造成经济损失的，应予以赔偿。</w:t>
      </w:r>
    </w:p>
    <w:p w14:paraId="610AAAA9">
      <w:pPr>
        <w:keepNext w:val="0"/>
        <w:keepLines w:val="0"/>
        <w:pageBreakBefore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（二）乙方违反本协议第一、第三条给甲方单位造成经济损失的，应予以赔偿。</w:t>
      </w:r>
    </w:p>
    <w:p w14:paraId="6F6813E2">
      <w:pPr>
        <w:keepNext w:val="0"/>
        <w:keepLines w:val="0"/>
        <w:pageBreakBefore w:val="0"/>
        <w:kinsoku/>
        <w:wordWrap/>
        <w:overflowPunct/>
        <w:topLinePunct w:val="0"/>
        <w:autoSpaceDE w:val="0"/>
        <w:autoSpaceDN w:val="0"/>
        <w:bidi w:val="0"/>
        <w:adjustRightInd w:val="0"/>
        <w:snapToGrid w:val="0"/>
        <w:spacing w:before="164" w:beforeLines="50" w:line="360" w:lineRule="auto"/>
        <w:ind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第五条  监督检查</w:t>
      </w:r>
    </w:p>
    <w:p w14:paraId="6EE430E4">
      <w:pPr>
        <w:keepNext w:val="0"/>
        <w:keepLines w:val="0"/>
        <w:pageBreakBefore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甲乙双方的廉洁从业行为由双方或双方上级单位的纪检、监察部门负责监督，对本协议履行情况进行检查。</w:t>
      </w:r>
    </w:p>
    <w:p w14:paraId="298693B4">
      <w:pPr>
        <w:keepNext w:val="0"/>
        <w:keepLines w:val="0"/>
        <w:pageBreakBefore w:val="0"/>
        <w:kinsoku/>
        <w:wordWrap/>
        <w:overflowPunct/>
        <w:topLinePunct w:val="0"/>
        <w:autoSpaceDE w:val="0"/>
        <w:autoSpaceDN w:val="0"/>
        <w:bidi w:val="0"/>
        <w:adjustRightInd w:val="0"/>
        <w:snapToGrid w:val="0"/>
        <w:spacing w:before="164" w:beforeLines="50" w:line="360" w:lineRule="auto"/>
        <w:ind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第六条 举报信访受理</w:t>
      </w:r>
    </w:p>
    <w:p w14:paraId="418D689C">
      <w:pPr>
        <w:keepNext w:val="0"/>
        <w:keepLines w:val="0"/>
        <w:pageBreakBefore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（一）举报受理部门：东莞市水务集团有限公司纪检监察部。</w:t>
      </w:r>
    </w:p>
    <w:p w14:paraId="4FB5CA42">
      <w:pPr>
        <w:keepNext w:val="0"/>
        <w:keepLines w:val="0"/>
        <w:pageBreakBefore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（二）举报电话：（0769）23076092。</w:t>
      </w:r>
    </w:p>
    <w:p w14:paraId="3633E5BB">
      <w:pPr>
        <w:keepNext w:val="0"/>
        <w:keepLines w:val="0"/>
        <w:pageBreakBefore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（三）举报邮箱：jcsj@dgswjt.cn。</w:t>
      </w:r>
    </w:p>
    <w:p w14:paraId="2D429449">
      <w:pPr>
        <w:keepNext w:val="0"/>
        <w:keepLines w:val="0"/>
        <w:pageBreakBefore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（四）信访地址：广东省东莞市东城街道育华路1号。</w:t>
      </w:r>
    </w:p>
    <w:p w14:paraId="1AEC09AD">
      <w:pPr>
        <w:keepNext w:val="0"/>
        <w:keepLines w:val="0"/>
        <w:pageBreakBefore w:val="0"/>
        <w:kinsoku/>
        <w:wordWrap/>
        <w:overflowPunct/>
        <w:topLinePunct w:val="0"/>
        <w:autoSpaceDE w:val="0"/>
        <w:autoSpaceDN w:val="0"/>
        <w:bidi w:val="0"/>
        <w:adjustRightInd w:val="0"/>
        <w:snapToGrid w:val="0"/>
        <w:spacing w:before="164" w:beforeLines="50" w:line="360" w:lineRule="auto"/>
        <w:ind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第七条 其他</w:t>
      </w:r>
    </w:p>
    <w:p w14:paraId="44D21C58">
      <w:pPr>
        <w:keepNext w:val="0"/>
        <w:keepLines w:val="0"/>
        <w:pageBreakBefore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本协议有效期为甲乙双方签字并加盖公章之日起至该工程/采购项目竣工验收完毕，质保期/服务期满后止。本协议一式</w:t>
      </w:r>
      <w:r>
        <w:rPr>
          <w:rFonts w:hint="eastAsia" w:ascii="宋体" w:hAnsi="宋体" w:eastAsia="宋体" w:cs="宋体"/>
          <w:color w:val="auto"/>
          <w:kern w:val="0"/>
          <w:sz w:val="21"/>
          <w:szCs w:val="21"/>
          <w:lang w:val="en-US" w:eastAsia="zh-CN"/>
        </w:rPr>
        <w:t>陆</w:t>
      </w:r>
      <w:r>
        <w:rPr>
          <w:rFonts w:hint="eastAsia" w:ascii="宋体" w:hAnsi="宋体" w:eastAsia="宋体" w:cs="宋体"/>
          <w:color w:val="auto"/>
          <w:kern w:val="0"/>
          <w:sz w:val="21"/>
          <w:szCs w:val="21"/>
        </w:rPr>
        <w:t>份，甲</w:t>
      </w:r>
      <w:r>
        <w:rPr>
          <w:rFonts w:hint="eastAsia" w:ascii="宋体" w:hAnsi="宋体" w:eastAsia="宋体" w:cs="宋体"/>
          <w:color w:val="auto"/>
          <w:kern w:val="0"/>
          <w:sz w:val="21"/>
          <w:szCs w:val="21"/>
          <w:lang w:val="en-US" w:eastAsia="zh-CN"/>
        </w:rPr>
        <w:t>方</w:t>
      </w:r>
      <w:r>
        <w:rPr>
          <w:rFonts w:hint="eastAsia" w:ascii="宋体" w:hAnsi="宋体" w:eastAsia="宋体" w:cs="宋体"/>
          <w:color w:val="auto"/>
          <w:kern w:val="0"/>
          <w:sz w:val="21"/>
          <w:szCs w:val="21"/>
        </w:rPr>
        <w:t>执</w:t>
      </w:r>
      <w:r>
        <w:rPr>
          <w:rFonts w:hint="eastAsia" w:ascii="宋体" w:hAnsi="宋体" w:eastAsia="宋体" w:cs="宋体"/>
          <w:color w:val="auto"/>
          <w:kern w:val="0"/>
          <w:sz w:val="21"/>
          <w:szCs w:val="21"/>
          <w:lang w:val="en-US" w:eastAsia="zh-CN"/>
        </w:rPr>
        <w:t>叁</w:t>
      </w:r>
      <w:r>
        <w:rPr>
          <w:rFonts w:hint="eastAsia" w:ascii="宋体" w:hAnsi="宋体" w:eastAsia="宋体" w:cs="宋体"/>
          <w:color w:val="auto"/>
          <w:kern w:val="0"/>
          <w:sz w:val="21"/>
          <w:szCs w:val="21"/>
        </w:rPr>
        <w:t>份、乙方执</w:t>
      </w:r>
      <w:r>
        <w:rPr>
          <w:rFonts w:hint="eastAsia" w:ascii="宋体" w:hAnsi="宋体" w:eastAsia="宋体" w:cs="宋体"/>
          <w:color w:val="auto"/>
          <w:kern w:val="0"/>
          <w:sz w:val="21"/>
          <w:szCs w:val="21"/>
          <w:lang w:val="en-US" w:eastAsia="zh-CN"/>
        </w:rPr>
        <w:t>贰</w:t>
      </w:r>
      <w:r>
        <w:rPr>
          <w:rFonts w:hint="eastAsia" w:ascii="宋体" w:hAnsi="宋体" w:eastAsia="宋体" w:cs="宋体"/>
          <w:color w:val="auto"/>
          <w:kern w:val="0"/>
          <w:sz w:val="21"/>
          <w:szCs w:val="21"/>
        </w:rPr>
        <w:t>份，甲、乙双方上级主管部门各执</w:t>
      </w:r>
      <w:r>
        <w:rPr>
          <w:rFonts w:hint="eastAsia" w:ascii="宋体" w:hAnsi="宋体" w:eastAsia="宋体" w:cs="宋体"/>
          <w:color w:val="auto"/>
          <w:kern w:val="0"/>
          <w:sz w:val="21"/>
          <w:szCs w:val="21"/>
          <w:lang w:val="en-US" w:eastAsia="zh-CN"/>
        </w:rPr>
        <w:t>壹</w:t>
      </w:r>
      <w:r>
        <w:rPr>
          <w:rFonts w:hint="eastAsia" w:ascii="宋体" w:hAnsi="宋体" w:eastAsia="宋体" w:cs="宋体"/>
          <w:color w:val="auto"/>
          <w:kern w:val="0"/>
          <w:sz w:val="21"/>
          <w:szCs w:val="21"/>
        </w:rPr>
        <w:t>份。</w:t>
      </w:r>
    </w:p>
    <w:p w14:paraId="15229007">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kern w:val="0"/>
          <w:sz w:val="21"/>
          <w:szCs w:val="21"/>
        </w:rPr>
      </w:pPr>
    </w:p>
    <w:p w14:paraId="50424C06">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auto"/>
          <w:kern w:val="0"/>
          <w:sz w:val="21"/>
          <w:szCs w:val="21"/>
        </w:rPr>
      </w:pPr>
    </w:p>
    <w:p w14:paraId="6AB70D65">
      <w:pPr>
        <w:pStyle w:val="5"/>
        <w:rPr>
          <w:rFonts w:hint="eastAsia"/>
          <w:color w:val="auto"/>
        </w:rPr>
      </w:pPr>
    </w:p>
    <w:tbl>
      <w:tblPr>
        <w:tblStyle w:val="3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544"/>
        <w:gridCol w:w="4824"/>
      </w:tblGrid>
      <w:tr w14:paraId="6DBB9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73" w:type="pct"/>
          </w:tcPr>
          <w:p w14:paraId="5270AF24">
            <w:pPr>
              <w:keepNext w:val="0"/>
              <w:keepLines w:val="0"/>
              <w:pageBreakBefore w:val="0"/>
              <w:widowControl w:val="0"/>
              <w:kinsoku/>
              <w:wordWrap/>
              <w:overflowPunct/>
              <w:topLinePunct w:val="0"/>
              <w:autoSpaceDE w:val="0"/>
              <w:autoSpaceDN w:val="0"/>
              <w:bidi w:val="0"/>
              <w:adjustRightInd w:val="0"/>
              <w:snapToGrid w:val="0"/>
              <w:spacing w:before="164" w:beforeLines="5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甲方（盖章）：</w:t>
            </w:r>
            <w:r>
              <w:rPr>
                <w:rFonts w:hint="eastAsia" w:ascii="宋体" w:hAnsi="宋体" w:eastAsia="宋体" w:cs="宋体"/>
                <w:color w:val="auto"/>
                <w:kern w:val="0"/>
                <w:sz w:val="21"/>
                <w:szCs w:val="21"/>
                <w:lang w:val="zh-CN"/>
              </w:rPr>
              <w:t>东莞市水务集团管网有限公司</w:t>
            </w:r>
          </w:p>
        </w:tc>
        <w:tc>
          <w:tcPr>
            <w:tcW w:w="2326" w:type="pct"/>
            <w:vAlign w:val="top"/>
          </w:tcPr>
          <w:p w14:paraId="12E731B6">
            <w:pPr>
              <w:keepNext w:val="0"/>
              <w:keepLines w:val="0"/>
              <w:pageBreakBefore w:val="0"/>
              <w:widowControl w:val="0"/>
              <w:kinsoku/>
              <w:wordWrap/>
              <w:overflowPunct/>
              <w:topLinePunct w:val="0"/>
              <w:autoSpaceDE w:val="0"/>
              <w:autoSpaceDN w:val="0"/>
              <w:bidi w:val="0"/>
              <w:adjustRightInd w:val="0"/>
              <w:snapToGrid w:val="0"/>
              <w:spacing w:before="164" w:beforeLines="50" w:line="360" w:lineRule="auto"/>
              <w:jc w:val="left"/>
              <w:textAlignment w:val="auto"/>
              <w:rPr>
                <w:rFonts w:hint="eastAsia" w:ascii="宋体" w:hAnsi="宋体" w:eastAsia="宋体" w:cs="宋体"/>
                <w:color w:val="auto"/>
                <w:kern w:val="2"/>
                <w:sz w:val="21"/>
                <w:szCs w:val="21"/>
                <w:lang w:val="en-US" w:eastAsia="zh-CN" w:bidi="ar-SA"/>
              </w:rPr>
            </w:pPr>
          </w:p>
        </w:tc>
      </w:tr>
      <w:tr w14:paraId="4BB67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73" w:type="pct"/>
          </w:tcPr>
          <w:p w14:paraId="32DDBB9D">
            <w:pPr>
              <w:keepNext w:val="0"/>
              <w:keepLines w:val="0"/>
              <w:pageBreakBefore w:val="0"/>
              <w:widowControl w:val="0"/>
              <w:kinsoku/>
              <w:wordWrap/>
              <w:overflowPunct/>
              <w:topLinePunct w:val="0"/>
              <w:autoSpaceDE w:val="0"/>
              <w:autoSpaceDN w:val="0"/>
              <w:bidi w:val="0"/>
              <w:adjustRightInd w:val="0"/>
              <w:snapToGrid w:val="0"/>
              <w:spacing w:before="164" w:beforeLines="5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法定代表人：</w:t>
            </w:r>
          </w:p>
        </w:tc>
        <w:tc>
          <w:tcPr>
            <w:tcW w:w="2326" w:type="pct"/>
            <w:vAlign w:val="top"/>
          </w:tcPr>
          <w:p w14:paraId="642B2CB5">
            <w:pPr>
              <w:keepNext w:val="0"/>
              <w:keepLines w:val="0"/>
              <w:pageBreakBefore w:val="0"/>
              <w:widowControl w:val="0"/>
              <w:kinsoku/>
              <w:wordWrap/>
              <w:overflowPunct/>
              <w:topLinePunct w:val="0"/>
              <w:autoSpaceDE w:val="0"/>
              <w:autoSpaceDN w:val="0"/>
              <w:bidi w:val="0"/>
              <w:adjustRightInd w:val="0"/>
              <w:snapToGrid w:val="0"/>
              <w:spacing w:before="164" w:beforeLines="50" w:line="360" w:lineRule="auto"/>
              <w:jc w:val="left"/>
              <w:textAlignment w:val="auto"/>
              <w:rPr>
                <w:rFonts w:hint="eastAsia" w:ascii="宋体" w:hAnsi="宋体" w:eastAsia="宋体" w:cs="宋体"/>
                <w:color w:val="auto"/>
                <w:kern w:val="2"/>
                <w:sz w:val="21"/>
                <w:szCs w:val="21"/>
                <w:lang w:val="en-US" w:eastAsia="zh-CN" w:bidi="ar-SA"/>
              </w:rPr>
            </w:pPr>
          </w:p>
        </w:tc>
      </w:tr>
      <w:tr w14:paraId="4C6E0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73" w:type="pct"/>
          </w:tcPr>
          <w:p w14:paraId="47FA72B6">
            <w:pPr>
              <w:keepNext w:val="0"/>
              <w:keepLines w:val="0"/>
              <w:pageBreakBefore w:val="0"/>
              <w:widowControl w:val="0"/>
              <w:kinsoku/>
              <w:wordWrap/>
              <w:overflowPunct/>
              <w:topLinePunct w:val="0"/>
              <w:autoSpaceDE w:val="0"/>
              <w:autoSpaceDN w:val="0"/>
              <w:bidi w:val="0"/>
              <w:adjustRightInd w:val="0"/>
              <w:snapToGrid w:val="0"/>
              <w:spacing w:before="164" w:beforeLines="50"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甲方代表：</w:t>
            </w:r>
          </w:p>
        </w:tc>
        <w:tc>
          <w:tcPr>
            <w:tcW w:w="2326" w:type="pct"/>
            <w:vAlign w:val="top"/>
          </w:tcPr>
          <w:p w14:paraId="386D4D26">
            <w:pPr>
              <w:keepNext w:val="0"/>
              <w:keepLines w:val="0"/>
              <w:pageBreakBefore w:val="0"/>
              <w:widowControl w:val="0"/>
              <w:kinsoku/>
              <w:wordWrap/>
              <w:overflowPunct/>
              <w:topLinePunct w:val="0"/>
              <w:autoSpaceDE w:val="0"/>
              <w:autoSpaceDN w:val="0"/>
              <w:bidi w:val="0"/>
              <w:adjustRightInd w:val="0"/>
              <w:snapToGrid w:val="0"/>
              <w:spacing w:before="164" w:beforeLines="50" w:line="360" w:lineRule="auto"/>
              <w:jc w:val="left"/>
              <w:textAlignment w:val="auto"/>
              <w:rPr>
                <w:rFonts w:hint="eastAsia" w:ascii="宋体" w:hAnsi="宋体" w:eastAsia="宋体" w:cs="宋体"/>
                <w:color w:val="auto"/>
                <w:kern w:val="2"/>
                <w:sz w:val="21"/>
                <w:szCs w:val="21"/>
                <w:lang w:val="en-US" w:eastAsia="zh-CN" w:bidi="ar-SA"/>
              </w:rPr>
            </w:pPr>
          </w:p>
        </w:tc>
      </w:tr>
      <w:tr w14:paraId="74311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73" w:type="pct"/>
          </w:tcPr>
          <w:p w14:paraId="3A0C1411">
            <w:pPr>
              <w:keepNext w:val="0"/>
              <w:keepLines w:val="0"/>
              <w:pageBreakBefore w:val="0"/>
              <w:widowControl w:val="0"/>
              <w:kinsoku/>
              <w:wordWrap/>
              <w:overflowPunct/>
              <w:topLinePunct w:val="0"/>
              <w:autoSpaceDE w:val="0"/>
              <w:autoSpaceDN w:val="0"/>
              <w:bidi w:val="0"/>
              <w:adjustRightInd w:val="0"/>
              <w:snapToGrid w:val="0"/>
              <w:spacing w:before="164" w:beforeLines="50" w:line="360" w:lineRule="auto"/>
              <w:jc w:val="left"/>
              <w:textAlignment w:val="auto"/>
              <w:rPr>
                <w:rFonts w:hint="eastAsia" w:ascii="宋体" w:hAnsi="宋体" w:eastAsia="宋体" w:cs="宋体"/>
                <w:color w:val="auto"/>
                <w:kern w:val="0"/>
                <w:sz w:val="21"/>
                <w:szCs w:val="21"/>
              </w:rPr>
            </w:pPr>
          </w:p>
        </w:tc>
        <w:tc>
          <w:tcPr>
            <w:tcW w:w="2326" w:type="pct"/>
            <w:vAlign w:val="top"/>
          </w:tcPr>
          <w:p w14:paraId="7E815D5F">
            <w:pPr>
              <w:keepNext w:val="0"/>
              <w:keepLines w:val="0"/>
              <w:pageBreakBefore w:val="0"/>
              <w:widowControl w:val="0"/>
              <w:kinsoku/>
              <w:wordWrap/>
              <w:overflowPunct/>
              <w:topLinePunct w:val="0"/>
              <w:autoSpaceDE w:val="0"/>
              <w:autoSpaceDN w:val="0"/>
              <w:bidi w:val="0"/>
              <w:adjustRightInd w:val="0"/>
              <w:snapToGrid w:val="0"/>
              <w:spacing w:before="164" w:beforeLines="50" w:line="360" w:lineRule="auto"/>
              <w:jc w:val="left"/>
              <w:textAlignment w:val="auto"/>
              <w:rPr>
                <w:rFonts w:hint="eastAsia" w:ascii="宋体" w:hAnsi="宋体" w:eastAsia="宋体" w:cs="宋体"/>
                <w:color w:val="auto"/>
                <w:kern w:val="0"/>
                <w:sz w:val="21"/>
                <w:szCs w:val="21"/>
              </w:rPr>
            </w:pPr>
          </w:p>
        </w:tc>
      </w:tr>
      <w:tr w14:paraId="05BE7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73" w:type="pct"/>
            <w:vAlign w:val="top"/>
          </w:tcPr>
          <w:p w14:paraId="376767DD">
            <w:pPr>
              <w:keepNext w:val="0"/>
              <w:keepLines w:val="0"/>
              <w:pageBreakBefore w:val="0"/>
              <w:widowControl w:val="0"/>
              <w:kinsoku/>
              <w:wordWrap/>
              <w:overflowPunct/>
              <w:topLinePunct w:val="0"/>
              <w:autoSpaceDE w:val="0"/>
              <w:autoSpaceDN w:val="0"/>
              <w:bidi w:val="0"/>
              <w:adjustRightInd w:val="0"/>
              <w:snapToGrid w:val="0"/>
              <w:spacing w:before="164" w:beforeLines="50" w:line="36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甲方（盖章）：东莞市东信水环境投资有限公司</w:t>
            </w:r>
          </w:p>
        </w:tc>
        <w:tc>
          <w:tcPr>
            <w:tcW w:w="2326" w:type="pct"/>
            <w:vAlign w:val="top"/>
          </w:tcPr>
          <w:p w14:paraId="50CDD109">
            <w:pPr>
              <w:keepNext w:val="0"/>
              <w:keepLines w:val="0"/>
              <w:pageBreakBefore w:val="0"/>
              <w:widowControl w:val="0"/>
              <w:kinsoku/>
              <w:wordWrap/>
              <w:overflowPunct/>
              <w:topLinePunct w:val="0"/>
              <w:autoSpaceDE w:val="0"/>
              <w:autoSpaceDN w:val="0"/>
              <w:bidi w:val="0"/>
              <w:adjustRightInd w:val="0"/>
              <w:snapToGrid w:val="0"/>
              <w:spacing w:before="164" w:beforeLines="50" w:line="360" w:lineRule="auto"/>
              <w:jc w:val="left"/>
              <w:textAlignment w:val="auto"/>
              <w:rPr>
                <w:rFonts w:hint="eastAsia" w:ascii="宋体" w:hAnsi="宋体" w:eastAsia="宋体" w:cs="宋体"/>
                <w:color w:val="auto"/>
                <w:kern w:val="2"/>
                <w:sz w:val="21"/>
                <w:szCs w:val="21"/>
                <w:lang w:val="en-US" w:eastAsia="zh-CN" w:bidi="ar-SA"/>
              </w:rPr>
            </w:pPr>
          </w:p>
        </w:tc>
      </w:tr>
      <w:tr w14:paraId="0A249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73" w:type="pct"/>
            <w:vAlign w:val="top"/>
          </w:tcPr>
          <w:p w14:paraId="0EA9E1BB">
            <w:pPr>
              <w:keepNext w:val="0"/>
              <w:keepLines w:val="0"/>
              <w:pageBreakBefore w:val="0"/>
              <w:widowControl w:val="0"/>
              <w:kinsoku/>
              <w:wordWrap/>
              <w:overflowPunct/>
              <w:topLinePunct w:val="0"/>
              <w:autoSpaceDE w:val="0"/>
              <w:autoSpaceDN w:val="0"/>
              <w:bidi w:val="0"/>
              <w:adjustRightInd w:val="0"/>
              <w:snapToGrid w:val="0"/>
              <w:spacing w:before="164" w:beforeLines="50" w:line="36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法定代表人：</w:t>
            </w:r>
          </w:p>
        </w:tc>
        <w:tc>
          <w:tcPr>
            <w:tcW w:w="2326" w:type="pct"/>
            <w:vAlign w:val="top"/>
          </w:tcPr>
          <w:p w14:paraId="1E15549F">
            <w:pPr>
              <w:keepNext w:val="0"/>
              <w:keepLines w:val="0"/>
              <w:pageBreakBefore w:val="0"/>
              <w:widowControl w:val="0"/>
              <w:kinsoku/>
              <w:wordWrap/>
              <w:overflowPunct/>
              <w:topLinePunct w:val="0"/>
              <w:autoSpaceDE w:val="0"/>
              <w:autoSpaceDN w:val="0"/>
              <w:bidi w:val="0"/>
              <w:adjustRightInd w:val="0"/>
              <w:snapToGrid w:val="0"/>
              <w:spacing w:before="164" w:beforeLines="50" w:line="360" w:lineRule="auto"/>
              <w:jc w:val="left"/>
              <w:textAlignment w:val="auto"/>
              <w:rPr>
                <w:rFonts w:hint="eastAsia" w:ascii="宋体" w:hAnsi="宋体" w:eastAsia="宋体" w:cs="宋体"/>
                <w:color w:val="auto"/>
                <w:kern w:val="2"/>
                <w:sz w:val="21"/>
                <w:szCs w:val="21"/>
                <w:lang w:val="en-US" w:eastAsia="zh-CN" w:bidi="ar-SA"/>
              </w:rPr>
            </w:pPr>
          </w:p>
        </w:tc>
      </w:tr>
      <w:tr w14:paraId="1BDB8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73" w:type="pct"/>
            <w:vAlign w:val="top"/>
          </w:tcPr>
          <w:p w14:paraId="284A9A03">
            <w:pPr>
              <w:keepNext w:val="0"/>
              <w:keepLines w:val="0"/>
              <w:pageBreakBefore w:val="0"/>
              <w:widowControl w:val="0"/>
              <w:kinsoku/>
              <w:wordWrap/>
              <w:overflowPunct/>
              <w:topLinePunct w:val="0"/>
              <w:autoSpaceDE w:val="0"/>
              <w:autoSpaceDN w:val="0"/>
              <w:bidi w:val="0"/>
              <w:adjustRightInd w:val="0"/>
              <w:snapToGrid w:val="0"/>
              <w:spacing w:before="164" w:beforeLines="50" w:line="36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甲方代表：</w:t>
            </w:r>
          </w:p>
        </w:tc>
        <w:tc>
          <w:tcPr>
            <w:tcW w:w="2326" w:type="pct"/>
            <w:vAlign w:val="top"/>
          </w:tcPr>
          <w:p w14:paraId="51FEAE30">
            <w:pPr>
              <w:keepNext w:val="0"/>
              <w:keepLines w:val="0"/>
              <w:pageBreakBefore w:val="0"/>
              <w:widowControl w:val="0"/>
              <w:kinsoku/>
              <w:wordWrap/>
              <w:overflowPunct/>
              <w:topLinePunct w:val="0"/>
              <w:autoSpaceDE w:val="0"/>
              <w:autoSpaceDN w:val="0"/>
              <w:bidi w:val="0"/>
              <w:adjustRightInd w:val="0"/>
              <w:snapToGrid w:val="0"/>
              <w:spacing w:before="164" w:beforeLines="50" w:line="360" w:lineRule="auto"/>
              <w:jc w:val="left"/>
              <w:textAlignment w:val="auto"/>
              <w:rPr>
                <w:rFonts w:hint="eastAsia" w:ascii="宋体" w:hAnsi="宋体" w:eastAsia="宋体" w:cs="宋体"/>
                <w:color w:val="auto"/>
                <w:kern w:val="2"/>
                <w:sz w:val="21"/>
                <w:szCs w:val="21"/>
                <w:lang w:val="en-US" w:eastAsia="zh-CN" w:bidi="ar-SA"/>
              </w:rPr>
            </w:pPr>
          </w:p>
        </w:tc>
      </w:tr>
      <w:tr w14:paraId="1526E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73" w:type="pct"/>
            <w:vAlign w:val="top"/>
          </w:tcPr>
          <w:p w14:paraId="1566205E">
            <w:pPr>
              <w:keepNext w:val="0"/>
              <w:keepLines w:val="0"/>
              <w:pageBreakBefore w:val="0"/>
              <w:widowControl w:val="0"/>
              <w:kinsoku/>
              <w:wordWrap/>
              <w:overflowPunct/>
              <w:topLinePunct w:val="0"/>
              <w:autoSpaceDE w:val="0"/>
              <w:autoSpaceDN w:val="0"/>
              <w:bidi w:val="0"/>
              <w:adjustRightInd w:val="0"/>
              <w:snapToGrid w:val="0"/>
              <w:spacing w:before="164" w:beforeLines="50" w:line="360" w:lineRule="auto"/>
              <w:jc w:val="left"/>
              <w:textAlignment w:val="auto"/>
              <w:rPr>
                <w:rFonts w:hint="eastAsia" w:ascii="宋体" w:hAnsi="宋体" w:eastAsia="宋体" w:cs="宋体"/>
                <w:color w:val="auto"/>
                <w:kern w:val="0"/>
                <w:sz w:val="21"/>
                <w:szCs w:val="21"/>
              </w:rPr>
            </w:pPr>
          </w:p>
        </w:tc>
        <w:tc>
          <w:tcPr>
            <w:tcW w:w="2326" w:type="pct"/>
            <w:vAlign w:val="top"/>
          </w:tcPr>
          <w:p w14:paraId="7A89A541">
            <w:pPr>
              <w:keepNext w:val="0"/>
              <w:keepLines w:val="0"/>
              <w:pageBreakBefore w:val="0"/>
              <w:widowControl w:val="0"/>
              <w:kinsoku/>
              <w:wordWrap/>
              <w:overflowPunct/>
              <w:topLinePunct w:val="0"/>
              <w:autoSpaceDE w:val="0"/>
              <w:autoSpaceDN w:val="0"/>
              <w:bidi w:val="0"/>
              <w:adjustRightInd w:val="0"/>
              <w:snapToGrid w:val="0"/>
              <w:spacing w:before="164" w:beforeLines="50" w:line="360" w:lineRule="auto"/>
              <w:jc w:val="left"/>
              <w:textAlignment w:val="auto"/>
              <w:rPr>
                <w:rFonts w:hint="eastAsia" w:ascii="宋体" w:hAnsi="宋体" w:eastAsia="宋体" w:cs="宋体"/>
                <w:color w:val="auto"/>
                <w:kern w:val="0"/>
                <w:sz w:val="21"/>
                <w:szCs w:val="21"/>
              </w:rPr>
            </w:pPr>
          </w:p>
        </w:tc>
      </w:tr>
      <w:tr w14:paraId="72109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2673" w:type="pct"/>
            <w:vAlign w:val="top"/>
          </w:tcPr>
          <w:p w14:paraId="0F8D9624">
            <w:pPr>
              <w:keepNext w:val="0"/>
              <w:keepLines w:val="0"/>
              <w:pageBreakBefore w:val="0"/>
              <w:widowControl w:val="0"/>
              <w:kinsoku/>
              <w:wordWrap/>
              <w:overflowPunct/>
              <w:topLinePunct w:val="0"/>
              <w:autoSpaceDE w:val="0"/>
              <w:autoSpaceDN w:val="0"/>
              <w:bidi w:val="0"/>
              <w:adjustRightInd w:val="0"/>
              <w:snapToGrid w:val="0"/>
              <w:spacing w:before="164" w:beforeLines="50" w:line="36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甲方（盖章）：东莞市东泽水环境投资有限公司</w:t>
            </w:r>
          </w:p>
        </w:tc>
        <w:tc>
          <w:tcPr>
            <w:tcW w:w="2326" w:type="pct"/>
            <w:vAlign w:val="top"/>
          </w:tcPr>
          <w:p w14:paraId="73CD151D">
            <w:pPr>
              <w:keepNext w:val="0"/>
              <w:keepLines w:val="0"/>
              <w:pageBreakBefore w:val="0"/>
              <w:widowControl w:val="0"/>
              <w:kinsoku/>
              <w:wordWrap/>
              <w:overflowPunct/>
              <w:topLinePunct w:val="0"/>
              <w:autoSpaceDE w:val="0"/>
              <w:autoSpaceDN w:val="0"/>
              <w:bidi w:val="0"/>
              <w:adjustRightInd w:val="0"/>
              <w:snapToGrid w:val="0"/>
              <w:spacing w:before="164" w:beforeLines="50" w:line="360" w:lineRule="auto"/>
              <w:jc w:val="left"/>
              <w:textAlignment w:val="auto"/>
              <w:rPr>
                <w:rFonts w:hint="eastAsia" w:ascii="宋体" w:hAnsi="宋体" w:eastAsia="宋体" w:cs="宋体"/>
                <w:color w:val="auto"/>
                <w:kern w:val="0"/>
                <w:sz w:val="21"/>
                <w:szCs w:val="21"/>
                <w:lang w:val="en-US" w:eastAsia="zh-CN" w:bidi="ar-SA"/>
              </w:rPr>
            </w:pPr>
          </w:p>
        </w:tc>
      </w:tr>
      <w:tr w14:paraId="218C8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73" w:type="pct"/>
            <w:vAlign w:val="top"/>
          </w:tcPr>
          <w:p w14:paraId="1E5A7BAB">
            <w:pPr>
              <w:keepNext w:val="0"/>
              <w:keepLines w:val="0"/>
              <w:pageBreakBefore w:val="0"/>
              <w:widowControl w:val="0"/>
              <w:kinsoku/>
              <w:wordWrap/>
              <w:overflowPunct/>
              <w:topLinePunct w:val="0"/>
              <w:autoSpaceDE w:val="0"/>
              <w:autoSpaceDN w:val="0"/>
              <w:bidi w:val="0"/>
              <w:adjustRightInd w:val="0"/>
              <w:snapToGrid w:val="0"/>
              <w:spacing w:before="164" w:beforeLines="50" w:line="36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法定代表人：</w:t>
            </w:r>
          </w:p>
        </w:tc>
        <w:tc>
          <w:tcPr>
            <w:tcW w:w="2326" w:type="pct"/>
            <w:vAlign w:val="top"/>
          </w:tcPr>
          <w:p w14:paraId="1F820D6B">
            <w:pPr>
              <w:keepNext w:val="0"/>
              <w:keepLines w:val="0"/>
              <w:pageBreakBefore w:val="0"/>
              <w:widowControl w:val="0"/>
              <w:kinsoku/>
              <w:wordWrap/>
              <w:overflowPunct/>
              <w:topLinePunct w:val="0"/>
              <w:autoSpaceDE w:val="0"/>
              <w:autoSpaceDN w:val="0"/>
              <w:bidi w:val="0"/>
              <w:adjustRightInd w:val="0"/>
              <w:snapToGrid w:val="0"/>
              <w:spacing w:before="164" w:beforeLines="50" w:line="360" w:lineRule="auto"/>
              <w:jc w:val="left"/>
              <w:textAlignment w:val="auto"/>
              <w:rPr>
                <w:rFonts w:hint="eastAsia" w:ascii="宋体" w:hAnsi="宋体" w:eastAsia="宋体" w:cs="宋体"/>
                <w:color w:val="auto"/>
                <w:kern w:val="0"/>
                <w:sz w:val="21"/>
                <w:szCs w:val="21"/>
                <w:lang w:val="en-US" w:eastAsia="zh-CN" w:bidi="ar-SA"/>
              </w:rPr>
            </w:pPr>
          </w:p>
        </w:tc>
      </w:tr>
      <w:tr w14:paraId="25646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73" w:type="pct"/>
            <w:vAlign w:val="top"/>
          </w:tcPr>
          <w:p w14:paraId="3184805A">
            <w:pPr>
              <w:keepNext w:val="0"/>
              <w:keepLines w:val="0"/>
              <w:pageBreakBefore w:val="0"/>
              <w:widowControl w:val="0"/>
              <w:kinsoku/>
              <w:wordWrap/>
              <w:overflowPunct/>
              <w:topLinePunct w:val="0"/>
              <w:autoSpaceDE w:val="0"/>
              <w:autoSpaceDN w:val="0"/>
              <w:bidi w:val="0"/>
              <w:adjustRightInd w:val="0"/>
              <w:snapToGrid w:val="0"/>
              <w:spacing w:before="164" w:beforeLines="50" w:line="36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甲方代表：</w:t>
            </w:r>
          </w:p>
        </w:tc>
        <w:tc>
          <w:tcPr>
            <w:tcW w:w="2326" w:type="pct"/>
            <w:vAlign w:val="top"/>
          </w:tcPr>
          <w:p w14:paraId="35F217F6">
            <w:pPr>
              <w:keepNext w:val="0"/>
              <w:keepLines w:val="0"/>
              <w:pageBreakBefore w:val="0"/>
              <w:widowControl w:val="0"/>
              <w:kinsoku/>
              <w:wordWrap/>
              <w:overflowPunct/>
              <w:topLinePunct w:val="0"/>
              <w:autoSpaceDE w:val="0"/>
              <w:autoSpaceDN w:val="0"/>
              <w:bidi w:val="0"/>
              <w:adjustRightInd w:val="0"/>
              <w:snapToGrid w:val="0"/>
              <w:spacing w:before="164" w:beforeLines="50" w:line="360" w:lineRule="auto"/>
              <w:jc w:val="left"/>
              <w:textAlignment w:val="auto"/>
              <w:rPr>
                <w:rFonts w:hint="eastAsia" w:ascii="宋体" w:hAnsi="宋体" w:eastAsia="宋体" w:cs="宋体"/>
                <w:color w:val="auto"/>
                <w:kern w:val="0"/>
                <w:sz w:val="21"/>
                <w:szCs w:val="21"/>
                <w:lang w:val="en-US" w:eastAsia="zh-CN" w:bidi="ar-SA"/>
              </w:rPr>
            </w:pPr>
          </w:p>
        </w:tc>
      </w:tr>
      <w:tr w14:paraId="0E670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73" w:type="pct"/>
            <w:vAlign w:val="top"/>
          </w:tcPr>
          <w:p w14:paraId="41931C3D">
            <w:pPr>
              <w:keepNext w:val="0"/>
              <w:keepLines w:val="0"/>
              <w:pageBreakBefore w:val="0"/>
              <w:widowControl w:val="0"/>
              <w:kinsoku/>
              <w:wordWrap/>
              <w:overflowPunct/>
              <w:topLinePunct w:val="0"/>
              <w:autoSpaceDE w:val="0"/>
              <w:autoSpaceDN w:val="0"/>
              <w:bidi w:val="0"/>
              <w:adjustRightInd w:val="0"/>
              <w:snapToGrid w:val="0"/>
              <w:spacing w:before="164" w:beforeLines="50" w:line="360" w:lineRule="auto"/>
              <w:jc w:val="left"/>
              <w:textAlignment w:val="auto"/>
              <w:rPr>
                <w:rFonts w:hint="eastAsia" w:ascii="宋体" w:hAnsi="宋体" w:eastAsia="宋体" w:cs="宋体"/>
                <w:color w:val="auto"/>
                <w:kern w:val="0"/>
                <w:sz w:val="21"/>
                <w:szCs w:val="21"/>
              </w:rPr>
            </w:pPr>
          </w:p>
        </w:tc>
        <w:tc>
          <w:tcPr>
            <w:tcW w:w="2326" w:type="pct"/>
            <w:vAlign w:val="top"/>
          </w:tcPr>
          <w:p w14:paraId="1609E5DE">
            <w:pPr>
              <w:keepNext w:val="0"/>
              <w:keepLines w:val="0"/>
              <w:pageBreakBefore w:val="0"/>
              <w:widowControl w:val="0"/>
              <w:kinsoku/>
              <w:wordWrap/>
              <w:overflowPunct/>
              <w:topLinePunct w:val="0"/>
              <w:autoSpaceDE w:val="0"/>
              <w:autoSpaceDN w:val="0"/>
              <w:bidi w:val="0"/>
              <w:adjustRightInd w:val="0"/>
              <w:snapToGrid w:val="0"/>
              <w:spacing w:before="164" w:beforeLines="50" w:line="360" w:lineRule="auto"/>
              <w:jc w:val="left"/>
              <w:textAlignment w:val="auto"/>
              <w:rPr>
                <w:rFonts w:hint="eastAsia" w:ascii="宋体" w:hAnsi="宋体" w:eastAsia="宋体" w:cs="宋体"/>
                <w:color w:val="auto"/>
                <w:kern w:val="0"/>
                <w:sz w:val="21"/>
                <w:szCs w:val="21"/>
              </w:rPr>
            </w:pPr>
          </w:p>
        </w:tc>
      </w:tr>
      <w:tr w14:paraId="011E4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2673" w:type="pct"/>
            <w:vAlign w:val="top"/>
          </w:tcPr>
          <w:p w14:paraId="67953EED">
            <w:pPr>
              <w:keepNext w:val="0"/>
              <w:keepLines w:val="0"/>
              <w:pageBreakBefore w:val="0"/>
              <w:widowControl w:val="0"/>
              <w:kinsoku/>
              <w:wordWrap/>
              <w:overflowPunct/>
              <w:topLinePunct w:val="0"/>
              <w:autoSpaceDE w:val="0"/>
              <w:autoSpaceDN w:val="0"/>
              <w:bidi w:val="0"/>
              <w:adjustRightInd w:val="0"/>
              <w:snapToGrid w:val="0"/>
              <w:spacing w:before="164" w:beforeLines="50" w:line="36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乙方（盖章）：</w:t>
            </w:r>
          </w:p>
        </w:tc>
        <w:tc>
          <w:tcPr>
            <w:tcW w:w="2326" w:type="pct"/>
            <w:vAlign w:val="top"/>
          </w:tcPr>
          <w:p w14:paraId="27C75D94">
            <w:pPr>
              <w:keepNext w:val="0"/>
              <w:keepLines w:val="0"/>
              <w:pageBreakBefore w:val="0"/>
              <w:widowControl w:val="0"/>
              <w:kinsoku/>
              <w:wordWrap/>
              <w:overflowPunct/>
              <w:topLinePunct w:val="0"/>
              <w:autoSpaceDE w:val="0"/>
              <w:autoSpaceDN w:val="0"/>
              <w:bidi w:val="0"/>
              <w:adjustRightInd w:val="0"/>
              <w:snapToGrid w:val="0"/>
              <w:spacing w:before="164" w:beforeLines="50" w:line="360" w:lineRule="auto"/>
              <w:jc w:val="left"/>
              <w:textAlignment w:val="auto"/>
              <w:rPr>
                <w:rFonts w:hint="eastAsia" w:ascii="宋体" w:hAnsi="宋体" w:eastAsia="宋体" w:cs="宋体"/>
                <w:color w:val="auto"/>
                <w:kern w:val="0"/>
                <w:sz w:val="21"/>
                <w:szCs w:val="21"/>
                <w:lang w:val="en-US" w:eastAsia="zh-CN" w:bidi="ar-SA"/>
              </w:rPr>
            </w:pPr>
          </w:p>
        </w:tc>
      </w:tr>
      <w:tr w14:paraId="3C706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73" w:type="pct"/>
            <w:vAlign w:val="top"/>
          </w:tcPr>
          <w:p w14:paraId="6496FB8A">
            <w:pPr>
              <w:keepNext w:val="0"/>
              <w:keepLines w:val="0"/>
              <w:pageBreakBefore w:val="0"/>
              <w:widowControl w:val="0"/>
              <w:kinsoku/>
              <w:wordWrap/>
              <w:overflowPunct/>
              <w:topLinePunct w:val="0"/>
              <w:autoSpaceDE w:val="0"/>
              <w:autoSpaceDN w:val="0"/>
              <w:bidi w:val="0"/>
              <w:adjustRightInd w:val="0"/>
              <w:snapToGrid w:val="0"/>
              <w:spacing w:before="164" w:beforeLines="50" w:line="36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法定代表人：</w:t>
            </w:r>
          </w:p>
        </w:tc>
        <w:tc>
          <w:tcPr>
            <w:tcW w:w="2326" w:type="pct"/>
            <w:vAlign w:val="top"/>
          </w:tcPr>
          <w:p w14:paraId="29AD4FE9">
            <w:pPr>
              <w:keepNext w:val="0"/>
              <w:keepLines w:val="0"/>
              <w:pageBreakBefore w:val="0"/>
              <w:widowControl w:val="0"/>
              <w:kinsoku/>
              <w:wordWrap/>
              <w:overflowPunct/>
              <w:topLinePunct w:val="0"/>
              <w:autoSpaceDE w:val="0"/>
              <w:autoSpaceDN w:val="0"/>
              <w:bidi w:val="0"/>
              <w:adjustRightInd w:val="0"/>
              <w:snapToGrid w:val="0"/>
              <w:spacing w:before="164" w:beforeLines="50" w:line="360" w:lineRule="auto"/>
              <w:jc w:val="left"/>
              <w:textAlignment w:val="auto"/>
              <w:rPr>
                <w:rFonts w:hint="eastAsia" w:ascii="宋体" w:hAnsi="宋体" w:eastAsia="宋体" w:cs="宋体"/>
                <w:color w:val="auto"/>
                <w:kern w:val="0"/>
                <w:sz w:val="21"/>
                <w:szCs w:val="21"/>
                <w:lang w:val="en-US" w:eastAsia="zh-CN" w:bidi="ar-SA"/>
              </w:rPr>
            </w:pPr>
          </w:p>
        </w:tc>
      </w:tr>
      <w:tr w14:paraId="07D63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73" w:type="pct"/>
            <w:vAlign w:val="top"/>
          </w:tcPr>
          <w:p w14:paraId="1305784D">
            <w:pPr>
              <w:keepNext w:val="0"/>
              <w:keepLines w:val="0"/>
              <w:pageBreakBefore w:val="0"/>
              <w:widowControl w:val="0"/>
              <w:kinsoku/>
              <w:wordWrap/>
              <w:overflowPunct/>
              <w:topLinePunct w:val="0"/>
              <w:autoSpaceDE w:val="0"/>
              <w:autoSpaceDN w:val="0"/>
              <w:bidi w:val="0"/>
              <w:adjustRightInd w:val="0"/>
              <w:snapToGrid w:val="0"/>
              <w:spacing w:before="164" w:beforeLines="50" w:line="36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甲方代表：</w:t>
            </w:r>
          </w:p>
        </w:tc>
        <w:tc>
          <w:tcPr>
            <w:tcW w:w="2326" w:type="pct"/>
            <w:vAlign w:val="top"/>
          </w:tcPr>
          <w:p w14:paraId="585CBDB9">
            <w:pPr>
              <w:keepNext w:val="0"/>
              <w:keepLines w:val="0"/>
              <w:pageBreakBefore w:val="0"/>
              <w:widowControl w:val="0"/>
              <w:kinsoku/>
              <w:wordWrap/>
              <w:overflowPunct/>
              <w:topLinePunct w:val="0"/>
              <w:autoSpaceDE w:val="0"/>
              <w:autoSpaceDN w:val="0"/>
              <w:bidi w:val="0"/>
              <w:adjustRightInd w:val="0"/>
              <w:snapToGrid w:val="0"/>
              <w:spacing w:before="164" w:beforeLines="50" w:line="360" w:lineRule="auto"/>
              <w:jc w:val="left"/>
              <w:textAlignment w:val="auto"/>
              <w:rPr>
                <w:rFonts w:hint="eastAsia" w:ascii="宋体" w:hAnsi="宋体" w:eastAsia="宋体" w:cs="宋体"/>
                <w:color w:val="auto"/>
                <w:kern w:val="0"/>
                <w:sz w:val="21"/>
                <w:szCs w:val="21"/>
                <w:lang w:val="en-US" w:eastAsia="zh-CN" w:bidi="ar-SA"/>
              </w:rPr>
            </w:pPr>
          </w:p>
        </w:tc>
      </w:tr>
    </w:tbl>
    <w:p w14:paraId="5B9487FB">
      <w:pPr>
        <w:keepNext w:val="0"/>
        <w:keepLines w:val="0"/>
        <w:pageBreakBefore w:val="0"/>
        <w:widowControl w:val="0"/>
        <w:kinsoku/>
        <w:wordWrap/>
        <w:overflowPunct/>
        <w:topLinePunct w:val="0"/>
        <w:autoSpaceDE w:val="0"/>
        <w:autoSpaceDN w:val="0"/>
        <w:bidi w:val="0"/>
        <w:adjustRightInd w:val="0"/>
        <w:snapToGrid w:val="0"/>
        <w:spacing w:before="164" w:beforeLines="50"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签订日期：    年  月  日         年  月  日</w:t>
      </w:r>
    </w:p>
    <w:p w14:paraId="396D6526">
      <w:pPr>
        <w:keepNext w:val="0"/>
        <w:keepLines w:val="0"/>
        <w:pageBreakBefore w:val="0"/>
        <w:kinsoku/>
        <w:wordWrap/>
        <w:overflowPunct/>
        <w:topLinePunct w:val="0"/>
        <w:bidi w:val="0"/>
        <w:snapToGrid w:val="0"/>
        <w:spacing w:line="360" w:lineRule="auto"/>
        <w:rPr>
          <w:rFonts w:hint="eastAsia" w:ascii="宋体" w:hAnsi="宋体" w:eastAsia="宋体" w:cs="宋体"/>
          <w:color w:val="auto"/>
          <w:sz w:val="21"/>
          <w:szCs w:val="21"/>
        </w:rPr>
      </w:pPr>
    </w:p>
    <w:p w14:paraId="31C87355">
      <w:pPr>
        <w:autoSpaceDE w:val="0"/>
        <w:autoSpaceDN w:val="0"/>
        <w:adjustRightInd w:val="0"/>
        <w:snapToGrid w:val="0"/>
        <w:spacing w:line="360" w:lineRule="auto"/>
        <w:jc w:val="left"/>
        <w:rPr>
          <w:rFonts w:ascii="宋体" w:hAnsi="宋体" w:eastAsia="宋体" w:cs="Times New Roman"/>
          <w:color w:val="auto"/>
          <w:kern w:val="0"/>
          <w:szCs w:val="21"/>
          <w:highlight w:val="none"/>
        </w:rPr>
      </w:pPr>
    </w:p>
    <w:p w14:paraId="63C62E53">
      <w:pPr>
        <w:pageBreakBefore/>
        <w:spacing w:before="120" w:beforeLines="50" w:after="120" w:afterLines="50" w:line="360" w:lineRule="auto"/>
        <w:ind w:firstLine="640"/>
        <w:jc w:val="center"/>
        <w:outlineLvl w:val="0"/>
        <w:rPr>
          <w:rFonts w:ascii="宋体" w:hAnsi="宋体" w:eastAsia="宋体" w:cs="Times New Roman"/>
          <w:b/>
          <w:bCs/>
          <w:color w:val="auto"/>
          <w:sz w:val="32"/>
          <w:szCs w:val="32"/>
          <w:highlight w:val="none"/>
          <w:lang w:val="zh-CN"/>
        </w:rPr>
      </w:pPr>
      <w:bookmarkStart w:id="431" w:name="_Toc512353083"/>
      <w:bookmarkStart w:id="432" w:name="_Toc24427_WPSOffice_Level1"/>
      <w:bookmarkStart w:id="433" w:name="_Toc142508360"/>
      <w:bookmarkStart w:id="434" w:name="_Toc25564"/>
      <w:bookmarkStart w:id="435" w:name="_Toc447044479"/>
      <w:bookmarkStart w:id="436" w:name="_Toc30025"/>
      <w:bookmarkStart w:id="437" w:name="_Toc5856"/>
      <w:bookmarkStart w:id="438" w:name="_Toc447045090"/>
      <w:bookmarkStart w:id="439" w:name="_Toc447044603"/>
      <w:r>
        <w:rPr>
          <w:rFonts w:hint="eastAsia" w:ascii="宋体" w:hAnsi="宋体" w:eastAsia="宋体" w:cs="Times New Roman"/>
          <w:b/>
          <w:bCs/>
          <w:color w:val="auto"/>
          <w:sz w:val="32"/>
          <w:szCs w:val="32"/>
          <w:highlight w:val="none"/>
          <w:lang w:val="zh-CN"/>
        </w:rPr>
        <w:t>第五篇</w:t>
      </w:r>
      <w:r>
        <w:rPr>
          <w:rFonts w:ascii="宋体" w:hAnsi="宋体" w:eastAsia="宋体" w:cs="Times New Roman"/>
          <w:b/>
          <w:bCs/>
          <w:color w:val="auto"/>
          <w:sz w:val="32"/>
          <w:szCs w:val="32"/>
          <w:highlight w:val="none"/>
          <w:lang w:val="zh-CN"/>
        </w:rPr>
        <w:t xml:space="preserve"> </w:t>
      </w:r>
      <w:r>
        <w:rPr>
          <w:rFonts w:hint="eastAsia" w:ascii="宋体" w:hAnsi="宋体" w:eastAsia="宋体" w:cs="Times New Roman"/>
          <w:b/>
          <w:bCs/>
          <w:color w:val="auto"/>
          <w:sz w:val="32"/>
          <w:szCs w:val="32"/>
          <w:highlight w:val="none"/>
          <w:lang w:val="zh-CN"/>
        </w:rPr>
        <w:t>相关保函格式</w:t>
      </w:r>
      <w:bookmarkEnd w:id="431"/>
      <w:bookmarkEnd w:id="432"/>
      <w:bookmarkEnd w:id="433"/>
      <w:bookmarkEnd w:id="434"/>
      <w:bookmarkEnd w:id="435"/>
      <w:bookmarkEnd w:id="436"/>
      <w:bookmarkEnd w:id="437"/>
      <w:bookmarkEnd w:id="438"/>
      <w:bookmarkEnd w:id="439"/>
      <w:bookmarkStart w:id="440" w:name="_Toc447045091"/>
      <w:bookmarkStart w:id="441" w:name="_Toc447044480"/>
      <w:bookmarkStart w:id="442" w:name="_Toc447044604"/>
    </w:p>
    <w:p w14:paraId="0CB26B1C">
      <w:pPr>
        <w:autoSpaceDE w:val="0"/>
        <w:autoSpaceDN w:val="0"/>
        <w:adjustRightInd w:val="0"/>
        <w:spacing w:after="120" w:afterLines="50" w:line="360" w:lineRule="auto"/>
        <w:jc w:val="left"/>
        <w:outlineLvl w:val="1"/>
        <w:rPr>
          <w:rFonts w:ascii="宋体" w:hAnsi="宋体" w:eastAsia="宋体" w:cs="Times New Roman"/>
          <w:b/>
          <w:color w:val="auto"/>
          <w:kern w:val="0"/>
          <w:sz w:val="28"/>
          <w:szCs w:val="28"/>
          <w:highlight w:val="none"/>
        </w:rPr>
      </w:pPr>
      <w:bookmarkStart w:id="443" w:name="_Toc20324"/>
      <w:bookmarkStart w:id="444" w:name="_Toc26521_WPSOffice_Level2"/>
      <w:r>
        <w:rPr>
          <w:rFonts w:hint="eastAsia" w:ascii="宋体" w:hAnsi="宋体" w:eastAsia="宋体" w:cs="Times New Roman"/>
          <w:b/>
          <w:color w:val="auto"/>
          <w:kern w:val="0"/>
          <w:sz w:val="28"/>
          <w:szCs w:val="28"/>
          <w:highlight w:val="none"/>
        </w:rPr>
        <w:t>一、不可撤销银行履约保函格式</w:t>
      </w:r>
      <w:bookmarkEnd w:id="440"/>
      <w:bookmarkEnd w:id="441"/>
      <w:bookmarkEnd w:id="442"/>
      <w:bookmarkEnd w:id="443"/>
      <w:bookmarkEnd w:id="444"/>
    </w:p>
    <w:p w14:paraId="78D60A64">
      <w:pPr>
        <w:autoSpaceDE w:val="0"/>
        <w:autoSpaceDN w:val="0"/>
        <w:adjustRightInd w:val="0"/>
        <w:jc w:val="center"/>
        <w:outlineLvl w:val="2"/>
        <w:rPr>
          <w:rFonts w:ascii="宋体" w:hAnsi="宋体" w:eastAsia="宋体" w:cs="Times New Roman"/>
          <w:b/>
          <w:color w:val="auto"/>
          <w:kern w:val="0"/>
          <w:sz w:val="30"/>
          <w:szCs w:val="30"/>
          <w:highlight w:val="none"/>
        </w:rPr>
      </w:pPr>
      <w:bookmarkStart w:id="445" w:name="_Toc14523"/>
      <w:r>
        <w:rPr>
          <w:rFonts w:hint="eastAsia" w:ascii="宋体" w:hAnsi="宋体" w:eastAsia="宋体" w:cs="Times New Roman"/>
          <w:b/>
          <w:color w:val="auto"/>
          <w:kern w:val="0"/>
          <w:sz w:val="30"/>
          <w:szCs w:val="30"/>
          <w:highlight w:val="none"/>
        </w:rPr>
        <w:t>不可撤销银行履约保函</w:t>
      </w:r>
      <w:bookmarkEnd w:id="445"/>
    </w:p>
    <w:p w14:paraId="1FF87633">
      <w:pPr>
        <w:widowControl/>
        <w:autoSpaceDE w:val="0"/>
        <w:autoSpaceDN w:val="0"/>
        <w:adjustRightInd w:val="0"/>
        <w:spacing w:line="360" w:lineRule="auto"/>
        <w:jc w:val="left"/>
        <w:rPr>
          <w:rFonts w:ascii="宋体" w:hAnsi="宋体" w:eastAsia="宋体" w:cs="宋体"/>
          <w:color w:val="auto"/>
          <w:kern w:val="0"/>
          <w:szCs w:val="21"/>
          <w:highlight w:val="none"/>
        </w:rPr>
      </w:pPr>
    </w:p>
    <w:p w14:paraId="61FB7364">
      <w:pPr>
        <w:autoSpaceDE w:val="0"/>
        <w:autoSpaceDN w:val="0"/>
        <w:adjustRightInd w:val="0"/>
        <w:spacing w:line="360" w:lineRule="auto"/>
        <w:ind w:firstLine="6300"/>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rPr>
        <w:t>银行编号：</w:t>
      </w:r>
    </w:p>
    <w:p w14:paraId="3A168319">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3BAB6219">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申请人</w:t>
      </w:r>
      <w:r>
        <w:rPr>
          <w:rFonts w:ascii="宋体" w:hAnsi="宋体" w:eastAsia="宋体" w:cs="宋体"/>
          <w:color w:val="auto"/>
          <w:kern w:val="0"/>
          <w:szCs w:val="21"/>
          <w:highlight w:val="none"/>
          <w:u w:val="single"/>
        </w:rPr>
        <w:t xml:space="preserve">的名称与地址）  </w:t>
      </w:r>
      <w:r>
        <w:rPr>
          <w:rFonts w:hint="eastAsia" w:ascii="宋体" w:hAnsi="宋体" w:eastAsia="宋体" w:cs="宋体"/>
          <w:color w:val="auto"/>
          <w:kern w:val="0"/>
          <w:szCs w:val="21"/>
          <w:highlight w:val="none"/>
        </w:rPr>
        <w:t>（下称“申请人”），已保证按拟签订的</w:t>
      </w:r>
      <w:r>
        <w:rPr>
          <w:rFonts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14:paraId="34987D86">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RMB</w:t>
      </w:r>
      <w:r>
        <w:rPr>
          <w:rFonts w:ascii="宋体" w:hAnsi="宋体" w:eastAsia="宋体" w:cs="宋体"/>
          <w:color w:val="auto"/>
          <w:kern w:val="0"/>
          <w:szCs w:val="21"/>
          <w:highlight w:val="none"/>
          <w:u w:val="single"/>
        </w:rPr>
        <w:t>元）</w:t>
      </w:r>
      <w:r>
        <w:rPr>
          <w:rFonts w:hint="eastAsia" w:ascii="宋体" w:hAnsi="宋体" w:eastAsia="宋体" w:cs="宋体"/>
          <w:color w:val="auto"/>
          <w:kern w:val="0"/>
          <w:szCs w:val="21"/>
          <w:highlight w:val="none"/>
        </w:rPr>
        <w:t>的无条件、不可撤销银行履约保函，作为申请人履行上述合同的担保。</w:t>
      </w:r>
    </w:p>
    <w:p w14:paraId="4B1A3C27">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w:t>
      </w:r>
      <w:r>
        <w:rPr>
          <w:rFonts w:hint="eastAsia" w:ascii="宋体" w:hAnsi="宋体" w:eastAsia="宋体" w:cs="宋体"/>
          <w:color w:val="auto"/>
          <w:kern w:val="0"/>
          <w:szCs w:val="21"/>
          <w:highlight w:val="none"/>
          <w:lang w:val="en-US" w:eastAsia="zh-CN"/>
        </w:rPr>
        <w:t>后，</w:t>
      </w:r>
      <w:r>
        <w:rPr>
          <w:rFonts w:hint="eastAsia" w:ascii="宋体" w:hAnsi="宋体" w:eastAsia="宋体" w:cs="宋体"/>
          <w:color w:val="auto"/>
          <w:kern w:val="0"/>
          <w:szCs w:val="21"/>
          <w:highlight w:val="none"/>
        </w:rPr>
        <w:t>在保函限额内向受益人支付不超过人民币（大写）_________（¥_______元）的款项。</w:t>
      </w:r>
    </w:p>
    <w:p w14:paraId="6147C70D">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14:paraId="241A648F">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187412BB">
      <w:pPr>
        <w:widowControl/>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宋体"/>
          <w:color w:val="auto"/>
          <w:kern w:val="0"/>
          <w:szCs w:val="21"/>
          <w:lang w:eastAsia="zh-CN"/>
        </w:rPr>
        <w:t>应从合同签订之日起至合同期限届满并履行完毕相关服务义务且结算完毕之后二十八（28）日内保持有效</w:t>
      </w:r>
      <w:r>
        <w:rPr>
          <w:rFonts w:ascii="宋体" w:hAnsi="宋体" w:eastAsia="宋体" w:cs="宋体"/>
          <w:color w:val="auto"/>
          <w:kern w:val="0"/>
          <w:szCs w:val="21"/>
        </w:rPr>
        <w:t>。</w:t>
      </w:r>
    </w:p>
    <w:p w14:paraId="78DB9479">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p>
    <w:p w14:paraId="438E97D0">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保</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银</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行：</w:t>
      </w:r>
      <w:r>
        <w:rPr>
          <w:rFonts w:ascii="宋体" w:hAnsi="宋体" w:eastAsia="宋体" w:cs="宋体"/>
          <w:color w:val="auto"/>
          <w:kern w:val="0"/>
          <w:szCs w:val="21"/>
          <w:highlight w:val="none"/>
          <w:u w:val="single"/>
        </w:rPr>
        <w:t xml:space="preserve">          银行全称          (盖章)   </w:t>
      </w:r>
    </w:p>
    <w:p w14:paraId="00078B3A">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ascii="宋体" w:hAnsi="宋体" w:eastAsia="宋体" w:cs="宋体"/>
          <w:color w:val="auto"/>
          <w:kern w:val="0"/>
          <w:szCs w:val="21"/>
          <w:highlight w:val="none"/>
          <w:u w:val="single"/>
        </w:rPr>
        <w:t xml:space="preserve">       (职务)         </w:t>
      </w:r>
    </w:p>
    <w:p w14:paraId="3EE38EF1">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(姓名)         </w:t>
      </w:r>
    </w:p>
    <w:p w14:paraId="75883663">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(签章)         </w:t>
      </w:r>
    </w:p>
    <w:p w14:paraId="1998D7F9">
      <w:pPr>
        <w:autoSpaceDE w:val="0"/>
        <w:autoSpaceDN w:val="0"/>
        <w:adjustRightInd w:val="0"/>
        <w:spacing w:line="360" w:lineRule="auto"/>
        <w:ind w:left="840"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0CB00A5A">
      <w:pPr>
        <w:widowControl/>
        <w:autoSpaceDE w:val="0"/>
        <w:autoSpaceDN w:val="0"/>
        <w:adjustRightInd w:val="0"/>
        <w:spacing w:line="360" w:lineRule="auto"/>
        <w:jc w:val="left"/>
        <w:rPr>
          <w:rFonts w:ascii="宋体" w:hAnsi="宋体" w:eastAsia="宋体" w:cs="宋体"/>
          <w:color w:val="auto"/>
          <w:kern w:val="0"/>
          <w:szCs w:val="21"/>
          <w:highlight w:val="none"/>
        </w:rPr>
      </w:pPr>
    </w:p>
    <w:p w14:paraId="472B609A">
      <w:pPr>
        <w:widowControl/>
        <w:autoSpaceDE w:val="0"/>
        <w:autoSpaceDN w:val="0"/>
        <w:adjustRightInd w:val="0"/>
        <w:spacing w:line="360" w:lineRule="auto"/>
        <w:jc w:val="left"/>
        <w:rPr>
          <w:rFonts w:ascii="宋体" w:hAnsi="宋体" w:eastAsia="宋体" w:cs="宋体"/>
          <w:color w:val="auto"/>
          <w:kern w:val="0"/>
          <w:szCs w:val="21"/>
          <w:highlight w:val="none"/>
        </w:rPr>
      </w:pPr>
    </w:p>
    <w:p w14:paraId="73BE991D">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sectPr>
          <w:footerReference r:id="rId4" w:type="first"/>
          <w:footerReference r:id="rId3" w:type="default"/>
          <w:pgSz w:w="12240" w:h="15840"/>
          <w:pgMar w:top="1191" w:right="1043" w:bottom="1191" w:left="1043" w:header="720" w:footer="720" w:gutter="0"/>
          <w:cols w:space="720" w:num="1"/>
          <w:titlePg/>
          <w:docGrid w:linePitch="326" w:charSpace="0"/>
        </w:sectPr>
      </w:pPr>
    </w:p>
    <w:p w14:paraId="4D3B15F8">
      <w:pPr>
        <w:numPr>
          <w:ilvl w:val="0"/>
          <w:numId w:val="0"/>
        </w:numPr>
        <w:outlineLvl w:val="1"/>
        <w:rPr>
          <w:rFonts w:hint="eastAsia" w:ascii="宋体" w:hAnsi="宋体" w:eastAsia="宋体" w:cs="Times New Roman"/>
          <w:b/>
          <w:color w:val="auto"/>
          <w:kern w:val="0"/>
          <w:sz w:val="28"/>
          <w:szCs w:val="28"/>
          <w:highlight w:val="none"/>
          <w:lang w:val="en-US" w:eastAsia="zh-CN"/>
        </w:rPr>
      </w:pPr>
      <w:bookmarkStart w:id="446" w:name="_Toc24187"/>
      <w:r>
        <w:rPr>
          <w:rFonts w:hint="eastAsia" w:ascii="宋体" w:hAnsi="宋体" w:eastAsia="宋体" w:cs="Times New Roman"/>
          <w:b/>
          <w:color w:val="auto"/>
          <w:kern w:val="0"/>
          <w:sz w:val="28"/>
          <w:szCs w:val="28"/>
          <w:highlight w:val="none"/>
          <w:lang w:val="en-US" w:eastAsia="zh-CN" w:bidi="ar-SA"/>
        </w:rPr>
        <w:t>二、</w:t>
      </w:r>
      <w:r>
        <w:rPr>
          <w:rFonts w:hint="eastAsia" w:ascii="宋体" w:hAnsi="宋体" w:eastAsia="宋体" w:cs="Times New Roman"/>
          <w:b/>
          <w:color w:val="auto"/>
          <w:kern w:val="0"/>
          <w:sz w:val="28"/>
          <w:szCs w:val="28"/>
          <w:highlight w:val="none"/>
          <w:lang w:val="en-US" w:eastAsia="zh-CN"/>
        </w:rPr>
        <w:t>履约保证保险凭证格式</w:t>
      </w:r>
      <w:bookmarkEnd w:id="446"/>
    </w:p>
    <w:p w14:paraId="61DF39E4">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p>
    <w:p w14:paraId="503F70B0">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r>
        <w:rPr>
          <w:rFonts w:hint="eastAsia" w:ascii="宋体" w:hAnsi="宋体" w:eastAsia="宋体" w:cs="Times New Roman"/>
          <w:b/>
          <w:color w:val="auto"/>
          <w:kern w:val="0"/>
          <w:sz w:val="30"/>
          <w:szCs w:val="30"/>
          <w:highlight w:val="none"/>
          <w:lang w:val="en-US" w:eastAsia="zh-CN"/>
        </w:rPr>
        <w:t>履约保证保险凭证</w:t>
      </w:r>
    </w:p>
    <w:p w14:paraId="2E0DBD12">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09E354DD">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编号：</w:t>
      </w:r>
    </w:p>
    <w:p w14:paraId="079B2A41">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（下称“受益人”）： </w:t>
      </w:r>
    </w:p>
    <w:p w14:paraId="0C9D8B3F">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p>
    <w:p w14:paraId="402F3DB4">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（下称“申请人”）已与贵方签订了</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。我方已接受申请人的请求，并出具《履约保证保险》保险单。</w:t>
      </w:r>
      <w:r>
        <w:rPr>
          <w:rFonts w:hint="default" w:ascii="宋体" w:hAnsi="宋体" w:eastAsia="宋体" w:cs="宋体"/>
          <w:color w:val="auto"/>
          <w:kern w:val="0"/>
          <w:szCs w:val="21"/>
          <w:highlight w:val="none"/>
          <w:lang w:val="en-US" w:eastAsia="zh-CN"/>
        </w:rPr>
        <w:t xml:space="preserve"> </w:t>
      </w:r>
    </w:p>
    <w:p w14:paraId="7A7CE799">
      <w:pPr>
        <w:autoSpaceDE w:val="0"/>
        <w:autoSpaceDN w:val="0"/>
        <w:adjustRightInd w:val="0"/>
        <w:spacing w:line="360" w:lineRule="auto"/>
        <w:ind w:firstLine="437"/>
        <w:jc w:val="left"/>
        <w:outlineLvl w:val="1"/>
        <w:rPr>
          <w:rFonts w:hint="eastAsia" w:ascii="宋体" w:hAnsi="宋体" w:eastAsia="宋体" w:cs="宋体"/>
          <w:color w:val="auto"/>
          <w:kern w:val="0"/>
          <w:szCs w:val="21"/>
          <w:highlight w:val="none"/>
        </w:rPr>
      </w:pPr>
      <w:bookmarkStart w:id="447" w:name="_Toc14495"/>
      <w:r>
        <w:rPr>
          <w:rFonts w:hint="eastAsia" w:ascii="宋体" w:hAnsi="宋体" w:eastAsia="宋体" w:cs="宋体"/>
          <w:color w:val="auto"/>
          <w:kern w:val="0"/>
          <w:szCs w:val="21"/>
          <w:highlight w:val="none"/>
          <w:lang w:val="en-US" w:eastAsia="zh-CN"/>
        </w:rPr>
        <w:t>一、保证保险金额</w:t>
      </w:r>
      <w:bookmarkEnd w:id="447"/>
      <w:r>
        <w:rPr>
          <w:rFonts w:hint="eastAsia" w:ascii="宋体" w:hAnsi="宋体" w:eastAsia="宋体" w:cs="宋体"/>
          <w:color w:val="auto"/>
          <w:kern w:val="0"/>
          <w:szCs w:val="21"/>
          <w:highlight w:val="none"/>
          <w:lang w:val="en-US" w:eastAsia="zh-CN"/>
        </w:rPr>
        <w:t xml:space="preserve"> </w:t>
      </w:r>
    </w:p>
    <w:p w14:paraId="4B38F893">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元 （</w:t>
      </w:r>
      <w:r>
        <w:rPr>
          <w:rFonts w:hint="default" w:ascii="宋体" w:hAnsi="宋体" w:eastAsia="宋体" w:cs="宋体"/>
          <w:color w:val="auto"/>
          <w:kern w:val="0"/>
          <w:szCs w:val="21"/>
          <w:highlight w:val="none"/>
          <w:lang w:val="en-US" w:eastAsia="zh-CN"/>
        </w:rPr>
        <w:t>¥</w:t>
      </w:r>
      <w:r>
        <w:rPr>
          <w:rFonts w:hint="eastAsia" w:ascii="宋体" w:hAnsi="宋体" w:eastAsia="宋体" w:cs="宋体"/>
          <w:b/>
          <w:color w:val="auto"/>
          <w:kern w:val="0"/>
          <w:szCs w:val="21"/>
          <w:highlight w:val="none"/>
          <w:u w:val="single"/>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w:t>
      </w:r>
    </w:p>
    <w:p w14:paraId="00C6F73A">
      <w:pPr>
        <w:autoSpaceDE w:val="0"/>
        <w:autoSpaceDN w:val="0"/>
        <w:adjustRightInd w:val="0"/>
        <w:spacing w:line="360" w:lineRule="auto"/>
        <w:ind w:firstLine="437"/>
        <w:jc w:val="left"/>
        <w:outlineLvl w:val="1"/>
        <w:rPr>
          <w:rFonts w:hint="eastAsia" w:ascii="宋体" w:hAnsi="宋体" w:eastAsia="宋体" w:cs="宋体"/>
          <w:color w:val="auto"/>
          <w:kern w:val="0"/>
          <w:szCs w:val="21"/>
          <w:highlight w:val="none"/>
        </w:rPr>
      </w:pPr>
      <w:bookmarkStart w:id="448" w:name="_Toc13819"/>
      <w:r>
        <w:rPr>
          <w:rFonts w:hint="eastAsia" w:ascii="宋体" w:hAnsi="宋体" w:eastAsia="宋体" w:cs="宋体"/>
          <w:color w:val="auto"/>
          <w:kern w:val="0"/>
          <w:szCs w:val="21"/>
          <w:highlight w:val="none"/>
          <w:lang w:val="en-US" w:eastAsia="zh-CN"/>
        </w:rPr>
        <w:t>二、保证保险的责任范围</w:t>
      </w:r>
      <w:bookmarkEnd w:id="448"/>
      <w:r>
        <w:rPr>
          <w:rFonts w:hint="eastAsia" w:ascii="宋体" w:hAnsi="宋体" w:eastAsia="宋体" w:cs="宋体"/>
          <w:color w:val="auto"/>
          <w:kern w:val="0"/>
          <w:szCs w:val="21"/>
          <w:highlight w:val="none"/>
          <w:lang w:val="en-US" w:eastAsia="zh-CN"/>
        </w:rPr>
        <w:t xml:space="preserve"> </w:t>
      </w:r>
    </w:p>
    <w:p w14:paraId="1CD244D2">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在保险期间内，申请人因自身原因未按照与贵方签订的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 xml:space="preserve">履行相关义务，给贵方造成损失的，贵方可向我方提出索赔，我方按照保险合同的约定承担损失赔偿责任。 </w:t>
      </w:r>
    </w:p>
    <w:p w14:paraId="7C4886CE">
      <w:pPr>
        <w:autoSpaceDE w:val="0"/>
        <w:autoSpaceDN w:val="0"/>
        <w:adjustRightInd w:val="0"/>
        <w:spacing w:line="360" w:lineRule="auto"/>
        <w:ind w:firstLine="437"/>
        <w:jc w:val="left"/>
        <w:outlineLvl w:val="1"/>
        <w:rPr>
          <w:rFonts w:hint="eastAsia" w:ascii="宋体" w:hAnsi="宋体" w:eastAsia="宋体" w:cs="宋体"/>
          <w:color w:val="auto"/>
          <w:kern w:val="0"/>
          <w:szCs w:val="21"/>
          <w:highlight w:val="none"/>
        </w:rPr>
      </w:pPr>
      <w:bookmarkStart w:id="449" w:name="_Toc4287"/>
      <w:r>
        <w:rPr>
          <w:rFonts w:hint="eastAsia" w:ascii="宋体" w:hAnsi="宋体" w:eastAsia="宋体" w:cs="宋体"/>
          <w:color w:val="auto"/>
          <w:kern w:val="0"/>
          <w:szCs w:val="21"/>
          <w:highlight w:val="none"/>
          <w:lang w:val="en-US" w:eastAsia="zh-CN"/>
        </w:rPr>
        <w:t>三、代偿的安排</w:t>
      </w:r>
      <w:bookmarkEnd w:id="449"/>
      <w:r>
        <w:rPr>
          <w:rFonts w:hint="eastAsia" w:ascii="宋体" w:hAnsi="宋体" w:eastAsia="宋体" w:cs="宋体"/>
          <w:color w:val="auto"/>
          <w:kern w:val="0"/>
          <w:szCs w:val="21"/>
          <w:highlight w:val="none"/>
          <w:lang w:val="en-US" w:eastAsia="zh-CN"/>
        </w:rPr>
        <w:t xml:space="preserve"> </w:t>
      </w:r>
    </w:p>
    <w:p w14:paraId="2F844406">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6D0B42A4">
      <w:pPr>
        <w:autoSpaceDE w:val="0"/>
        <w:autoSpaceDN w:val="0"/>
        <w:adjustRightInd w:val="0"/>
        <w:spacing w:line="360" w:lineRule="auto"/>
        <w:ind w:firstLine="437"/>
        <w:jc w:val="left"/>
        <w:outlineLvl w:val="1"/>
        <w:rPr>
          <w:rFonts w:hint="eastAsia" w:ascii="宋体" w:hAnsi="宋体" w:eastAsia="宋体" w:cs="宋体"/>
          <w:color w:val="auto"/>
          <w:kern w:val="0"/>
          <w:szCs w:val="21"/>
          <w:highlight w:val="none"/>
        </w:rPr>
      </w:pPr>
      <w:bookmarkStart w:id="450" w:name="_Toc25946"/>
      <w:r>
        <w:rPr>
          <w:rFonts w:hint="eastAsia" w:ascii="宋体" w:hAnsi="宋体" w:eastAsia="宋体" w:cs="宋体"/>
          <w:color w:val="auto"/>
          <w:kern w:val="0"/>
          <w:szCs w:val="21"/>
          <w:highlight w:val="none"/>
          <w:lang w:val="en-US" w:eastAsia="zh-CN"/>
        </w:rPr>
        <w:t>四、生效时间</w:t>
      </w:r>
      <w:bookmarkEnd w:id="450"/>
      <w:r>
        <w:rPr>
          <w:rFonts w:hint="eastAsia" w:ascii="宋体" w:hAnsi="宋体" w:eastAsia="宋体" w:cs="宋体"/>
          <w:color w:val="auto"/>
          <w:kern w:val="0"/>
          <w:szCs w:val="21"/>
          <w:highlight w:val="none"/>
          <w:lang w:val="en-US" w:eastAsia="zh-CN"/>
        </w:rPr>
        <w:t xml:space="preserve"> </w:t>
      </w:r>
    </w:p>
    <w:p w14:paraId="49255CB8">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本保险凭证自我方法定代表人（或其授权代理人）签字并加盖保险承保章之日起生效。 </w:t>
      </w:r>
    </w:p>
    <w:p w14:paraId="7ED3AD5C">
      <w:pPr>
        <w:numPr>
          <w:ilvl w:val="0"/>
          <w:numId w:val="0"/>
        </w:numPr>
        <w:autoSpaceDE w:val="0"/>
        <w:autoSpaceDN w:val="0"/>
        <w:adjustRightInd w:val="0"/>
        <w:spacing w:line="360" w:lineRule="auto"/>
        <w:ind w:firstLine="437" w:firstLineChars="0"/>
        <w:jc w:val="left"/>
        <w:outlineLvl w:val="1"/>
        <w:rPr>
          <w:rFonts w:hint="eastAsia" w:ascii="宋体" w:hAnsi="宋体" w:eastAsia="宋体" w:cs="宋体"/>
          <w:color w:val="auto"/>
          <w:kern w:val="0"/>
          <w:szCs w:val="21"/>
          <w:highlight w:val="none"/>
          <w:lang w:val="en-US" w:eastAsia="zh-CN"/>
        </w:rPr>
      </w:pPr>
      <w:bookmarkStart w:id="451" w:name="_Toc24711"/>
      <w:r>
        <w:rPr>
          <w:rFonts w:hint="eastAsia" w:ascii="宋体" w:hAnsi="宋体" w:eastAsia="宋体" w:cs="宋体"/>
          <w:color w:val="auto"/>
          <w:kern w:val="0"/>
          <w:sz w:val="21"/>
          <w:szCs w:val="21"/>
          <w:highlight w:val="none"/>
          <w:lang w:val="en-US" w:eastAsia="zh-CN" w:bidi="ar-SA"/>
        </w:rPr>
        <w:t>五、</w:t>
      </w:r>
      <w:r>
        <w:rPr>
          <w:rFonts w:hint="eastAsia" w:ascii="宋体" w:hAnsi="宋体" w:eastAsia="宋体" w:cs="宋体"/>
          <w:color w:val="auto"/>
          <w:kern w:val="0"/>
          <w:szCs w:val="21"/>
          <w:highlight w:val="none"/>
          <w:lang w:val="en-US" w:eastAsia="zh-CN"/>
        </w:rPr>
        <w:t>其他</w:t>
      </w:r>
      <w:bookmarkEnd w:id="451"/>
    </w:p>
    <w:p w14:paraId="1099D3BF">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w:t>
      </w:r>
      <w:r>
        <w:rPr>
          <w:rFonts w:hint="eastAsia" w:ascii="宋体" w:hAnsi="宋体" w:eastAsia="宋体" w:cs="宋体"/>
          <w:color w:val="auto"/>
          <w:kern w:val="0"/>
          <w:szCs w:val="21"/>
          <w:highlight w:val="none"/>
          <w:lang w:val="en-US" w:eastAsia="zh-CN"/>
        </w:rPr>
        <w:t>履约保证保险</w:t>
      </w:r>
      <w:r>
        <w:rPr>
          <w:rFonts w:hint="eastAsia" w:ascii="宋体" w:hAnsi="宋体" w:eastAsia="宋体" w:cs="宋体"/>
          <w:color w:val="auto"/>
          <w:kern w:val="0"/>
          <w:szCs w:val="21"/>
          <w:lang w:eastAsia="zh-CN"/>
        </w:rPr>
        <w:t>应从合同签订之日起至合同期限届满并履行完毕相关服务义务且结算完毕之后二十八（28）日内保持有效</w:t>
      </w:r>
      <w:r>
        <w:rPr>
          <w:rFonts w:ascii="宋体" w:hAnsi="宋体" w:eastAsia="宋体" w:cs="宋体"/>
          <w:color w:val="auto"/>
          <w:kern w:val="0"/>
          <w:szCs w:val="21"/>
        </w:rPr>
        <w:t>。</w:t>
      </w:r>
    </w:p>
    <w:p w14:paraId="65EAC442">
      <w:pPr>
        <w:pStyle w:val="5"/>
        <w:numPr>
          <w:ilvl w:val="0"/>
          <w:numId w:val="0"/>
        </w:numPr>
        <w:outlineLvl w:val="9"/>
        <w:rPr>
          <w:rFonts w:hint="default"/>
          <w:color w:val="auto"/>
          <w:highlight w:val="none"/>
          <w:lang w:val="en-US" w:eastAsia="zh-CN"/>
        </w:rPr>
      </w:pPr>
    </w:p>
    <w:p w14:paraId="1601CAD2">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附：《</w:t>
      </w:r>
      <w:r>
        <w:rPr>
          <w:rFonts w:hint="default" w:ascii="宋体" w:hAnsi="宋体" w:eastAsia="宋体" w:cs="宋体"/>
          <w:color w:val="auto"/>
          <w:kern w:val="0"/>
          <w:szCs w:val="21"/>
          <w:highlight w:val="none"/>
          <w:lang w:val="en-US" w:eastAsia="zh-CN"/>
        </w:rPr>
        <w:t xml:space="preserve">XXX </w:t>
      </w:r>
      <w:r>
        <w:rPr>
          <w:rFonts w:hint="eastAsia" w:ascii="宋体" w:hAnsi="宋体" w:eastAsia="宋体" w:cs="宋体"/>
          <w:color w:val="auto"/>
          <w:kern w:val="0"/>
          <w:szCs w:val="21"/>
          <w:highlight w:val="none"/>
          <w:lang w:val="en-US" w:eastAsia="zh-CN"/>
        </w:rPr>
        <w:t>保险有限公司履约保证保险（</w:t>
      </w:r>
      <w:r>
        <w:rPr>
          <w:rFonts w:hint="default" w:ascii="宋体" w:hAnsi="宋体" w:eastAsia="宋体" w:cs="宋体"/>
          <w:color w:val="auto"/>
          <w:kern w:val="0"/>
          <w:szCs w:val="21"/>
          <w:highlight w:val="none"/>
          <w:lang w:val="en-US" w:eastAsia="zh-CN"/>
        </w:rPr>
        <w:t xml:space="preserve">X </w:t>
      </w:r>
      <w:r>
        <w:rPr>
          <w:rFonts w:hint="eastAsia" w:ascii="宋体" w:hAnsi="宋体" w:eastAsia="宋体" w:cs="宋体"/>
          <w:color w:val="auto"/>
          <w:kern w:val="0"/>
          <w:szCs w:val="21"/>
          <w:highlight w:val="none"/>
          <w:lang w:val="en-US" w:eastAsia="zh-CN"/>
        </w:rPr>
        <w:t xml:space="preserve">款）条款》及保单 </w:t>
      </w:r>
    </w:p>
    <w:p w14:paraId="1E46BE95">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348C0453">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保险人：（盖章）</w:t>
      </w:r>
    </w:p>
    <w:p w14:paraId="5236760C">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法定代表人或授权代理人：</w:t>
      </w:r>
      <w:r>
        <w:rPr>
          <w:rFonts w:hint="default" w:ascii="宋体" w:hAnsi="宋体" w:eastAsia="宋体" w:cs="宋体"/>
          <w:color w:val="auto"/>
          <w:kern w:val="0"/>
          <w:szCs w:val="21"/>
          <w:highlight w:val="none"/>
          <w:lang w:val="en-US" w:eastAsia="zh-CN"/>
        </w:rPr>
        <w:t xml:space="preserve">________ </w:t>
      </w:r>
    </w:p>
    <w:p w14:paraId="0F6E657F">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年</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月</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日</w:t>
      </w:r>
    </w:p>
    <w:p w14:paraId="64B4BF02">
      <w:pPr>
        <w:widowControl/>
        <w:autoSpaceDE w:val="0"/>
        <w:autoSpaceDN w:val="0"/>
        <w:adjustRightInd w:val="0"/>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14:paraId="4F8AD328">
      <w:pPr>
        <w:autoSpaceDE w:val="0"/>
        <w:autoSpaceDN w:val="0"/>
        <w:adjustRightInd w:val="0"/>
        <w:spacing w:after="120" w:afterLines="50" w:line="360" w:lineRule="auto"/>
        <w:jc w:val="left"/>
        <w:outlineLvl w:val="1"/>
        <w:rPr>
          <w:rFonts w:ascii="宋体" w:hAnsi="宋体" w:eastAsia="宋体" w:cs="Times New Roman"/>
          <w:b/>
          <w:color w:val="auto"/>
          <w:kern w:val="0"/>
          <w:sz w:val="28"/>
          <w:szCs w:val="28"/>
          <w:highlight w:val="none"/>
        </w:rPr>
      </w:pPr>
      <w:bookmarkStart w:id="452" w:name="_Toc19703"/>
      <w:r>
        <w:rPr>
          <w:rFonts w:hint="eastAsia" w:ascii="宋体" w:hAnsi="宋体" w:eastAsia="宋体" w:cs="Times New Roman"/>
          <w:b/>
          <w:color w:val="auto"/>
          <w:kern w:val="0"/>
          <w:sz w:val="28"/>
          <w:szCs w:val="28"/>
          <w:highlight w:val="none"/>
          <w:lang w:val="en-US" w:eastAsia="zh-CN"/>
        </w:rPr>
        <w:t>三</w:t>
      </w:r>
      <w:r>
        <w:rPr>
          <w:rFonts w:hint="eastAsia" w:ascii="宋体" w:hAnsi="宋体" w:eastAsia="宋体" w:cs="Times New Roman"/>
          <w:b/>
          <w:color w:val="auto"/>
          <w:kern w:val="0"/>
          <w:sz w:val="28"/>
          <w:szCs w:val="28"/>
          <w:highlight w:val="none"/>
        </w:rPr>
        <w:t>、担保公司履约担保书格式</w:t>
      </w:r>
      <w:bookmarkEnd w:id="452"/>
    </w:p>
    <w:p w14:paraId="7E212636">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担保公司履约担保书</w:t>
      </w:r>
    </w:p>
    <w:p w14:paraId="3FB05D36">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52C45A39">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鉴于</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申请人</w:t>
      </w:r>
      <w:r>
        <w:rPr>
          <w:rFonts w:ascii="宋体" w:hAnsi="宋体" w:eastAsia="宋体" w:cs="Times New Roman"/>
          <w:color w:val="auto"/>
          <w:kern w:val="0"/>
          <w:szCs w:val="21"/>
          <w:highlight w:val="none"/>
          <w:u w:val="single"/>
        </w:rPr>
        <w:t xml:space="preserve">的名称与地址）  </w:t>
      </w:r>
      <w:r>
        <w:rPr>
          <w:rFonts w:ascii="宋体" w:hAnsi="宋体" w:eastAsia="宋体" w:cs="Times New Roman"/>
          <w:color w:val="auto"/>
          <w:kern w:val="0"/>
          <w:szCs w:val="21"/>
          <w:highlight w:val="none"/>
        </w:rPr>
        <w:t>（下称“</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”），已保证按</w:t>
      </w:r>
      <w:r>
        <w:rPr>
          <w:rFonts w:hint="eastAsia" w:ascii="宋体" w:hAnsi="宋体" w:eastAsia="宋体" w:cs="宋体"/>
          <w:color w:val="auto"/>
          <w:kern w:val="0"/>
          <w:szCs w:val="21"/>
          <w:highlight w:val="none"/>
        </w:rPr>
        <w:t>拟签订的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合同（招标文件）</w:t>
      </w:r>
      <w:r>
        <w:rPr>
          <w:rFonts w:ascii="宋体" w:hAnsi="宋体" w:eastAsia="宋体" w:cs="Times New Roman"/>
          <w:color w:val="auto"/>
          <w:kern w:val="0"/>
          <w:szCs w:val="21"/>
          <w:highlight w:val="none"/>
        </w:rPr>
        <w:t>中规定的义务履行合同。</w:t>
      </w:r>
    </w:p>
    <w:p w14:paraId="0447B439">
      <w:pPr>
        <w:widowControl/>
        <w:autoSpaceDE w:val="0"/>
        <w:autoSpaceDN w:val="0"/>
        <w:adjustRightInd w:val="0"/>
        <w:spacing w:line="360" w:lineRule="auto"/>
        <w:ind w:firstLine="567" w:firstLineChars="27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根据上述合同（招标文件）规定，</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应向受益人提供一份金额为人民币</w:t>
      </w:r>
      <w:r>
        <w:rPr>
          <w:rFonts w:hint="eastAsia" w:ascii="宋体" w:hAnsi="宋体" w:eastAsia="宋体" w:cs="宋体"/>
          <w:color w:val="auto"/>
          <w:kern w:val="0"/>
          <w:szCs w:val="21"/>
          <w:highlight w:val="none"/>
        </w:rPr>
        <w:t>（大写）</w:t>
      </w:r>
      <w:r>
        <w:rPr>
          <w:rFonts w:ascii="宋体" w:hAnsi="宋体" w:eastAsia="宋体" w:cs="Times New Roman"/>
          <w:color w:val="auto"/>
          <w:kern w:val="0"/>
          <w:szCs w:val="21"/>
          <w:highlight w:val="none"/>
          <w:u w:val="single"/>
        </w:rPr>
        <w:t xml:space="preserve">     （RMB元）</w:t>
      </w:r>
      <w:r>
        <w:rPr>
          <w:rFonts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rPr>
        <w:t>无条件、</w:t>
      </w:r>
      <w:r>
        <w:rPr>
          <w:rFonts w:ascii="宋体" w:hAnsi="宋体" w:eastAsia="宋体" w:cs="Times New Roman"/>
          <w:bCs/>
          <w:color w:val="auto"/>
          <w:kern w:val="0"/>
          <w:szCs w:val="21"/>
          <w:highlight w:val="none"/>
        </w:rPr>
        <w:t>不可撤销</w:t>
      </w: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，作为</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履行上述合同的担保</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Hans"/>
        </w:rPr>
        <w:t>我方</w:t>
      </w:r>
      <w:r>
        <w:rPr>
          <w:rFonts w:ascii="宋体" w:hAnsi="宋体" w:eastAsia="宋体" w:cs="宋体"/>
          <w:color w:val="auto"/>
          <w:kern w:val="0"/>
          <w:szCs w:val="21"/>
          <w:highlight w:val="none"/>
          <w:u w:val="single"/>
        </w:rPr>
        <w:t xml:space="preserve">  </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名称）</w:t>
      </w:r>
      <w:r>
        <w:rPr>
          <w:rFonts w:hint="eastAsia" w:ascii="宋体" w:hAnsi="宋体" w:eastAsia="宋体" w:cs="Times New Roman"/>
          <w:color w:val="auto"/>
          <w:kern w:val="0"/>
          <w:szCs w:val="21"/>
          <w:highlight w:val="none"/>
          <w:u w:val="single"/>
        </w:rPr>
        <w:t xml:space="preserve">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14:paraId="5C397973">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我方</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 xml:space="preserve">名称）  </w:t>
      </w:r>
      <w:r>
        <w:rPr>
          <w:rFonts w:ascii="宋体" w:hAnsi="宋体" w:eastAsia="宋体" w:cs="Times New Roman"/>
          <w:color w:val="auto"/>
          <w:kern w:val="0"/>
          <w:szCs w:val="21"/>
          <w:highlight w:val="none"/>
        </w:rPr>
        <w:t>，受</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的委托，</w:t>
      </w:r>
      <w:r>
        <w:rPr>
          <w:rFonts w:hint="eastAsia" w:ascii="宋体" w:hAnsi="宋体" w:eastAsia="宋体" w:cs="宋体"/>
          <w:color w:val="auto"/>
          <w:kern w:val="0"/>
          <w:szCs w:val="21"/>
          <w:highlight w:val="none"/>
        </w:rPr>
        <w:t>无条件和不可撤销地在受益人出具本担保书原件且提出因申请人没有履行上述合同规定，在担保书限额内向受益人支付不超过人民币（大写）_________（¥</w:t>
      </w:r>
      <w:r>
        <w:rPr>
          <w:rFonts w:ascii="宋体" w:hAnsi="宋体" w:eastAsia="宋体" w:cs="宋体"/>
          <w:color w:val="auto"/>
          <w:kern w:val="0"/>
          <w:szCs w:val="21"/>
          <w:highlight w:val="none"/>
        </w:rPr>
        <w:t>_______元）</w:t>
      </w:r>
      <w:r>
        <w:rPr>
          <w:rFonts w:hint="eastAsia" w:ascii="宋体" w:hAnsi="宋体" w:eastAsia="宋体" w:cs="宋体"/>
          <w:color w:val="auto"/>
          <w:kern w:val="0"/>
          <w:szCs w:val="21"/>
          <w:highlight w:val="none"/>
        </w:rPr>
        <w:t>的款项。</w:t>
      </w:r>
    </w:p>
    <w:p w14:paraId="2CAAE6F7">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我方还同意，任何受益人与</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之间可能对合同条款的修改、规范或其他合同文件的变动补充，都不能免除我方按本</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函所承担的责任。因此，有关上述变动、补充和修改无须通知</w:t>
      </w:r>
      <w:r>
        <w:rPr>
          <w:rFonts w:hint="eastAsia" w:ascii="宋体" w:hAnsi="宋体" w:eastAsia="宋体" w:cs="Times New Roman"/>
          <w:color w:val="auto"/>
          <w:kern w:val="0"/>
          <w:szCs w:val="21"/>
          <w:highlight w:val="none"/>
        </w:rPr>
        <w:t>或征得</w:t>
      </w:r>
      <w:r>
        <w:rPr>
          <w:rFonts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1A301F23">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宋体"/>
          <w:color w:val="auto"/>
          <w:kern w:val="0"/>
          <w:szCs w:val="21"/>
          <w:lang w:eastAsia="zh-CN"/>
        </w:rPr>
        <w:t>应从合同签订之日起至合同期限届满并履行完毕相关服务义务且结算完毕之后二十八（28）日内保持有效</w:t>
      </w:r>
      <w:r>
        <w:rPr>
          <w:rFonts w:ascii="宋体" w:hAnsi="宋体" w:eastAsia="宋体" w:cs="宋体"/>
          <w:color w:val="auto"/>
          <w:kern w:val="0"/>
          <w:szCs w:val="21"/>
        </w:rPr>
        <w:t>。</w:t>
      </w:r>
    </w:p>
    <w:p w14:paraId="3558FEC2">
      <w:pPr>
        <w:autoSpaceDE w:val="0"/>
        <w:autoSpaceDN w:val="0"/>
        <w:adjustRightInd w:val="0"/>
        <w:spacing w:line="360" w:lineRule="auto"/>
        <w:jc w:val="left"/>
        <w:rPr>
          <w:rFonts w:ascii="宋体" w:hAnsi="宋体" w:eastAsia="宋体" w:cs="Times New Roman"/>
          <w:color w:val="auto"/>
          <w:kern w:val="0"/>
          <w:szCs w:val="21"/>
          <w:highlight w:val="none"/>
        </w:rPr>
      </w:pPr>
    </w:p>
    <w:p w14:paraId="0B7C5FE1">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法定代表人或其授权的代理人：（签字或盖私章）</w:t>
      </w:r>
    </w:p>
    <w:p w14:paraId="268BFB4B">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担保公司盖章：</w:t>
      </w:r>
    </w:p>
    <w:p w14:paraId="26082DF7">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联系电话：</w:t>
      </w:r>
    </w:p>
    <w:p w14:paraId="29FDBE4C">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w:t>
      </w:r>
    </w:p>
    <w:p w14:paraId="2D0F0063">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日期：    年   月   日</w:t>
      </w:r>
    </w:p>
    <w:p w14:paraId="17DEEEA2">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14:paraId="7ABE46AE">
      <w:pPr>
        <w:autoSpaceDE w:val="0"/>
        <w:autoSpaceDN w:val="0"/>
        <w:adjustRightInd w:val="0"/>
        <w:spacing w:line="360" w:lineRule="auto"/>
        <w:jc w:val="left"/>
        <w:rPr>
          <w:rFonts w:ascii="宋体" w:hAnsi="宋体" w:eastAsia="宋体" w:cs="Times New Roman"/>
          <w:color w:val="auto"/>
          <w:kern w:val="0"/>
          <w:szCs w:val="21"/>
          <w:highlight w:val="none"/>
        </w:rPr>
      </w:pPr>
    </w:p>
    <w:p w14:paraId="2E1B7C64">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050CBD08">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2484D73F">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2305A50E">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10740EB4">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68F62063">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5BFE4758">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3824F8AC">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3FD0092C">
      <w:pPr>
        <w:pageBreakBefore/>
        <w:tabs>
          <w:tab w:val="left" w:pos="1080"/>
        </w:tabs>
        <w:autoSpaceDE w:val="0"/>
        <w:autoSpaceDN w:val="0"/>
        <w:adjustRightInd w:val="0"/>
        <w:spacing w:line="360" w:lineRule="auto"/>
        <w:ind w:left="357" w:leftChars="-100" w:hanging="567"/>
        <w:jc w:val="center"/>
        <w:outlineLvl w:val="2"/>
        <w:rPr>
          <w:rFonts w:ascii="宋体" w:hAnsi="宋体" w:eastAsia="宋体" w:cs="宋体"/>
          <w:b/>
          <w:bCs/>
          <w:color w:val="auto"/>
          <w:kern w:val="44"/>
          <w:sz w:val="32"/>
          <w:szCs w:val="32"/>
          <w:highlight w:val="none"/>
        </w:rPr>
      </w:pPr>
      <w:bookmarkStart w:id="453" w:name="_Toc21232"/>
      <w:bookmarkStart w:id="454" w:name="_Toc15817"/>
      <w:bookmarkStart w:id="455" w:name="_Toc9840"/>
      <w:bookmarkStart w:id="456" w:name="_Toc450662895"/>
      <w:bookmarkStart w:id="457" w:name="_Toc142508361"/>
      <w:bookmarkStart w:id="458" w:name="_Toc486167708"/>
      <w:bookmarkStart w:id="459" w:name="_Toc32761_WPSOffice_Level1"/>
      <w:r>
        <w:rPr>
          <w:rFonts w:hint="eastAsia" w:ascii="宋体" w:hAnsi="宋体" w:eastAsia="宋体" w:cs="宋体"/>
          <w:b/>
          <w:bCs/>
          <w:color w:val="auto"/>
          <w:kern w:val="44"/>
          <w:sz w:val="32"/>
          <w:szCs w:val="32"/>
          <w:highlight w:val="none"/>
          <w:lang w:val="zh-CN"/>
        </w:rPr>
        <w:t>第六篇 投标文件格式</w:t>
      </w:r>
      <w:bookmarkEnd w:id="453"/>
      <w:bookmarkEnd w:id="454"/>
      <w:bookmarkEnd w:id="455"/>
      <w:bookmarkEnd w:id="456"/>
      <w:bookmarkEnd w:id="457"/>
      <w:bookmarkEnd w:id="458"/>
      <w:bookmarkEnd w:id="459"/>
    </w:p>
    <w:p w14:paraId="4434F2F6">
      <w:pPr>
        <w:rPr>
          <w:rFonts w:hint="eastAsia" w:ascii="宋体" w:hAnsi="宋体" w:eastAsia="宋体" w:cs="宋体"/>
          <w:color w:val="auto"/>
          <w:sz w:val="84"/>
          <w:highlight w:val="none"/>
        </w:rPr>
      </w:pPr>
      <w:bookmarkStart w:id="460" w:name="_Toc486167709"/>
      <w:bookmarkStart w:id="461" w:name="_Toc21133_WPSOffice_Level2"/>
      <w:bookmarkStart w:id="462" w:name="_Toc1977721"/>
      <w:bookmarkStart w:id="463" w:name="_Toc142508362"/>
      <w:bookmarkStart w:id="464" w:name="_Toc102860411"/>
      <w:bookmarkStart w:id="465" w:name="_Toc94107202"/>
      <w:bookmarkStart w:id="466" w:name="_Toc104991868"/>
      <w:bookmarkStart w:id="467" w:name="_Toc102860067"/>
      <w:bookmarkStart w:id="468" w:name="_Toc140596921"/>
      <w:bookmarkStart w:id="469" w:name="_Toc533708121"/>
      <w:r>
        <w:rPr>
          <w:rFonts w:hint="eastAsia" w:ascii="宋体" w:hAnsi="宋体" w:eastAsia="宋体" w:cs="宋体"/>
          <w:b/>
          <w:color w:val="auto"/>
          <w:kern w:val="0"/>
          <w:sz w:val="32"/>
          <w:szCs w:val="32"/>
          <w:highlight w:val="none"/>
        </w:rPr>
        <w:br w:type="page"/>
      </w:r>
    </w:p>
    <w:p w14:paraId="2E7FC9AC">
      <w:pPr>
        <w:pStyle w:val="19"/>
        <w:spacing w:line="360" w:lineRule="auto"/>
        <w:jc w:val="center"/>
        <w:rPr>
          <w:rFonts w:hint="eastAsia" w:ascii="宋体" w:hAnsi="宋体" w:eastAsia="宋体" w:cs="宋体"/>
          <w:color w:val="auto"/>
          <w:sz w:val="84"/>
          <w:highlight w:val="none"/>
        </w:rPr>
      </w:pPr>
    </w:p>
    <w:p w14:paraId="37DC124A">
      <w:pPr>
        <w:pStyle w:val="19"/>
        <w:spacing w:line="360" w:lineRule="auto"/>
        <w:jc w:val="center"/>
        <w:rPr>
          <w:rFonts w:hint="eastAsia" w:ascii="宋体" w:hAnsi="宋体" w:eastAsia="宋体" w:cs="宋体"/>
          <w:color w:val="auto"/>
          <w:sz w:val="84"/>
          <w:highlight w:val="none"/>
        </w:rPr>
      </w:pPr>
    </w:p>
    <w:p w14:paraId="47B5FEB2">
      <w:pPr>
        <w:pStyle w:val="19"/>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70B70EB4">
      <w:pPr>
        <w:pStyle w:val="19"/>
        <w:spacing w:line="360" w:lineRule="auto"/>
        <w:rPr>
          <w:rFonts w:hint="eastAsia" w:ascii="宋体" w:hAnsi="宋体" w:eastAsia="宋体" w:cs="宋体"/>
          <w:color w:val="auto"/>
          <w:highlight w:val="none"/>
        </w:rPr>
      </w:pPr>
    </w:p>
    <w:p w14:paraId="48D8ACE2">
      <w:pPr>
        <w:pStyle w:val="19"/>
        <w:spacing w:line="360" w:lineRule="auto"/>
        <w:rPr>
          <w:rFonts w:hint="eastAsia" w:ascii="宋体" w:hAnsi="宋体" w:eastAsia="宋体" w:cs="宋体"/>
          <w:color w:val="auto"/>
          <w:highlight w:val="none"/>
        </w:rPr>
      </w:pPr>
    </w:p>
    <w:p w14:paraId="34519AD9">
      <w:pPr>
        <w:pStyle w:val="19"/>
        <w:spacing w:line="360" w:lineRule="auto"/>
        <w:rPr>
          <w:rFonts w:hint="eastAsia" w:ascii="宋体" w:hAnsi="宋体" w:eastAsia="宋体" w:cs="宋体"/>
          <w:color w:val="auto"/>
          <w:highlight w:val="none"/>
        </w:rPr>
      </w:pPr>
    </w:p>
    <w:p w14:paraId="410165EA">
      <w:pPr>
        <w:pStyle w:val="19"/>
        <w:spacing w:line="360" w:lineRule="auto"/>
        <w:rPr>
          <w:rFonts w:hint="eastAsia" w:ascii="宋体" w:hAnsi="宋体" w:eastAsia="宋体" w:cs="宋体"/>
          <w:color w:val="auto"/>
          <w:highlight w:val="none"/>
        </w:rPr>
      </w:pPr>
    </w:p>
    <w:p w14:paraId="5BC65055">
      <w:pPr>
        <w:pStyle w:val="19"/>
        <w:spacing w:line="360" w:lineRule="auto"/>
        <w:rPr>
          <w:rFonts w:hint="eastAsia" w:ascii="宋体" w:hAnsi="宋体" w:eastAsia="宋体" w:cs="宋体"/>
          <w:color w:val="auto"/>
          <w:highlight w:val="none"/>
        </w:rPr>
      </w:pPr>
    </w:p>
    <w:p w14:paraId="516F7007">
      <w:pPr>
        <w:pStyle w:val="19"/>
        <w:spacing w:line="360" w:lineRule="auto"/>
        <w:rPr>
          <w:rFonts w:hint="eastAsia" w:ascii="宋体" w:hAnsi="宋体" w:eastAsia="宋体" w:cs="宋体"/>
          <w:color w:val="auto"/>
          <w:highlight w:val="none"/>
        </w:rPr>
      </w:pPr>
    </w:p>
    <w:p w14:paraId="32081834">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6DF8841C">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4CB3C12E">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投标文件商务部分 </w:t>
      </w:r>
    </w:p>
    <w:p w14:paraId="10E9014A">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6781D54C">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2CDE1639">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43280CB7">
      <w:pPr>
        <w:pStyle w:val="19"/>
        <w:spacing w:line="360" w:lineRule="auto"/>
        <w:rPr>
          <w:rFonts w:hint="eastAsia" w:ascii="宋体" w:hAnsi="宋体" w:eastAsia="宋体" w:cs="宋体"/>
          <w:color w:val="auto"/>
          <w:highlight w:val="none"/>
        </w:rPr>
      </w:pPr>
    </w:p>
    <w:p w14:paraId="58E06F57">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33E70E5">
      <w:pPr>
        <w:pStyle w:val="19"/>
        <w:spacing w:line="360" w:lineRule="auto"/>
        <w:rPr>
          <w:rFonts w:hint="eastAsia" w:ascii="宋体" w:hAnsi="宋体" w:eastAsia="宋体" w:cs="宋体"/>
          <w:color w:val="auto"/>
          <w:highlight w:val="none"/>
        </w:rPr>
      </w:pPr>
    </w:p>
    <w:p w14:paraId="747ED9DF">
      <w:pPr>
        <w:pBdr>
          <w:top w:val="none" w:color="auto" w:sz="0" w:space="0"/>
          <w:left w:val="none" w:color="auto" w:sz="0" w:space="0"/>
          <w:bottom w:val="none" w:color="auto" w:sz="0" w:space="0"/>
          <w:right w:val="none" w:color="auto" w:sz="0" w:space="0"/>
          <w:between w:val="none" w:color="auto" w:sz="0" w:space="0"/>
        </w:pBdr>
        <w:spacing w:line="480" w:lineRule="auto"/>
        <w:ind w:firstLine="675" w:firstLineChars="224"/>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投标文件商务评审部分索引表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57"/>
        <w:gridCol w:w="4059"/>
      </w:tblGrid>
      <w:tr w14:paraId="5B9C60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561F5DC7">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6114CCE8">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040" w:type="pct"/>
            <w:vAlign w:val="center"/>
          </w:tcPr>
          <w:p w14:paraId="76A99C74">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1957" w:type="pct"/>
            <w:tcBorders>
              <w:left w:val="single" w:color="auto" w:sz="4" w:space="0"/>
            </w:tcBorders>
            <w:vAlign w:val="center"/>
          </w:tcPr>
          <w:p w14:paraId="69E9DB4D">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516951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11913A2B">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206A67E8">
            <w:pPr>
              <w:adjustRightInd w:val="0"/>
              <w:snapToGrid w:val="0"/>
              <w:spacing w:line="360" w:lineRule="auto"/>
              <w:jc w:val="center"/>
              <w:rPr>
                <w:rFonts w:hint="eastAsia" w:ascii="宋体" w:hAnsi="宋体" w:eastAsia="宋体" w:cs="宋体"/>
                <w:bCs/>
                <w:color w:val="auto"/>
                <w:szCs w:val="21"/>
                <w:highlight w:val="none"/>
              </w:rPr>
            </w:pPr>
          </w:p>
        </w:tc>
        <w:tc>
          <w:tcPr>
            <w:tcW w:w="1040" w:type="pct"/>
            <w:vAlign w:val="center"/>
          </w:tcPr>
          <w:p w14:paraId="7E603C22">
            <w:pPr>
              <w:adjustRightInd w:val="0"/>
              <w:snapToGrid w:val="0"/>
              <w:spacing w:line="360" w:lineRule="auto"/>
              <w:jc w:val="center"/>
              <w:rPr>
                <w:rFonts w:hint="eastAsia" w:ascii="宋体" w:hAnsi="宋体" w:eastAsia="宋体" w:cs="宋体"/>
                <w:bCs/>
                <w:color w:val="auto"/>
                <w:szCs w:val="21"/>
                <w:highlight w:val="none"/>
              </w:rPr>
            </w:pPr>
          </w:p>
        </w:tc>
        <w:tc>
          <w:tcPr>
            <w:tcW w:w="1957" w:type="pct"/>
            <w:tcBorders>
              <w:left w:val="single" w:color="auto" w:sz="4" w:space="0"/>
            </w:tcBorders>
            <w:vAlign w:val="center"/>
          </w:tcPr>
          <w:p w14:paraId="70BA7DB9">
            <w:pPr>
              <w:adjustRightInd w:val="0"/>
              <w:snapToGrid w:val="0"/>
              <w:spacing w:line="360" w:lineRule="auto"/>
              <w:rPr>
                <w:rFonts w:hint="eastAsia" w:ascii="宋体" w:hAnsi="宋体" w:eastAsia="宋体" w:cs="宋体"/>
                <w:bCs/>
                <w:color w:val="auto"/>
                <w:szCs w:val="21"/>
                <w:highlight w:val="none"/>
              </w:rPr>
            </w:pPr>
          </w:p>
        </w:tc>
      </w:tr>
      <w:tr w14:paraId="46D09D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6BF2E563">
            <w:pPr>
              <w:rPr>
                <w:rFonts w:hint="eastAsia" w:ascii="宋体" w:hAnsi="宋体" w:eastAsia="宋体" w:cs="宋体"/>
                <w:bCs/>
                <w:color w:val="auto"/>
                <w:szCs w:val="21"/>
                <w:highlight w:val="none"/>
              </w:rPr>
            </w:pPr>
          </w:p>
        </w:tc>
        <w:tc>
          <w:tcPr>
            <w:tcW w:w="1337" w:type="pct"/>
            <w:vAlign w:val="center"/>
          </w:tcPr>
          <w:p w14:paraId="46B9B882">
            <w:pPr>
              <w:rPr>
                <w:rFonts w:hint="eastAsia" w:ascii="宋体" w:hAnsi="宋体" w:eastAsia="宋体" w:cs="宋体"/>
                <w:bCs/>
                <w:color w:val="auto"/>
                <w:szCs w:val="21"/>
                <w:highlight w:val="none"/>
              </w:rPr>
            </w:pPr>
          </w:p>
        </w:tc>
        <w:tc>
          <w:tcPr>
            <w:tcW w:w="1040" w:type="pct"/>
            <w:vAlign w:val="center"/>
          </w:tcPr>
          <w:p w14:paraId="7D1C7A24">
            <w:pPr>
              <w:rPr>
                <w:rFonts w:hint="eastAsia" w:ascii="宋体" w:hAnsi="宋体" w:eastAsia="宋体" w:cs="宋体"/>
                <w:bCs/>
                <w:color w:val="auto"/>
                <w:szCs w:val="21"/>
                <w:highlight w:val="none"/>
              </w:rPr>
            </w:pPr>
          </w:p>
        </w:tc>
        <w:tc>
          <w:tcPr>
            <w:tcW w:w="1957" w:type="pct"/>
            <w:tcBorders>
              <w:left w:val="single" w:color="auto" w:sz="4" w:space="0"/>
            </w:tcBorders>
            <w:vAlign w:val="center"/>
          </w:tcPr>
          <w:p w14:paraId="6123C836">
            <w:pPr>
              <w:adjustRightInd w:val="0"/>
              <w:snapToGrid w:val="0"/>
              <w:spacing w:line="360" w:lineRule="auto"/>
              <w:ind w:firstLine="105" w:firstLineChars="50"/>
              <w:rPr>
                <w:rFonts w:hint="eastAsia" w:ascii="宋体" w:hAnsi="宋体" w:eastAsia="宋体" w:cs="宋体"/>
                <w:bCs/>
                <w:color w:val="auto"/>
                <w:szCs w:val="21"/>
                <w:highlight w:val="none"/>
              </w:rPr>
            </w:pPr>
          </w:p>
        </w:tc>
      </w:tr>
      <w:tr w14:paraId="00ED99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380ABDEC">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01749042">
            <w:pPr>
              <w:adjustRightInd w:val="0"/>
              <w:snapToGrid w:val="0"/>
              <w:spacing w:line="360" w:lineRule="auto"/>
              <w:rPr>
                <w:rFonts w:hint="eastAsia" w:ascii="宋体" w:hAnsi="宋体" w:eastAsia="宋体" w:cs="宋体"/>
                <w:bCs/>
                <w:color w:val="auto"/>
                <w:szCs w:val="21"/>
                <w:highlight w:val="none"/>
              </w:rPr>
            </w:pPr>
          </w:p>
        </w:tc>
        <w:tc>
          <w:tcPr>
            <w:tcW w:w="1040" w:type="pct"/>
            <w:vAlign w:val="center"/>
          </w:tcPr>
          <w:p w14:paraId="16E0EFC1">
            <w:pPr>
              <w:adjustRightInd w:val="0"/>
              <w:snapToGrid w:val="0"/>
              <w:spacing w:line="360" w:lineRule="auto"/>
              <w:jc w:val="center"/>
              <w:rPr>
                <w:rFonts w:hint="eastAsia" w:ascii="宋体" w:hAnsi="宋体" w:eastAsia="宋体" w:cs="宋体"/>
                <w:bCs/>
                <w:color w:val="auto"/>
                <w:szCs w:val="21"/>
                <w:highlight w:val="none"/>
              </w:rPr>
            </w:pPr>
          </w:p>
        </w:tc>
        <w:tc>
          <w:tcPr>
            <w:tcW w:w="1957" w:type="pct"/>
            <w:tcBorders>
              <w:left w:val="single" w:color="auto" w:sz="4" w:space="0"/>
            </w:tcBorders>
            <w:vAlign w:val="center"/>
          </w:tcPr>
          <w:p w14:paraId="58E04E25">
            <w:pPr>
              <w:spacing w:line="360" w:lineRule="auto"/>
              <w:ind w:firstLine="8" w:firstLineChars="4"/>
              <w:rPr>
                <w:rFonts w:hint="eastAsia" w:ascii="宋体" w:hAnsi="宋体" w:eastAsia="宋体" w:cs="宋体"/>
                <w:bCs/>
                <w:color w:val="auto"/>
                <w:szCs w:val="21"/>
                <w:highlight w:val="none"/>
              </w:rPr>
            </w:pPr>
          </w:p>
        </w:tc>
      </w:tr>
      <w:tr w14:paraId="5F7426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0F8E69B4">
            <w:pPr>
              <w:adjustRightInd w:val="0"/>
              <w:snapToGrid w:val="0"/>
              <w:spacing w:line="360" w:lineRule="auto"/>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4A6DBB94">
            <w:pPr>
              <w:adjustRightInd w:val="0"/>
              <w:snapToGrid w:val="0"/>
              <w:spacing w:line="360" w:lineRule="auto"/>
              <w:rPr>
                <w:rFonts w:hint="eastAsia" w:ascii="宋体" w:hAnsi="宋体" w:eastAsia="宋体" w:cs="宋体"/>
                <w:bCs/>
                <w:color w:val="auto"/>
                <w:szCs w:val="21"/>
                <w:highlight w:val="none"/>
              </w:rPr>
            </w:pPr>
          </w:p>
        </w:tc>
        <w:tc>
          <w:tcPr>
            <w:tcW w:w="1040" w:type="pct"/>
            <w:tcBorders>
              <w:top w:val="single" w:color="auto" w:sz="6" w:space="0"/>
              <w:left w:val="single" w:color="auto" w:sz="6" w:space="0"/>
              <w:bottom w:val="outset" w:color="808080" w:sz="6" w:space="0"/>
              <w:right w:val="single" w:color="auto" w:sz="6" w:space="0"/>
            </w:tcBorders>
            <w:vAlign w:val="center"/>
          </w:tcPr>
          <w:p w14:paraId="4F71A502">
            <w:pPr>
              <w:adjustRightInd w:val="0"/>
              <w:snapToGrid w:val="0"/>
              <w:spacing w:line="360" w:lineRule="auto"/>
              <w:jc w:val="center"/>
              <w:rPr>
                <w:rFonts w:hint="eastAsia" w:ascii="宋体" w:hAnsi="宋体" w:eastAsia="宋体" w:cs="宋体"/>
                <w:bCs/>
                <w:color w:val="auto"/>
                <w:szCs w:val="21"/>
                <w:highlight w:val="none"/>
              </w:rPr>
            </w:pPr>
          </w:p>
        </w:tc>
        <w:tc>
          <w:tcPr>
            <w:tcW w:w="1957" w:type="pct"/>
            <w:tcBorders>
              <w:top w:val="single" w:color="auto" w:sz="6" w:space="0"/>
              <w:left w:val="single" w:color="auto" w:sz="4" w:space="0"/>
              <w:bottom w:val="outset" w:color="808080" w:sz="6" w:space="0"/>
              <w:right w:val="single" w:color="auto" w:sz="6" w:space="0"/>
            </w:tcBorders>
            <w:vAlign w:val="center"/>
          </w:tcPr>
          <w:p w14:paraId="51B8512E">
            <w:pPr>
              <w:adjustRightInd w:val="0"/>
              <w:snapToGrid w:val="0"/>
              <w:spacing w:line="360" w:lineRule="auto"/>
              <w:rPr>
                <w:rFonts w:hint="eastAsia" w:ascii="宋体" w:hAnsi="宋体" w:eastAsia="宋体" w:cs="宋体"/>
                <w:bCs/>
                <w:color w:val="auto"/>
                <w:szCs w:val="21"/>
                <w:highlight w:val="none"/>
              </w:rPr>
            </w:pPr>
          </w:p>
        </w:tc>
      </w:tr>
      <w:tr w14:paraId="18E3DD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43FEA3DE">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040" w:type="pct"/>
            <w:tcBorders>
              <w:bottom w:val="single" w:color="auto" w:sz="4" w:space="0"/>
            </w:tcBorders>
            <w:vAlign w:val="center"/>
          </w:tcPr>
          <w:p w14:paraId="6DB10D77">
            <w:pPr>
              <w:adjustRightInd w:val="0"/>
              <w:snapToGrid w:val="0"/>
              <w:spacing w:line="360" w:lineRule="auto"/>
              <w:jc w:val="center"/>
              <w:rPr>
                <w:rFonts w:hint="eastAsia" w:ascii="宋体" w:hAnsi="宋体" w:eastAsia="宋体" w:cs="宋体"/>
                <w:bCs/>
                <w:color w:val="auto"/>
                <w:szCs w:val="21"/>
                <w:highlight w:val="none"/>
              </w:rPr>
            </w:pPr>
          </w:p>
        </w:tc>
        <w:tc>
          <w:tcPr>
            <w:tcW w:w="1957" w:type="pct"/>
            <w:tcBorders>
              <w:left w:val="single" w:color="auto" w:sz="4" w:space="0"/>
              <w:bottom w:val="single" w:color="auto" w:sz="4" w:space="0"/>
            </w:tcBorders>
            <w:vAlign w:val="center"/>
          </w:tcPr>
          <w:p w14:paraId="27075DF3">
            <w:pPr>
              <w:spacing w:line="360" w:lineRule="auto"/>
              <w:jc w:val="center"/>
              <w:rPr>
                <w:rFonts w:hint="eastAsia" w:ascii="宋体" w:hAnsi="宋体" w:eastAsia="宋体" w:cs="宋体"/>
                <w:bCs/>
                <w:color w:val="auto"/>
                <w:szCs w:val="21"/>
                <w:highlight w:val="none"/>
              </w:rPr>
            </w:pPr>
          </w:p>
        </w:tc>
      </w:tr>
    </w:tbl>
    <w:p w14:paraId="6F42D1A7">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C799685">
      <w:pPr>
        <w:tabs>
          <w:tab w:val="left" w:pos="567"/>
        </w:tabs>
        <w:autoSpaceDE w:val="0"/>
        <w:autoSpaceDN w:val="0"/>
        <w:adjustRightInd w:val="0"/>
        <w:spacing w:line="360" w:lineRule="auto"/>
        <w:ind w:left="357" w:leftChars="-100" w:hanging="567"/>
        <w:jc w:val="left"/>
        <w:outlineLvl w:val="1"/>
        <w:rPr>
          <w:rFonts w:ascii="宋体" w:hAnsi="宋体" w:eastAsia="宋体" w:cs="宋体"/>
          <w:b/>
          <w:color w:val="auto"/>
          <w:kern w:val="0"/>
          <w:sz w:val="32"/>
          <w:szCs w:val="32"/>
          <w:highlight w:val="none"/>
        </w:rPr>
      </w:pPr>
      <w:bookmarkStart w:id="470" w:name="_Toc28569"/>
      <w:bookmarkStart w:id="471" w:name="_Toc13281"/>
      <w:bookmarkStart w:id="472" w:name="_Toc27679"/>
      <w:bookmarkStart w:id="473" w:name="_Toc23782"/>
      <w:r>
        <w:rPr>
          <w:rFonts w:hint="eastAsia" w:ascii="宋体" w:hAnsi="宋体" w:eastAsia="宋体" w:cs="宋体"/>
          <w:b/>
          <w:color w:val="auto"/>
          <w:kern w:val="0"/>
          <w:sz w:val="32"/>
          <w:szCs w:val="32"/>
          <w:highlight w:val="none"/>
        </w:rPr>
        <w:t>一、投标函格式</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1963D538">
      <w:pPr>
        <w:autoSpaceDE w:val="0"/>
        <w:autoSpaceDN w:val="0"/>
        <w:adjustRightInd w:val="0"/>
        <w:spacing w:line="360" w:lineRule="auto"/>
        <w:jc w:val="center"/>
        <w:rPr>
          <w:rFonts w:ascii="宋体" w:hAnsi="宋体" w:eastAsia="宋体" w:cs="宋体"/>
          <w:b/>
          <w:bCs/>
          <w:color w:val="auto"/>
          <w:sz w:val="30"/>
          <w:szCs w:val="30"/>
          <w:highlight w:val="none"/>
        </w:rPr>
      </w:pPr>
      <w:bookmarkStart w:id="474" w:name="_Toc16695_WPSOffice_Level3"/>
      <w:r>
        <w:rPr>
          <w:rFonts w:hint="eastAsia" w:ascii="宋体" w:hAnsi="宋体" w:eastAsia="宋体" w:cs="宋体"/>
          <w:b/>
          <w:bCs/>
          <w:color w:val="auto"/>
          <w:sz w:val="30"/>
          <w:szCs w:val="30"/>
          <w:highlight w:val="none"/>
          <w:lang w:val="zh-CN"/>
        </w:rPr>
        <w:t>投 标 函</w:t>
      </w:r>
      <w:bookmarkEnd w:id="474"/>
    </w:p>
    <w:p w14:paraId="2F9C1982">
      <w:pPr>
        <w:autoSpaceDE w:val="0"/>
        <w:autoSpaceDN w:val="0"/>
        <w:adjustRightInd w:val="0"/>
        <w:spacing w:line="360" w:lineRule="auto"/>
        <w:rPr>
          <w:rFonts w:ascii="宋体" w:hAnsi="宋体" w:eastAsia="宋体" w:cs="宋体"/>
          <w:color w:val="auto"/>
          <w:szCs w:val="21"/>
          <w:highlight w:val="none"/>
          <w:lang w:val="zh-CN"/>
        </w:rPr>
      </w:pPr>
    </w:p>
    <w:p w14:paraId="442384D1">
      <w:pPr>
        <w:autoSpaceDE w:val="0"/>
        <w:autoSpaceDN w:val="0"/>
        <w:adjustRightInd w:val="0"/>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lang w:eastAsia="zh-CN"/>
        </w:rPr>
        <w:t>东莞市水务集团管网有限公司</w:t>
      </w:r>
    </w:p>
    <w:p w14:paraId="57E88088">
      <w:pPr>
        <w:autoSpaceDE w:val="0"/>
        <w:autoSpaceDN w:val="0"/>
        <w:adjustRightInd w:val="0"/>
        <w:spacing w:line="360" w:lineRule="auto"/>
        <w:rPr>
          <w:rFonts w:ascii="宋体" w:hAnsi="宋体" w:eastAsia="宋体" w:cs="宋体"/>
          <w:color w:val="auto"/>
          <w:szCs w:val="21"/>
          <w:highlight w:val="none"/>
        </w:rPr>
      </w:pPr>
    </w:p>
    <w:p w14:paraId="4E936426">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lang w:eastAsia="zh-CN"/>
        </w:rPr>
        <w:t>东莞市水务集团管网有限公司2025年保安服务采购项目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YDZB24DGQY0200</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14:paraId="4F217376">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14:paraId="73A55D5E">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份】（含投标文件电子文件）；</w:t>
      </w:r>
    </w:p>
    <w:p w14:paraId="5F1FDC21">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（二）投标文件【正本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份，副本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w:t>
      </w:r>
    </w:p>
    <w:p w14:paraId="5B5761CE">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14:paraId="44F65E2C">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参加招标编号为</w:t>
      </w:r>
      <w:r>
        <w:rPr>
          <w:rFonts w:hint="eastAsia" w:ascii="宋体" w:hAnsi="宋体" w:eastAsia="宋体" w:cs="宋体"/>
          <w:color w:val="auto"/>
          <w:szCs w:val="21"/>
          <w:highlight w:val="none"/>
          <w:u w:val="single"/>
          <w:lang w:val="zh-CN"/>
        </w:rPr>
        <w:t>YDZB24DGQY0200</w:t>
      </w:r>
      <w:r>
        <w:rPr>
          <w:rFonts w:hint="eastAsia" w:ascii="宋体" w:hAnsi="宋体" w:eastAsia="宋体" w:cs="宋体"/>
          <w:color w:val="auto"/>
          <w:szCs w:val="21"/>
          <w:highlight w:val="none"/>
          <w:lang w:val="zh-CN"/>
        </w:rPr>
        <w:t>的投标；</w:t>
      </w:r>
    </w:p>
    <w:p w14:paraId="224B789D">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14:paraId="3C3771C8">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14:paraId="7CDDBC16">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14:paraId="49F7D4BC">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14:paraId="6E954814">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14:paraId="1C9AEB72">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14:paraId="36BA37D3">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14:paraId="17A0D534">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14:paraId="33346B32">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14:paraId="177BB872">
      <w:pPr>
        <w:autoSpaceDE w:val="0"/>
        <w:autoSpaceDN w:val="0"/>
        <w:adjustRightInd w:val="0"/>
        <w:spacing w:line="360" w:lineRule="auto"/>
        <w:ind w:firstLine="315" w:firstLineChars="150"/>
        <w:outlineLvl w:val="2"/>
        <w:rPr>
          <w:rFonts w:hint="eastAsia" w:ascii="宋体" w:hAnsi="宋体" w:eastAsia="宋体" w:cs="宋体"/>
          <w:color w:val="auto"/>
          <w:szCs w:val="21"/>
          <w:highlight w:val="none"/>
          <w:lang w:val="zh-CN"/>
        </w:rPr>
      </w:pPr>
      <w:bookmarkStart w:id="475" w:name="_Toc7313"/>
      <w:r>
        <w:rPr>
          <w:rFonts w:hint="eastAsia" w:ascii="宋体" w:hAnsi="宋体" w:eastAsia="宋体" w:cs="宋体"/>
          <w:color w:val="auto"/>
          <w:szCs w:val="21"/>
          <w:highlight w:val="none"/>
          <w:lang w:val="zh-CN"/>
        </w:rPr>
        <w:t>（十一）所有与本投标有关的函件请发往下列地址：</w:t>
      </w:r>
      <w:bookmarkEnd w:id="475"/>
    </w:p>
    <w:p w14:paraId="1798B6B8">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14:paraId="746A5289">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7D3ACC20">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4AAB2D05">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6FEF5DE7">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en-US" w:eastAsia="zh-CN"/>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6E58522B">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p>
    <w:p w14:paraId="67D216C3">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23C2974A">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728F59BA">
      <w:pPr>
        <w:autoSpaceDE w:val="0"/>
        <w:autoSpaceDN w:val="0"/>
        <w:adjustRightInd w:val="0"/>
        <w:spacing w:line="360" w:lineRule="auto"/>
        <w:ind w:firstLine="4960" w:firstLineChars="2362"/>
        <w:rPr>
          <w:rFonts w:ascii="宋体" w:hAnsi="宋体" w:eastAsia="宋体" w:cs="Times New Roman"/>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10443158">
      <w:pPr>
        <w:tabs>
          <w:tab w:val="left" w:pos="567"/>
        </w:tabs>
        <w:autoSpaceDE w:val="0"/>
        <w:autoSpaceDN w:val="0"/>
        <w:adjustRightInd w:val="0"/>
        <w:spacing w:line="360" w:lineRule="auto"/>
        <w:ind w:left="357" w:leftChars="-100" w:hanging="567"/>
        <w:jc w:val="left"/>
        <w:outlineLvl w:val="1"/>
        <w:rPr>
          <w:rFonts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476" w:name="_Toc28613_WPSOffice_Level2"/>
      <w:bookmarkStart w:id="477" w:name="_Toc12417"/>
      <w:bookmarkStart w:id="478" w:name="_Toc3104"/>
      <w:bookmarkStart w:id="479" w:name="_Toc102860412"/>
      <w:bookmarkStart w:id="480" w:name="_Toc1977722"/>
      <w:bookmarkStart w:id="481" w:name="_Toc486167710"/>
      <w:bookmarkStart w:id="482" w:name="_Toc8380"/>
      <w:bookmarkStart w:id="483" w:name="_Toc104991869"/>
      <w:bookmarkStart w:id="484" w:name="_Toc94107203"/>
      <w:bookmarkStart w:id="485" w:name="_Toc30995"/>
      <w:bookmarkStart w:id="486" w:name="_Toc142508363"/>
      <w:bookmarkStart w:id="487" w:name="_Toc140596922"/>
      <w:bookmarkStart w:id="488" w:name="_Toc533708122"/>
      <w:bookmarkStart w:id="489" w:name="_Toc102860068"/>
      <w:r>
        <w:rPr>
          <w:rFonts w:hint="eastAsia" w:ascii="宋体" w:hAnsi="宋体" w:eastAsia="宋体" w:cs="宋体"/>
          <w:b/>
          <w:color w:val="auto"/>
          <w:kern w:val="0"/>
          <w:sz w:val="32"/>
          <w:szCs w:val="32"/>
          <w:highlight w:val="none"/>
        </w:rPr>
        <w:t>二、投标承诺书格式</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38B8CECD">
      <w:pPr>
        <w:autoSpaceDE w:val="0"/>
        <w:autoSpaceDN w:val="0"/>
        <w:adjustRightInd w:val="0"/>
        <w:spacing w:line="360" w:lineRule="auto"/>
        <w:jc w:val="center"/>
        <w:outlineLvl w:val="2"/>
        <w:rPr>
          <w:rFonts w:ascii="宋体" w:hAnsi="宋体" w:eastAsia="宋体" w:cs="Times New Roman"/>
          <w:b/>
          <w:bCs/>
          <w:color w:val="auto"/>
          <w:sz w:val="30"/>
          <w:szCs w:val="30"/>
          <w:highlight w:val="none"/>
          <w:lang w:val="zh-CN"/>
        </w:rPr>
      </w:pPr>
      <w:bookmarkStart w:id="490" w:name="_Toc30514"/>
      <w:r>
        <w:rPr>
          <w:rFonts w:hint="eastAsia" w:ascii="宋体" w:hAnsi="宋体" w:eastAsia="宋体" w:cs="Times New Roman"/>
          <w:b/>
          <w:bCs/>
          <w:color w:val="auto"/>
          <w:sz w:val="30"/>
          <w:szCs w:val="30"/>
          <w:highlight w:val="none"/>
          <w:lang w:val="zh-CN"/>
        </w:rPr>
        <w:t>投标承诺书</w:t>
      </w:r>
      <w:bookmarkEnd w:id="490"/>
    </w:p>
    <w:p w14:paraId="32CA45E6">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70AF4330">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（投标人名称）已完整阅读了</w:t>
      </w:r>
      <w:r>
        <w:rPr>
          <w:rFonts w:hint="eastAsia" w:ascii="宋体" w:hAnsi="宋体" w:eastAsia="宋体" w:cs="Times New Roman"/>
          <w:color w:val="auto"/>
          <w:kern w:val="0"/>
          <w:szCs w:val="21"/>
          <w:highlight w:val="none"/>
          <w:u w:val="single"/>
          <w:lang w:eastAsia="zh-CN"/>
        </w:rPr>
        <w:t>东莞市水务集团管网有限公司2025年保安服务采购项目</w:t>
      </w:r>
      <w:r>
        <w:rPr>
          <w:rFonts w:hint="eastAsia" w:ascii="宋体" w:hAnsi="宋体" w:eastAsia="宋体" w:cs="Times New Roman"/>
          <w:color w:val="auto"/>
          <w:kern w:val="0"/>
          <w:szCs w:val="21"/>
          <w:highlight w:val="none"/>
        </w:rPr>
        <w:t>（招标编号：</w:t>
      </w:r>
      <w:r>
        <w:rPr>
          <w:rFonts w:hint="eastAsia" w:ascii="宋体" w:hAnsi="宋体" w:eastAsia="宋体" w:cs="Times New Roman"/>
          <w:color w:val="auto"/>
          <w:kern w:val="0"/>
          <w:szCs w:val="21"/>
          <w:highlight w:val="none"/>
          <w:lang w:eastAsia="zh-CN"/>
        </w:rPr>
        <w:t>YDZB24DGQY0200</w:t>
      </w:r>
      <w:r>
        <w:rPr>
          <w:rFonts w:hint="eastAsia" w:ascii="宋体" w:hAnsi="宋体" w:eastAsia="宋体" w:cs="Times New Roman"/>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Times New Roman"/>
          <w:color w:val="auto"/>
          <w:kern w:val="0"/>
          <w:szCs w:val="21"/>
          <w:highlight w:val="none"/>
          <w:lang w:eastAsia="zh-CN"/>
        </w:rPr>
        <w:t>异议</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cr/>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14:paraId="1EC3BF58">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w:t>
      </w:r>
      <w:r>
        <w:rPr>
          <w:rFonts w:ascii="宋体" w:hAnsi="宋体" w:eastAsia="宋体" w:cs="宋体"/>
          <w:color w:val="auto"/>
          <w:kern w:val="0"/>
          <w:szCs w:val="21"/>
          <w:highlight w:val="none"/>
        </w:rPr>
        <w:t>9.2</w:t>
      </w:r>
      <w:r>
        <w:rPr>
          <w:rFonts w:hint="eastAsia" w:ascii="宋体" w:hAnsi="宋体" w:eastAsia="宋体" w:cs="宋体"/>
          <w:color w:val="auto"/>
          <w:kern w:val="0"/>
          <w:szCs w:val="21"/>
          <w:highlight w:val="none"/>
        </w:rPr>
        <w:t>款约定按时提供原件核查的，因此导致我方无法参与东莞市水务集团有限公司相关招标采购活动的，由我方自行承担全部后果。</w:t>
      </w:r>
    </w:p>
    <w:p w14:paraId="5F4273E9">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56664E41">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2AAF3AC8">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2000F39B">
      <w:pPr>
        <w:autoSpaceDE w:val="0"/>
        <w:autoSpaceDN w:val="0"/>
        <w:adjustRightInd w:val="0"/>
        <w:spacing w:line="360" w:lineRule="auto"/>
        <w:ind w:firstLine="5040"/>
        <w:rPr>
          <w:rFonts w:ascii="宋体" w:hAnsi="宋体" w:eastAsia="宋体" w:cs="Times New Roman"/>
          <w:color w:val="auto"/>
          <w:szCs w:val="24"/>
          <w:highlight w:val="none"/>
        </w:rPr>
      </w:pPr>
      <w:r>
        <w:rPr>
          <w:rFonts w:hint="eastAsia" w:ascii="宋体" w:hAnsi="宋体" w:eastAsia="宋体" w:cs="Times New Roman"/>
          <w:color w:val="auto"/>
          <w:szCs w:val="24"/>
          <w:highlight w:val="none"/>
          <w:lang w:val="zh-CN"/>
        </w:rPr>
        <w:t>投标人：（加盖投标人法人公章）</w:t>
      </w:r>
    </w:p>
    <w:p w14:paraId="4E84E6F4">
      <w:pPr>
        <w:autoSpaceDE w:val="0"/>
        <w:autoSpaceDN w:val="0"/>
        <w:adjustRightInd w:val="0"/>
        <w:spacing w:line="360" w:lineRule="auto"/>
        <w:ind w:firstLine="504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法定代表人或其授权代表签名（或盖私章）：</w:t>
      </w:r>
    </w:p>
    <w:p w14:paraId="1EB6964A">
      <w:pPr>
        <w:autoSpaceDE w:val="0"/>
        <w:autoSpaceDN w:val="0"/>
        <w:adjustRightInd w:val="0"/>
        <w:spacing w:line="360" w:lineRule="auto"/>
        <w:ind w:firstLine="5040"/>
        <w:rPr>
          <w:rFonts w:ascii="宋体" w:hAnsi="宋体" w:eastAsia="宋体" w:cs="Times New Roman"/>
          <w:color w:val="auto"/>
          <w:sz w:val="24"/>
          <w:szCs w:val="24"/>
          <w:highlight w:val="none"/>
          <w:lang w:val="zh-CN"/>
        </w:rPr>
      </w:pPr>
      <w:r>
        <w:rPr>
          <w:rFonts w:hint="eastAsia" w:ascii="宋体" w:hAnsi="宋体" w:eastAsia="宋体" w:cs="Times New Roman"/>
          <w:color w:val="auto"/>
          <w:szCs w:val="24"/>
          <w:highlight w:val="none"/>
          <w:lang w:val="zh-CN"/>
        </w:rPr>
        <w:t>日期：   年   月   日</w:t>
      </w:r>
    </w:p>
    <w:p w14:paraId="1D572B2F">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p>
    <w:p w14:paraId="2A32A62D">
      <w:pPr>
        <w:autoSpaceDE w:val="0"/>
        <w:autoSpaceDN w:val="0"/>
        <w:adjustRightInd w:val="0"/>
        <w:spacing w:line="360" w:lineRule="auto"/>
        <w:jc w:val="left"/>
        <w:rPr>
          <w:rFonts w:ascii="宋体" w:hAnsi="宋体" w:eastAsia="宋体" w:cs="宋体"/>
          <w:color w:val="auto"/>
          <w:kern w:val="0"/>
          <w:sz w:val="24"/>
          <w:szCs w:val="24"/>
          <w:highlight w:val="none"/>
        </w:rPr>
      </w:pPr>
    </w:p>
    <w:p w14:paraId="6473718B">
      <w:pPr>
        <w:autoSpaceDE w:val="0"/>
        <w:autoSpaceDN w:val="0"/>
        <w:adjustRightInd w:val="0"/>
        <w:spacing w:line="360" w:lineRule="auto"/>
        <w:jc w:val="left"/>
        <w:rPr>
          <w:rFonts w:ascii="宋体" w:hAnsi="宋体" w:eastAsia="宋体" w:cs="宋体"/>
          <w:color w:val="auto"/>
          <w:kern w:val="0"/>
          <w:sz w:val="24"/>
          <w:szCs w:val="24"/>
          <w:highlight w:val="none"/>
        </w:rPr>
      </w:pPr>
      <w:bookmarkStart w:id="491" w:name="_Toc311032584"/>
      <w:bookmarkStart w:id="492" w:name="_Toc316896755"/>
      <w:bookmarkStart w:id="493" w:name="_Toc326768876"/>
    </w:p>
    <w:p w14:paraId="6865FF72">
      <w:pPr>
        <w:pageBreakBefore/>
        <w:autoSpaceDE w:val="0"/>
        <w:autoSpaceDN w:val="0"/>
        <w:adjustRightInd w:val="0"/>
        <w:spacing w:line="360" w:lineRule="auto"/>
        <w:jc w:val="left"/>
        <w:outlineLvl w:val="1"/>
        <w:rPr>
          <w:rFonts w:ascii="宋体" w:hAnsi="宋体" w:eastAsia="宋体" w:cs="宋体"/>
          <w:b/>
          <w:color w:val="auto"/>
          <w:kern w:val="44"/>
          <w:sz w:val="32"/>
          <w:szCs w:val="32"/>
          <w:highlight w:val="none"/>
        </w:rPr>
      </w:pPr>
      <w:bookmarkStart w:id="494" w:name="_Toc94107204"/>
      <w:bookmarkStart w:id="495" w:name="_Toc104991870"/>
      <w:bookmarkStart w:id="496" w:name="_Toc24336"/>
      <w:bookmarkStart w:id="497" w:name="_Toc102860069"/>
      <w:bookmarkStart w:id="498" w:name="_Toc32350"/>
      <w:bookmarkStart w:id="499" w:name="_Toc29910"/>
      <w:bookmarkStart w:id="500" w:name="_Toc82182546"/>
      <w:bookmarkStart w:id="501" w:name="_Toc5075"/>
      <w:bookmarkStart w:id="502" w:name="_Toc102860413"/>
      <w:bookmarkStart w:id="503" w:name="_Toc140596923"/>
      <w:bookmarkStart w:id="504" w:name="_Toc142508364"/>
      <w:bookmarkStart w:id="505" w:name="_Toc86764083"/>
      <w:bookmarkStart w:id="506" w:name="_Toc7024_WPSOffice_Level2"/>
      <w:bookmarkStart w:id="507" w:name="_Toc1977723"/>
      <w:bookmarkStart w:id="508" w:name="_Toc486167711"/>
      <w:bookmarkStart w:id="509" w:name="_Toc533708123"/>
      <w:r>
        <w:rPr>
          <w:rFonts w:hint="eastAsia" w:ascii="宋体" w:hAnsi="宋体" w:eastAsia="宋体" w:cs="宋体"/>
          <w:b/>
          <w:color w:val="auto"/>
          <w:kern w:val="44"/>
          <w:sz w:val="32"/>
          <w:szCs w:val="32"/>
          <w:highlight w:val="none"/>
        </w:rPr>
        <w:t>三、供货及/或提供服务过程承诺函格式</w:t>
      </w:r>
      <w:bookmarkEnd w:id="494"/>
      <w:bookmarkEnd w:id="495"/>
      <w:bookmarkEnd w:id="496"/>
      <w:bookmarkEnd w:id="497"/>
      <w:bookmarkEnd w:id="498"/>
      <w:bookmarkEnd w:id="499"/>
      <w:bookmarkEnd w:id="500"/>
      <w:bookmarkEnd w:id="501"/>
      <w:bookmarkEnd w:id="502"/>
      <w:bookmarkEnd w:id="503"/>
      <w:bookmarkEnd w:id="504"/>
      <w:bookmarkEnd w:id="505"/>
    </w:p>
    <w:p w14:paraId="7D0C0C38">
      <w:pPr>
        <w:autoSpaceDE w:val="0"/>
        <w:autoSpaceDN w:val="0"/>
        <w:adjustRightInd w:val="0"/>
        <w:spacing w:line="360" w:lineRule="auto"/>
        <w:jc w:val="center"/>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14:paraId="09D825CA">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lang w:eastAsia="zh-CN"/>
        </w:rPr>
        <w:t>东莞市水务集团管网有限公司</w:t>
      </w:r>
      <w:r>
        <w:rPr>
          <w:rFonts w:hint="eastAsia" w:ascii="宋体" w:hAnsi="宋体" w:eastAsia="宋体" w:cs="宋体"/>
          <w:color w:val="auto"/>
          <w:kern w:val="0"/>
          <w:szCs w:val="21"/>
          <w:highlight w:val="none"/>
        </w:rPr>
        <w:t>：</w:t>
      </w:r>
    </w:p>
    <w:p w14:paraId="4D370B4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Times New Roman"/>
          <w:color w:val="auto"/>
          <w:kern w:val="0"/>
          <w:szCs w:val="21"/>
          <w:highlight w:val="none"/>
          <w:lang w:eastAsia="zh-CN"/>
        </w:rPr>
        <w:t>东莞市水务集团管网有限公司2025年保安服务采购项目</w:t>
      </w:r>
      <w:r>
        <w:rPr>
          <w:rFonts w:hint="eastAsia" w:ascii="宋体" w:hAnsi="宋体" w:eastAsia="宋体" w:cs="宋体"/>
          <w:color w:val="auto"/>
          <w:kern w:val="0"/>
          <w:szCs w:val="21"/>
          <w:highlight w:val="none"/>
        </w:rPr>
        <w:t>(招标编号：</w:t>
      </w:r>
      <w:r>
        <w:rPr>
          <w:rFonts w:hint="eastAsia" w:ascii="宋体" w:hAnsi="宋体" w:eastAsia="宋体" w:cs="Times New Roman"/>
          <w:color w:val="auto"/>
          <w:szCs w:val="21"/>
          <w:highlight w:val="none"/>
          <w:lang w:val="zh-CN"/>
        </w:rPr>
        <w:t>YDZB24DGQY0200</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14:paraId="4F50442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4E325F4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421F878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259194A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0BBB1A6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6C1AA28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5A809CE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14:paraId="2EDF4DB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14:paraId="3E85B31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2B14690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14:paraId="5FE599B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14:paraId="3B848D4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14:paraId="35B861C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714E79F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3FBC804E">
      <w:pPr>
        <w:autoSpaceDE w:val="0"/>
        <w:autoSpaceDN w:val="0"/>
        <w:adjustRightInd w:val="0"/>
        <w:spacing w:line="360" w:lineRule="auto"/>
        <w:ind w:firstLine="420" w:firstLineChars="200"/>
        <w:jc w:val="left"/>
        <w:outlineLvl w:val="2"/>
        <w:rPr>
          <w:rFonts w:ascii="宋体" w:hAnsi="宋体" w:eastAsia="宋体" w:cs="宋体"/>
          <w:color w:val="auto"/>
          <w:kern w:val="0"/>
          <w:szCs w:val="21"/>
          <w:highlight w:val="none"/>
        </w:rPr>
      </w:pPr>
      <w:bookmarkStart w:id="510" w:name="_Toc28386"/>
      <w:r>
        <w:rPr>
          <w:rFonts w:hint="eastAsia" w:ascii="宋体" w:hAnsi="宋体" w:eastAsia="宋体" w:cs="宋体"/>
          <w:color w:val="auto"/>
          <w:kern w:val="0"/>
          <w:szCs w:val="21"/>
          <w:highlight w:val="none"/>
        </w:rPr>
        <w:t>③我方承诺不在厂内道路、消防通道内搭建临时建筑或堆放物资。</w:t>
      </w:r>
      <w:bookmarkEnd w:id="510"/>
    </w:p>
    <w:p w14:paraId="723220D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3A60319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2D383610">
      <w:pPr>
        <w:autoSpaceDE w:val="0"/>
        <w:autoSpaceDN w:val="0"/>
        <w:adjustRightInd w:val="0"/>
        <w:spacing w:line="360" w:lineRule="auto"/>
        <w:ind w:firstLine="420" w:firstLineChars="200"/>
        <w:jc w:val="left"/>
        <w:outlineLvl w:val="2"/>
        <w:rPr>
          <w:rFonts w:ascii="宋体" w:hAnsi="宋体" w:eastAsia="宋体" w:cs="宋体"/>
          <w:color w:val="auto"/>
          <w:kern w:val="0"/>
          <w:szCs w:val="21"/>
          <w:highlight w:val="none"/>
        </w:rPr>
      </w:pPr>
      <w:bookmarkStart w:id="511" w:name="_Toc23088"/>
      <w:r>
        <w:rPr>
          <w:rFonts w:hint="eastAsia" w:ascii="宋体" w:hAnsi="宋体" w:eastAsia="宋体" w:cs="宋体"/>
          <w:color w:val="auto"/>
          <w:kern w:val="0"/>
          <w:szCs w:val="21"/>
          <w:highlight w:val="none"/>
        </w:rPr>
        <w:t>⑥我方承诺防雷、防静电设施及用电设施有良好接地。</w:t>
      </w:r>
      <w:bookmarkEnd w:id="511"/>
    </w:p>
    <w:p w14:paraId="0BC19F9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5BA02DA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13、我方承诺接受招标人的检查与监督，并主动配合，做好安全工作，凡有违反上述条款的即视为我方违约，招标人有权视情况从货物/服务价款中扣除（1000-2000）元/次作为违约金。</w:t>
      </w:r>
    </w:p>
    <w:p w14:paraId="414EAFD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3CA41BB5">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38A160F5">
      <w:pPr>
        <w:autoSpaceDE w:val="0"/>
        <w:autoSpaceDN w:val="0"/>
        <w:adjustRightInd w:val="0"/>
        <w:spacing w:line="360" w:lineRule="auto"/>
        <w:ind w:firstLine="5040"/>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6197E362">
      <w:pPr>
        <w:autoSpaceDE w:val="0"/>
        <w:autoSpaceDN w:val="0"/>
        <w:adjustRightInd w:val="0"/>
        <w:spacing w:line="360" w:lineRule="auto"/>
        <w:ind w:firstLine="504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60A8D099">
      <w:pPr>
        <w:autoSpaceDE w:val="0"/>
        <w:autoSpaceDN w:val="0"/>
        <w:adjustRightInd w:val="0"/>
        <w:spacing w:line="360" w:lineRule="auto"/>
        <w:ind w:right="420" w:firstLine="5040" w:firstLineChars="2400"/>
        <w:jc w:val="left"/>
        <w:rPr>
          <w:rFonts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14:paraId="52A4C87E">
      <w:pPr>
        <w:pageBreakBefore/>
        <w:autoSpaceDE w:val="0"/>
        <w:autoSpaceDN w:val="0"/>
        <w:adjustRightInd w:val="0"/>
        <w:spacing w:line="360" w:lineRule="auto"/>
        <w:jc w:val="left"/>
        <w:outlineLvl w:val="1"/>
        <w:rPr>
          <w:rFonts w:ascii="宋体" w:hAnsi="宋体" w:eastAsia="宋体" w:cs="宋体"/>
          <w:b/>
          <w:color w:val="auto"/>
          <w:kern w:val="0"/>
          <w:sz w:val="32"/>
          <w:szCs w:val="32"/>
          <w:highlight w:val="none"/>
        </w:rPr>
      </w:pPr>
      <w:bookmarkStart w:id="512" w:name="_Toc18346"/>
      <w:bookmarkStart w:id="513" w:name="_Toc102860415"/>
      <w:bookmarkStart w:id="514" w:name="_Toc104991872"/>
      <w:bookmarkStart w:id="515" w:name="_Toc102860071"/>
      <w:bookmarkStart w:id="516" w:name="_Toc1140"/>
      <w:bookmarkStart w:id="517" w:name="_Toc94107206"/>
      <w:bookmarkStart w:id="518" w:name="_Toc140596925"/>
      <w:bookmarkStart w:id="519" w:name="_Toc142508366"/>
      <w:bookmarkStart w:id="520" w:name="_Toc13542"/>
      <w:bookmarkStart w:id="521" w:name="_Toc13416"/>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、投标报价表格式</w:t>
      </w:r>
      <w:bookmarkEnd w:id="506"/>
      <w:bookmarkEnd w:id="507"/>
      <w:bookmarkEnd w:id="508"/>
      <w:bookmarkEnd w:id="509"/>
      <w:bookmarkEnd w:id="512"/>
      <w:bookmarkEnd w:id="513"/>
      <w:bookmarkEnd w:id="514"/>
      <w:bookmarkEnd w:id="515"/>
      <w:bookmarkEnd w:id="516"/>
      <w:bookmarkEnd w:id="517"/>
      <w:bookmarkEnd w:id="518"/>
      <w:bookmarkEnd w:id="519"/>
      <w:bookmarkEnd w:id="520"/>
      <w:bookmarkEnd w:id="521"/>
    </w:p>
    <w:p w14:paraId="74F55741">
      <w:pPr>
        <w:tabs>
          <w:tab w:val="left" w:pos="567"/>
        </w:tabs>
        <w:autoSpaceDE w:val="0"/>
        <w:autoSpaceDN w:val="0"/>
        <w:adjustRightInd w:val="0"/>
        <w:spacing w:line="360" w:lineRule="auto"/>
        <w:ind w:left="711" w:hanging="711" w:hangingChars="236"/>
        <w:jc w:val="left"/>
        <w:outlineLvl w:val="2"/>
        <w:rPr>
          <w:rFonts w:ascii="宋体" w:hAnsi="宋体" w:eastAsia="宋体" w:cs="宋体"/>
          <w:b/>
          <w:color w:val="auto"/>
          <w:kern w:val="0"/>
          <w:sz w:val="30"/>
          <w:szCs w:val="30"/>
          <w:highlight w:val="none"/>
        </w:rPr>
      </w:pPr>
      <w:bookmarkStart w:id="522" w:name="_Toc140596926"/>
      <w:bookmarkStart w:id="523" w:name="_Toc1294"/>
      <w:bookmarkStart w:id="524" w:name="_Toc94107207"/>
      <w:bookmarkStart w:id="525" w:name="_Toc142508367"/>
      <w:bookmarkStart w:id="526" w:name="_Toc104991873"/>
      <w:bookmarkStart w:id="527" w:name="_Toc102860416"/>
      <w:bookmarkStart w:id="528" w:name="_Toc24175"/>
      <w:bookmarkStart w:id="529" w:name="_Toc2395_WPSOffice_Level3"/>
      <w:bookmarkStart w:id="530" w:name="_Toc102860072"/>
      <w:bookmarkStart w:id="531" w:name="_Toc15425"/>
      <w:bookmarkStart w:id="532" w:name="_Toc5462"/>
      <w:r>
        <w:rPr>
          <w:rFonts w:hint="eastAsia" w:ascii="宋体" w:hAnsi="宋体" w:eastAsia="宋体" w:cs="宋体"/>
          <w:b/>
          <w:color w:val="auto"/>
          <w:kern w:val="0"/>
          <w:sz w:val="30"/>
          <w:szCs w:val="30"/>
          <w:highlight w:val="none"/>
          <w:lang w:val="en-US" w:eastAsia="zh-CN"/>
        </w:rPr>
        <w:t>4</w:t>
      </w:r>
      <w:r>
        <w:rPr>
          <w:rFonts w:ascii="宋体" w:hAnsi="宋体" w:eastAsia="宋体" w:cs="宋体"/>
          <w:b/>
          <w:color w:val="auto"/>
          <w:kern w:val="0"/>
          <w:sz w:val="30"/>
          <w:szCs w:val="30"/>
          <w:highlight w:val="none"/>
        </w:rPr>
        <w:t xml:space="preserve">.1 </w:t>
      </w:r>
      <w:r>
        <w:rPr>
          <w:rFonts w:hint="eastAsia" w:ascii="宋体" w:hAnsi="宋体" w:eastAsia="宋体" w:cs="宋体"/>
          <w:b/>
          <w:color w:val="auto"/>
          <w:kern w:val="0"/>
          <w:sz w:val="30"/>
          <w:szCs w:val="30"/>
          <w:highlight w:val="none"/>
        </w:rPr>
        <w:t>投标报价表</w:t>
      </w:r>
      <w:bookmarkEnd w:id="522"/>
      <w:bookmarkEnd w:id="523"/>
      <w:bookmarkEnd w:id="524"/>
      <w:bookmarkEnd w:id="525"/>
      <w:bookmarkEnd w:id="526"/>
      <w:bookmarkEnd w:id="527"/>
      <w:bookmarkEnd w:id="528"/>
      <w:bookmarkEnd w:id="529"/>
      <w:bookmarkEnd w:id="530"/>
      <w:bookmarkEnd w:id="531"/>
      <w:bookmarkEnd w:id="532"/>
    </w:p>
    <w:p w14:paraId="09659F3F">
      <w:pPr>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投标报价表</w:t>
      </w:r>
    </w:p>
    <w:p w14:paraId="52B9F1BE">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东莞市水务集团管网有限公司2025年保安服务采购项目</w:t>
      </w:r>
    </w:p>
    <w:p w14:paraId="43DF92C0">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YDZB24DGQY0200</w:t>
      </w:r>
    </w:p>
    <w:tbl>
      <w:tblPr>
        <w:tblStyle w:val="37"/>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66"/>
        <w:gridCol w:w="4167"/>
        <w:gridCol w:w="3531"/>
        <w:gridCol w:w="1504"/>
      </w:tblGrid>
      <w:tr w14:paraId="65EC9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562" w:type="pct"/>
            <w:tcBorders>
              <w:top w:val="single" w:color="auto" w:sz="4" w:space="0"/>
              <w:left w:val="single" w:color="auto" w:sz="4" w:space="0"/>
              <w:bottom w:val="single" w:color="auto" w:sz="4" w:space="0"/>
              <w:right w:val="single" w:color="auto" w:sz="4" w:space="0"/>
            </w:tcBorders>
            <w:vAlign w:val="center"/>
          </w:tcPr>
          <w:p w14:paraId="48A32200">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序号</w:t>
            </w:r>
          </w:p>
        </w:tc>
        <w:tc>
          <w:tcPr>
            <w:tcW w:w="2009" w:type="pct"/>
            <w:tcBorders>
              <w:top w:val="single" w:color="auto" w:sz="4" w:space="0"/>
              <w:left w:val="single" w:color="auto" w:sz="4" w:space="0"/>
              <w:bottom w:val="single" w:color="auto" w:sz="4" w:space="0"/>
              <w:right w:val="single" w:color="auto" w:sz="4" w:space="0"/>
            </w:tcBorders>
            <w:vAlign w:val="center"/>
          </w:tcPr>
          <w:p w14:paraId="60F95061">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名称</w:t>
            </w:r>
          </w:p>
        </w:tc>
        <w:tc>
          <w:tcPr>
            <w:tcW w:w="1702" w:type="pct"/>
            <w:tcBorders>
              <w:top w:val="single" w:color="auto" w:sz="4" w:space="0"/>
              <w:left w:val="single" w:color="auto" w:sz="4" w:space="0"/>
              <w:bottom w:val="single" w:color="auto" w:sz="4" w:space="0"/>
              <w:right w:val="single" w:color="auto" w:sz="4" w:space="0"/>
            </w:tcBorders>
            <w:vAlign w:val="center"/>
          </w:tcPr>
          <w:p w14:paraId="3C296651">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投标</w:t>
            </w:r>
            <w:r>
              <w:rPr>
                <w:rFonts w:hint="eastAsia" w:ascii="宋体" w:hAnsi="宋体" w:eastAsia="宋体" w:cs="Times New Roman"/>
                <w:b/>
                <w:color w:val="auto"/>
                <w:kern w:val="0"/>
                <w:szCs w:val="21"/>
                <w:highlight w:val="none"/>
                <w:lang w:val="en-US" w:eastAsia="zh-CN"/>
              </w:rPr>
              <w:t>综合单价</w:t>
            </w:r>
            <w:r>
              <w:rPr>
                <w:rFonts w:hint="eastAsia" w:ascii="宋体" w:hAnsi="宋体" w:eastAsia="宋体" w:cs="Times New Roman"/>
                <w:b/>
                <w:color w:val="auto"/>
                <w:kern w:val="0"/>
                <w:szCs w:val="21"/>
                <w:highlight w:val="none"/>
              </w:rPr>
              <w:t>报价</w:t>
            </w:r>
          </w:p>
          <w:p w14:paraId="416F91F9">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w:t>
            </w:r>
            <w:r>
              <w:rPr>
                <w:rFonts w:hint="eastAsia" w:ascii="宋体" w:hAnsi="宋体" w:eastAsia="宋体" w:cs="Times New Roman"/>
                <w:b/>
                <w:color w:val="auto"/>
                <w:kern w:val="0"/>
                <w:szCs w:val="21"/>
                <w:highlight w:val="none"/>
                <w:lang w:val="en-US" w:eastAsia="zh-CN"/>
              </w:rPr>
              <w:t>即</w:t>
            </w:r>
            <w:r>
              <w:rPr>
                <w:rFonts w:hint="eastAsia" w:ascii="宋体" w:hAnsi="宋体" w:eastAsia="宋体" w:cs="Times New Roman"/>
                <w:b/>
                <w:color w:val="auto"/>
                <w:kern w:val="0"/>
                <w:szCs w:val="21"/>
                <w:highlight w:val="none"/>
              </w:rPr>
              <w:t>单个保安人员的月综合单价，元</w:t>
            </w:r>
            <w:r>
              <w:rPr>
                <w:rFonts w:ascii="宋体" w:hAnsi="宋体" w:eastAsia="宋体" w:cs="Times New Roman"/>
                <w:b/>
                <w:color w:val="auto"/>
                <w:kern w:val="0"/>
                <w:szCs w:val="21"/>
                <w:highlight w:val="none"/>
              </w:rPr>
              <w:t>/人/月）</w:t>
            </w:r>
          </w:p>
        </w:tc>
        <w:tc>
          <w:tcPr>
            <w:tcW w:w="725" w:type="pct"/>
            <w:tcBorders>
              <w:top w:val="single" w:color="auto" w:sz="4" w:space="0"/>
              <w:left w:val="single" w:color="auto" w:sz="4" w:space="0"/>
              <w:bottom w:val="single" w:color="auto" w:sz="4" w:space="0"/>
              <w:right w:val="single" w:color="auto" w:sz="4" w:space="0"/>
            </w:tcBorders>
            <w:vAlign w:val="center"/>
          </w:tcPr>
          <w:p w14:paraId="58933C98">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备注</w:t>
            </w:r>
          </w:p>
        </w:tc>
      </w:tr>
      <w:tr w14:paraId="54905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562" w:type="pct"/>
            <w:tcBorders>
              <w:top w:val="single" w:color="auto" w:sz="4" w:space="0"/>
              <w:left w:val="single" w:color="auto" w:sz="4" w:space="0"/>
              <w:right w:val="single" w:color="auto" w:sz="4" w:space="0"/>
            </w:tcBorders>
            <w:vAlign w:val="center"/>
          </w:tcPr>
          <w:p w14:paraId="018BB472">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2009" w:type="pct"/>
            <w:tcBorders>
              <w:top w:val="single" w:color="auto" w:sz="4" w:space="0"/>
              <w:left w:val="single" w:color="auto" w:sz="4" w:space="0"/>
              <w:right w:val="single" w:color="auto" w:sz="4" w:space="0"/>
            </w:tcBorders>
            <w:vAlign w:val="center"/>
          </w:tcPr>
          <w:p w14:paraId="1F63F909">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lang w:val="zh-CN"/>
              </w:rPr>
              <w:t>东莞市水务集团管网有限公司2025年保安服务采购项目</w:t>
            </w:r>
          </w:p>
        </w:tc>
        <w:tc>
          <w:tcPr>
            <w:tcW w:w="1702" w:type="pct"/>
            <w:tcBorders>
              <w:top w:val="single" w:color="auto" w:sz="4" w:space="0"/>
              <w:left w:val="single" w:color="auto" w:sz="4" w:space="0"/>
              <w:right w:val="single" w:color="auto" w:sz="4" w:space="0"/>
            </w:tcBorders>
            <w:vAlign w:val="center"/>
          </w:tcPr>
          <w:p w14:paraId="0E46A609">
            <w:pPr>
              <w:tabs>
                <w:tab w:val="left" w:pos="8610"/>
              </w:tabs>
              <w:spacing w:line="360" w:lineRule="auto"/>
              <w:rPr>
                <w:rFonts w:hint="default" w:eastAsia="宋体"/>
                <w:color w:val="auto"/>
                <w:lang w:val="en-US" w:eastAsia="zh-CN"/>
              </w:rPr>
            </w:pPr>
            <w:r>
              <w:rPr>
                <w:rFonts w:hint="eastAsia" w:ascii="宋体" w:hAnsi="宋体" w:eastAsia="宋体" w:cs="Times New Roman"/>
                <w:color w:val="auto"/>
                <w:kern w:val="0"/>
                <w:szCs w:val="21"/>
                <w:highlight w:val="none"/>
              </w:rPr>
              <w:t>小写：</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lang w:eastAsia="zh-CN"/>
              </w:rPr>
              <w:br w:type="textWrapping"/>
            </w:r>
            <w:r>
              <w:rPr>
                <w:rFonts w:hint="eastAsia" w:ascii="宋体" w:hAnsi="宋体" w:eastAsia="宋体" w:cs="Times New Roman"/>
                <w:color w:val="auto"/>
                <w:kern w:val="0"/>
                <w:szCs w:val="21"/>
                <w:highlight w:val="none"/>
                <w:lang w:val="en-US" w:eastAsia="zh-CN"/>
              </w:rPr>
              <w:t>大写：人民币</w:t>
            </w:r>
            <w:r>
              <w:rPr>
                <w:rFonts w:hint="eastAsia" w:ascii="宋体" w:hAnsi="宋体" w:eastAsia="宋体" w:cs="Times New Roman"/>
                <w:color w:val="auto"/>
                <w:kern w:val="0"/>
                <w:szCs w:val="21"/>
                <w:highlight w:val="none"/>
                <w:u w:val="single"/>
                <w:lang w:val="en-US" w:eastAsia="zh-CN"/>
              </w:rPr>
              <w:t xml:space="preserve">            </w:t>
            </w:r>
          </w:p>
        </w:tc>
        <w:tc>
          <w:tcPr>
            <w:tcW w:w="725" w:type="pct"/>
            <w:tcBorders>
              <w:top w:val="single" w:color="auto" w:sz="4" w:space="0"/>
              <w:left w:val="single" w:color="auto" w:sz="4" w:space="0"/>
              <w:right w:val="single" w:color="auto" w:sz="4" w:space="0"/>
            </w:tcBorders>
            <w:vAlign w:val="center"/>
          </w:tcPr>
          <w:p w14:paraId="1A156443">
            <w:pPr>
              <w:tabs>
                <w:tab w:val="left" w:pos="8610"/>
              </w:tabs>
              <w:spacing w:line="360" w:lineRule="auto"/>
              <w:jc w:val="center"/>
              <w:rPr>
                <w:rFonts w:ascii="宋体" w:hAnsi="宋体" w:eastAsia="宋体" w:cs="Times New Roman"/>
                <w:color w:val="auto"/>
                <w:kern w:val="0"/>
                <w:szCs w:val="21"/>
                <w:highlight w:val="none"/>
              </w:rPr>
            </w:pPr>
          </w:p>
        </w:tc>
      </w:tr>
    </w:tbl>
    <w:p w14:paraId="1B3EA1F0">
      <w:pPr>
        <w:rPr>
          <w:rFonts w:ascii="宋体" w:hAnsi="宋体" w:eastAsia="宋体" w:cs="宋体"/>
          <w:color w:val="auto"/>
          <w:kern w:val="0"/>
          <w:sz w:val="20"/>
          <w:szCs w:val="21"/>
          <w:highlight w:val="none"/>
        </w:rPr>
      </w:pPr>
    </w:p>
    <w:p w14:paraId="23E16155">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374B01E4">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hint="eastAsia" w:ascii="宋体" w:hAnsi="宋体" w:eastAsia="宋体" w:cs="宋体"/>
          <w:b/>
          <w:bCs/>
          <w:color w:val="auto"/>
          <w:szCs w:val="21"/>
          <w:u w:val="single"/>
          <w:lang w:val="zh-CN"/>
        </w:rPr>
        <w:t>本项目的投标综合单价</w:t>
      </w:r>
      <w:r>
        <w:rPr>
          <w:rFonts w:ascii="宋体" w:hAnsi="宋体" w:eastAsia="宋体" w:cs="宋体"/>
          <w:b/>
          <w:bCs/>
          <w:color w:val="auto"/>
          <w:szCs w:val="21"/>
          <w:u w:val="single"/>
          <w:lang w:val="zh-CN"/>
        </w:rPr>
        <w:t>(元/人/月，即单个保安人员的月综合单价)</w:t>
      </w:r>
      <w:r>
        <w:rPr>
          <w:rFonts w:hint="eastAsia" w:ascii="宋体" w:hAnsi="宋体" w:eastAsia="宋体" w:cs="Times New Roman"/>
          <w:b/>
          <w:color w:val="auto"/>
          <w:kern w:val="0"/>
          <w:szCs w:val="21"/>
          <w:highlight w:val="none"/>
          <w:u w:val="single"/>
          <w:lang w:val="en-US" w:eastAsia="zh-CN"/>
        </w:rPr>
        <w:t>为</w:t>
      </w:r>
      <w:r>
        <w:rPr>
          <w:rFonts w:hint="eastAsia" w:ascii="宋体" w:hAnsi="宋体" w:eastAsia="宋体" w:cs="Times New Roman"/>
          <w:b/>
          <w:color w:val="auto"/>
          <w:kern w:val="0"/>
          <w:szCs w:val="21"/>
          <w:highlight w:val="none"/>
          <w:u w:val="single"/>
        </w:rPr>
        <w:t>不含税价，即为《中华人民共和国增值税暂行条例》（国务院令第6</w:t>
      </w:r>
      <w:r>
        <w:rPr>
          <w:rFonts w:ascii="宋体" w:hAnsi="宋体" w:eastAsia="宋体" w:cs="Times New Roman"/>
          <w:b/>
          <w:color w:val="auto"/>
          <w:kern w:val="0"/>
          <w:szCs w:val="21"/>
          <w:highlight w:val="none"/>
          <w:u w:val="single"/>
        </w:rPr>
        <w:t>91</w:t>
      </w:r>
      <w:r>
        <w:rPr>
          <w:rFonts w:hint="eastAsia" w:ascii="宋体" w:hAnsi="宋体" w:eastAsia="宋体" w:cs="Times New Roman"/>
          <w:b/>
          <w:color w:val="auto"/>
          <w:kern w:val="0"/>
          <w:szCs w:val="21"/>
          <w:highlight w:val="none"/>
          <w:u w:val="single"/>
        </w:rPr>
        <w:t>号修订版）规定的销售额</w:t>
      </w:r>
      <w:r>
        <w:rPr>
          <w:rFonts w:hint="eastAsia" w:ascii="宋体" w:hAnsi="宋体" w:eastAsia="宋体" w:cs="Times New Roman"/>
          <w:color w:val="auto"/>
          <w:kern w:val="0"/>
          <w:szCs w:val="21"/>
          <w:highlight w:val="none"/>
        </w:rPr>
        <w:t>。本招标文件所称的不含税价是指不含本采购项目的投标人销项税额，包含了投标人完成合同义务（含投标人代缴代扣、分包及委外服务、施工、采购货物等所产生的价税）的其他全部费用。</w:t>
      </w:r>
      <w:r>
        <w:rPr>
          <w:rFonts w:hint="eastAsia" w:ascii="宋体" w:hAnsi="宋体" w:eastAsia="宋体" w:cs="Times New Roman"/>
          <w:color w:val="auto"/>
          <w:szCs w:val="21"/>
          <w:highlight w:val="none"/>
          <w:lang w:val="zh-CN"/>
        </w:rPr>
        <w:t>本采购项目的销项税额由招标人承担</w:t>
      </w:r>
      <w:r>
        <w:rPr>
          <w:rFonts w:hint="eastAsia" w:ascii="宋体" w:hAnsi="宋体" w:eastAsia="宋体" w:cs="Times New Roman"/>
          <w:color w:val="auto"/>
          <w:kern w:val="0"/>
          <w:szCs w:val="21"/>
          <w:highlight w:val="none"/>
        </w:rPr>
        <w:t>，不计入投标报价。</w:t>
      </w:r>
    </w:p>
    <w:p w14:paraId="7D8D47B4">
      <w:pPr>
        <w:autoSpaceDE w:val="0"/>
        <w:autoSpaceDN w:val="0"/>
        <w:adjustRightInd w:val="0"/>
        <w:snapToGrid w:val="0"/>
        <w:spacing w:line="360" w:lineRule="auto"/>
        <w:ind w:left="607" w:leftChars="18" w:hanging="569" w:hangingChars="270"/>
        <w:jc w:val="left"/>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w:t>
      </w:r>
      <w:r>
        <w:rPr>
          <w:rFonts w:ascii="宋体" w:hAnsi="宋体" w:eastAsia="宋体" w:cs="Times New Roman"/>
          <w:b/>
          <w:bCs/>
          <w:color w:val="auto"/>
          <w:kern w:val="0"/>
          <w:szCs w:val="21"/>
          <w:highlight w:val="none"/>
        </w:rPr>
        <w:t>2</w:t>
      </w:r>
      <w:r>
        <w:rPr>
          <w:rFonts w:hint="eastAsia" w:ascii="宋体" w:hAnsi="宋体" w:eastAsia="宋体" w:cs="Times New Roman"/>
          <w:b/>
          <w:bCs/>
          <w:color w:val="auto"/>
          <w:kern w:val="0"/>
          <w:szCs w:val="21"/>
          <w:highlight w:val="none"/>
        </w:rPr>
        <w:t>）</w:t>
      </w:r>
      <w:r>
        <w:rPr>
          <w:rFonts w:hint="eastAsia" w:ascii="宋体" w:hAnsi="宋体" w:eastAsia="宋体" w:cs="Times New Roman"/>
          <w:b/>
          <w:bCs/>
          <w:color w:val="auto"/>
          <w:kern w:val="0"/>
          <w:szCs w:val="21"/>
          <w:highlight w:val="none"/>
          <w:lang w:val="zh-CN"/>
        </w:rPr>
        <w:t>投标人的投标报价高于</w:t>
      </w:r>
      <w:r>
        <w:rPr>
          <w:rFonts w:hint="eastAsia" w:ascii="宋体" w:hAnsi="宋体" w:eastAsia="宋体" w:cs="Times New Roman"/>
          <w:b/>
          <w:bCs/>
          <w:color w:val="auto"/>
          <w:kern w:val="0"/>
          <w:szCs w:val="21"/>
          <w:highlight w:val="none"/>
          <w:lang w:val="en-US" w:eastAsia="zh-CN"/>
        </w:rPr>
        <w:t>不含税</w:t>
      </w:r>
      <w:r>
        <w:rPr>
          <w:rFonts w:hint="eastAsia" w:ascii="宋体" w:hAnsi="宋体" w:eastAsia="宋体" w:cs="Times New Roman"/>
          <w:b/>
          <w:bCs/>
          <w:color w:val="auto"/>
          <w:kern w:val="0"/>
          <w:szCs w:val="21"/>
          <w:highlight w:val="none"/>
          <w:lang w:val="zh-CN"/>
        </w:rPr>
        <w:t>预算综合单价的</w:t>
      </w:r>
      <w:r>
        <w:rPr>
          <w:rFonts w:hint="eastAsia" w:ascii="宋体" w:hAnsi="宋体" w:eastAsia="宋体" w:cs="Times New Roman"/>
          <w:b/>
          <w:bCs/>
          <w:color w:val="auto"/>
          <w:kern w:val="0"/>
          <w:szCs w:val="21"/>
          <w:highlight w:val="none"/>
        </w:rPr>
        <w:t>，该投标人的投标文件将被视为无效投标。</w:t>
      </w:r>
    </w:p>
    <w:p w14:paraId="6B0F39D3">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）对不同文字文本投标文件的解释发生异议的，以中文文本为准。</w:t>
      </w:r>
    </w:p>
    <w:p w14:paraId="0DC6D631">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w:t>
      </w:r>
      <w:r>
        <w:rPr>
          <w:rFonts w:hint="eastAsia" w:ascii="宋体" w:hAnsi="宋体" w:eastAsia="宋体" w:cs="Times New Roman"/>
          <w:b/>
          <w:bCs/>
          <w:color w:val="auto"/>
          <w:kern w:val="0"/>
          <w:szCs w:val="21"/>
          <w:highlight w:val="none"/>
          <w:u w:val="single"/>
          <w:lang w:val="zh-CN"/>
        </w:rPr>
        <w:t>本表一式二份，一份随唱标信封一起提交，一份编入投标文件商务文件</w:t>
      </w:r>
      <w:r>
        <w:rPr>
          <w:rFonts w:hint="eastAsia" w:ascii="宋体" w:hAnsi="宋体" w:eastAsia="宋体" w:cs="Times New Roman"/>
          <w:b/>
          <w:bCs/>
          <w:color w:val="auto"/>
          <w:kern w:val="0"/>
          <w:szCs w:val="21"/>
          <w:highlight w:val="none"/>
          <w:lang w:val="zh-CN"/>
        </w:rPr>
        <w:t>。</w:t>
      </w:r>
    </w:p>
    <w:p w14:paraId="3B992C98">
      <w:pPr>
        <w:autoSpaceDE w:val="0"/>
        <w:autoSpaceDN w:val="0"/>
        <w:adjustRightInd w:val="0"/>
        <w:snapToGrid w:val="0"/>
        <w:spacing w:line="360" w:lineRule="auto"/>
        <w:ind w:left="605" w:leftChars="18" w:hanging="567" w:hangingChars="270"/>
        <w:jc w:val="left"/>
        <w:rPr>
          <w:rFonts w:ascii="宋体" w:hAnsi="宋体" w:eastAsia="宋体" w:cs="Times New Roman"/>
          <w:bCs/>
          <w:color w:val="auto"/>
          <w:kern w:val="0"/>
          <w:szCs w:val="21"/>
          <w:highlight w:val="none"/>
          <w:lang w:val="zh-CN"/>
        </w:rPr>
      </w:pPr>
      <w:r>
        <w:rPr>
          <w:rFonts w:hint="eastAsia" w:ascii="宋体" w:hAnsi="宋体" w:eastAsia="宋体" w:cs="Times New Roman"/>
          <w:bCs/>
          <w:color w:val="auto"/>
          <w:kern w:val="0"/>
          <w:szCs w:val="21"/>
          <w:highlight w:val="none"/>
          <w:lang w:val="zh-CN"/>
        </w:rPr>
        <w:t>（</w:t>
      </w:r>
      <w:r>
        <w:rPr>
          <w:rFonts w:ascii="宋体" w:hAnsi="宋体" w:eastAsia="宋体" w:cs="Times New Roman"/>
          <w:bCs/>
          <w:color w:val="auto"/>
          <w:kern w:val="0"/>
          <w:szCs w:val="21"/>
          <w:highlight w:val="none"/>
          <w:lang w:val="zh-CN"/>
        </w:rPr>
        <w:t>5</w:t>
      </w:r>
      <w:r>
        <w:rPr>
          <w:rFonts w:hint="eastAsia" w:ascii="宋体" w:hAnsi="宋体" w:eastAsia="宋体" w:cs="Times New Roman"/>
          <w:bCs/>
          <w:color w:val="auto"/>
          <w:kern w:val="0"/>
          <w:szCs w:val="21"/>
          <w:highlight w:val="none"/>
          <w:lang w:val="zh-CN"/>
        </w:rPr>
        <w:t>）</w:t>
      </w:r>
      <w:r>
        <w:rPr>
          <w:rFonts w:hint="eastAsia" w:ascii="宋体" w:hAnsi="宋体" w:eastAsia="宋体" w:cs="Times New Roman"/>
          <w:color w:val="auto"/>
          <w:kern w:val="0"/>
          <w:szCs w:val="21"/>
          <w:highlight w:val="none"/>
        </w:rPr>
        <w:t>报价保留小数点后两位。</w:t>
      </w:r>
    </w:p>
    <w:p w14:paraId="14DF7C93">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183BEF66">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7AB3015F">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1E029D99">
      <w:pPr>
        <w:tabs>
          <w:tab w:val="left" w:pos="567"/>
        </w:tabs>
        <w:autoSpaceDE w:val="0"/>
        <w:autoSpaceDN w:val="0"/>
        <w:adjustRightInd w:val="0"/>
        <w:spacing w:line="360" w:lineRule="auto"/>
        <w:jc w:val="left"/>
        <w:outlineLvl w:val="1"/>
        <w:rPr>
          <w:rFonts w:ascii="宋体" w:hAnsi="宋体" w:eastAsia="宋体" w:cs="宋体"/>
          <w:b/>
          <w:color w:val="auto"/>
          <w:kern w:val="0"/>
          <w:sz w:val="32"/>
          <w:szCs w:val="32"/>
          <w:highlight w:val="none"/>
        </w:rPr>
      </w:pPr>
      <w:r>
        <w:rPr>
          <w:rFonts w:ascii="宋体" w:hAnsi="宋体" w:eastAsia="宋体" w:cs="Times New Roman"/>
          <w:color w:val="auto"/>
          <w:szCs w:val="24"/>
          <w:highlight w:val="none"/>
          <w:lang w:val="zh-CN"/>
        </w:rPr>
        <w:br w:type="page"/>
      </w:r>
      <w:bookmarkStart w:id="533" w:name="_Toc1977725"/>
      <w:bookmarkStart w:id="534" w:name="_Toc142508369"/>
      <w:bookmarkStart w:id="535" w:name="_Toc19228"/>
      <w:bookmarkStart w:id="536" w:name="_Toc104991875"/>
      <w:bookmarkStart w:id="537" w:name="_Toc102860418"/>
      <w:bookmarkStart w:id="538" w:name="_Toc26516"/>
      <w:bookmarkStart w:id="539" w:name="_Toc6190"/>
      <w:bookmarkStart w:id="540" w:name="_Toc23083"/>
      <w:bookmarkStart w:id="541" w:name="_Toc94107209"/>
      <w:bookmarkStart w:id="542" w:name="_Toc140596928"/>
      <w:bookmarkStart w:id="543" w:name="_Toc102860074"/>
      <w:bookmarkStart w:id="544" w:name="_Toc20759_WPSOffice_Level2"/>
      <w:bookmarkStart w:id="545" w:name="_Toc486167712"/>
      <w:bookmarkStart w:id="546" w:name="_Toc533708124"/>
      <w:r>
        <w:rPr>
          <w:rFonts w:hint="eastAsia" w:ascii="宋体" w:hAnsi="宋体" w:eastAsia="宋体" w:cs="宋体"/>
          <w:b/>
          <w:bCs/>
          <w:color w:val="auto"/>
          <w:sz w:val="30"/>
          <w:szCs w:val="30"/>
          <w:highlight w:val="none"/>
          <w:lang w:val="en-US" w:eastAsia="zh-CN"/>
        </w:rPr>
        <w:t>五</w:t>
      </w:r>
      <w:r>
        <w:rPr>
          <w:rFonts w:hint="eastAsia" w:ascii="宋体" w:hAnsi="宋体" w:eastAsia="宋体" w:cs="宋体"/>
          <w:b/>
          <w:color w:val="auto"/>
          <w:kern w:val="0"/>
          <w:sz w:val="32"/>
          <w:szCs w:val="32"/>
          <w:highlight w:val="none"/>
        </w:rPr>
        <w:t>、投标人资格证明文件</w:t>
      </w:r>
      <w:bookmarkEnd w:id="533"/>
      <w:bookmarkEnd w:id="534"/>
      <w:bookmarkEnd w:id="535"/>
      <w:bookmarkEnd w:id="536"/>
      <w:bookmarkEnd w:id="537"/>
      <w:bookmarkEnd w:id="538"/>
      <w:bookmarkEnd w:id="539"/>
      <w:bookmarkEnd w:id="540"/>
      <w:bookmarkEnd w:id="541"/>
      <w:bookmarkEnd w:id="542"/>
      <w:bookmarkEnd w:id="543"/>
    </w:p>
    <w:p w14:paraId="2CEA8224">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547" w:name="_Toc17358"/>
      <w:bookmarkStart w:id="548" w:name="_Toc142508370"/>
      <w:bookmarkStart w:id="549" w:name="_Toc28092"/>
      <w:bookmarkStart w:id="550" w:name="_Toc25267"/>
      <w:bookmarkStart w:id="551" w:name="_Toc29874"/>
      <w:bookmarkStart w:id="552" w:name="_Toc102860075"/>
      <w:bookmarkStart w:id="553" w:name="_Toc102860419"/>
      <w:bookmarkStart w:id="554" w:name="_Toc94107210"/>
      <w:bookmarkStart w:id="555" w:name="_Toc140596929"/>
      <w:bookmarkStart w:id="556" w:name="_Toc104991876"/>
      <w:bookmarkStart w:id="557" w:name="_Toc1977726"/>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.1 多证合一营业执照（或事业单位法人证书）复印件</w:t>
      </w:r>
      <w:bookmarkEnd w:id="547"/>
      <w:bookmarkEnd w:id="548"/>
      <w:bookmarkEnd w:id="549"/>
      <w:bookmarkEnd w:id="550"/>
      <w:bookmarkEnd w:id="551"/>
      <w:bookmarkEnd w:id="552"/>
      <w:bookmarkEnd w:id="553"/>
      <w:bookmarkEnd w:id="554"/>
      <w:bookmarkEnd w:id="555"/>
      <w:bookmarkEnd w:id="556"/>
    </w:p>
    <w:p w14:paraId="6E11E00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CEFE876">
      <w:pPr>
        <w:tabs>
          <w:tab w:val="left" w:pos="567"/>
        </w:tabs>
        <w:autoSpaceDE w:val="0"/>
        <w:autoSpaceDN w:val="0"/>
        <w:adjustRightInd w:val="0"/>
        <w:spacing w:line="360" w:lineRule="auto"/>
        <w:ind w:firstLine="316" w:firstLineChars="150"/>
        <w:jc w:val="left"/>
        <w:outlineLvl w:val="9"/>
        <w:rPr>
          <w:rFonts w:ascii="宋体" w:hAnsi="宋体" w:eastAsia="宋体" w:cs="宋体"/>
          <w:b/>
          <w:color w:val="auto"/>
          <w:kern w:val="0"/>
          <w:szCs w:val="21"/>
          <w:highlight w:val="none"/>
        </w:rPr>
        <w:sectPr>
          <w:pgSz w:w="12240" w:h="15840"/>
          <w:pgMar w:top="1191" w:right="1043" w:bottom="1191" w:left="1043" w:header="720" w:footer="720" w:gutter="0"/>
          <w:cols w:space="720" w:num="1"/>
          <w:titlePg/>
          <w:docGrid w:linePitch="326" w:charSpace="0"/>
        </w:sectPr>
      </w:pPr>
    </w:p>
    <w:p w14:paraId="7D1CB8F2">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558" w:name="_Toc25013"/>
      <w:bookmarkStart w:id="559" w:name="_Toc102860076"/>
      <w:bookmarkStart w:id="560" w:name="_Toc142508371"/>
      <w:bookmarkStart w:id="561" w:name="_Toc104991877"/>
      <w:bookmarkStart w:id="562" w:name="_Toc140596930"/>
      <w:bookmarkStart w:id="563" w:name="_Toc19010"/>
      <w:bookmarkStart w:id="564" w:name="_Toc102860420"/>
      <w:bookmarkStart w:id="565" w:name="_Toc27861"/>
      <w:bookmarkStart w:id="566" w:name="_Toc7756"/>
      <w:bookmarkStart w:id="567" w:name="_Toc94107211"/>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.2 开户许可证（基本存款账户）复印件，如投标人企业银行账户开户所在地区已取消企业银行账户许可，投标人应提供基本存款账户开户名称、开户银行、账号、编号等信息及相关备案证明（如有）或其他能证明其为基本存款账户的资料复印件</w:t>
      </w:r>
      <w:bookmarkEnd w:id="558"/>
      <w:bookmarkEnd w:id="559"/>
      <w:bookmarkEnd w:id="560"/>
      <w:bookmarkEnd w:id="561"/>
      <w:bookmarkEnd w:id="562"/>
      <w:bookmarkEnd w:id="563"/>
      <w:bookmarkEnd w:id="564"/>
      <w:bookmarkEnd w:id="565"/>
      <w:bookmarkEnd w:id="566"/>
      <w:bookmarkEnd w:id="567"/>
    </w:p>
    <w:p w14:paraId="49115FE9">
      <w:pPr>
        <w:tabs>
          <w:tab w:val="left" w:pos="567"/>
        </w:tabs>
        <w:autoSpaceDE w:val="0"/>
        <w:autoSpaceDN w:val="0"/>
        <w:adjustRightInd w:val="0"/>
        <w:spacing w:line="360" w:lineRule="auto"/>
        <w:jc w:val="left"/>
        <w:outlineLvl w:val="2"/>
        <w:rPr>
          <w:rFonts w:ascii="宋体" w:hAnsi="宋体" w:eastAsia="宋体" w:cs="宋体"/>
          <w:b/>
          <w:color w:val="auto"/>
          <w:kern w:val="0"/>
          <w:szCs w:val="21"/>
          <w:highlight w:val="none"/>
        </w:rPr>
      </w:pPr>
      <w:r>
        <w:rPr>
          <w:rFonts w:ascii="宋体" w:hAnsi="宋体" w:eastAsia="宋体" w:cs="宋体"/>
          <w:b/>
          <w:color w:val="auto"/>
          <w:kern w:val="0"/>
          <w:sz w:val="30"/>
          <w:szCs w:val="30"/>
          <w:highlight w:val="none"/>
        </w:rPr>
        <w:br w:type="page"/>
      </w:r>
      <w:bookmarkStart w:id="568" w:name="_Toc102860421"/>
      <w:bookmarkStart w:id="569" w:name="_Toc142508372"/>
      <w:bookmarkStart w:id="570" w:name="_Toc94107212"/>
      <w:bookmarkStart w:id="571" w:name="_Toc9132"/>
      <w:bookmarkStart w:id="572" w:name="_Toc104991878"/>
      <w:bookmarkStart w:id="573" w:name="_Toc19248"/>
      <w:bookmarkStart w:id="574" w:name="_Toc17499"/>
      <w:bookmarkStart w:id="575" w:name="_Toc7441"/>
      <w:bookmarkStart w:id="576" w:name="_Toc140596931"/>
      <w:bookmarkStart w:id="577" w:name="_Toc102860077"/>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.3</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法定代表人身份证明书原件、法定代表人授权书原件格式（法定代表人投标时只需提供法定代表人身份证明书，委托他人为投标代表或签署投标文件时需同时提供法定代表人授权书）</w:t>
      </w:r>
      <w:bookmarkEnd w:id="568"/>
      <w:bookmarkEnd w:id="569"/>
      <w:bookmarkEnd w:id="570"/>
      <w:bookmarkEnd w:id="571"/>
      <w:bookmarkEnd w:id="572"/>
      <w:bookmarkEnd w:id="573"/>
      <w:bookmarkEnd w:id="574"/>
      <w:bookmarkEnd w:id="575"/>
      <w:bookmarkEnd w:id="576"/>
      <w:bookmarkEnd w:id="577"/>
    </w:p>
    <w:p w14:paraId="14E95C12">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544"/>
      <w:bookmarkEnd w:id="545"/>
      <w:bookmarkEnd w:id="546"/>
      <w:bookmarkEnd w:id="557"/>
    </w:p>
    <w:p w14:paraId="74766B0F">
      <w:pPr>
        <w:spacing w:before="120" w:after="120" w:line="360" w:lineRule="auto"/>
        <w:ind w:firstLine="608" w:firstLineChars="202"/>
        <w:jc w:val="center"/>
        <w:rPr>
          <w:rFonts w:ascii="宋体" w:hAnsi="宋体" w:eastAsia="宋体" w:cs="宋体"/>
          <w:b/>
          <w:color w:val="auto"/>
          <w:sz w:val="30"/>
          <w:szCs w:val="30"/>
          <w:highlight w:val="none"/>
        </w:rPr>
      </w:pPr>
    </w:p>
    <w:p w14:paraId="4E172C3E">
      <w:pPr>
        <w:spacing w:before="120" w:after="120" w:line="360" w:lineRule="auto"/>
        <w:ind w:firstLine="608" w:firstLineChars="202"/>
        <w:jc w:val="center"/>
        <w:rPr>
          <w:rFonts w:ascii="宋体" w:hAnsi="宋体" w:eastAsia="宋体" w:cs="宋体"/>
          <w:b/>
          <w:bCs/>
          <w:color w:val="auto"/>
          <w:sz w:val="30"/>
          <w:szCs w:val="30"/>
          <w:highlight w:val="none"/>
        </w:rPr>
      </w:pPr>
      <w:bookmarkStart w:id="578" w:name="_Toc11033_WPSOffice_Level3"/>
      <w:r>
        <w:rPr>
          <w:rFonts w:hint="eastAsia" w:ascii="宋体" w:hAnsi="宋体" w:eastAsia="宋体" w:cs="宋体"/>
          <w:b/>
          <w:color w:val="auto"/>
          <w:sz w:val="30"/>
          <w:szCs w:val="30"/>
          <w:highlight w:val="none"/>
        </w:rPr>
        <w:t>法定代</w:t>
      </w:r>
      <w:bookmarkStart w:id="579" w:name="_Toc36971359"/>
      <w:bookmarkStart w:id="580" w:name="_Toc45995270"/>
      <w:r>
        <w:rPr>
          <w:rFonts w:hint="eastAsia" w:ascii="宋体" w:hAnsi="宋体" w:eastAsia="宋体" w:cs="宋体"/>
          <w:b/>
          <w:color w:val="auto"/>
          <w:sz w:val="30"/>
          <w:szCs w:val="30"/>
          <w:highlight w:val="none"/>
        </w:rPr>
        <w:t>表人身份证明书</w:t>
      </w:r>
      <w:bookmarkEnd w:id="578"/>
    </w:p>
    <w:bookmarkEnd w:id="579"/>
    <w:bookmarkEnd w:id="580"/>
    <w:p w14:paraId="31892E9B">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248A2348">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33627D38">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53663BB7">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601A12E3">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50FF03CF">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4E5EEC1D">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14:paraId="077EA254">
      <w:pPr>
        <w:spacing w:before="120" w:after="120" w:line="360" w:lineRule="auto"/>
        <w:ind w:left="340" w:leftChars="162" w:firstLine="4740"/>
        <w:rPr>
          <w:rFonts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14:paraId="59A6716C">
      <w:pPr>
        <w:autoSpaceDE w:val="0"/>
        <w:autoSpaceDN w:val="0"/>
        <w:adjustRightInd w:val="0"/>
        <w:spacing w:line="360" w:lineRule="auto"/>
        <w:ind w:right="1010" w:rightChars="481" w:firstLine="6090" w:firstLineChars="29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6BD79209">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0C8744B1"/>
                          <w:p w14:paraId="6BDCD55A"/>
                          <w:p w14:paraId="70B16819"/>
                          <w:p w14:paraId="24C6C1A7"/>
                          <w:p w14:paraId="4BFCB31E">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0C8744B1"/>
                    <w:p w14:paraId="6BDCD55A"/>
                    <w:p w14:paraId="70B16819"/>
                    <w:p w14:paraId="24C6C1A7"/>
                    <w:p w14:paraId="4BFCB31E">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12C9C3B1"/>
                          <w:p w14:paraId="42B64C25"/>
                          <w:p w14:paraId="0D4DCB44"/>
                          <w:p w14:paraId="780EDC48"/>
                          <w:p w14:paraId="5E64A35A">
                            <w:pPr>
                              <w:jc w:val="center"/>
                              <w:rPr>
                                <w:szCs w:val="21"/>
                              </w:rPr>
                            </w:pPr>
                            <w:r>
                              <w:rPr>
                                <w:rFonts w:hint="eastAsia"/>
                                <w:szCs w:val="21"/>
                              </w:rPr>
                              <w:t>法定代表人身份证反面</w:t>
                            </w:r>
                          </w:p>
                          <w:p w14:paraId="19192470">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12C9C3B1"/>
                    <w:p w14:paraId="42B64C25"/>
                    <w:p w14:paraId="0D4DCB44"/>
                    <w:p w14:paraId="780EDC48"/>
                    <w:p w14:paraId="5E64A35A">
                      <w:pPr>
                        <w:jc w:val="center"/>
                        <w:rPr>
                          <w:szCs w:val="21"/>
                        </w:rPr>
                      </w:pPr>
                      <w:r>
                        <w:rPr>
                          <w:rFonts w:hint="eastAsia"/>
                          <w:szCs w:val="21"/>
                        </w:rPr>
                        <w:t>法定代表人身份证反面</w:t>
                      </w:r>
                    </w:p>
                    <w:p w14:paraId="19192470">
                      <w:pPr>
                        <w:jc w:val="center"/>
                        <w:rPr>
                          <w:szCs w:val="21"/>
                        </w:rPr>
                      </w:pP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7EDD356F"/>
                          <w:p w14:paraId="43D8191D"/>
                          <w:p w14:paraId="7D8098FC"/>
                          <w:p w14:paraId="0185593F"/>
                          <w:p w14:paraId="69400422">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7EDD356F"/>
                    <w:p w14:paraId="43D8191D"/>
                    <w:p w14:paraId="7D8098FC"/>
                    <w:p w14:paraId="0185593F"/>
                    <w:p w14:paraId="69400422">
                      <w:pPr>
                        <w:jc w:val="center"/>
                      </w:pPr>
                      <w:r>
                        <w:rPr>
                          <w:rFonts w:hint="eastAsia"/>
                        </w:rPr>
                        <w:t>身份证正面</w:t>
                      </w:r>
                    </w:p>
                  </w:txbxContent>
                </v:textbox>
              </v:shape>
            </w:pict>
          </mc:Fallback>
        </mc:AlternateContent>
      </w:r>
    </w:p>
    <w:p w14:paraId="67E923CD">
      <w:pPr>
        <w:autoSpaceDE w:val="0"/>
        <w:autoSpaceDN w:val="0"/>
        <w:adjustRightInd w:val="0"/>
        <w:jc w:val="left"/>
        <w:rPr>
          <w:rFonts w:ascii="宋体" w:hAnsi="宋体" w:eastAsia="宋体" w:cs="宋体"/>
          <w:color w:val="auto"/>
          <w:kern w:val="0"/>
          <w:sz w:val="24"/>
          <w:szCs w:val="24"/>
          <w:highlight w:val="none"/>
        </w:rPr>
      </w:pPr>
    </w:p>
    <w:p w14:paraId="363FBE2F">
      <w:pPr>
        <w:autoSpaceDE w:val="0"/>
        <w:autoSpaceDN w:val="0"/>
        <w:adjustRightInd w:val="0"/>
        <w:jc w:val="left"/>
        <w:rPr>
          <w:rFonts w:ascii="宋体" w:hAnsi="宋体" w:eastAsia="宋体" w:cs="宋体"/>
          <w:color w:val="auto"/>
          <w:kern w:val="0"/>
          <w:sz w:val="24"/>
          <w:szCs w:val="24"/>
          <w:highlight w:val="none"/>
        </w:rPr>
      </w:pPr>
    </w:p>
    <w:p w14:paraId="7BCD4A8C">
      <w:pPr>
        <w:autoSpaceDE w:val="0"/>
        <w:autoSpaceDN w:val="0"/>
        <w:adjustRightInd w:val="0"/>
        <w:jc w:val="left"/>
        <w:rPr>
          <w:rFonts w:ascii="宋体" w:hAnsi="宋体" w:eastAsia="宋体" w:cs="宋体"/>
          <w:color w:val="auto"/>
          <w:kern w:val="0"/>
          <w:sz w:val="24"/>
          <w:szCs w:val="24"/>
          <w:highlight w:val="none"/>
        </w:rPr>
      </w:pPr>
    </w:p>
    <w:p w14:paraId="6C0442E4">
      <w:pPr>
        <w:autoSpaceDE w:val="0"/>
        <w:autoSpaceDN w:val="0"/>
        <w:adjustRightInd w:val="0"/>
        <w:jc w:val="left"/>
        <w:rPr>
          <w:rFonts w:ascii="宋体" w:hAnsi="宋体" w:eastAsia="宋体" w:cs="宋体"/>
          <w:color w:val="auto"/>
          <w:kern w:val="0"/>
          <w:sz w:val="24"/>
          <w:szCs w:val="24"/>
          <w:highlight w:val="none"/>
        </w:rPr>
      </w:pPr>
    </w:p>
    <w:p w14:paraId="61790D35">
      <w:pPr>
        <w:autoSpaceDE w:val="0"/>
        <w:autoSpaceDN w:val="0"/>
        <w:adjustRightInd w:val="0"/>
        <w:jc w:val="left"/>
        <w:rPr>
          <w:rFonts w:ascii="宋体" w:hAnsi="宋体" w:eastAsia="宋体" w:cs="宋体"/>
          <w:color w:val="auto"/>
          <w:kern w:val="0"/>
          <w:sz w:val="24"/>
          <w:szCs w:val="24"/>
          <w:highlight w:val="none"/>
        </w:rPr>
      </w:pPr>
    </w:p>
    <w:p w14:paraId="33AA444F">
      <w:pPr>
        <w:autoSpaceDE w:val="0"/>
        <w:autoSpaceDN w:val="0"/>
        <w:adjustRightInd w:val="0"/>
        <w:jc w:val="left"/>
        <w:rPr>
          <w:rFonts w:ascii="宋体" w:hAnsi="宋体" w:eastAsia="宋体" w:cs="宋体"/>
          <w:color w:val="auto"/>
          <w:kern w:val="0"/>
          <w:sz w:val="24"/>
          <w:szCs w:val="24"/>
          <w:highlight w:val="none"/>
        </w:rPr>
      </w:pPr>
    </w:p>
    <w:p w14:paraId="2CDD7BC6">
      <w:pPr>
        <w:autoSpaceDE w:val="0"/>
        <w:autoSpaceDN w:val="0"/>
        <w:adjustRightInd w:val="0"/>
        <w:jc w:val="left"/>
        <w:rPr>
          <w:rFonts w:ascii="宋体" w:hAnsi="宋体" w:eastAsia="宋体" w:cs="宋体"/>
          <w:color w:val="auto"/>
          <w:kern w:val="0"/>
          <w:sz w:val="24"/>
          <w:szCs w:val="24"/>
          <w:highlight w:val="none"/>
        </w:rPr>
      </w:pPr>
    </w:p>
    <w:p w14:paraId="56308AD4">
      <w:pPr>
        <w:autoSpaceDE w:val="0"/>
        <w:autoSpaceDN w:val="0"/>
        <w:adjustRightInd w:val="0"/>
        <w:jc w:val="left"/>
        <w:rPr>
          <w:rFonts w:ascii="宋体" w:hAnsi="宋体" w:eastAsia="宋体" w:cs="宋体"/>
          <w:color w:val="auto"/>
          <w:kern w:val="0"/>
          <w:sz w:val="24"/>
          <w:szCs w:val="24"/>
          <w:highlight w:val="none"/>
        </w:rPr>
      </w:pPr>
    </w:p>
    <w:p w14:paraId="464E596D">
      <w:pPr>
        <w:autoSpaceDE w:val="0"/>
        <w:autoSpaceDN w:val="0"/>
        <w:adjustRightInd w:val="0"/>
        <w:jc w:val="left"/>
        <w:rPr>
          <w:rFonts w:ascii="宋体" w:hAnsi="宋体" w:eastAsia="宋体" w:cs="宋体"/>
          <w:color w:val="auto"/>
          <w:kern w:val="0"/>
          <w:sz w:val="24"/>
          <w:szCs w:val="24"/>
          <w:highlight w:val="none"/>
        </w:rPr>
      </w:pPr>
    </w:p>
    <w:p w14:paraId="17BA1CFE">
      <w:pPr>
        <w:autoSpaceDE w:val="0"/>
        <w:autoSpaceDN w:val="0"/>
        <w:adjustRightInd w:val="0"/>
        <w:jc w:val="left"/>
        <w:rPr>
          <w:rFonts w:ascii="宋体" w:hAnsi="宋体" w:eastAsia="宋体" w:cs="宋体"/>
          <w:b/>
          <w:color w:val="auto"/>
          <w:kern w:val="0"/>
          <w:szCs w:val="21"/>
          <w:highlight w:val="none"/>
        </w:rPr>
      </w:pPr>
    </w:p>
    <w:p w14:paraId="2B71C09A">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14:paraId="4E94E51D">
      <w:pPr>
        <w:autoSpaceDE w:val="0"/>
        <w:autoSpaceDN w:val="0"/>
        <w:adjustRightInd w:val="0"/>
        <w:jc w:val="left"/>
        <w:rPr>
          <w:rFonts w:ascii="宋体" w:hAnsi="宋体" w:eastAsia="宋体" w:cs="宋体"/>
          <w:color w:val="auto"/>
          <w:kern w:val="0"/>
          <w:szCs w:val="21"/>
          <w:highlight w:val="none"/>
        </w:rPr>
      </w:pPr>
    </w:p>
    <w:p w14:paraId="48A9904D">
      <w:pPr>
        <w:spacing w:before="120" w:after="120" w:line="360" w:lineRule="auto"/>
        <w:ind w:firstLine="424" w:firstLineChars="202"/>
        <w:rPr>
          <w:rFonts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491"/>
      <w:bookmarkEnd w:id="492"/>
      <w:bookmarkEnd w:id="493"/>
      <w:bookmarkStart w:id="581" w:name="_Toc486167713"/>
      <w:bookmarkStart w:id="582" w:name="_Toc1977727"/>
      <w:bookmarkStart w:id="583" w:name="_Toc6240_WPSOffice_Level2"/>
      <w:bookmarkStart w:id="584" w:name="_Toc533708125"/>
      <w:r>
        <w:rPr>
          <w:rFonts w:hint="eastAsia" w:ascii="宋体" w:hAnsi="宋体" w:eastAsia="宋体" w:cs="宋体"/>
          <w:b/>
          <w:color w:val="auto"/>
          <w:szCs w:val="24"/>
          <w:highlight w:val="none"/>
        </w:rPr>
        <w:t>（2）法定代表人授权书格式</w:t>
      </w:r>
      <w:bookmarkEnd w:id="581"/>
      <w:bookmarkEnd w:id="582"/>
      <w:bookmarkEnd w:id="583"/>
      <w:bookmarkEnd w:id="584"/>
    </w:p>
    <w:p w14:paraId="07AEF15C">
      <w:pPr>
        <w:autoSpaceDE w:val="0"/>
        <w:autoSpaceDN w:val="0"/>
        <w:adjustRightInd w:val="0"/>
        <w:spacing w:line="360" w:lineRule="auto"/>
        <w:jc w:val="center"/>
        <w:rPr>
          <w:rFonts w:ascii="宋体" w:hAnsi="宋体" w:eastAsia="宋体" w:cs="宋体"/>
          <w:b/>
          <w:bCs/>
          <w:color w:val="auto"/>
          <w:sz w:val="30"/>
          <w:szCs w:val="30"/>
          <w:highlight w:val="none"/>
          <w:lang w:val="zh-CN"/>
        </w:rPr>
      </w:pPr>
    </w:p>
    <w:p w14:paraId="041CD3BB">
      <w:pPr>
        <w:autoSpaceDE w:val="0"/>
        <w:autoSpaceDN w:val="0"/>
        <w:adjustRightInd w:val="0"/>
        <w:spacing w:line="360" w:lineRule="auto"/>
        <w:jc w:val="center"/>
        <w:outlineLvl w:val="2"/>
        <w:rPr>
          <w:rFonts w:ascii="宋体" w:hAnsi="宋体" w:eastAsia="宋体" w:cs="宋体"/>
          <w:b/>
          <w:bCs/>
          <w:color w:val="auto"/>
          <w:sz w:val="30"/>
          <w:szCs w:val="30"/>
          <w:highlight w:val="none"/>
          <w:lang w:val="zh-CN"/>
        </w:rPr>
      </w:pPr>
      <w:bookmarkStart w:id="585" w:name="_Toc6614"/>
      <w:bookmarkStart w:id="586" w:name="_Toc29146_WPSOffice_Level3"/>
      <w:r>
        <w:rPr>
          <w:rFonts w:hint="eastAsia" w:ascii="宋体" w:hAnsi="宋体" w:eastAsia="宋体" w:cs="宋体"/>
          <w:b/>
          <w:bCs/>
          <w:color w:val="auto"/>
          <w:sz w:val="30"/>
          <w:szCs w:val="30"/>
          <w:highlight w:val="none"/>
          <w:lang w:val="zh-CN"/>
        </w:rPr>
        <w:t>法定代表人授权书</w:t>
      </w:r>
      <w:bookmarkEnd w:id="585"/>
      <w:bookmarkEnd w:id="586"/>
    </w:p>
    <w:p w14:paraId="5C41045E">
      <w:pPr>
        <w:autoSpaceDE w:val="0"/>
        <w:autoSpaceDN w:val="0"/>
        <w:adjustRightInd w:val="0"/>
        <w:spacing w:line="360" w:lineRule="auto"/>
        <w:jc w:val="center"/>
        <w:rPr>
          <w:rFonts w:ascii="宋体" w:hAnsi="宋体" w:eastAsia="宋体" w:cs="宋体"/>
          <w:color w:val="auto"/>
          <w:szCs w:val="28"/>
          <w:highlight w:val="none"/>
          <w:lang w:val="zh-CN"/>
        </w:rPr>
      </w:pPr>
    </w:p>
    <w:p w14:paraId="62DBED39">
      <w:pPr>
        <w:spacing w:before="120" w:after="120" w:line="360" w:lineRule="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致：东莞市水务集团管网有限公司</w:t>
      </w:r>
    </w:p>
    <w:p w14:paraId="72FF144C">
      <w:pPr>
        <w:spacing w:before="120" w:after="120"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lang w:eastAsia="zh-CN"/>
        </w:rPr>
        <w:t>东莞市水务集团管网有限公司2025年保安服务采购项目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YDZB24DGQY0200</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14:paraId="329B6606">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2E56D92B">
      <w:pPr>
        <w:spacing w:before="120" w:after="120" w:line="360" w:lineRule="auto"/>
        <w:ind w:left="348" w:leftChars="136" w:hanging="62"/>
        <w:rPr>
          <w:rFonts w:ascii="宋体" w:hAnsi="宋体" w:eastAsia="宋体" w:cs="宋体"/>
          <w:color w:val="auto"/>
          <w:szCs w:val="24"/>
          <w:highlight w:val="none"/>
        </w:rPr>
      </w:pPr>
    </w:p>
    <w:p w14:paraId="45844ECA">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14:paraId="5738E07A">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14:paraId="2BF89839">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14:paraId="39741EDA">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4C630E5B">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14:paraId="04EA4B76">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1702525D">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53CF094D">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5F11EA6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14:paraId="62EABC0E">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0F9E29D0"/>
                          <w:p w14:paraId="29AC959B"/>
                          <w:p w14:paraId="028749DD"/>
                          <w:p w14:paraId="750E2CFD"/>
                          <w:p w14:paraId="54CE88CE">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0F9E29D0"/>
                    <w:p w14:paraId="29AC959B"/>
                    <w:p w14:paraId="028749DD"/>
                    <w:p w14:paraId="750E2CFD"/>
                    <w:p w14:paraId="54CE88CE">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0A4769F8"/>
                          <w:p w14:paraId="7CBBAA5F"/>
                          <w:p w14:paraId="569264F5"/>
                          <w:p w14:paraId="0A3DAF46"/>
                          <w:p w14:paraId="75DF7B88">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0A4769F8"/>
                    <w:p w14:paraId="7CBBAA5F"/>
                    <w:p w14:paraId="569264F5"/>
                    <w:p w14:paraId="0A3DAF46"/>
                    <w:p w14:paraId="75DF7B88">
                      <w:pPr>
                        <w:jc w:val="center"/>
                        <w:rPr>
                          <w:rFonts w:hAnsi="宋体"/>
                        </w:rPr>
                      </w:pPr>
                      <w:r>
                        <w:rPr>
                          <w:rFonts w:hint="eastAsia" w:hAnsi="宋体"/>
                        </w:rPr>
                        <w:t>法定代表人身份证正面</w:t>
                      </w:r>
                    </w:p>
                  </w:txbxContent>
                </v:textbox>
              </v:shape>
            </w:pict>
          </mc:Fallback>
        </mc:AlternateContent>
      </w:r>
    </w:p>
    <w:p w14:paraId="0775BBE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F319C7C">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527631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C22841A">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9E4E011">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9C8CEF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6D9B6DD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B3E5861">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6C98FCFA">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0D4224AA"/>
                          <w:p w14:paraId="7E5454D6">
                            <w:pPr>
                              <w:jc w:val="center"/>
                              <w:rPr>
                                <w:rFonts w:hAnsi="宋体"/>
                                <w:color w:val="FF0000"/>
                              </w:rPr>
                            </w:pPr>
                          </w:p>
                          <w:p w14:paraId="7E1CB95E">
                            <w:pPr>
                              <w:jc w:val="center"/>
                              <w:rPr>
                                <w:rFonts w:hAnsi="宋体"/>
                                <w:color w:val="FF0000"/>
                              </w:rPr>
                            </w:pPr>
                          </w:p>
                          <w:p w14:paraId="22927DB2">
                            <w:pPr>
                              <w:jc w:val="center"/>
                              <w:rPr>
                                <w:rFonts w:hAnsi="宋体"/>
                                <w:color w:val="FF0000"/>
                              </w:rPr>
                            </w:pPr>
                          </w:p>
                          <w:p w14:paraId="256F7931">
                            <w:pPr>
                              <w:jc w:val="center"/>
                            </w:pPr>
                            <w:r>
                              <w:rPr>
                                <w:rFonts w:hint="eastAsia" w:hAnsi="宋体"/>
                              </w:rPr>
                              <w:t>被授权人身份证反面</w:t>
                            </w:r>
                          </w:p>
                          <w:p w14:paraId="552B2F4D"/>
                          <w:p w14:paraId="0084E72A"/>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0D4224AA"/>
                    <w:p w14:paraId="7E5454D6">
                      <w:pPr>
                        <w:jc w:val="center"/>
                        <w:rPr>
                          <w:rFonts w:hAnsi="宋体"/>
                          <w:color w:val="FF0000"/>
                        </w:rPr>
                      </w:pPr>
                    </w:p>
                    <w:p w14:paraId="7E1CB95E">
                      <w:pPr>
                        <w:jc w:val="center"/>
                        <w:rPr>
                          <w:rFonts w:hAnsi="宋体"/>
                          <w:color w:val="FF0000"/>
                        </w:rPr>
                      </w:pPr>
                    </w:p>
                    <w:p w14:paraId="22927DB2">
                      <w:pPr>
                        <w:jc w:val="center"/>
                        <w:rPr>
                          <w:rFonts w:hAnsi="宋体"/>
                          <w:color w:val="FF0000"/>
                        </w:rPr>
                      </w:pPr>
                    </w:p>
                    <w:p w14:paraId="256F7931">
                      <w:pPr>
                        <w:jc w:val="center"/>
                      </w:pPr>
                      <w:r>
                        <w:rPr>
                          <w:rFonts w:hint="eastAsia" w:hAnsi="宋体"/>
                        </w:rPr>
                        <w:t>被授权人身份证反面</w:t>
                      </w:r>
                    </w:p>
                    <w:p w14:paraId="552B2F4D"/>
                    <w:p w14:paraId="0084E72A"/>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04722D22"/>
                          <w:p w14:paraId="005E638F">
                            <w:pPr>
                              <w:jc w:val="center"/>
                              <w:rPr>
                                <w:rFonts w:hAnsi="宋体"/>
                                <w:color w:val="FF0000"/>
                              </w:rPr>
                            </w:pPr>
                          </w:p>
                          <w:p w14:paraId="7AB15322">
                            <w:pPr>
                              <w:jc w:val="center"/>
                              <w:rPr>
                                <w:rFonts w:hAnsi="宋体"/>
                                <w:color w:val="FF0000"/>
                              </w:rPr>
                            </w:pPr>
                          </w:p>
                          <w:p w14:paraId="5DB6C680">
                            <w:pPr>
                              <w:jc w:val="center"/>
                              <w:rPr>
                                <w:rFonts w:hAnsi="宋体"/>
                                <w:color w:val="FF0000"/>
                              </w:rPr>
                            </w:pPr>
                          </w:p>
                          <w:p w14:paraId="7FFB78B4">
                            <w:pPr>
                              <w:jc w:val="center"/>
                            </w:pPr>
                            <w:r>
                              <w:rPr>
                                <w:rFonts w:hint="eastAsia" w:hAnsi="宋体"/>
                              </w:rPr>
                              <w:t>被授权人身份证正面</w:t>
                            </w:r>
                          </w:p>
                          <w:p w14:paraId="1DBF011A"/>
                          <w:p w14:paraId="11C097F4"/>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04722D22"/>
                    <w:p w14:paraId="005E638F">
                      <w:pPr>
                        <w:jc w:val="center"/>
                        <w:rPr>
                          <w:rFonts w:hAnsi="宋体"/>
                          <w:color w:val="FF0000"/>
                        </w:rPr>
                      </w:pPr>
                    </w:p>
                    <w:p w14:paraId="7AB15322">
                      <w:pPr>
                        <w:jc w:val="center"/>
                        <w:rPr>
                          <w:rFonts w:hAnsi="宋体"/>
                          <w:color w:val="FF0000"/>
                        </w:rPr>
                      </w:pPr>
                    </w:p>
                    <w:p w14:paraId="5DB6C680">
                      <w:pPr>
                        <w:jc w:val="center"/>
                        <w:rPr>
                          <w:rFonts w:hAnsi="宋体"/>
                          <w:color w:val="FF0000"/>
                        </w:rPr>
                      </w:pPr>
                    </w:p>
                    <w:p w14:paraId="7FFB78B4">
                      <w:pPr>
                        <w:jc w:val="center"/>
                      </w:pPr>
                      <w:r>
                        <w:rPr>
                          <w:rFonts w:hint="eastAsia" w:hAnsi="宋体"/>
                        </w:rPr>
                        <w:t>被授权人身份证正面</w:t>
                      </w:r>
                    </w:p>
                    <w:p w14:paraId="1DBF011A"/>
                    <w:p w14:paraId="11C097F4"/>
                  </w:txbxContent>
                </v:textbox>
              </v:shape>
            </w:pict>
          </mc:Fallback>
        </mc:AlternateContent>
      </w:r>
    </w:p>
    <w:p w14:paraId="07DFC4FA">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DD5D35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7DB08E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178DD6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248110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3693B06">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6" w:type="first"/>
          <w:footerReference r:id="rId5"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6A837C8C">
      <w:pPr>
        <w:keepNext w:val="0"/>
        <w:keepLines w:val="0"/>
        <w:pageBreakBefore w:val="0"/>
        <w:widowControl w:val="0"/>
        <w:kinsoku/>
        <w:wordWrap/>
        <w:overflowPunct/>
        <w:topLinePunct w:val="0"/>
        <w:autoSpaceDE/>
        <w:autoSpaceDN/>
        <w:bidi w:val="0"/>
        <w:adjustRightInd/>
        <w:snapToGrid/>
        <w:spacing w:line="360" w:lineRule="auto"/>
        <w:ind w:left="544" w:hanging="754"/>
        <w:textAlignment w:val="auto"/>
        <w:outlineLvl w:val="2"/>
        <w:rPr>
          <w:rFonts w:ascii="宋体" w:hAnsi="宋体" w:eastAsia="宋体" w:cs="宋体"/>
          <w:b/>
          <w:color w:val="auto"/>
          <w:kern w:val="0"/>
          <w:sz w:val="30"/>
          <w:szCs w:val="30"/>
        </w:rPr>
      </w:pPr>
      <w:bookmarkStart w:id="587" w:name="_Toc176453447"/>
      <w:bookmarkStart w:id="588" w:name="_Toc177203318"/>
      <w:bookmarkStart w:id="589" w:name="_Toc15048"/>
      <w:bookmarkStart w:id="590" w:name="_Toc22024"/>
      <w:bookmarkStart w:id="591" w:name="_Toc12400"/>
      <w:bookmarkStart w:id="592" w:name="_Toc32328"/>
      <w:bookmarkStart w:id="593" w:name="_Toc15716"/>
      <w:bookmarkStart w:id="594" w:name="_Toc104991880"/>
      <w:bookmarkStart w:id="595" w:name="_Toc142508373"/>
      <w:bookmarkStart w:id="596" w:name="_Toc94107214"/>
      <w:bookmarkStart w:id="597" w:name="_Toc140596933"/>
      <w:bookmarkStart w:id="598" w:name="_Toc1977730"/>
      <w:r>
        <w:rPr>
          <w:rFonts w:ascii="宋体" w:hAnsi="宋体" w:eastAsia="宋体" w:cs="宋体"/>
          <w:b/>
          <w:color w:val="auto"/>
          <w:kern w:val="0"/>
          <w:sz w:val="30"/>
          <w:szCs w:val="30"/>
        </w:rPr>
        <w:t xml:space="preserve">5.4 </w:t>
      </w:r>
      <w:r>
        <w:rPr>
          <w:rFonts w:hint="eastAsia" w:ascii="宋体" w:hAnsi="宋体" w:eastAsia="宋体" w:cs="宋体"/>
          <w:b/>
          <w:color w:val="auto"/>
          <w:kern w:val="0"/>
          <w:sz w:val="30"/>
          <w:szCs w:val="30"/>
        </w:rPr>
        <w:t>《保安服务许可证》复印件（非广东省内注册的投标人在东莞市从事保安服务的还应提供东莞市公安局出具的保安从业单位备案回执单复印件）</w:t>
      </w:r>
      <w:bookmarkEnd w:id="587"/>
      <w:bookmarkEnd w:id="588"/>
      <w:bookmarkEnd w:id="589"/>
      <w:bookmarkEnd w:id="590"/>
    </w:p>
    <w:p w14:paraId="5A9C7C64">
      <w:pPr>
        <w:pStyle w:val="5"/>
        <w:pageBreakBefore/>
        <w:spacing w:line="360" w:lineRule="auto"/>
        <w:rPr>
          <w:rFonts w:hint="eastAsia" w:hAnsi="宋体" w:eastAsia="宋体"/>
          <w:b/>
          <w:color w:val="auto"/>
          <w:sz w:val="30"/>
          <w:szCs w:val="30"/>
          <w:highlight w:val="none"/>
          <w:lang w:val="zh-CN" w:eastAsia="zh-CN"/>
        </w:rPr>
      </w:pPr>
      <w:bookmarkStart w:id="599" w:name="_Toc28083"/>
      <w:r>
        <w:rPr>
          <w:rFonts w:hint="eastAsia" w:hAnsi="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w:t>
      </w:r>
      <w:r>
        <w:rPr>
          <w:rFonts w:hint="eastAsia" w:hAnsi="宋体" w:cs="宋体"/>
          <w:b/>
          <w:color w:val="auto"/>
          <w:kern w:val="0"/>
          <w:sz w:val="30"/>
          <w:szCs w:val="30"/>
          <w:highlight w:val="none"/>
          <w:lang w:val="en-US" w:eastAsia="zh-CN"/>
        </w:rPr>
        <w:t>5</w:t>
      </w:r>
      <w:r>
        <w:rPr>
          <w:rFonts w:ascii="宋体" w:hAnsi="宋体" w:eastAsia="宋体" w:cs="宋体"/>
          <w:b/>
          <w:color w:val="auto"/>
          <w:kern w:val="0"/>
          <w:sz w:val="30"/>
          <w:szCs w:val="30"/>
          <w:highlight w:val="none"/>
        </w:rPr>
        <w:t xml:space="preserve"> </w:t>
      </w:r>
      <w:r>
        <w:rPr>
          <w:rFonts w:hint="eastAsia" w:hAnsi="宋体"/>
          <w:b/>
          <w:bCs/>
          <w:color w:val="auto"/>
          <w:kern w:val="2"/>
          <w:sz w:val="32"/>
          <w:szCs w:val="32"/>
          <w:highlight w:val="none"/>
        </w:rPr>
        <w:t>资格业绩</w:t>
      </w:r>
      <w:r>
        <w:rPr>
          <w:rFonts w:hint="eastAsia" w:ascii="宋体" w:hAnsi="宋体" w:eastAsia="宋体"/>
          <w:b/>
          <w:bCs/>
          <w:color w:val="auto"/>
          <w:sz w:val="32"/>
          <w:szCs w:val="32"/>
          <w:highlight w:val="none"/>
        </w:rPr>
        <w:t>【</w:t>
      </w:r>
      <w:bookmarkEnd w:id="591"/>
      <w:bookmarkEnd w:id="592"/>
      <w:bookmarkEnd w:id="593"/>
      <w:r>
        <w:rPr>
          <w:rFonts w:hint="eastAsia" w:hAnsi="宋体" w:cs="宋体"/>
          <w:b/>
          <w:color w:val="auto"/>
          <w:sz w:val="30"/>
          <w:szCs w:val="30"/>
        </w:rPr>
        <w:t>投标人</w:t>
      </w:r>
      <w:r>
        <w:rPr>
          <w:rFonts w:hAnsi="宋体" w:cs="宋体"/>
          <w:b/>
          <w:color w:val="auto"/>
          <w:sz w:val="30"/>
          <w:szCs w:val="30"/>
        </w:rPr>
        <w:t>202</w:t>
      </w:r>
      <w:r>
        <w:rPr>
          <w:rFonts w:hint="eastAsia" w:hAnsi="宋体" w:cs="宋体"/>
          <w:b/>
          <w:color w:val="auto"/>
          <w:sz w:val="30"/>
          <w:szCs w:val="30"/>
          <w:lang w:val="en-US" w:eastAsia="zh-CN"/>
        </w:rPr>
        <w:t>2</w:t>
      </w:r>
      <w:r>
        <w:rPr>
          <w:rFonts w:hint="eastAsia" w:hAnsi="宋体" w:cs="宋体"/>
          <w:b/>
          <w:color w:val="auto"/>
          <w:sz w:val="30"/>
          <w:szCs w:val="30"/>
        </w:rPr>
        <w:t>年</w:t>
      </w:r>
      <w:r>
        <w:rPr>
          <w:rFonts w:hAnsi="宋体" w:cs="宋体"/>
          <w:b/>
          <w:color w:val="auto"/>
          <w:sz w:val="30"/>
          <w:szCs w:val="30"/>
        </w:rPr>
        <w:t>1月1日以来具有一份</w:t>
      </w:r>
      <w:r>
        <w:rPr>
          <w:rFonts w:hint="default" w:hAnsi="宋体" w:cs="宋体"/>
          <w:b/>
          <w:color w:val="auto"/>
          <w:sz w:val="30"/>
          <w:szCs w:val="30"/>
          <w:lang w:val="en-US" w:eastAsia="zh-CN"/>
        </w:rPr>
        <w:t>已完成的</w:t>
      </w:r>
      <w:r>
        <w:rPr>
          <w:rFonts w:hAnsi="宋体" w:cs="宋体"/>
          <w:b/>
          <w:color w:val="auto"/>
          <w:sz w:val="30"/>
          <w:szCs w:val="30"/>
        </w:rPr>
        <w:t>保安服务项目业绩（合同签订日期为202</w:t>
      </w:r>
      <w:r>
        <w:rPr>
          <w:rFonts w:hint="eastAsia" w:hAnsi="宋体" w:cs="宋体"/>
          <w:b/>
          <w:color w:val="auto"/>
          <w:sz w:val="30"/>
          <w:szCs w:val="30"/>
          <w:lang w:val="en-US" w:eastAsia="zh-CN"/>
        </w:rPr>
        <w:t>2</w:t>
      </w:r>
      <w:r>
        <w:rPr>
          <w:rFonts w:hint="eastAsia" w:hAnsi="宋体" w:cs="宋体"/>
          <w:b/>
          <w:color w:val="auto"/>
          <w:sz w:val="30"/>
          <w:szCs w:val="30"/>
        </w:rPr>
        <w:t>年</w:t>
      </w:r>
      <w:r>
        <w:rPr>
          <w:rFonts w:hAnsi="宋体" w:cs="宋体"/>
          <w:b/>
          <w:color w:val="auto"/>
          <w:sz w:val="30"/>
          <w:szCs w:val="30"/>
        </w:rPr>
        <w:t>1月1日或以后）</w:t>
      </w:r>
      <w:r>
        <w:rPr>
          <w:rFonts w:hint="eastAsia" w:hAnsi="宋体" w:cs="宋体"/>
          <w:b/>
          <w:color w:val="auto"/>
          <w:sz w:val="30"/>
          <w:szCs w:val="30"/>
          <w:lang w:eastAsia="zh-CN"/>
        </w:rPr>
        <w:t>】</w:t>
      </w:r>
      <w:bookmarkEnd w:id="599"/>
    </w:p>
    <w:p w14:paraId="21C06BF6">
      <w:pPr>
        <w:spacing w:line="360" w:lineRule="auto"/>
        <w:rPr>
          <w:rFonts w:hint="eastAsia" w:ascii="宋体" w:hAnsi="宋体" w:eastAsia="宋体" w:cs="宋体"/>
          <w:b/>
          <w:color w:val="auto"/>
          <w:szCs w:val="21"/>
          <w:highlight w:val="none"/>
          <w:lang w:val="zh-CN"/>
        </w:rPr>
      </w:pPr>
    </w:p>
    <w:tbl>
      <w:tblPr>
        <w:tblStyle w:val="3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539"/>
        <w:gridCol w:w="780"/>
        <w:gridCol w:w="780"/>
        <w:gridCol w:w="782"/>
        <w:gridCol w:w="782"/>
        <w:gridCol w:w="782"/>
        <w:gridCol w:w="910"/>
        <w:gridCol w:w="782"/>
        <w:gridCol w:w="782"/>
        <w:gridCol w:w="782"/>
        <w:gridCol w:w="782"/>
        <w:gridCol w:w="643"/>
      </w:tblGrid>
      <w:tr w14:paraId="34D1F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295" w:type="pct"/>
            <w:noWrap w:val="0"/>
            <w:vAlign w:val="center"/>
          </w:tcPr>
          <w:p w14:paraId="188F85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27" w:type="pct"/>
            <w:noWrap w:val="0"/>
            <w:vAlign w:val="center"/>
          </w:tcPr>
          <w:p w14:paraId="5168436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427" w:type="pct"/>
            <w:noWrap w:val="0"/>
            <w:vAlign w:val="center"/>
          </w:tcPr>
          <w:p w14:paraId="1018E96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项目规模</w:t>
            </w:r>
          </w:p>
        </w:tc>
        <w:tc>
          <w:tcPr>
            <w:tcW w:w="428" w:type="pct"/>
            <w:noWrap w:val="0"/>
            <w:vAlign w:val="center"/>
          </w:tcPr>
          <w:p w14:paraId="2570CD9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合同金额（万元）</w:t>
            </w:r>
          </w:p>
        </w:tc>
        <w:tc>
          <w:tcPr>
            <w:tcW w:w="428" w:type="pct"/>
            <w:noWrap w:val="0"/>
            <w:vAlign w:val="center"/>
          </w:tcPr>
          <w:p w14:paraId="161E850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428" w:type="pct"/>
            <w:noWrap w:val="0"/>
            <w:vAlign w:val="center"/>
          </w:tcPr>
          <w:p w14:paraId="77C4057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合同期限</w:t>
            </w:r>
          </w:p>
        </w:tc>
        <w:tc>
          <w:tcPr>
            <w:tcW w:w="498" w:type="pct"/>
            <w:noWrap w:val="0"/>
            <w:vAlign w:val="center"/>
          </w:tcPr>
          <w:p w14:paraId="56B2E5B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428" w:type="pct"/>
            <w:noWrap w:val="0"/>
            <w:vAlign w:val="center"/>
          </w:tcPr>
          <w:p w14:paraId="248AE6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服务完成情况</w:t>
            </w:r>
          </w:p>
        </w:tc>
        <w:tc>
          <w:tcPr>
            <w:tcW w:w="428" w:type="pct"/>
            <w:noWrap w:val="0"/>
            <w:vAlign w:val="center"/>
          </w:tcPr>
          <w:p w14:paraId="269DE1F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服务质量情况</w:t>
            </w:r>
          </w:p>
        </w:tc>
        <w:tc>
          <w:tcPr>
            <w:tcW w:w="428" w:type="pct"/>
            <w:noWrap w:val="0"/>
            <w:vAlign w:val="center"/>
          </w:tcPr>
          <w:p w14:paraId="241FCEA5">
            <w:pPr>
              <w:pStyle w:val="17"/>
              <w:rPr>
                <w:color w:val="auto"/>
              </w:rPr>
            </w:pPr>
            <w:r>
              <w:rPr>
                <w:rFonts w:hint="eastAsia" w:ascii="宋体" w:hAnsi="宋体" w:eastAsia="宋体" w:cs="宋体"/>
                <w:color w:val="auto"/>
                <w:sz w:val="21"/>
                <w:szCs w:val="21"/>
                <w:highlight w:val="none"/>
                <w:lang w:val="en-US" w:eastAsia="zh-CN"/>
              </w:rPr>
              <w:t>是否已附验收证明或用户评价等证明文件</w:t>
            </w:r>
          </w:p>
          <w:p w14:paraId="470F12F0">
            <w:pPr>
              <w:tabs>
                <w:tab w:val="left" w:pos="268"/>
              </w:tabs>
              <w:jc w:val="left"/>
              <w:rPr>
                <w:rFonts w:hint="eastAsia" w:ascii="宋体" w:hAnsi="宋体" w:eastAsia="宋体" w:cs="宋体"/>
                <w:color w:val="auto"/>
                <w:sz w:val="21"/>
                <w:szCs w:val="21"/>
                <w:highlight w:val="none"/>
                <w:lang w:eastAsia="zh-CN"/>
              </w:rPr>
            </w:pPr>
          </w:p>
        </w:tc>
        <w:tc>
          <w:tcPr>
            <w:tcW w:w="428" w:type="pct"/>
            <w:noWrap w:val="0"/>
            <w:vAlign w:val="center"/>
          </w:tcPr>
          <w:p w14:paraId="7174FE0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352" w:type="pct"/>
            <w:noWrap w:val="0"/>
            <w:vAlign w:val="center"/>
          </w:tcPr>
          <w:p w14:paraId="71C8A7C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230E6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295" w:type="pct"/>
            <w:noWrap w:val="0"/>
            <w:vAlign w:val="center"/>
          </w:tcPr>
          <w:p w14:paraId="58162CE0">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427" w:type="pct"/>
            <w:noWrap w:val="0"/>
            <w:vAlign w:val="center"/>
          </w:tcPr>
          <w:p w14:paraId="4823DB93">
            <w:pPr>
              <w:jc w:val="center"/>
              <w:rPr>
                <w:rFonts w:hint="eastAsia" w:ascii="宋体" w:hAnsi="宋体" w:eastAsia="宋体" w:cs="宋体"/>
                <w:color w:val="auto"/>
                <w:sz w:val="21"/>
                <w:szCs w:val="21"/>
                <w:highlight w:val="none"/>
              </w:rPr>
            </w:pPr>
          </w:p>
        </w:tc>
        <w:tc>
          <w:tcPr>
            <w:tcW w:w="427" w:type="pct"/>
            <w:noWrap w:val="0"/>
            <w:vAlign w:val="center"/>
          </w:tcPr>
          <w:p w14:paraId="44E5F330">
            <w:pPr>
              <w:jc w:val="center"/>
              <w:rPr>
                <w:rFonts w:hint="eastAsia" w:ascii="宋体" w:hAnsi="宋体" w:eastAsia="宋体" w:cs="宋体"/>
                <w:color w:val="auto"/>
                <w:sz w:val="21"/>
                <w:szCs w:val="21"/>
                <w:highlight w:val="none"/>
              </w:rPr>
            </w:pPr>
          </w:p>
        </w:tc>
        <w:tc>
          <w:tcPr>
            <w:tcW w:w="428" w:type="pct"/>
            <w:noWrap w:val="0"/>
            <w:vAlign w:val="center"/>
          </w:tcPr>
          <w:p w14:paraId="52A259D0">
            <w:pPr>
              <w:jc w:val="center"/>
              <w:rPr>
                <w:rFonts w:hint="eastAsia" w:ascii="宋体" w:hAnsi="宋体" w:eastAsia="宋体" w:cs="宋体"/>
                <w:color w:val="auto"/>
                <w:sz w:val="21"/>
                <w:szCs w:val="21"/>
                <w:highlight w:val="none"/>
              </w:rPr>
            </w:pPr>
          </w:p>
        </w:tc>
        <w:tc>
          <w:tcPr>
            <w:tcW w:w="428" w:type="pct"/>
            <w:noWrap w:val="0"/>
            <w:vAlign w:val="center"/>
          </w:tcPr>
          <w:p w14:paraId="78C1040E">
            <w:pPr>
              <w:jc w:val="center"/>
              <w:rPr>
                <w:rFonts w:hint="eastAsia" w:ascii="宋体" w:hAnsi="宋体" w:eastAsia="宋体" w:cs="宋体"/>
                <w:color w:val="auto"/>
                <w:sz w:val="21"/>
                <w:szCs w:val="21"/>
                <w:highlight w:val="none"/>
              </w:rPr>
            </w:pPr>
          </w:p>
        </w:tc>
        <w:tc>
          <w:tcPr>
            <w:tcW w:w="428" w:type="pct"/>
            <w:noWrap w:val="0"/>
            <w:vAlign w:val="center"/>
          </w:tcPr>
          <w:p w14:paraId="7ECFE585">
            <w:pPr>
              <w:jc w:val="center"/>
              <w:rPr>
                <w:rFonts w:hint="eastAsia" w:ascii="宋体" w:hAnsi="宋体" w:eastAsia="宋体" w:cs="宋体"/>
                <w:color w:val="auto"/>
                <w:sz w:val="21"/>
                <w:szCs w:val="21"/>
                <w:highlight w:val="none"/>
              </w:rPr>
            </w:pPr>
          </w:p>
        </w:tc>
        <w:tc>
          <w:tcPr>
            <w:tcW w:w="498" w:type="pct"/>
            <w:noWrap w:val="0"/>
            <w:vAlign w:val="center"/>
          </w:tcPr>
          <w:p w14:paraId="5AED0047">
            <w:pPr>
              <w:jc w:val="center"/>
              <w:rPr>
                <w:rFonts w:hint="eastAsia" w:ascii="宋体" w:hAnsi="宋体" w:eastAsia="宋体" w:cs="宋体"/>
                <w:color w:val="auto"/>
                <w:sz w:val="21"/>
                <w:szCs w:val="21"/>
                <w:highlight w:val="none"/>
              </w:rPr>
            </w:pPr>
          </w:p>
        </w:tc>
        <w:tc>
          <w:tcPr>
            <w:tcW w:w="428" w:type="pct"/>
            <w:noWrap w:val="0"/>
            <w:vAlign w:val="top"/>
          </w:tcPr>
          <w:p w14:paraId="38362194">
            <w:pPr>
              <w:jc w:val="center"/>
              <w:rPr>
                <w:rFonts w:hint="eastAsia" w:ascii="宋体" w:hAnsi="宋体" w:eastAsia="宋体" w:cs="宋体"/>
                <w:color w:val="auto"/>
                <w:sz w:val="21"/>
                <w:szCs w:val="21"/>
                <w:highlight w:val="none"/>
              </w:rPr>
            </w:pPr>
          </w:p>
        </w:tc>
        <w:tc>
          <w:tcPr>
            <w:tcW w:w="428" w:type="pct"/>
            <w:noWrap w:val="0"/>
            <w:vAlign w:val="center"/>
          </w:tcPr>
          <w:p w14:paraId="396CD460">
            <w:pPr>
              <w:jc w:val="center"/>
              <w:rPr>
                <w:rFonts w:hint="eastAsia" w:ascii="宋体" w:hAnsi="宋体" w:eastAsia="宋体" w:cs="宋体"/>
                <w:color w:val="auto"/>
                <w:sz w:val="21"/>
                <w:szCs w:val="21"/>
                <w:highlight w:val="none"/>
              </w:rPr>
            </w:pPr>
          </w:p>
        </w:tc>
        <w:tc>
          <w:tcPr>
            <w:tcW w:w="428" w:type="pct"/>
            <w:noWrap w:val="0"/>
            <w:vAlign w:val="center"/>
          </w:tcPr>
          <w:p w14:paraId="5038F2B8">
            <w:pPr>
              <w:jc w:val="center"/>
              <w:rPr>
                <w:rFonts w:hint="eastAsia" w:ascii="宋体" w:hAnsi="宋体" w:eastAsia="宋体" w:cs="宋体"/>
                <w:color w:val="auto"/>
                <w:sz w:val="21"/>
                <w:szCs w:val="21"/>
                <w:highlight w:val="none"/>
              </w:rPr>
            </w:pPr>
          </w:p>
        </w:tc>
        <w:tc>
          <w:tcPr>
            <w:tcW w:w="428" w:type="pct"/>
            <w:noWrap w:val="0"/>
            <w:vAlign w:val="center"/>
          </w:tcPr>
          <w:p w14:paraId="701A005C">
            <w:pPr>
              <w:jc w:val="center"/>
              <w:rPr>
                <w:rFonts w:hint="eastAsia" w:ascii="宋体" w:hAnsi="宋体" w:eastAsia="宋体" w:cs="宋体"/>
                <w:color w:val="auto"/>
                <w:sz w:val="21"/>
                <w:szCs w:val="21"/>
                <w:highlight w:val="none"/>
              </w:rPr>
            </w:pPr>
          </w:p>
        </w:tc>
        <w:tc>
          <w:tcPr>
            <w:tcW w:w="352" w:type="pct"/>
            <w:noWrap w:val="0"/>
            <w:vAlign w:val="center"/>
          </w:tcPr>
          <w:p w14:paraId="7AE1ACBC">
            <w:pPr>
              <w:jc w:val="center"/>
              <w:rPr>
                <w:rFonts w:hint="eastAsia" w:ascii="宋体" w:hAnsi="宋体" w:eastAsia="宋体" w:cs="宋体"/>
                <w:color w:val="auto"/>
                <w:sz w:val="21"/>
                <w:szCs w:val="21"/>
                <w:highlight w:val="none"/>
              </w:rPr>
            </w:pPr>
          </w:p>
        </w:tc>
      </w:tr>
      <w:tr w14:paraId="7E906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295" w:type="pct"/>
            <w:noWrap w:val="0"/>
            <w:vAlign w:val="center"/>
          </w:tcPr>
          <w:p w14:paraId="7BAA95C6">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427" w:type="pct"/>
            <w:noWrap w:val="0"/>
            <w:vAlign w:val="center"/>
          </w:tcPr>
          <w:p w14:paraId="1D186566">
            <w:pPr>
              <w:jc w:val="center"/>
              <w:rPr>
                <w:rFonts w:hint="eastAsia" w:ascii="宋体" w:hAnsi="宋体" w:eastAsia="宋体" w:cs="宋体"/>
                <w:color w:val="auto"/>
                <w:sz w:val="21"/>
                <w:szCs w:val="21"/>
                <w:highlight w:val="none"/>
              </w:rPr>
            </w:pPr>
          </w:p>
        </w:tc>
        <w:tc>
          <w:tcPr>
            <w:tcW w:w="427" w:type="pct"/>
            <w:noWrap w:val="0"/>
            <w:vAlign w:val="center"/>
          </w:tcPr>
          <w:p w14:paraId="529BEFB8">
            <w:pPr>
              <w:jc w:val="center"/>
              <w:rPr>
                <w:rFonts w:hint="eastAsia" w:ascii="宋体" w:hAnsi="宋体" w:eastAsia="宋体" w:cs="宋体"/>
                <w:color w:val="auto"/>
                <w:sz w:val="21"/>
                <w:szCs w:val="21"/>
                <w:highlight w:val="none"/>
              </w:rPr>
            </w:pPr>
          </w:p>
        </w:tc>
        <w:tc>
          <w:tcPr>
            <w:tcW w:w="428" w:type="pct"/>
            <w:noWrap w:val="0"/>
            <w:vAlign w:val="center"/>
          </w:tcPr>
          <w:p w14:paraId="19A0FCCD">
            <w:pPr>
              <w:jc w:val="center"/>
              <w:rPr>
                <w:rFonts w:hint="eastAsia" w:ascii="宋体" w:hAnsi="宋体" w:eastAsia="宋体" w:cs="宋体"/>
                <w:color w:val="auto"/>
                <w:sz w:val="21"/>
                <w:szCs w:val="21"/>
                <w:highlight w:val="none"/>
              </w:rPr>
            </w:pPr>
          </w:p>
        </w:tc>
        <w:tc>
          <w:tcPr>
            <w:tcW w:w="428" w:type="pct"/>
            <w:noWrap w:val="0"/>
            <w:vAlign w:val="center"/>
          </w:tcPr>
          <w:p w14:paraId="1A26A95B">
            <w:pPr>
              <w:jc w:val="center"/>
              <w:rPr>
                <w:rFonts w:hint="eastAsia" w:ascii="宋体" w:hAnsi="宋体" w:eastAsia="宋体" w:cs="宋体"/>
                <w:color w:val="auto"/>
                <w:sz w:val="21"/>
                <w:szCs w:val="21"/>
                <w:highlight w:val="none"/>
              </w:rPr>
            </w:pPr>
          </w:p>
        </w:tc>
        <w:tc>
          <w:tcPr>
            <w:tcW w:w="428" w:type="pct"/>
            <w:noWrap w:val="0"/>
            <w:vAlign w:val="center"/>
          </w:tcPr>
          <w:p w14:paraId="47CF89AD">
            <w:pPr>
              <w:jc w:val="center"/>
              <w:rPr>
                <w:rFonts w:hint="eastAsia" w:ascii="宋体" w:hAnsi="宋体" w:eastAsia="宋体" w:cs="宋体"/>
                <w:color w:val="auto"/>
                <w:sz w:val="21"/>
                <w:szCs w:val="21"/>
                <w:highlight w:val="none"/>
              </w:rPr>
            </w:pPr>
          </w:p>
        </w:tc>
        <w:tc>
          <w:tcPr>
            <w:tcW w:w="498" w:type="pct"/>
            <w:noWrap w:val="0"/>
            <w:vAlign w:val="center"/>
          </w:tcPr>
          <w:p w14:paraId="2E2B466B">
            <w:pPr>
              <w:jc w:val="center"/>
              <w:rPr>
                <w:rFonts w:hint="eastAsia" w:ascii="宋体" w:hAnsi="宋体" w:eastAsia="宋体" w:cs="宋体"/>
                <w:color w:val="auto"/>
                <w:sz w:val="21"/>
                <w:szCs w:val="21"/>
                <w:highlight w:val="none"/>
              </w:rPr>
            </w:pPr>
          </w:p>
        </w:tc>
        <w:tc>
          <w:tcPr>
            <w:tcW w:w="428" w:type="pct"/>
            <w:noWrap w:val="0"/>
            <w:vAlign w:val="top"/>
          </w:tcPr>
          <w:p w14:paraId="6D6FA9EF">
            <w:pPr>
              <w:jc w:val="center"/>
              <w:rPr>
                <w:rFonts w:hint="eastAsia" w:ascii="宋体" w:hAnsi="宋体" w:eastAsia="宋体" w:cs="宋体"/>
                <w:color w:val="auto"/>
                <w:sz w:val="21"/>
                <w:szCs w:val="21"/>
                <w:highlight w:val="none"/>
              </w:rPr>
            </w:pPr>
          </w:p>
        </w:tc>
        <w:tc>
          <w:tcPr>
            <w:tcW w:w="428" w:type="pct"/>
            <w:noWrap w:val="0"/>
            <w:vAlign w:val="center"/>
          </w:tcPr>
          <w:p w14:paraId="4E805232">
            <w:pPr>
              <w:jc w:val="center"/>
              <w:rPr>
                <w:rFonts w:hint="eastAsia" w:ascii="宋体" w:hAnsi="宋体" w:eastAsia="宋体" w:cs="宋体"/>
                <w:color w:val="auto"/>
                <w:sz w:val="21"/>
                <w:szCs w:val="21"/>
                <w:highlight w:val="none"/>
              </w:rPr>
            </w:pPr>
          </w:p>
        </w:tc>
        <w:tc>
          <w:tcPr>
            <w:tcW w:w="428" w:type="pct"/>
            <w:noWrap w:val="0"/>
            <w:vAlign w:val="center"/>
          </w:tcPr>
          <w:p w14:paraId="0282FC53">
            <w:pPr>
              <w:jc w:val="center"/>
              <w:rPr>
                <w:rFonts w:hint="eastAsia" w:ascii="宋体" w:hAnsi="宋体" w:eastAsia="宋体" w:cs="宋体"/>
                <w:color w:val="auto"/>
                <w:sz w:val="21"/>
                <w:szCs w:val="21"/>
                <w:highlight w:val="none"/>
              </w:rPr>
            </w:pPr>
          </w:p>
        </w:tc>
        <w:tc>
          <w:tcPr>
            <w:tcW w:w="428" w:type="pct"/>
            <w:noWrap w:val="0"/>
            <w:vAlign w:val="center"/>
          </w:tcPr>
          <w:p w14:paraId="53904BB4">
            <w:pPr>
              <w:jc w:val="center"/>
              <w:rPr>
                <w:rFonts w:hint="eastAsia" w:ascii="宋体" w:hAnsi="宋体" w:eastAsia="宋体" w:cs="宋体"/>
                <w:color w:val="auto"/>
                <w:sz w:val="21"/>
                <w:szCs w:val="21"/>
                <w:highlight w:val="none"/>
              </w:rPr>
            </w:pPr>
          </w:p>
        </w:tc>
        <w:tc>
          <w:tcPr>
            <w:tcW w:w="352" w:type="pct"/>
            <w:noWrap w:val="0"/>
            <w:vAlign w:val="center"/>
          </w:tcPr>
          <w:p w14:paraId="2E68C29A">
            <w:pPr>
              <w:jc w:val="center"/>
              <w:rPr>
                <w:rFonts w:hint="eastAsia" w:ascii="宋体" w:hAnsi="宋体" w:eastAsia="宋体" w:cs="宋体"/>
                <w:color w:val="auto"/>
                <w:sz w:val="21"/>
                <w:szCs w:val="21"/>
                <w:highlight w:val="none"/>
              </w:rPr>
            </w:pPr>
          </w:p>
        </w:tc>
      </w:tr>
      <w:tr w14:paraId="328DD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295" w:type="pct"/>
            <w:noWrap w:val="0"/>
            <w:vAlign w:val="center"/>
          </w:tcPr>
          <w:p w14:paraId="5A24456E">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427" w:type="pct"/>
            <w:noWrap w:val="0"/>
            <w:vAlign w:val="center"/>
          </w:tcPr>
          <w:p w14:paraId="11EE3F6D">
            <w:pPr>
              <w:jc w:val="center"/>
              <w:rPr>
                <w:rFonts w:hint="eastAsia" w:ascii="宋体" w:hAnsi="宋体" w:eastAsia="宋体" w:cs="宋体"/>
                <w:color w:val="auto"/>
                <w:sz w:val="21"/>
                <w:szCs w:val="21"/>
                <w:highlight w:val="none"/>
              </w:rPr>
            </w:pPr>
          </w:p>
        </w:tc>
        <w:tc>
          <w:tcPr>
            <w:tcW w:w="427" w:type="pct"/>
            <w:noWrap w:val="0"/>
            <w:vAlign w:val="center"/>
          </w:tcPr>
          <w:p w14:paraId="746A6706">
            <w:pPr>
              <w:jc w:val="center"/>
              <w:rPr>
                <w:rFonts w:hint="eastAsia" w:ascii="宋体" w:hAnsi="宋体" w:eastAsia="宋体" w:cs="宋体"/>
                <w:color w:val="auto"/>
                <w:sz w:val="21"/>
                <w:szCs w:val="21"/>
                <w:highlight w:val="none"/>
              </w:rPr>
            </w:pPr>
          </w:p>
        </w:tc>
        <w:tc>
          <w:tcPr>
            <w:tcW w:w="428" w:type="pct"/>
            <w:noWrap w:val="0"/>
            <w:vAlign w:val="center"/>
          </w:tcPr>
          <w:p w14:paraId="30FF1C08">
            <w:pPr>
              <w:jc w:val="center"/>
              <w:rPr>
                <w:rFonts w:hint="eastAsia" w:ascii="宋体" w:hAnsi="宋体" w:eastAsia="宋体" w:cs="宋体"/>
                <w:color w:val="auto"/>
                <w:sz w:val="21"/>
                <w:szCs w:val="21"/>
                <w:highlight w:val="none"/>
              </w:rPr>
            </w:pPr>
          </w:p>
        </w:tc>
        <w:tc>
          <w:tcPr>
            <w:tcW w:w="428" w:type="pct"/>
            <w:noWrap w:val="0"/>
            <w:vAlign w:val="center"/>
          </w:tcPr>
          <w:p w14:paraId="24245A80">
            <w:pPr>
              <w:jc w:val="center"/>
              <w:rPr>
                <w:rFonts w:hint="eastAsia" w:ascii="宋体" w:hAnsi="宋体" w:eastAsia="宋体" w:cs="宋体"/>
                <w:color w:val="auto"/>
                <w:sz w:val="21"/>
                <w:szCs w:val="21"/>
                <w:highlight w:val="none"/>
              </w:rPr>
            </w:pPr>
          </w:p>
        </w:tc>
        <w:tc>
          <w:tcPr>
            <w:tcW w:w="428" w:type="pct"/>
            <w:noWrap w:val="0"/>
            <w:vAlign w:val="center"/>
          </w:tcPr>
          <w:p w14:paraId="72356FB3">
            <w:pPr>
              <w:jc w:val="center"/>
              <w:rPr>
                <w:rFonts w:hint="eastAsia" w:ascii="宋体" w:hAnsi="宋体" w:eastAsia="宋体" w:cs="宋体"/>
                <w:color w:val="auto"/>
                <w:sz w:val="21"/>
                <w:szCs w:val="21"/>
                <w:highlight w:val="none"/>
              </w:rPr>
            </w:pPr>
          </w:p>
        </w:tc>
        <w:tc>
          <w:tcPr>
            <w:tcW w:w="498" w:type="pct"/>
            <w:noWrap w:val="0"/>
            <w:vAlign w:val="center"/>
          </w:tcPr>
          <w:p w14:paraId="3ECA6BC0">
            <w:pPr>
              <w:jc w:val="center"/>
              <w:rPr>
                <w:rFonts w:hint="eastAsia" w:ascii="宋体" w:hAnsi="宋体" w:eastAsia="宋体" w:cs="宋体"/>
                <w:color w:val="auto"/>
                <w:sz w:val="21"/>
                <w:szCs w:val="21"/>
                <w:highlight w:val="none"/>
              </w:rPr>
            </w:pPr>
          </w:p>
        </w:tc>
        <w:tc>
          <w:tcPr>
            <w:tcW w:w="428" w:type="pct"/>
            <w:noWrap w:val="0"/>
            <w:vAlign w:val="top"/>
          </w:tcPr>
          <w:p w14:paraId="5F11A27A">
            <w:pPr>
              <w:jc w:val="center"/>
              <w:rPr>
                <w:rFonts w:hint="eastAsia" w:ascii="宋体" w:hAnsi="宋体" w:eastAsia="宋体" w:cs="宋体"/>
                <w:color w:val="auto"/>
                <w:sz w:val="21"/>
                <w:szCs w:val="21"/>
                <w:highlight w:val="none"/>
              </w:rPr>
            </w:pPr>
          </w:p>
        </w:tc>
        <w:tc>
          <w:tcPr>
            <w:tcW w:w="428" w:type="pct"/>
            <w:noWrap w:val="0"/>
            <w:vAlign w:val="center"/>
          </w:tcPr>
          <w:p w14:paraId="6AAB796C">
            <w:pPr>
              <w:jc w:val="center"/>
              <w:rPr>
                <w:rFonts w:hint="eastAsia" w:ascii="宋体" w:hAnsi="宋体" w:eastAsia="宋体" w:cs="宋体"/>
                <w:color w:val="auto"/>
                <w:sz w:val="21"/>
                <w:szCs w:val="21"/>
                <w:highlight w:val="none"/>
              </w:rPr>
            </w:pPr>
          </w:p>
        </w:tc>
        <w:tc>
          <w:tcPr>
            <w:tcW w:w="428" w:type="pct"/>
            <w:noWrap w:val="0"/>
            <w:vAlign w:val="center"/>
          </w:tcPr>
          <w:p w14:paraId="0F1A18F5">
            <w:pPr>
              <w:jc w:val="center"/>
              <w:rPr>
                <w:rFonts w:hint="eastAsia" w:ascii="宋体" w:hAnsi="宋体" w:eastAsia="宋体" w:cs="宋体"/>
                <w:color w:val="auto"/>
                <w:sz w:val="21"/>
                <w:szCs w:val="21"/>
                <w:highlight w:val="none"/>
              </w:rPr>
            </w:pPr>
          </w:p>
        </w:tc>
        <w:tc>
          <w:tcPr>
            <w:tcW w:w="428" w:type="pct"/>
            <w:noWrap w:val="0"/>
            <w:vAlign w:val="center"/>
          </w:tcPr>
          <w:p w14:paraId="48606991">
            <w:pPr>
              <w:jc w:val="center"/>
              <w:rPr>
                <w:rFonts w:hint="eastAsia" w:ascii="宋体" w:hAnsi="宋体" w:eastAsia="宋体" w:cs="宋体"/>
                <w:color w:val="auto"/>
                <w:sz w:val="21"/>
                <w:szCs w:val="21"/>
                <w:highlight w:val="none"/>
              </w:rPr>
            </w:pPr>
          </w:p>
        </w:tc>
        <w:tc>
          <w:tcPr>
            <w:tcW w:w="352" w:type="pct"/>
            <w:noWrap w:val="0"/>
            <w:vAlign w:val="center"/>
          </w:tcPr>
          <w:p w14:paraId="4BEAB94D">
            <w:pPr>
              <w:jc w:val="center"/>
              <w:rPr>
                <w:rFonts w:hint="eastAsia" w:ascii="宋体" w:hAnsi="宋体" w:eastAsia="宋体" w:cs="宋体"/>
                <w:color w:val="auto"/>
                <w:sz w:val="21"/>
                <w:szCs w:val="21"/>
                <w:highlight w:val="none"/>
              </w:rPr>
            </w:pPr>
          </w:p>
        </w:tc>
      </w:tr>
      <w:tr w14:paraId="697E9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295" w:type="pct"/>
            <w:noWrap w:val="0"/>
            <w:vAlign w:val="center"/>
          </w:tcPr>
          <w:p w14:paraId="4E0F6187">
            <w:pPr>
              <w:jc w:val="center"/>
              <w:rPr>
                <w:rFonts w:hint="eastAsia" w:ascii="宋体" w:hAnsi="宋体" w:eastAsia="宋体" w:cs="宋体"/>
                <w:color w:val="auto"/>
                <w:sz w:val="21"/>
                <w:szCs w:val="21"/>
                <w:highlight w:val="none"/>
              </w:rPr>
            </w:pPr>
            <w:r>
              <w:rPr>
                <w:rFonts w:ascii="宋体" w:hAnsi="宋体" w:eastAsia="宋体" w:cs="Courier New"/>
                <w:color w:val="auto"/>
                <w:kern w:val="0"/>
                <w:szCs w:val="21"/>
                <w:highlight w:val="none"/>
              </w:rPr>
              <w:t>…</w:t>
            </w:r>
          </w:p>
        </w:tc>
        <w:tc>
          <w:tcPr>
            <w:tcW w:w="427" w:type="pct"/>
            <w:noWrap w:val="0"/>
            <w:vAlign w:val="center"/>
          </w:tcPr>
          <w:p w14:paraId="16C79593">
            <w:pPr>
              <w:jc w:val="center"/>
              <w:rPr>
                <w:rFonts w:hint="eastAsia" w:ascii="宋体" w:hAnsi="宋体" w:eastAsia="宋体" w:cs="宋体"/>
                <w:color w:val="auto"/>
                <w:sz w:val="21"/>
                <w:szCs w:val="21"/>
                <w:highlight w:val="none"/>
              </w:rPr>
            </w:pPr>
          </w:p>
        </w:tc>
        <w:tc>
          <w:tcPr>
            <w:tcW w:w="427" w:type="pct"/>
            <w:noWrap w:val="0"/>
            <w:vAlign w:val="center"/>
          </w:tcPr>
          <w:p w14:paraId="5610D517">
            <w:pPr>
              <w:jc w:val="center"/>
              <w:rPr>
                <w:rFonts w:hint="eastAsia" w:ascii="宋体" w:hAnsi="宋体" w:eastAsia="宋体" w:cs="宋体"/>
                <w:color w:val="auto"/>
                <w:sz w:val="21"/>
                <w:szCs w:val="21"/>
                <w:highlight w:val="none"/>
              </w:rPr>
            </w:pPr>
          </w:p>
        </w:tc>
        <w:tc>
          <w:tcPr>
            <w:tcW w:w="428" w:type="pct"/>
            <w:noWrap w:val="0"/>
            <w:vAlign w:val="center"/>
          </w:tcPr>
          <w:p w14:paraId="1D9E6B10">
            <w:pPr>
              <w:jc w:val="center"/>
              <w:rPr>
                <w:rFonts w:hint="eastAsia" w:ascii="宋体" w:hAnsi="宋体" w:eastAsia="宋体" w:cs="宋体"/>
                <w:color w:val="auto"/>
                <w:sz w:val="21"/>
                <w:szCs w:val="21"/>
                <w:highlight w:val="none"/>
              </w:rPr>
            </w:pPr>
          </w:p>
        </w:tc>
        <w:tc>
          <w:tcPr>
            <w:tcW w:w="428" w:type="pct"/>
            <w:noWrap w:val="0"/>
            <w:vAlign w:val="center"/>
          </w:tcPr>
          <w:p w14:paraId="135A25EC">
            <w:pPr>
              <w:jc w:val="center"/>
              <w:rPr>
                <w:rFonts w:hint="eastAsia" w:ascii="宋体" w:hAnsi="宋体" w:eastAsia="宋体" w:cs="宋体"/>
                <w:color w:val="auto"/>
                <w:sz w:val="21"/>
                <w:szCs w:val="21"/>
                <w:highlight w:val="none"/>
              </w:rPr>
            </w:pPr>
          </w:p>
        </w:tc>
        <w:tc>
          <w:tcPr>
            <w:tcW w:w="428" w:type="pct"/>
            <w:noWrap w:val="0"/>
            <w:vAlign w:val="center"/>
          </w:tcPr>
          <w:p w14:paraId="50C439EE">
            <w:pPr>
              <w:jc w:val="center"/>
              <w:rPr>
                <w:rFonts w:hint="eastAsia" w:ascii="宋体" w:hAnsi="宋体" w:eastAsia="宋体" w:cs="宋体"/>
                <w:color w:val="auto"/>
                <w:sz w:val="21"/>
                <w:szCs w:val="21"/>
                <w:highlight w:val="none"/>
              </w:rPr>
            </w:pPr>
          </w:p>
        </w:tc>
        <w:tc>
          <w:tcPr>
            <w:tcW w:w="498" w:type="pct"/>
            <w:noWrap w:val="0"/>
            <w:vAlign w:val="center"/>
          </w:tcPr>
          <w:p w14:paraId="2AC69BF0">
            <w:pPr>
              <w:jc w:val="center"/>
              <w:rPr>
                <w:rFonts w:hint="eastAsia" w:ascii="宋体" w:hAnsi="宋体" w:eastAsia="宋体" w:cs="宋体"/>
                <w:color w:val="auto"/>
                <w:sz w:val="21"/>
                <w:szCs w:val="21"/>
                <w:highlight w:val="none"/>
              </w:rPr>
            </w:pPr>
          </w:p>
        </w:tc>
        <w:tc>
          <w:tcPr>
            <w:tcW w:w="428" w:type="pct"/>
            <w:noWrap w:val="0"/>
            <w:vAlign w:val="top"/>
          </w:tcPr>
          <w:p w14:paraId="1C41B545">
            <w:pPr>
              <w:jc w:val="center"/>
              <w:rPr>
                <w:rFonts w:hint="eastAsia" w:ascii="宋体" w:hAnsi="宋体" w:eastAsia="宋体" w:cs="宋体"/>
                <w:color w:val="auto"/>
                <w:sz w:val="21"/>
                <w:szCs w:val="21"/>
                <w:highlight w:val="none"/>
              </w:rPr>
            </w:pPr>
          </w:p>
        </w:tc>
        <w:tc>
          <w:tcPr>
            <w:tcW w:w="428" w:type="pct"/>
            <w:noWrap w:val="0"/>
            <w:vAlign w:val="center"/>
          </w:tcPr>
          <w:p w14:paraId="2EA36DB7">
            <w:pPr>
              <w:jc w:val="center"/>
              <w:rPr>
                <w:rFonts w:hint="eastAsia" w:ascii="宋体" w:hAnsi="宋体" w:eastAsia="宋体" w:cs="宋体"/>
                <w:color w:val="auto"/>
                <w:sz w:val="21"/>
                <w:szCs w:val="21"/>
                <w:highlight w:val="none"/>
              </w:rPr>
            </w:pPr>
          </w:p>
        </w:tc>
        <w:tc>
          <w:tcPr>
            <w:tcW w:w="428" w:type="pct"/>
            <w:noWrap w:val="0"/>
            <w:vAlign w:val="center"/>
          </w:tcPr>
          <w:p w14:paraId="55CC76F4">
            <w:pPr>
              <w:jc w:val="center"/>
              <w:rPr>
                <w:rFonts w:hint="eastAsia" w:ascii="宋体" w:hAnsi="宋体" w:eastAsia="宋体" w:cs="宋体"/>
                <w:color w:val="auto"/>
                <w:sz w:val="21"/>
                <w:szCs w:val="21"/>
                <w:highlight w:val="none"/>
              </w:rPr>
            </w:pPr>
          </w:p>
        </w:tc>
        <w:tc>
          <w:tcPr>
            <w:tcW w:w="428" w:type="pct"/>
            <w:noWrap w:val="0"/>
            <w:vAlign w:val="center"/>
          </w:tcPr>
          <w:p w14:paraId="7637F8EE">
            <w:pPr>
              <w:jc w:val="center"/>
              <w:rPr>
                <w:rFonts w:hint="eastAsia" w:ascii="宋体" w:hAnsi="宋体" w:eastAsia="宋体" w:cs="宋体"/>
                <w:color w:val="auto"/>
                <w:sz w:val="21"/>
                <w:szCs w:val="21"/>
                <w:highlight w:val="none"/>
              </w:rPr>
            </w:pPr>
          </w:p>
        </w:tc>
        <w:tc>
          <w:tcPr>
            <w:tcW w:w="352" w:type="pct"/>
            <w:noWrap w:val="0"/>
            <w:vAlign w:val="center"/>
          </w:tcPr>
          <w:p w14:paraId="10E13028">
            <w:pPr>
              <w:jc w:val="center"/>
              <w:rPr>
                <w:rFonts w:hint="eastAsia" w:ascii="宋体" w:hAnsi="宋体" w:eastAsia="宋体" w:cs="宋体"/>
                <w:color w:val="auto"/>
                <w:sz w:val="21"/>
                <w:szCs w:val="21"/>
                <w:highlight w:val="none"/>
              </w:rPr>
            </w:pPr>
          </w:p>
        </w:tc>
      </w:tr>
    </w:tbl>
    <w:p w14:paraId="6D431746">
      <w:pPr>
        <w:spacing w:line="360" w:lineRule="auto"/>
        <w:ind w:left="424" w:hanging="424" w:hangingChars="201"/>
        <w:rPr>
          <w:rFonts w:hint="eastAsia" w:ascii="宋体" w:hAnsi="宋体" w:eastAsia="宋体" w:cs="宋体"/>
          <w:b/>
          <w:color w:val="auto"/>
          <w:szCs w:val="21"/>
          <w:highlight w:val="none"/>
          <w:lang w:val="zh-CN"/>
        </w:rPr>
      </w:pPr>
    </w:p>
    <w:p w14:paraId="1F1A6001">
      <w:pPr>
        <w:autoSpaceDE w:val="0"/>
        <w:autoSpaceDN w:val="0"/>
        <w:adjustRightInd w:val="0"/>
        <w:snapToGrid w:val="0"/>
        <w:spacing w:line="360" w:lineRule="auto"/>
        <w:ind w:left="317" w:hanging="527"/>
        <w:jc w:val="left"/>
        <w:rPr>
          <w:rFonts w:hint="eastAsia" w:ascii="宋体" w:hAnsi="宋体" w:eastAsia="宋体" w:cs="宋体"/>
          <w:b/>
          <w:color w:val="auto"/>
          <w:szCs w:val="21"/>
          <w:lang w:val="zh-CN"/>
        </w:rPr>
      </w:pPr>
      <w:r>
        <w:rPr>
          <w:rFonts w:hint="eastAsia" w:ascii="宋体" w:hAnsi="宋体" w:eastAsia="宋体" w:cs="宋体"/>
          <w:b/>
          <w:color w:val="auto"/>
          <w:szCs w:val="21"/>
          <w:lang w:val="zh-CN"/>
        </w:rPr>
        <w:t>资格业绩证明材料提交要求：</w:t>
      </w:r>
    </w:p>
    <w:p w14:paraId="015DC9B1">
      <w:pPr>
        <w:numPr>
          <w:ilvl w:val="0"/>
          <w:numId w:val="7"/>
        </w:numPr>
        <w:autoSpaceDE w:val="0"/>
        <w:autoSpaceDN w:val="0"/>
        <w:adjustRightInd w:val="0"/>
        <w:snapToGrid w:val="0"/>
        <w:spacing w:line="360" w:lineRule="auto"/>
        <w:ind w:left="317" w:hanging="527"/>
        <w:jc w:val="left"/>
        <w:rPr>
          <w:rFonts w:ascii="宋体" w:hAnsi="宋体" w:eastAsia="宋体" w:cs="宋体"/>
          <w:b/>
          <w:color w:val="auto"/>
          <w:kern w:val="0"/>
          <w:szCs w:val="21"/>
        </w:rPr>
      </w:pPr>
      <w:r>
        <w:rPr>
          <w:rFonts w:hint="eastAsia" w:ascii="宋体" w:hAnsi="宋体" w:eastAsia="宋体" w:cs="宋体"/>
          <w:b/>
          <w:bCs/>
          <w:color w:val="auto"/>
          <w:szCs w:val="21"/>
          <w:lang w:val="zh-CN"/>
        </w:rPr>
        <w:t>作为投标人资格条件证明的业绩放置在此处；</w:t>
      </w:r>
    </w:p>
    <w:p w14:paraId="389C771B">
      <w:pPr>
        <w:numPr>
          <w:ilvl w:val="0"/>
          <w:numId w:val="7"/>
        </w:numPr>
        <w:autoSpaceDE w:val="0"/>
        <w:autoSpaceDN w:val="0"/>
        <w:adjustRightInd w:val="0"/>
        <w:snapToGrid w:val="0"/>
        <w:spacing w:line="360" w:lineRule="auto"/>
        <w:ind w:left="317" w:hanging="527"/>
        <w:jc w:val="left"/>
        <w:rPr>
          <w:rFonts w:ascii="宋体" w:hAnsi="宋体" w:eastAsia="宋体" w:cs="宋体"/>
          <w:b/>
          <w:color w:val="auto"/>
          <w:kern w:val="0"/>
          <w:szCs w:val="21"/>
        </w:rPr>
      </w:pPr>
      <w:r>
        <w:rPr>
          <w:rFonts w:ascii="宋体" w:hAnsi="宋体" w:eastAsia="宋体" w:cs="宋体"/>
          <w:b/>
          <w:color w:val="auto"/>
          <w:kern w:val="0"/>
          <w:szCs w:val="21"/>
        </w:rPr>
        <w:t>业绩须附合同复印件（合同服务提供方为投标人）及合同对应的服务购买方出具的服务质量合格的验收证明或用户评价等证明文件的复印件（复印件能显示服务购买方公章）；</w:t>
      </w:r>
    </w:p>
    <w:p w14:paraId="7621F519">
      <w:pPr>
        <w:autoSpaceDE w:val="0"/>
        <w:autoSpaceDN w:val="0"/>
        <w:adjustRightInd w:val="0"/>
        <w:snapToGrid w:val="0"/>
        <w:spacing w:line="360" w:lineRule="auto"/>
        <w:ind w:left="317" w:hanging="527"/>
        <w:jc w:val="left"/>
        <w:rPr>
          <w:rFonts w:ascii="宋体" w:hAnsi="宋体" w:eastAsia="宋体" w:cs="宋体"/>
          <w:b/>
          <w:color w:val="auto"/>
          <w:kern w:val="0"/>
          <w:szCs w:val="21"/>
        </w:rPr>
      </w:pPr>
      <w:r>
        <w:rPr>
          <w:rFonts w:hint="eastAsia" w:ascii="宋体" w:hAnsi="宋体" w:eastAsia="宋体" w:cs="宋体"/>
          <w:b/>
          <w:color w:val="auto"/>
          <w:kern w:val="0"/>
          <w:szCs w:val="21"/>
        </w:rPr>
        <w:t>（</w:t>
      </w:r>
      <w:r>
        <w:rPr>
          <w:rFonts w:hint="eastAsia" w:ascii="宋体" w:hAnsi="宋体" w:eastAsia="宋体" w:cs="宋体"/>
          <w:b/>
          <w:color w:val="auto"/>
          <w:kern w:val="0"/>
          <w:szCs w:val="21"/>
          <w:lang w:val="en-US" w:eastAsia="zh-CN"/>
        </w:rPr>
        <w:t>3</w:t>
      </w:r>
      <w:r>
        <w:rPr>
          <w:rFonts w:ascii="宋体" w:hAnsi="宋体" w:eastAsia="宋体" w:cs="宋体"/>
          <w:b/>
          <w:color w:val="auto"/>
          <w:kern w:val="0"/>
          <w:szCs w:val="21"/>
        </w:rPr>
        <w:t>）如果投标人提供含保安服务的物业管理等项目业绩，也予认可；</w:t>
      </w:r>
    </w:p>
    <w:p w14:paraId="28BC2D66">
      <w:pPr>
        <w:autoSpaceDE w:val="0"/>
        <w:autoSpaceDN w:val="0"/>
        <w:adjustRightInd w:val="0"/>
        <w:snapToGrid w:val="0"/>
        <w:spacing w:line="360" w:lineRule="auto"/>
        <w:ind w:left="317" w:hanging="527"/>
        <w:jc w:val="left"/>
        <w:rPr>
          <w:rFonts w:ascii="宋体" w:hAnsi="宋体" w:eastAsia="宋体" w:cs="宋体"/>
          <w:b/>
          <w:color w:val="auto"/>
          <w:kern w:val="0"/>
          <w:szCs w:val="21"/>
        </w:rPr>
      </w:pPr>
      <w:r>
        <w:rPr>
          <w:rFonts w:hint="eastAsia" w:ascii="宋体" w:hAnsi="宋体" w:eastAsia="宋体" w:cs="宋体"/>
          <w:b/>
          <w:color w:val="auto"/>
          <w:kern w:val="0"/>
          <w:szCs w:val="21"/>
        </w:rPr>
        <w:t>（</w:t>
      </w:r>
      <w:r>
        <w:rPr>
          <w:rFonts w:hint="eastAsia" w:ascii="宋体" w:hAnsi="宋体" w:eastAsia="宋体" w:cs="宋体"/>
          <w:b/>
          <w:color w:val="auto"/>
          <w:kern w:val="0"/>
          <w:szCs w:val="21"/>
          <w:lang w:val="en-US" w:eastAsia="zh-CN"/>
        </w:rPr>
        <w:t>4</w:t>
      </w:r>
      <w:r>
        <w:rPr>
          <w:rFonts w:ascii="宋体" w:hAnsi="宋体" w:eastAsia="宋体" w:cs="宋体"/>
          <w:b/>
          <w:color w:val="auto"/>
          <w:kern w:val="0"/>
          <w:szCs w:val="21"/>
        </w:rPr>
        <w:t>）</w:t>
      </w:r>
      <w:r>
        <w:rPr>
          <w:rFonts w:hint="eastAsia" w:ascii="宋体" w:hAnsi="宋体" w:eastAsia="宋体" w:cs="宋体"/>
          <w:b/>
          <w:color w:val="auto"/>
          <w:kern w:val="0"/>
          <w:szCs w:val="21"/>
        </w:rPr>
        <w:t>若合同及证明文件无法反映资格条件（合同签订日期为</w:t>
      </w:r>
      <w:r>
        <w:rPr>
          <w:rFonts w:ascii="宋体" w:hAnsi="宋体" w:eastAsia="宋体" w:cs="宋体"/>
          <w:b/>
          <w:color w:val="auto"/>
          <w:kern w:val="0"/>
          <w:szCs w:val="21"/>
        </w:rPr>
        <w:t>202</w:t>
      </w:r>
      <w:r>
        <w:rPr>
          <w:rFonts w:hint="eastAsia" w:ascii="宋体" w:hAnsi="宋体" w:eastAsia="宋体" w:cs="宋体"/>
          <w:b/>
          <w:color w:val="auto"/>
          <w:kern w:val="0"/>
          <w:szCs w:val="21"/>
          <w:lang w:val="en-US" w:eastAsia="zh-CN"/>
        </w:rPr>
        <w:t>2</w:t>
      </w:r>
      <w:r>
        <w:rPr>
          <w:rFonts w:hint="eastAsia" w:ascii="宋体" w:hAnsi="宋体" w:eastAsia="宋体" w:cs="宋体"/>
          <w:b/>
          <w:color w:val="auto"/>
          <w:kern w:val="0"/>
          <w:szCs w:val="21"/>
        </w:rPr>
        <w:t>年</w:t>
      </w:r>
      <w:r>
        <w:rPr>
          <w:rFonts w:ascii="宋体" w:hAnsi="宋体" w:eastAsia="宋体" w:cs="宋体"/>
          <w:b/>
          <w:color w:val="auto"/>
          <w:kern w:val="0"/>
          <w:szCs w:val="21"/>
        </w:rPr>
        <w:t>1月1日或以后、合同服务内容必须具有保安服务）的，还需提供服务购买方出具的书面补充说明文件复印件作为辅助证明（复印件能显示服务购买方公章）；</w:t>
      </w:r>
    </w:p>
    <w:p w14:paraId="34B808F7">
      <w:pPr>
        <w:autoSpaceDE w:val="0"/>
        <w:autoSpaceDN w:val="0"/>
        <w:adjustRightInd w:val="0"/>
        <w:snapToGrid w:val="0"/>
        <w:spacing w:line="360" w:lineRule="auto"/>
        <w:ind w:left="317" w:hanging="527"/>
        <w:jc w:val="left"/>
        <w:rPr>
          <w:rFonts w:hint="eastAsia" w:ascii="宋体" w:hAnsi="宋体" w:eastAsia="宋体" w:cs="宋体"/>
          <w:b/>
          <w:color w:val="auto"/>
          <w:szCs w:val="21"/>
          <w:lang w:val="zh-CN"/>
        </w:rPr>
      </w:pPr>
      <w:r>
        <w:rPr>
          <w:rFonts w:hint="eastAsia" w:ascii="宋体" w:hAnsi="宋体" w:eastAsia="宋体" w:cs="宋体"/>
          <w:b/>
          <w:color w:val="auto"/>
          <w:szCs w:val="21"/>
          <w:lang w:val="zh-CN"/>
        </w:rPr>
        <w:t>（</w:t>
      </w:r>
      <w:r>
        <w:rPr>
          <w:rFonts w:hint="eastAsia" w:ascii="宋体" w:hAnsi="宋体" w:eastAsia="宋体" w:cs="宋体"/>
          <w:b/>
          <w:color w:val="auto"/>
          <w:szCs w:val="21"/>
          <w:lang w:val="en-US" w:eastAsia="zh-CN"/>
        </w:rPr>
        <w:t>5</w:t>
      </w:r>
      <w:r>
        <w:rPr>
          <w:rFonts w:hint="eastAsia" w:ascii="宋体" w:hAnsi="宋体" w:eastAsia="宋体" w:cs="宋体"/>
          <w:b/>
          <w:color w:val="auto"/>
          <w:szCs w:val="21"/>
          <w:lang w:val="zh-CN"/>
        </w:rPr>
        <w:t>）未按上述要求在此格式下提供证明材料的业绩，或在此格式下所附材料无法证明符合资格要求的业绩，按无效投标文件处理。</w:t>
      </w:r>
    </w:p>
    <w:p w14:paraId="0ACBAEF0">
      <w:pPr>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14:paraId="4F5818E3">
      <w:pPr>
        <w:tabs>
          <w:tab w:val="left" w:pos="567"/>
        </w:tabs>
        <w:autoSpaceDE w:val="0"/>
        <w:autoSpaceDN w:val="0"/>
        <w:adjustRightInd w:val="0"/>
        <w:spacing w:line="360" w:lineRule="auto"/>
        <w:jc w:val="left"/>
        <w:outlineLvl w:val="2"/>
        <w:rPr>
          <w:rFonts w:ascii="宋体" w:hAnsi="宋体" w:eastAsia="宋体" w:cs="Times New Roman"/>
          <w:b/>
          <w:bCs/>
          <w:color w:val="auto"/>
          <w:sz w:val="32"/>
          <w:szCs w:val="32"/>
          <w:highlight w:val="none"/>
          <w:lang w:val="zh-CN"/>
        </w:rPr>
      </w:pPr>
      <w:bookmarkStart w:id="600" w:name="_Toc21843"/>
      <w:bookmarkStart w:id="601" w:name="_Toc7771"/>
      <w:bookmarkStart w:id="602" w:name="_Toc7508"/>
      <w:bookmarkStart w:id="603" w:name="_Toc8121"/>
      <w:r>
        <w:rPr>
          <w:rFonts w:hint="eastAsia" w:ascii="宋体" w:hAnsi="宋体" w:eastAsia="宋体" w:cs="宋体"/>
          <w:b/>
          <w:color w:val="auto"/>
          <w:kern w:val="0"/>
          <w:sz w:val="30"/>
          <w:szCs w:val="30"/>
          <w:highlight w:val="none"/>
          <w:lang w:val="en-US" w:eastAsia="zh-CN"/>
        </w:rPr>
        <w:t xml:space="preserve">5.6 </w:t>
      </w:r>
      <w:r>
        <w:rPr>
          <w:rFonts w:hint="eastAsia" w:ascii="宋体" w:hAnsi="宋体" w:eastAsia="宋体" w:cs="宋体"/>
          <w:b/>
          <w:color w:val="auto"/>
          <w:kern w:val="0"/>
          <w:sz w:val="30"/>
          <w:szCs w:val="30"/>
          <w:highlight w:val="none"/>
        </w:rPr>
        <w:t>最近3年投标人牵涉的其他（失信和违法）处罚说明格式</w:t>
      </w:r>
      <w:bookmarkEnd w:id="594"/>
      <w:bookmarkEnd w:id="595"/>
      <w:bookmarkEnd w:id="596"/>
      <w:bookmarkEnd w:id="597"/>
      <w:bookmarkEnd w:id="598"/>
      <w:bookmarkEnd w:id="600"/>
      <w:bookmarkEnd w:id="601"/>
      <w:bookmarkEnd w:id="602"/>
      <w:bookmarkEnd w:id="603"/>
    </w:p>
    <w:p w14:paraId="1D64E796">
      <w:pPr>
        <w:autoSpaceDE w:val="0"/>
        <w:autoSpaceDN w:val="0"/>
        <w:adjustRightInd w:val="0"/>
        <w:spacing w:line="360" w:lineRule="auto"/>
        <w:jc w:val="center"/>
        <w:outlineLvl w:val="1"/>
        <w:rPr>
          <w:rFonts w:ascii="宋体" w:hAnsi="宋体" w:eastAsia="宋体" w:cs="宋体"/>
          <w:color w:val="auto"/>
          <w:kern w:val="0"/>
          <w:sz w:val="24"/>
          <w:szCs w:val="24"/>
          <w:highlight w:val="none"/>
        </w:rPr>
      </w:pPr>
      <w:bookmarkStart w:id="604" w:name="_Toc20509"/>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bookmarkEnd w:id="604"/>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4517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6F84ACFF">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7697C214">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14:paraId="1F6C1DC8">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4FD742CC">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1B52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6B5B8315">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05216159">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755E18C4">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6A0217B4">
            <w:pPr>
              <w:autoSpaceDE w:val="0"/>
              <w:autoSpaceDN w:val="0"/>
              <w:adjustRightInd w:val="0"/>
              <w:spacing w:line="360" w:lineRule="auto"/>
              <w:jc w:val="center"/>
              <w:rPr>
                <w:rFonts w:ascii="宋体" w:hAnsi="宋体" w:eastAsia="宋体" w:cs="宋体"/>
                <w:color w:val="auto"/>
                <w:kern w:val="0"/>
                <w:szCs w:val="21"/>
                <w:highlight w:val="none"/>
              </w:rPr>
            </w:pPr>
          </w:p>
        </w:tc>
      </w:tr>
      <w:tr w14:paraId="1F44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31DFCA7C">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00D56ED1">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472D695F">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7FDF3718">
            <w:pPr>
              <w:autoSpaceDE w:val="0"/>
              <w:autoSpaceDN w:val="0"/>
              <w:adjustRightInd w:val="0"/>
              <w:spacing w:line="360" w:lineRule="auto"/>
              <w:jc w:val="center"/>
              <w:rPr>
                <w:rFonts w:ascii="宋体" w:hAnsi="宋体" w:eastAsia="宋体" w:cs="宋体"/>
                <w:color w:val="auto"/>
                <w:kern w:val="0"/>
                <w:szCs w:val="21"/>
                <w:highlight w:val="none"/>
              </w:rPr>
            </w:pPr>
          </w:p>
        </w:tc>
      </w:tr>
      <w:tr w14:paraId="443E8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2325D9A3">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w:t>
            </w:r>
            <w:r>
              <w:rPr>
                <w:rFonts w:hint="eastAsia" w:ascii="宋体" w:hAnsi="宋体" w:eastAsia="宋体" w:cs="宋体"/>
                <w:color w:val="auto"/>
                <w:kern w:val="0"/>
                <w:szCs w:val="21"/>
                <w:highlight w:val="none"/>
                <w:lang w:val="en-US" w:eastAsia="zh-CN"/>
              </w:rPr>
              <w:t>政府采购</w:t>
            </w:r>
            <w:r>
              <w:rPr>
                <w:rFonts w:hint="eastAsia" w:ascii="宋体" w:hAnsi="宋体" w:eastAsia="宋体" w:cs="宋体"/>
                <w:color w:val="auto"/>
                <w:kern w:val="0"/>
                <w:szCs w:val="21"/>
                <w:highlight w:val="none"/>
              </w:rPr>
              <w:t>严重违法失信行为记录名单</w:t>
            </w:r>
          </w:p>
        </w:tc>
        <w:tc>
          <w:tcPr>
            <w:tcW w:w="1417" w:type="dxa"/>
            <w:vAlign w:val="center"/>
          </w:tcPr>
          <w:p w14:paraId="7FFD4137">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15BB00FC">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0CD1B6E5">
            <w:pPr>
              <w:autoSpaceDE w:val="0"/>
              <w:autoSpaceDN w:val="0"/>
              <w:adjustRightInd w:val="0"/>
              <w:spacing w:line="360" w:lineRule="auto"/>
              <w:jc w:val="center"/>
              <w:rPr>
                <w:rFonts w:ascii="宋体" w:hAnsi="宋体" w:eastAsia="宋体" w:cs="宋体"/>
                <w:color w:val="auto"/>
                <w:kern w:val="0"/>
                <w:szCs w:val="21"/>
                <w:highlight w:val="none"/>
              </w:rPr>
            </w:pPr>
          </w:p>
        </w:tc>
      </w:tr>
    </w:tbl>
    <w:p w14:paraId="4ACF2AD1">
      <w:pPr>
        <w:autoSpaceDE w:val="0"/>
        <w:autoSpaceDN w:val="0"/>
        <w:adjustRightInd w:val="0"/>
        <w:spacing w:line="360" w:lineRule="auto"/>
        <w:jc w:val="left"/>
        <w:rPr>
          <w:rFonts w:ascii="宋体" w:hAnsi="宋体" w:eastAsia="宋体" w:cs="宋体"/>
          <w:color w:val="auto"/>
          <w:kern w:val="0"/>
          <w:szCs w:val="21"/>
          <w:highlight w:val="none"/>
        </w:rPr>
      </w:pPr>
    </w:p>
    <w:p w14:paraId="2A436C56">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14:paraId="425D0CF2">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14:paraId="4AC30AF9">
      <w:pPr>
        <w:autoSpaceDE w:val="0"/>
        <w:autoSpaceDN w:val="0"/>
        <w:adjustRightInd w:val="0"/>
        <w:spacing w:line="360" w:lineRule="auto"/>
        <w:jc w:val="center"/>
        <w:rPr>
          <w:rFonts w:ascii="宋体" w:hAnsi="宋体" w:eastAsia="宋体" w:cs="宋体"/>
          <w:color w:val="auto"/>
          <w:kern w:val="0"/>
          <w:sz w:val="24"/>
          <w:szCs w:val="24"/>
          <w:highlight w:val="none"/>
        </w:rPr>
      </w:pPr>
    </w:p>
    <w:p w14:paraId="61E97044">
      <w:pPr>
        <w:spacing w:line="360" w:lineRule="auto"/>
        <w:ind w:firstLine="494" w:firstLineChars="206"/>
        <w:rPr>
          <w:rFonts w:ascii="宋体" w:hAnsi="宋体" w:eastAsia="宋体" w:cs="宋体"/>
          <w:color w:val="auto"/>
          <w:kern w:val="0"/>
          <w:sz w:val="24"/>
          <w:szCs w:val="24"/>
          <w:highlight w:val="none"/>
        </w:rPr>
      </w:pPr>
    </w:p>
    <w:p w14:paraId="68EB10B2">
      <w:pPr>
        <w:spacing w:line="360" w:lineRule="auto"/>
        <w:ind w:firstLine="494" w:firstLineChars="206"/>
        <w:rPr>
          <w:rFonts w:ascii="宋体" w:hAnsi="宋体" w:eastAsia="宋体" w:cs="宋体"/>
          <w:color w:val="auto"/>
          <w:kern w:val="0"/>
          <w:sz w:val="24"/>
          <w:szCs w:val="24"/>
          <w:highlight w:val="none"/>
        </w:rPr>
      </w:pPr>
    </w:p>
    <w:p w14:paraId="045D49C5">
      <w:pPr>
        <w:spacing w:line="360" w:lineRule="auto"/>
        <w:ind w:firstLine="494" w:firstLineChars="206"/>
        <w:rPr>
          <w:rFonts w:ascii="宋体" w:hAnsi="宋体" w:eastAsia="宋体" w:cs="宋体"/>
          <w:color w:val="auto"/>
          <w:kern w:val="0"/>
          <w:sz w:val="24"/>
          <w:szCs w:val="24"/>
          <w:highlight w:val="none"/>
        </w:rPr>
      </w:pPr>
    </w:p>
    <w:p w14:paraId="1E6ED9B1">
      <w:pPr>
        <w:spacing w:line="360" w:lineRule="auto"/>
        <w:ind w:right="368" w:rightChars="175" w:firstLine="5460" w:firstLineChars="260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03D79449">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w:t>
      </w:r>
      <w:r>
        <w:rPr>
          <w:rFonts w:ascii="宋体" w:hAnsi="宋体" w:eastAsia="宋体" w:cs="宋体"/>
          <w:color w:val="auto"/>
          <w:szCs w:val="24"/>
          <w:highlight w:val="none"/>
          <w:lang w:val="zh-CN"/>
        </w:rPr>
        <w:t xml:space="preserve">            </w:t>
      </w:r>
      <w:r>
        <w:rPr>
          <w:rFonts w:hint="eastAsia" w:ascii="宋体" w:hAnsi="宋体" w:eastAsia="宋体" w:cs="宋体"/>
          <w:color w:val="auto"/>
          <w:szCs w:val="24"/>
          <w:highlight w:val="none"/>
          <w:lang w:val="zh-CN"/>
        </w:rPr>
        <w:t>日  期：   年  月  日</w:t>
      </w:r>
    </w:p>
    <w:p w14:paraId="063DE22A">
      <w:pPr>
        <w:rPr>
          <w:rFonts w:ascii="宋体" w:hAnsi="宋体" w:eastAsia="宋体" w:cs="宋体"/>
          <w:color w:val="auto"/>
          <w:szCs w:val="24"/>
          <w:highlight w:val="none"/>
          <w:lang w:val="zh-CN"/>
        </w:rPr>
      </w:pPr>
      <w:bookmarkStart w:id="605" w:name="_Toc94107215"/>
      <w:bookmarkStart w:id="606" w:name="_Toc140596934"/>
      <w:bookmarkStart w:id="607" w:name="_Toc1977731"/>
      <w:bookmarkStart w:id="608" w:name="_Toc2031_WPSOffice_Level2"/>
      <w:bookmarkStart w:id="609" w:name="_Toc102860079"/>
      <w:bookmarkStart w:id="610" w:name="_Toc6412"/>
      <w:bookmarkStart w:id="611" w:name="_Toc104991881"/>
      <w:bookmarkStart w:id="612" w:name="_Toc533708126"/>
      <w:bookmarkStart w:id="613" w:name="_Toc30939"/>
      <w:bookmarkStart w:id="614" w:name="_Toc486167714"/>
      <w:bookmarkStart w:id="615" w:name="_Toc142508374"/>
      <w:bookmarkStart w:id="616" w:name="_Toc102860423"/>
      <w:r>
        <w:rPr>
          <w:rFonts w:ascii="宋体" w:hAnsi="宋体" w:eastAsia="宋体" w:cs="宋体"/>
          <w:color w:val="auto"/>
          <w:szCs w:val="24"/>
          <w:highlight w:val="none"/>
          <w:lang w:val="zh-CN"/>
        </w:rPr>
        <w:br w:type="page"/>
      </w:r>
    </w:p>
    <w:p w14:paraId="1C9F08D5">
      <w:pPr>
        <w:tabs>
          <w:tab w:val="left" w:pos="567"/>
        </w:tabs>
        <w:autoSpaceDE w:val="0"/>
        <w:autoSpaceDN w:val="0"/>
        <w:adjustRightInd w:val="0"/>
        <w:spacing w:line="360" w:lineRule="auto"/>
        <w:jc w:val="left"/>
        <w:outlineLvl w:val="1"/>
        <w:rPr>
          <w:rFonts w:ascii="宋体" w:hAnsi="宋体" w:eastAsia="宋体" w:cs="Times New Roman"/>
          <w:color w:val="auto"/>
          <w:kern w:val="0"/>
          <w:szCs w:val="21"/>
          <w:highlight w:val="none"/>
          <w:u w:val="single"/>
        </w:rPr>
      </w:pPr>
      <w:bookmarkStart w:id="617" w:name="_Toc20441"/>
      <w:bookmarkStart w:id="618" w:name="_Toc17508"/>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kern w:val="0"/>
          <w:sz w:val="32"/>
          <w:szCs w:val="32"/>
          <w:highlight w:val="none"/>
        </w:rPr>
        <w:t>、投标人基本情况一览表</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14:paraId="289C5176">
      <w:pPr>
        <w:autoSpaceDE w:val="0"/>
        <w:autoSpaceDN w:val="0"/>
        <w:adjustRightInd w:val="0"/>
        <w:spacing w:line="360" w:lineRule="auto"/>
        <w:jc w:val="center"/>
        <w:outlineLvl w:val="0"/>
        <w:rPr>
          <w:rFonts w:ascii="宋体" w:hAnsi="宋体" w:eastAsia="宋体" w:cs="宋体"/>
          <w:b/>
          <w:bCs/>
          <w:color w:val="auto"/>
          <w:sz w:val="30"/>
          <w:szCs w:val="30"/>
          <w:highlight w:val="none"/>
        </w:rPr>
      </w:pPr>
      <w:bookmarkStart w:id="619" w:name="_Toc2773_WPSOffice_Level3"/>
      <w:bookmarkStart w:id="620" w:name="_Toc12561"/>
      <w:r>
        <w:rPr>
          <w:rFonts w:hint="eastAsia" w:ascii="宋体" w:hAnsi="宋体" w:eastAsia="宋体" w:cs="宋体"/>
          <w:b/>
          <w:bCs/>
          <w:color w:val="auto"/>
          <w:sz w:val="30"/>
          <w:szCs w:val="30"/>
          <w:highlight w:val="none"/>
          <w:lang w:val="zh-CN"/>
        </w:rPr>
        <w:t>投标人基本情况一览表</w:t>
      </w:r>
      <w:bookmarkEnd w:id="619"/>
      <w:bookmarkEnd w:id="620"/>
    </w:p>
    <w:p w14:paraId="6C163E76">
      <w:pPr>
        <w:autoSpaceDE w:val="0"/>
        <w:autoSpaceDN w:val="0"/>
        <w:adjustRightInd w:val="0"/>
        <w:spacing w:line="360" w:lineRule="auto"/>
        <w:ind w:firstLine="420"/>
        <w:outlineLvl w:val="0"/>
        <w:rPr>
          <w:rFonts w:ascii="宋体" w:hAnsi="宋体" w:eastAsia="宋体" w:cs="宋体"/>
          <w:color w:val="auto"/>
          <w:szCs w:val="21"/>
          <w:highlight w:val="none"/>
        </w:rPr>
      </w:pPr>
      <w:bookmarkStart w:id="621" w:name="_Toc19921"/>
      <w:r>
        <w:rPr>
          <w:rFonts w:hint="eastAsia" w:ascii="宋体" w:hAnsi="宋体" w:eastAsia="宋体" w:cs="宋体"/>
          <w:color w:val="auto"/>
          <w:szCs w:val="21"/>
          <w:highlight w:val="none"/>
          <w:lang w:val="zh-CN"/>
        </w:rPr>
        <w:t>1．名称及概况：</w:t>
      </w:r>
      <w:bookmarkEnd w:id="621"/>
    </w:p>
    <w:p w14:paraId="1E53E48D">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14:paraId="20DEDB6F">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655586CF">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706AB40A">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6F9F3945">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64315278">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7FA27A72">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（4）法人代表：_________________________________________</w:t>
      </w:r>
    </w:p>
    <w:p w14:paraId="4FCF40A8">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7EC04D7F">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20E89E75">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71AFE05C">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4B5742E4">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0B74EE25">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47FFA342">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1DDC4BA2">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58F0B95C">
      <w:pPr>
        <w:autoSpaceDE w:val="0"/>
        <w:autoSpaceDN w:val="0"/>
        <w:adjustRightInd w:val="0"/>
        <w:spacing w:line="360" w:lineRule="auto"/>
        <w:ind w:firstLine="420"/>
        <w:outlineLvl w:val="0"/>
        <w:rPr>
          <w:rFonts w:ascii="宋体" w:hAnsi="宋体" w:eastAsia="宋体" w:cs="宋体"/>
          <w:color w:val="auto"/>
          <w:szCs w:val="24"/>
          <w:highlight w:val="none"/>
        </w:rPr>
      </w:pPr>
      <w:bookmarkStart w:id="622" w:name="_Toc20804"/>
      <w:r>
        <w:rPr>
          <w:rFonts w:hint="eastAsia" w:ascii="宋体" w:hAnsi="宋体" w:eastAsia="宋体" w:cs="宋体"/>
          <w:color w:val="auto"/>
          <w:szCs w:val="24"/>
          <w:highlight w:val="none"/>
          <w:lang w:val="zh-CN"/>
        </w:rPr>
        <w:t>4. 提交资料（包括但不限于组织架构、公司简介等）：</w:t>
      </w:r>
      <w:bookmarkEnd w:id="622"/>
    </w:p>
    <w:p w14:paraId="11ED4F12">
      <w:pPr>
        <w:autoSpaceDE w:val="0"/>
        <w:autoSpaceDN w:val="0"/>
        <w:adjustRightInd w:val="0"/>
        <w:spacing w:line="360" w:lineRule="auto"/>
        <w:ind w:firstLine="630" w:firstLineChars="300"/>
        <w:outlineLvl w:val="1"/>
        <w:rPr>
          <w:rFonts w:ascii="宋体" w:hAnsi="宋体" w:eastAsia="宋体" w:cs="宋体"/>
          <w:color w:val="auto"/>
          <w:szCs w:val="24"/>
          <w:highlight w:val="none"/>
          <w:lang w:val="zh-CN"/>
        </w:rPr>
      </w:pPr>
      <w:bookmarkStart w:id="623" w:name="_Toc10502"/>
      <w:r>
        <w:rPr>
          <w:rFonts w:hint="eastAsia" w:ascii="宋体" w:hAnsi="宋体" w:eastAsia="宋体" w:cs="宋体"/>
          <w:color w:val="auto"/>
          <w:szCs w:val="24"/>
          <w:highlight w:val="none"/>
          <w:lang w:val="zh-CN"/>
        </w:rPr>
        <w:t>（1）公司简介；</w:t>
      </w:r>
      <w:bookmarkEnd w:id="623"/>
    </w:p>
    <w:p w14:paraId="722730B2">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68EFFF68">
      <w:pPr>
        <w:autoSpaceDE w:val="0"/>
        <w:autoSpaceDN w:val="0"/>
        <w:adjustRightInd w:val="0"/>
        <w:spacing w:line="360" w:lineRule="auto"/>
        <w:ind w:firstLine="630" w:firstLineChars="300"/>
        <w:outlineLvl w:val="1"/>
        <w:rPr>
          <w:rFonts w:ascii="宋体" w:hAnsi="宋体" w:eastAsia="宋体" w:cs="宋体"/>
          <w:color w:val="auto"/>
          <w:szCs w:val="24"/>
          <w:highlight w:val="none"/>
          <w:lang w:val="zh-CN"/>
        </w:rPr>
      </w:pPr>
      <w:bookmarkStart w:id="624" w:name="_Toc28130"/>
      <w:r>
        <w:rPr>
          <w:rFonts w:hint="eastAsia" w:ascii="宋体" w:hAnsi="宋体" w:eastAsia="宋体" w:cs="宋体"/>
          <w:color w:val="auto"/>
          <w:szCs w:val="24"/>
          <w:highlight w:val="none"/>
          <w:lang w:val="zh-CN"/>
        </w:rPr>
        <w:t>（2）公司组织架构；</w:t>
      </w:r>
      <w:bookmarkEnd w:id="624"/>
    </w:p>
    <w:p w14:paraId="0DB184DD">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p>
    <w:p w14:paraId="42538C89">
      <w:pPr>
        <w:autoSpaceDE w:val="0"/>
        <w:autoSpaceDN w:val="0"/>
        <w:adjustRightInd w:val="0"/>
        <w:spacing w:line="360" w:lineRule="auto"/>
        <w:ind w:left="836" w:leftChars="137" w:hanging="548" w:hangingChars="26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14:paraId="2C997C04">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33613E46">
      <w:pPr>
        <w:autoSpaceDE w:val="0"/>
        <w:autoSpaceDN w:val="0"/>
        <w:adjustRightInd w:val="0"/>
        <w:spacing w:line="360" w:lineRule="auto"/>
        <w:ind w:firstLine="420" w:firstLineChars="200"/>
        <w:rPr>
          <w:rFonts w:ascii="宋体" w:hAnsi="宋体" w:eastAsia="宋体" w:cs="宋体"/>
          <w:color w:val="auto"/>
          <w:szCs w:val="24"/>
          <w:highlight w:val="none"/>
        </w:rPr>
      </w:pPr>
    </w:p>
    <w:p w14:paraId="5F5338B3">
      <w:pPr>
        <w:autoSpaceDE w:val="0"/>
        <w:autoSpaceDN w:val="0"/>
        <w:adjustRightInd w:val="0"/>
        <w:spacing w:line="360" w:lineRule="auto"/>
        <w:ind w:right="368" w:rightChars="175"/>
        <w:jc w:val="right"/>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14:paraId="591F4D8B">
      <w:pPr>
        <w:autoSpaceDE w:val="0"/>
        <w:autoSpaceDN w:val="0"/>
        <w:adjustRightInd w:val="0"/>
        <w:spacing w:line="360" w:lineRule="auto"/>
        <w:ind w:right="368" w:rightChars="175" w:firstLine="6237"/>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7C58E649">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625" w:name="_Toc9109"/>
      <w:bookmarkStart w:id="626" w:name="_Toc10443"/>
      <w:bookmarkStart w:id="627" w:name="_Toc102860424"/>
      <w:bookmarkStart w:id="628" w:name="_Toc104991882"/>
      <w:bookmarkStart w:id="629" w:name="_Toc29014"/>
      <w:bookmarkStart w:id="630" w:name="_Toc94107216"/>
      <w:bookmarkStart w:id="631" w:name="_Toc142508375"/>
      <w:bookmarkStart w:id="632" w:name="_Toc102860080"/>
      <w:bookmarkStart w:id="633" w:name="_Toc4023"/>
      <w:bookmarkStart w:id="634" w:name="_Toc140596935"/>
      <w:bookmarkStart w:id="635" w:name="_Toc1977733"/>
      <w:bookmarkStart w:id="636" w:name="_Toc533708128"/>
      <w:bookmarkStart w:id="637" w:name="_Toc9051_WPSOffice_Level2"/>
      <w:bookmarkStart w:id="638" w:name="_Toc486167715"/>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lang w:val="zh-CN"/>
        </w:rPr>
        <w:t>、投标人财务状况表格式</w:t>
      </w:r>
      <w:bookmarkEnd w:id="625"/>
      <w:bookmarkEnd w:id="626"/>
      <w:bookmarkEnd w:id="627"/>
      <w:bookmarkEnd w:id="628"/>
      <w:bookmarkEnd w:id="629"/>
      <w:bookmarkEnd w:id="630"/>
      <w:bookmarkEnd w:id="631"/>
      <w:bookmarkEnd w:id="632"/>
      <w:bookmarkEnd w:id="633"/>
      <w:bookmarkEnd w:id="634"/>
    </w:p>
    <w:p w14:paraId="3B7E5C6E">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14:paraId="5F5D4CFC">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2842B5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45BA8D58">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14:paraId="247D56CF">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14:paraId="33683C08">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14:paraId="4C7A99BC">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14:paraId="3DB32CAE">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2B1988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6E51B483">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rPr>
              <w:t>2021</w:t>
            </w:r>
          </w:p>
        </w:tc>
        <w:tc>
          <w:tcPr>
            <w:tcW w:w="1944" w:type="dxa"/>
            <w:vAlign w:val="center"/>
          </w:tcPr>
          <w:p w14:paraId="5DAEFF97">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36889C86">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vAlign w:val="center"/>
          </w:tcPr>
          <w:p w14:paraId="0736A381">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73B66F3C">
            <w:pPr>
              <w:autoSpaceDE w:val="0"/>
              <w:autoSpaceDN w:val="0"/>
              <w:adjustRightInd w:val="0"/>
              <w:spacing w:line="360" w:lineRule="auto"/>
              <w:jc w:val="center"/>
              <w:rPr>
                <w:rFonts w:ascii="宋体" w:hAnsi="宋体" w:eastAsia="宋体" w:cs="宋体"/>
                <w:color w:val="auto"/>
                <w:kern w:val="0"/>
                <w:szCs w:val="21"/>
                <w:highlight w:val="none"/>
              </w:rPr>
            </w:pPr>
          </w:p>
        </w:tc>
      </w:tr>
      <w:tr w14:paraId="704E3E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24B9E123">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rPr>
              <w:t>2022</w:t>
            </w:r>
          </w:p>
        </w:tc>
        <w:tc>
          <w:tcPr>
            <w:tcW w:w="1944" w:type="dxa"/>
            <w:vAlign w:val="center"/>
          </w:tcPr>
          <w:p w14:paraId="27FD81F6">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39732DF6">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14:paraId="4AA10BEF">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155AA550">
            <w:pPr>
              <w:autoSpaceDE w:val="0"/>
              <w:autoSpaceDN w:val="0"/>
              <w:adjustRightInd w:val="0"/>
              <w:spacing w:line="360" w:lineRule="auto"/>
              <w:jc w:val="center"/>
              <w:rPr>
                <w:rFonts w:ascii="宋体" w:hAnsi="宋体" w:eastAsia="宋体" w:cs="宋体"/>
                <w:color w:val="auto"/>
                <w:kern w:val="0"/>
                <w:szCs w:val="21"/>
                <w:highlight w:val="none"/>
              </w:rPr>
            </w:pPr>
          </w:p>
        </w:tc>
      </w:tr>
      <w:tr w14:paraId="61EABF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54E9D90B">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rPr>
              <w:t>2023</w:t>
            </w:r>
          </w:p>
        </w:tc>
        <w:tc>
          <w:tcPr>
            <w:tcW w:w="1944" w:type="dxa"/>
            <w:vAlign w:val="center"/>
          </w:tcPr>
          <w:p w14:paraId="0873DAA4">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19DAF0B3">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14:paraId="09277594">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2E6774C5">
            <w:pPr>
              <w:autoSpaceDE w:val="0"/>
              <w:autoSpaceDN w:val="0"/>
              <w:adjustRightInd w:val="0"/>
              <w:spacing w:line="360" w:lineRule="auto"/>
              <w:jc w:val="center"/>
              <w:rPr>
                <w:rFonts w:ascii="宋体" w:hAnsi="宋体" w:eastAsia="宋体" w:cs="宋体"/>
                <w:color w:val="auto"/>
                <w:kern w:val="0"/>
                <w:szCs w:val="21"/>
                <w:highlight w:val="none"/>
              </w:rPr>
            </w:pPr>
          </w:p>
        </w:tc>
      </w:tr>
      <w:tr w14:paraId="31E45C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385627B5">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14:paraId="555C4BA9">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2BBC0A66">
            <w:pPr>
              <w:autoSpaceDE w:val="0"/>
              <w:autoSpaceDN w:val="0"/>
              <w:adjustRightInd w:val="0"/>
              <w:spacing w:line="360" w:lineRule="auto"/>
              <w:jc w:val="center"/>
              <w:rPr>
                <w:rFonts w:ascii="宋体" w:hAnsi="宋体" w:eastAsia="宋体" w:cs="宋体"/>
                <w:color w:val="auto"/>
                <w:kern w:val="0"/>
                <w:szCs w:val="21"/>
                <w:highlight w:val="none"/>
              </w:rPr>
            </w:pPr>
          </w:p>
        </w:tc>
      </w:tr>
    </w:tbl>
    <w:p w14:paraId="67D4D64F">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6EDA5702">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2720908E">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7CF51A7C">
      <w:pPr>
        <w:autoSpaceDE w:val="0"/>
        <w:autoSpaceDN w:val="0"/>
        <w:adjustRightInd w:val="0"/>
        <w:spacing w:line="360" w:lineRule="auto"/>
        <w:ind w:firstLine="5409" w:firstLineChars="2576"/>
        <w:rPr>
          <w:rFonts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14:paraId="1668F975">
      <w:pPr>
        <w:autoSpaceDE w:val="0"/>
        <w:autoSpaceDN w:val="0"/>
        <w:adjustRightInd w:val="0"/>
        <w:spacing w:line="360" w:lineRule="auto"/>
        <w:ind w:firstLine="6249" w:firstLineChars="2976"/>
        <w:rPr>
          <w:rFonts w:ascii="宋体" w:hAnsi="宋体" w:eastAsia="宋体" w:cs="宋体"/>
          <w:b/>
          <w:bCs/>
          <w:color w:val="auto"/>
          <w:kern w:val="0"/>
          <w:szCs w:val="21"/>
          <w:highlight w:val="none"/>
        </w:rPr>
        <w:sectPr>
          <w:footerReference r:id="rId7"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rPr>
        <w:t>日</w:t>
      </w:r>
    </w:p>
    <w:bookmarkEnd w:id="635"/>
    <w:bookmarkEnd w:id="636"/>
    <w:bookmarkEnd w:id="637"/>
    <w:bookmarkEnd w:id="638"/>
    <w:p w14:paraId="34CC052E">
      <w:pPr>
        <w:tabs>
          <w:tab w:val="left" w:pos="567"/>
        </w:tabs>
        <w:autoSpaceDE w:val="0"/>
        <w:autoSpaceDN w:val="0"/>
        <w:adjustRightInd w:val="0"/>
        <w:spacing w:line="360" w:lineRule="auto"/>
        <w:ind w:left="0" w:leftChars="0" w:firstLine="0"/>
        <w:jc w:val="left"/>
        <w:outlineLvl w:val="2"/>
        <w:rPr>
          <w:rFonts w:ascii="宋体" w:hAnsi="宋体" w:eastAsia="宋体" w:cs="宋体"/>
          <w:b/>
          <w:color w:val="auto"/>
          <w:kern w:val="0"/>
          <w:sz w:val="32"/>
          <w:szCs w:val="32"/>
        </w:rPr>
      </w:pPr>
      <w:bookmarkStart w:id="639" w:name="_Toc26821"/>
      <w:bookmarkStart w:id="640" w:name="_Toc94107217"/>
      <w:bookmarkStart w:id="641" w:name="_Toc333"/>
      <w:bookmarkStart w:id="642" w:name="_Toc102860425"/>
      <w:bookmarkStart w:id="643" w:name="_Toc739_WPSOffice_Level2"/>
      <w:bookmarkStart w:id="644" w:name="_Toc102860081"/>
      <w:bookmarkStart w:id="645" w:name="_Toc140596936"/>
      <w:bookmarkStart w:id="646" w:name="_Toc486167716"/>
      <w:bookmarkStart w:id="647" w:name="_Toc31635"/>
      <w:bookmarkStart w:id="648" w:name="_Toc142508376"/>
      <w:bookmarkStart w:id="649" w:name="_Toc104991883"/>
      <w:bookmarkStart w:id="650" w:name="_Toc17995"/>
      <w:bookmarkStart w:id="651" w:name="_Toc533708130"/>
      <w:bookmarkStart w:id="652" w:name="_Toc1977736"/>
      <w:r>
        <w:rPr>
          <w:rFonts w:hint="eastAsia" w:ascii="宋体" w:hAnsi="宋体" w:eastAsia="宋体" w:cs="宋体"/>
          <w:b/>
          <w:color w:val="auto"/>
          <w:kern w:val="0"/>
          <w:sz w:val="32"/>
          <w:szCs w:val="32"/>
          <w:highlight w:val="none"/>
        </w:rPr>
        <w:t>八、</w:t>
      </w:r>
      <w:r>
        <w:rPr>
          <w:rFonts w:hint="eastAsia" w:ascii="宋体" w:hAnsi="宋体" w:eastAsia="宋体" w:cs="宋体"/>
          <w:b/>
          <w:color w:val="auto"/>
          <w:kern w:val="0"/>
          <w:sz w:val="32"/>
          <w:szCs w:val="32"/>
          <w:highlight w:val="none"/>
          <w:lang w:val="zh-CN"/>
        </w:rPr>
        <w:t>标准化</w:t>
      </w:r>
      <w:r>
        <w:rPr>
          <w:rFonts w:hint="eastAsia" w:ascii="宋体" w:hAnsi="宋体" w:eastAsia="宋体" w:cs="宋体"/>
          <w:b/>
          <w:color w:val="auto"/>
          <w:kern w:val="0"/>
          <w:sz w:val="32"/>
          <w:szCs w:val="32"/>
          <w:highlight w:val="none"/>
        </w:rPr>
        <w:t>体系认证</w:t>
      </w:r>
    </w:p>
    <w:p w14:paraId="563B1B5F">
      <w:pPr>
        <w:tabs>
          <w:tab w:val="left" w:pos="567"/>
        </w:tabs>
        <w:wordWrap w:val="0"/>
        <w:autoSpaceDE/>
        <w:autoSpaceDN/>
        <w:adjustRightInd w:val="0"/>
        <w:spacing w:line="360" w:lineRule="auto"/>
        <w:ind w:firstLine="420" w:firstLineChars="200"/>
        <w:jc w:val="left"/>
        <w:outlineLvl w:val="2"/>
        <w:rPr>
          <w:rFonts w:ascii="宋体" w:hAnsi="宋体" w:eastAsia="宋体" w:cs="宋体"/>
          <w:bCs/>
          <w:color w:val="auto"/>
          <w:kern w:val="0"/>
          <w:szCs w:val="21"/>
        </w:rPr>
      </w:pPr>
      <w:r>
        <w:rPr>
          <w:rFonts w:hint="eastAsia" w:ascii="宋体" w:hAnsi="宋体" w:eastAsia="宋体" w:cs="宋体"/>
          <w:bCs/>
          <w:color w:val="auto"/>
          <w:kern w:val="0"/>
          <w:szCs w:val="21"/>
          <w:lang w:bidi="ar"/>
        </w:rPr>
        <w:t>备注：投标人应提供上述证书复印件及能显示证书有效状态的全国认证认可信息公共服务平台（http://cx.cnca.cn/)查询结果凭证【凭证界面需显示有“全国认证认可信息公共服务平台”或“认证证书（需显示网址cx.cnca.cn）”】。</w:t>
      </w:r>
    </w:p>
    <w:p w14:paraId="111A6A49">
      <w:pPr>
        <w:tabs>
          <w:tab w:val="left" w:pos="567"/>
        </w:tabs>
        <w:autoSpaceDE w:val="0"/>
        <w:autoSpaceDN w:val="0"/>
        <w:adjustRightInd w:val="0"/>
        <w:spacing w:line="360" w:lineRule="auto"/>
        <w:jc w:val="left"/>
        <w:outlineLvl w:val="2"/>
        <w:rPr>
          <w:color w:val="auto"/>
        </w:rPr>
      </w:pPr>
    </w:p>
    <w:p w14:paraId="6E28CB84">
      <w:pPr>
        <w:pageBreakBefore/>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lang w:val="zh-CN"/>
        </w:rPr>
        <w:t>、合同条款偏离表格式</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14:paraId="1F48EF90">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bookmarkStart w:id="653" w:name="_Toc26412_WPSOffice_Level3"/>
      <w:r>
        <w:rPr>
          <w:rFonts w:hint="eastAsia" w:ascii="宋体" w:hAnsi="宋体" w:eastAsia="宋体" w:cs="宋体"/>
          <w:b/>
          <w:bCs/>
          <w:color w:val="auto"/>
          <w:kern w:val="0"/>
          <w:sz w:val="28"/>
          <w:szCs w:val="30"/>
          <w:highlight w:val="none"/>
          <w:lang w:val="zh-CN"/>
        </w:rPr>
        <w:t>东莞市水务集团管网有限公司2025年保安服务采购项目合同条款偏离表</w:t>
      </w:r>
      <w:bookmarkEnd w:id="653"/>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0EA69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484E64D4">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480EE5A7">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14:paraId="12590E0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0F0CB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3D775812">
            <w:pPr>
              <w:autoSpaceDE w:val="0"/>
              <w:autoSpaceDN w:val="0"/>
              <w:adjustRightInd w:val="0"/>
              <w:spacing w:line="400" w:lineRule="exact"/>
              <w:jc w:val="center"/>
              <w:rPr>
                <w:rFonts w:ascii="宋体" w:hAnsi="宋体" w:eastAsia="宋体" w:cs="宋体"/>
                <w:color w:val="auto"/>
                <w:kern w:val="0"/>
                <w:szCs w:val="21"/>
                <w:highlight w:val="none"/>
              </w:rPr>
            </w:pPr>
          </w:p>
        </w:tc>
        <w:tc>
          <w:tcPr>
            <w:tcW w:w="1425" w:type="dxa"/>
            <w:vAlign w:val="center"/>
          </w:tcPr>
          <w:p w14:paraId="58F089C0">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54E1A80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31E1F383">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2085EA0F">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4695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73C59C2">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14:paraId="2B121A28">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一</w:t>
            </w:r>
          </w:p>
        </w:tc>
        <w:tc>
          <w:tcPr>
            <w:tcW w:w="3055" w:type="dxa"/>
            <w:vAlign w:val="center"/>
          </w:tcPr>
          <w:p w14:paraId="7FAB22BC">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服务内容</w:t>
            </w:r>
          </w:p>
        </w:tc>
        <w:tc>
          <w:tcPr>
            <w:tcW w:w="1346" w:type="dxa"/>
            <w:vAlign w:val="center"/>
          </w:tcPr>
          <w:p w14:paraId="3EBD8BB0">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2BA8BDED">
            <w:pPr>
              <w:autoSpaceDE w:val="0"/>
              <w:autoSpaceDN w:val="0"/>
              <w:adjustRightInd w:val="0"/>
              <w:spacing w:line="400" w:lineRule="exact"/>
              <w:jc w:val="center"/>
              <w:rPr>
                <w:rFonts w:ascii="宋体" w:hAnsi="宋体" w:eastAsia="宋体" w:cs="宋体"/>
                <w:color w:val="auto"/>
                <w:kern w:val="0"/>
                <w:szCs w:val="21"/>
                <w:highlight w:val="none"/>
              </w:rPr>
            </w:pPr>
          </w:p>
        </w:tc>
      </w:tr>
      <w:tr w14:paraId="5B881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C898BFA">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14:paraId="31AB03B6">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二</w:t>
            </w:r>
          </w:p>
        </w:tc>
        <w:tc>
          <w:tcPr>
            <w:tcW w:w="3055" w:type="dxa"/>
            <w:vAlign w:val="center"/>
          </w:tcPr>
          <w:p w14:paraId="360998FA">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保安服务质量要求</w:t>
            </w:r>
          </w:p>
        </w:tc>
        <w:tc>
          <w:tcPr>
            <w:tcW w:w="1346" w:type="dxa"/>
            <w:vAlign w:val="center"/>
          </w:tcPr>
          <w:p w14:paraId="02AA81DD">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0B20321">
            <w:pPr>
              <w:autoSpaceDE w:val="0"/>
              <w:autoSpaceDN w:val="0"/>
              <w:adjustRightInd w:val="0"/>
              <w:spacing w:line="400" w:lineRule="exact"/>
              <w:jc w:val="center"/>
              <w:rPr>
                <w:rFonts w:ascii="宋体" w:hAnsi="宋体" w:eastAsia="宋体" w:cs="宋体"/>
                <w:color w:val="auto"/>
                <w:kern w:val="0"/>
                <w:szCs w:val="21"/>
                <w:highlight w:val="none"/>
              </w:rPr>
            </w:pPr>
          </w:p>
        </w:tc>
      </w:tr>
      <w:tr w14:paraId="22DB0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6CC21BB">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14:paraId="23C78501">
            <w:pPr>
              <w:autoSpaceDE w:val="0"/>
              <w:autoSpaceDN w:val="0"/>
              <w:adjustRightInd w:val="0"/>
              <w:spacing w:line="400" w:lineRule="exact"/>
              <w:jc w:val="center"/>
              <w:rPr>
                <w:rFonts w:hint="eastAsia"/>
                <w:color w:val="auto"/>
                <w:lang w:val="en-US" w:eastAsia="zh-CN"/>
              </w:rPr>
            </w:pPr>
            <w:r>
              <w:rPr>
                <w:rFonts w:hint="eastAsia" w:ascii="宋体" w:hAnsi="宋体" w:eastAsia="宋体" w:cs="宋体"/>
                <w:color w:val="auto"/>
                <w:kern w:val="0"/>
                <w:szCs w:val="21"/>
                <w:highlight w:val="none"/>
                <w:lang w:val="en-US" w:eastAsia="zh-CN"/>
              </w:rPr>
              <w:t>三</w:t>
            </w:r>
          </w:p>
        </w:tc>
        <w:tc>
          <w:tcPr>
            <w:tcW w:w="3055" w:type="dxa"/>
            <w:vAlign w:val="center"/>
          </w:tcPr>
          <w:p w14:paraId="31B4D531">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服务具体要求</w:t>
            </w:r>
          </w:p>
        </w:tc>
        <w:tc>
          <w:tcPr>
            <w:tcW w:w="1346" w:type="dxa"/>
            <w:vAlign w:val="center"/>
          </w:tcPr>
          <w:p w14:paraId="068009B5">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6B70CA69">
            <w:pPr>
              <w:autoSpaceDE w:val="0"/>
              <w:autoSpaceDN w:val="0"/>
              <w:adjustRightInd w:val="0"/>
              <w:spacing w:line="400" w:lineRule="exact"/>
              <w:jc w:val="center"/>
              <w:rPr>
                <w:rFonts w:ascii="宋体" w:hAnsi="宋体" w:eastAsia="宋体" w:cs="宋体"/>
                <w:color w:val="auto"/>
                <w:kern w:val="0"/>
                <w:szCs w:val="21"/>
                <w:highlight w:val="none"/>
              </w:rPr>
            </w:pPr>
          </w:p>
        </w:tc>
      </w:tr>
      <w:tr w14:paraId="0C74F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CEFB12B">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14:paraId="4E701470">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四</w:t>
            </w:r>
          </w:p>
        </w:tc>
        <w:tc>
          <w:tcPr>
            <w:tcW w:w="3055" w:type="dxa"/>
            <w:vAlign w:val="center"/>
          </w:tcPr>
          <w:p w14:paraId="485D3CB5">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服务费支付</w:t>
            </w:r>
          </w:p>
        </w:tc>
        <w:tc>
          <w:tcPr>
            <w:tcW w:w="1346" w:type="dxa"/>
            <w:vAlign w:val="center"/>
          </w:tcPr>
          <w:p w14:paraId="129A37A7">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16431BF0">
            <w:pPr>
              <w:autoSpaceDE w:val="0"/>
              <w:autoSpaceDN w:val="0"/>
              <w:adjustRightInd w:val="0"/>
              <w:spacing w:line="400" w:lineRule="exact"/>
              <w:jc w:val="center"/>
              <w:rPr>
                <w:rFonts w:ascii="宋体" w:hAnsi="宋体" w:eastAsia="宋体" w:cs="宋体"/>
                <w:color w:val="auto"/>
                <w:kern w:val="0"/>
                <w:szCs w:val="21"/>
                <w:highlight w:val="none"/>
              </w:rPr>
            </w:pPr>
          </w:p>
        </w:tc>
      </w:tr>
      <w:tr w14:paraId="3729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A02E1B3">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14:paraId="6062F9B2">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五</w:t>
            </w:r>
          </w:p>
        </w:tc>
        <w:tc>
          <w:tcPr>
            <w:tcW w:w="3055" w:type="dxa"/>
            <w:vAlign w:val="center"/>
          </w:tcPr>
          <w:p w14:paraId="024A0BEC">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甲方权利和义务</w:t>
            </w:r>
          </w:p>
        </w:tc>
        <w:tc>
          <w:tcPr>
            <w:tcW w:w="1346" w:type="dxa"/>
            <w:vAlign w:val="center"/>
          </w:tcPr>
          <w:p w14:paraId="0900A56C">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622E7396">
            <w:pPr>
              <w:autoSpaceDE w:val="0"/>
              <w:autoSpaceDN w:val="0"/>
              <w:adjustRightInd w:val="0"/>
              <w:spacing w:line="400" w:lineRule="exact"/>
              <w:jc w:val="center"/>
              <w:rPr>
                <w:rFonts w:ascii="宋体" w:hAnsi="宋体" w:eastAsia="宋体" w:cs="宋体"/>
                <w:color w:val="auto"/>
                <w:kern w:val="0"/>
                <w:szCs w:val="21"/>
                <w:highlight w:val="none"/>
              </w:rPr>
            </w:pPr>
          </w:p>
        </w:tc>
      </w:tr>
      <w:tr w14:paraId="21FC7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21A7179">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14:paraId="51945FFE">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六</w:t>
            </w:r>
          </w:p>
        </w:tc>
        <w:tc>
          <w:tcPr>
            <w:tcW w:w="3055" w:type="dxa"/>
            <w:vAlign w:val="center"/>
          </w:tcPr>
          <w:p w14:paraId="366F4A8D">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乙方权利和义务</w:t>
            </w:r>
          </w:p>
        </w:tc>
        <w:tc>
          <w:tcPr>
            <w:tcW w:w="1346" w:type="dxa"/>
            <w:vAlign w:val="center"/>
          </w:tcPr>
          <w:p w14:paraId="32CF855A">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32FB2487">
            <w:pPr>
              <w:autoSpaceDE w:val="0"/>
              <w:autoSpaceDN w:val="0"/>
              <w:adjustRightInd w:val="0"/>
              <w:spacing w:line="400" w:lineRule="exact"/>
              <w:jc w:val="center"/>
              <w:rPr>
                <w:rFonts w:ascii="宋体" w:hAnsi="宋体" w:eastAsia="宋体" w:cs="宋体"/>
                <w:color w:val="auto"/>
                <w:kern w:val="0"/>
                <w:szCs w:val="21"/>
                <w:highlight w:val="none"/>
              </w:rPr>
            </w:pPr>
          </w:p>
        </w:tc>
      </w:tr>
      <w:tr w14:paraId="1752D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A1D4CD7">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14:paraId="064FA1EA">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七</w:t>
            </w:r>
          </w:p>
        </w:tc>
        <w:tc>
          <w:tcPr>
            <w:tcW w:w="3055" w:type="dxa"/>
            <w:vAlign w:val="center"/>
          </w:tcPr>
          <w:p w14:paraId="3F0D050C">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履约担保</w:t>
            </w:r>
          </w:p>
        </w:tc>
        <w:tc>
          <w:tcPr>
            <w:tcW w:w="1346" w:type="dxa"/>
            <w:vAlign w:val="center"/>
          </w:tcPr>
          <w:p w14:paraId="1EB453B4">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8E4631A">
            <w:pPr>
              <w:autoSpaceDE w:val="0"/>
              <w:autoSpaceDN w:val="0"/>
              <w:adjustRightInd w:val="0"/>
              <w:spacing w:line="400" w:lineRule="exact"/>
              <w:jc w:val="center"/>
              <w:rPr>
                <w:rFonts w:ascii="宋体" w:hAnsi="宋体" w:eastAsia="宋体" w:cs="宋体"/>
                <w:color w:val="auto"/>
                <w:kern w:val="0"/>
                <w:szCs w:val="21"/>
                <w:highlight w:val="none"/>
              </w:rPr>
            </w:pPr>
          </w:p>
        </w:tc>
      </w:tr>
      <w:tr w14:paraId="7088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3E4290D">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14:paraId="4F84BEDB">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八</w:t>
            </w:r>
          </w:p>
        </w:tc>
        <w:tc>
          <w:tcPr>
            <w:tcW w:w="3055" w:type="dxa"/>
            <w:vAlign w:val="center"/>
          </w:tcPr>
          <w:p w14:paraId="36C8453E">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考核办法</w:t>
            </w:r>
          </w:p>
        </w:tc>
        <w:tc>
          <w:tcPr>
            <w:tcW w:w="1346" w:type="dxa"/>
            <w:vAlign w:val="center"/>
          </w:tcPr>
          <w:p w14:paraId="3AA46352">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77540544">
            <w:pPr>
              <w:autoSpaceDE w:val="0"/>
              <w:autoSpaceDN w:val="0"/>
              <w:adjustRightInd w:val="0"/>
              <w:spacing w:line="400" w:lineRule="exact"/>
              <w:jc w:val="center"/>
              <w:rPr>
                <w:rFonts w:ascii="宋体" w:hAnsi="宋体" w:eastAsia="宋体" w:cs="宋体"/>
                <w:color w:val="auto"/>
                <w:kern w:val="0"/>
                <w:szCs w:val="21"/>
                <w:highlight w:val="none"/>
              </w:rPr>
            </w:pPr>
          </w:p>
        </w:tc>
      </w:tr>
      <w:tr w14:paraId="3DB9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709BA5F">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14:paraId="0CDFAE83">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九</w:t>
            </w:r>
          </w:p>
        </w:tc>
        <w:tc>
          <w:tcPr>
            <w:tcW w:w="3055" w:type="dxa"/>
            <w:vAlign w:val="center"/>
          </w:tcPr>
          <w:p w14:paraId="13DD1A46">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违约责任</w:t>
            </w:r>
          </w:p>
        </w:tc>
        <w:tc>
          <w:tcPr>
            <w:tcW w:w="1346" w:type="dxa"/>
            <w:vAlign w:val="center"/>
          </w:tcPr>
          <w:p w14:paraId="5A71B359">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07AB731">
            <w:pPr>
              <w:autoSpaceDE w:val="0"/>
              <w:autoSpaceDN w:val="0"/>
              <w:adjustRightInd w:val="0"/>
              <w:spacing w:line="400" w:lineRule="exact"/>
              <w:jc w:val="center"/>
              <w:rPr>
                <w:rFonts w:ascii="宋体" w:hAnsi="宋体" w:eastAsia="宋体" w:cs="宋体"/>
                <w:color w:val="auto"/>
                <w:kern w:val="0"/>
                <w:szCs w:val="21"/>
                <w:highlight w:val="none"/>
              </w:rPr>
            </w:pPr>
          </w:p>
        </w:tc>
      </w:tr>
      <w:tr w14:paraId="22AD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B7E5097">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14:paraId="7CF9F9BC">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十</w:t>
            </w:r>
          </w:p>
        </w:tc>
        <w:tc>
          <w:tcPr>
            <w:tcW w:w="3055" w:type="dxa"/>
            <w:vAlign w:val="center"/>
          </w:tcPr>
          <w:p w14:paraId="11D1230B">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其他约定</w:t>
            </w:r>
          </w:p>
        </w:tc>
        <w:tc>
          <w:tcPr>
            <w:tcW w:w="1346" w:type="dxa"/>
            <w:vAlign w:val="center"/>
          </w:tcPr>
          <w:p w14:paraId="30F23A38">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7DD308CA">
            <w:pPr>
              <w:autoSpaceDE w:val="0"/>
              <w:autoSpaceDN w:val="0"/>
              <w:adjustRightInd w:val="0"/>
              <w:spacing w:line="400" w:lineRule="exact"/>
              <w:jc w:val="center"/>
              <w:rPr>
                <w:rFonts w:ascii="宋体" w:hAnsi="宋体" w:eastAsia="宋体" w:cs="宋体"/>
                <w:color w:val="auto"/>
                <w:kern w:val="0"/>
                <w:szCs w:val="21"/>
                <w:highlight w:val="none"/>
              </w:rPr>
            </w:pPr>
          </w:p>
        </w:tc>
      </w:tr>
      <w:tr w14:paraId="3F7A0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15845FE">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14:paraId="3920AAD3">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十一</w:t>
            </w:r>
          </w:p>
        </w:tc>
        <w:tc>
          <w:tcPr>
            <w:tcW w:w="3055" w:type="dxa"/>
            <w:vAlign w:val="center"/>
          </w:tcPr>
          <w:p w14:paraId="03E15841">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不可抗力</w:t>
            </w:r>
          </w:p>
        </w:tc>
        <w:tc>
          <w:tcPr>
            <w:tcW w:w="1346" w:type="dxa"/>
            <w:vAlign w:val="center"/>
          </w:tcPr>
          <w:p w14:paraId="29A397C2">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205EBCFA">
            <w:pPr>
              <w:autoSpaceDE w:val="0"/>
              <w:autoSpaceDN w:val="0"/>
              <w:adjustRightInd w:val="0"/>
              <w:spacing w:line="400" w:lineRule="exact"/>
              <w:jc w:val="center"/>
              <w:rPr>
                <w:rFonts w:ascii="宋体" w:hAnsi="宋体" w:eastAsia="宋体" w:cs="宋体"/>
                <w:color w:val="auto"/>
                <w:kern w:val="0"/>
                <w:szCs w:val="21"/>
                <w:highlight w:val="none"/>
              </w:rPr>
            </w:pPr>
          </w:p>
        </w:tc>
      </w:tr>
      <w:tr w14:paraId="0FBDD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6AFE9C9">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14:paraId="471B6A22">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十二</w:t>
            </w:r>
          </w:p>
        </w:tc>
        <w:tc>
          <w:tcPr>
            <w:tcW w:w="3055" w:type="dxa"/>
            <w:vAlign w:val="center"/>
          </w:tcPr>
          <w:p w14:paraId="1104FDEC">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争议解决</w:t>
            </w:r>
          </w:p>
        </w:tc>
        <w:tc>
          <w:tcPr>
            <w:tcW w:w="1346" w:type="dxa"/>
            <w:vAlign w:val="center"/>
          </w:tcPr>
          <w:p w14:paraId="4E845C31">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7A00443B">
            <w:pPr>
              <w:autoSpaceDE w:val="0"/>
              <w:autoSpaceDN w:val="0"/>
              <w:adjustRightInd w:val="0"/>
              <w:spacing w:line="400" w:lineRule="exact"/>
              <w:jc w:val="center"/>
              <w:rPr>
                <w:rFonts w:ascii="宋体" w:hAnsi="宋体" w:eastAsia="宋体" w:cs="宋体"/>
                <w:color w:val="auto"/>
                <w:kern w:val="0"/>
                <w:szCs w:val="21"/>
                <w:highlight w:val="none"/>
              </w:rPr>
            </w:pPr>
          </w:p>
        </w:tc>
      </w:tr>
      <w:tr w14:paraId="031A2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30628C6">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14:paraId="607E8728">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十三</w:t>
            </w:r>
          </w:p>
        </w:tc>
        <w:tc>
          <w:tcPr>
            <w:tcW w:w="3055" w:type="dxa"/>
            <w:vAlign w:val="center"/>
          </w:tcPr>
          <w:p w14:paraId="5DB148BC">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送达</w:t>
            </w:r>
          </w:p>
        </w:tc>
        <w:tc>
          <w:tcPr>
            <w:tcW w:w="1346" w:type="dxa"/>
            <w:vAlign w:val="center"/>
          </w:tcPr>
          <w:p w14:paraId="10ADF8F9">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3573FA22">
            <w:pPr>
              <w:autoSpaceDE w:val="0"/>
              <w:autoSpaceDN w:val="0"/>
              <w:adjustRightInd w:val="0"/>
              <w:spacing w:line="400" w:lineRule="exact"/>
              <w:jc w:val="center"/>
              <w:rPr>
                <w:rFonts w:ascii="宋体" w:hAnsi="宋体" w:eastAsia="宋体" w:cs="宋体"/>
                <w:color w:val="auto"/>
                <w:kern w:val="0"/>
                <w:szCs w:val="21"/>
                <w:highlight w:val="none"/>
              </w:rPr>
            </w:pPr>
          </w:p>
        </w:tc>
      </w:tr>
      <w:tr w14:paraId="49786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EDF2D77">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425" w:type="dxa"/>
            <w:vAlign w:val="center"/>
          </w:tcPr>
          <w:p w14:paraId="32093945">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十四</w:t>
            </w:r>
          </w:p>
        </w:tc>
        <w:tc>
          <w:tcPr>
            <w:tcW w:w="3055" w:type="dxa"/>
            <w:vAlign w:val="center"/>
          </w:tcPr>
          <w:p w14:paraId="5C5184CE">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补充说明</w:t>
            </w:r>
          </w:p>
        </w:tc>
        <w:tc>
          <w:tcPr>
            <w:tcW w:w="1346" w:type="dxa"/>
            <w:vAlign w:val="center"/>
          </w:tcPr>
          <w:p w14:paraId="4DD2C746">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631649B5">
            <w:pPr>
              <w:autoSpaceDE w:val="0"/>
              <w:autoSpaceDN w:val="0"/>
              <w:adjustRightInd w:val="0"/>
              <w:spacing w:line="400" w:lineRule="exact"/>
              <w:jc w:val="center"/>
              <w:rPr>
                <w:rFonts w:ascii="宋体" w:hAnsi="宋体" w:eastAsia="宋体" w:cs="宋体"/>
                <w:color w:val="auto"/>
                <w:kern w:val="0"/>
                <w:szCs w:val="21"/>
                <w:highlight w:val="none"/>
              </w:rPr>
            </w:pPr>
          </w:p>
        </w:tc>
      </w:tr>
      <w:tr w14:paraId="28FE6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FE97D1F">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425" w:type="dxa"/>
            <w:vAlign w:val="center"/>
          </w:tcPr>
          <w:p w14:paraId="3A966C15">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附件四</w:t>
            </w:r>
          </w:p>
        </w:tc>
        <w:tc>
          <w:tcPr>
            <w:tcW w:w="3055" w:type="dxa"/>
            <w:vAlign w:val="center"/>
          </w:tcPr>
          <w:p w14:paraId="127D47CD">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承诺书</w:t>
            </w:r>
          </w:p>
        </w:tc>
        <w:tc>
          <w:tcPr>
            <w:tcW w:w="1346" w:type="dxa"/>
            <w:vAlign w:val="center"/>
          </w:tcPr>
          <w:p w14:paraId="4A3708EB">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1C6B5C7D">
            <w:pPr>
              <w:autoSpaceDE w:val="0"/>
              <w:autoSpaceDN w:val="0"/>
              <w:adjustRightInd w:val="0"/>
              <w:spacing w:line="400" w:lineRule="exact"/>
              <w:jc w:val="center"/>
              <w:rPr>
                <w:rFonts w:ascii="宋体" w:hAnsi="宋体" w:eastAsia="宋体" w:cs="宋体"/>
                <w:color w:val="auto"/>
                <w:kern w:val="0"/>
                <w:szCs w:val="21"/>
                <w:highlight w:val="none"/>
              </w:rPr>
            </w:pPr>
          </w:p>
        </w:tc>
      </w:tr>
      <w:tr w14:paraId="4202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EAEF65E">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425" w:type="dxa"/>
            <w:vAlign w:val="center"/>
          </w:tcPr>
          <w:p w14:paraId="50839641">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附件五</w:t>
            </w:r>
          </w:p>
        </w:tc>
        <w:tc>
          <w:tcPr>
            <w:tcW w:w="3055" w:type="dxa"/>
            <w:vAlign w:val="center"/>
          </w:tcPr>
          <w:p w14:paraId="6525B8D4">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b w:val="0"/>
                <w:bCs w:val="0"/>
                <w:color w:val="auto"/>
                <w:sz w:val="21"/>
                <w:szCs w:val="21"/>
                <w:lang w:val="en-US" w:eastAsia="zh-CN"/>
              </w:rPr>
              <w:t>安全生产管理协议书</w:t>
            </w:r>
          </w:p>
        </w:tc>
        <w:tc>
          <w:tcPr>
            <w:tcW w:w="1346" w:type="dxa"/>
            <w:vAlign w:val="center"/>
          </w:tcPr>
          <w:p w14:paraId="2E57FE9D">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3DCB9C08">
            <w:pPr>
              <w:autoSpaceDE w:val="0"/>
              <w:autoSpaceDN w:val="0"/>
              <w:adjustRightInd w:val="0"/>
              <w:spacing w:line="400" w:lineRule="exact"/>
              <w:jc w:val="center"/>
              <w:rPr>
                <w:rFonts w:ascii="宋体" w:hAnsi="宋体" w:eastAsia="宋体" w:cs="宋体"/>
                <w:color w:val="auto"/>
                <w:kern w:val="0"/>
                <w:szCs w:val="21"/>
                <w:highlight w:val="none"/>
              </w:rPr>
            </w:pPr>
          </w:p>
        </w:tc>
      </w:tr>
      <w:tr w14:paraId="474F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F1ABDAF">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p>
        </w:tc>
        <w:tc>
          <w:tcPr>
            <w:tcW w:w="1425" w:type="dxa"/>
            <w:vAlign w:val="center"/>
          </w:tcPr>
          <w:p w14:paraId="7E7F2025">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附件六</w:t>
            </w:r>
          </w:p>
        </w:tc>
        <w:tc>
          <w:tcPr>
            <w:tcW w:w="3055" w:type="dxa"/>
            <w:vAlign w:val="center"/>
          </w:tcPr>
          <w:p w14:paraId="1A8656BE">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b w:val="0"/>
                <w:bCs w:val="0"/>
                <w:color w:val="auto"/>
                <w:sz w:val="21"/>
                <w:szCs w:val="21"/>
                <w:lang w:val="en-US" w:eastAsia="zh-CN"/>
              </w:rPr>
              <w:t>廉洁协议书</w:t>
            </w:r>
          </w:p>
        </w:tc>
        <w:tc>
          <w:tcPr>
            <w:tcW w:w="1346" w:type="dxa"/>
            <w:vAlign w:val="center"/>
          </w:tcPr>
          <w:p w14:paraId="54DC5A5D">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92D1BAF">
            <w:pPr>
              <w:autoSpaceDE w:val="0"/>
              <w:autoSpaceDN w:val="0"/>
              <w:adjustRightInd w:val="0"/>
              <w:spacing w:line="400" w:lineRule="exact"/>
              <w:jc w:val="center"/>
              <w:rPr>
                <w:rFonts w:ascii="宋体" w:hAnsi="宋体" w:eastAsia="宋体" w:cs="宋体"/>
                <w:color w:val="auto"/>
                <w:kern w:val="0"/>
                <w:szCs w:val="21"/>
                <w:highlight w:val="none"/>
              </w:rPr>
            </w:pPr>
          </w:p>
        </w:tc>
      </w:tr>
      <w:tr w14:paraId="03A4A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3A616E1">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18</w:t>
            </w:r>
          </w:p>
        </w:tc>
        <w:tc>
          <w:tcPr>
            <w:tcW w:w="1425" w:type="dxa"/>
            <w:vAlign w:val="center"/>
          </w:tcPr>
          <w:p w14:paraId="36A8DDA6">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一</w:t>
            </w:r>
          </w:p>
        </w:tc>
        <w:tc>
          <w:tcPr>
            <w:tcW w:w="3055" w:type="dxa"/>
            <w:vAlign w:val="center"/>
          </w:tcPr>
          <w:p w14:paraId="12561DC1">
            <w:pPr>
              <w:autoSpaceDE w:val="0"/>
              <w:autoSpaceDN w:val="0"/>
              <w:adjustRightInd w:val="0"/>
              <w:spacing w:line="400" w:lineRule="exact"/>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不可撤销银行履约保函</w:t>
            </w:r>
          </w:p>
        </w:tc>
        <w:tc>
          <w:tcPr>
            <w:tcW w:w="1346" w:type="dxa"/>
            <w:vAlign w:val="center"/>
          </w:tcPr>
          <w:p w14:paraId="24E0A3F2">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078ACDC">
            <w:pPr>
              <w:autoSpaceDE w:val="0"/>
              <w:autoSpaceDN w:val="0"/>
              <w:adjustRightInd w:val="0"/>
              <w:spacing w:line="400" w:lineRule="exact"/>
              <w:jc w:val="center"/>
              <w:rPr>
                <w:rFonts w:ascii="宋体" w:hAnsi="宋体" w:eastAsia="宋体" w:cs="宋体"/>
                <w:color w:val="auto"/>
                <w:kern w:val="0"/>
                <w:szCs w:val="21"/>
                <w:highlight w:val="none"/>
              </w:rPr>
            </w:pPr>
          </w:p>
        </w:tc>
      </w:tr>
      <w:tr w14:paraId="5BB90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70B4AD4">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w:t>
            </w:r>
          </w:p>
        </w:tc>
        <w:tc>
          <w:tcPr>
            <w:tcW w:w="1425" w:type="dxa"/>
            <w:vAlign w:val="center"/>
          </w:tcPr>
          <w:p w14:paraId="6C595BFA">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二</w:t>
            </w:r>
          </w:p>
        </w:tc>
        <w:tc>
          <w:tcPr>
            <w:tcW w:w="3055" w:type="dxa"/>
            <w:vAlign w:val="center"/>
          </w:tcPr>
          <w:p w14:paraId="45D532A1">
            <w:pPr>
              <w:autoSpaceDE w:val="0"/>
              <w:autoSpaceDN w:val="0"/>
              <w:adjustRightInd w:val="0"/>
              <w:spacing w:line="400" w:lineRule="exact"/>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履约保证保险凭证</w:t>
            </w:r>
          </w:p>
        </w:tc>
        <w:tc>
          <w:tcPr>
            <w:tcW w:w="1346" w:type="dxa"/>
            <w:vAlign w:val="center"/>
          </w:tcPr>
          <w:p w14:paraId="52CBCA6D">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62A5C249">
            <w:pPr>
              <w:autoSpaceDE w:val="0"/>
              <w:autoSpaceDN w:val="0"/>
              <w:adjustRightInd w:val="0"/>
              <w:spacing w:line="400" w:lineRule="exact"/>
              <w:jc w:val="center"/>
              <w:rPr>
                <w:rFonts w:ascii="宋体" w:hAnsi="宋体" w:eastAsia="宋体" w:cs="宋体"/>
                <w:color w:val="auto"/>
                <w:kern w:val="0"/>
                <w:szCs w:val="21"/>
                <w:highlight w:val="none"/>
              </w:rPr>
            </w:pPr>
          </w:p>
        </w:tc>
      </w:tr>
      <w:tr w14:paraId="43741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74720E9">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20</w:t>
            </w:r>
          </w:p>
        </w:tc>
        <w:tc>
          <w:tcPr>
            <w:tcW w:w="1425" w:type="dxa"/>
            <w:vAlign w:val="center"/>
          </w:tcPr>
          <w:p w14:paraId="306A276F">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三</w:t>
            </w:r>
          </w:p>
        </w:tc>
        <w:tc>
          <w:tcPr>
            <w:tcW w:w="3055" w:type="dxa"/>
            <w:vAlign w:val="center"/>
          </w:tcPr>
          <w:p w14:paraId="07361E82">
            <w:pPr>
              <w:autoSpaceDE w:val="0"/>
              <w:autoSpaceDN w:val="0"/>
              <w:adjustRightInd w:val="0"/>
              <w:spacing w:line="400" w:lineRule="exact"/>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担保公司履约担保书</w:t>
            </w:r>
          </w:p>
        </w:tc>
        <w:tc>
          <w:tcPr>
            <w:tcW w:w="1346" w:type="dxa"/>
            <w:vAlign w:val="center"/>
          </w:tcPr>
          <w:p w14:paraId="6AB95033">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085E1D5">
            <w:pPr>
              <w:autoSpaceDE w:val="0"/>
              <w:autoSpaceDN w:val="0"/>
              <w:adjustRightInd w:val="0"/>
              <w:spacing w:line="400" w:lineRule="exact"/>
              <w:jc w:val="center"/>
              <w:rPr>
                <w:rFonts w:ascii="宋体" w:hAnsi="宋体" w:eastAsia="宋体" w:cs="宋体"/>
                <w:color w:val="auto"/>
                <w:kern w:val="0"/>
                <w:szCs w:val="21"/>
                <w:highlight w:val="none"/>
              </w:rPr>
            </w:pPr>
          </w:p>
        </w:tc>
      </w:tr>
    </w:tbl>
    <w:p w14:paraId="1B23CB8B">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0AA43B53">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0B23C3E2">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14:paraId="75090B42">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商务条件优于招标文件的要求；负偏离是指投标人提供的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商务条件不满足或不完全满足招标文件的要求；无偏离是指投标人提供的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商务条件完全满足招标文件的要求。</w:t>
      </w:r>
    </w:p>
    <w:p w14:paraId="17AA9D43">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14:paraId="04CE6C77">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14:paraId="7A9871A5">
      <w:pPr>
        <w:spacing w:line="360" w:lineRule="auto"/>
        <w:ind w:left="357" w:leftChars="-100" w:hanging="567" w:hangingChars="270"/>
        <w:rPr>
          <w:rFonts w:ascii="宋体" w:hAnsi="宋体" w:eastAsia="宋体" w:cs="宋体"/>
          <w:color w:val="auto"/>
          <w:szCs w:val="21"/>
          <w:highlight w:val="none"/>
        </w:rPr>
      </w:pPr>
    </w:p>
    <w:p w14:paraId="70CCB4E5">
      <w:pPr>
        <w:spacing w:line="360" w:lineRule="auto"/>
        <w:ind w:left="357" w:leftChars="-100" w:hanging="567" w:hangingChars="270"/>
        <w:rPr>
          <w:rFonts w:ascii="宋体" w:hAnsi="宋体" w:eastAsia="宋体" w:cs="宋体"/>
          <w:color w:val="auto"/>
          <w:szCs w:val="21"/>
          <w:highlight w:val="none"/>
        </w:rPr>
      </w:pPr>
    </w:p>
    <w:p w14:paraId="4E2FBB4B">
      <w:pPr>
        <w:spacing w:line="360" w:lineRule="auto"/>
        <w:ind w:left="357" w:leftChars="-100" w:hanging="567" w:hangingChars="270"/>
        <w:rPr>
          <w:rFonts w:ascii="宋体" w:hAnsi="宋体" w:eastAsia="宋体" w:cs="宋体"/>
          <w:color w:val="auto"/>
          <w:szCs w:val="21"/>
          <w:highlight w:val="none"/>
        </w:rPr>
      </w:pPr>
    </w:p>
    <w:p w14:paraId="5DA1B2A7">
      <w:pPr>
        <w:spacing w:line="360" w:lineRule="auto"/>
        <w:ind w:right="368" w:rightChars="175" w:firstLine="5355" w:firstLineChars="255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1EDF504D">
      <w:pPr>
        <w:autoSpaceDE w:val="0"/>
        <w:autoSpaceDN w:val="0"/>
        <w:adjustRightInd w:val="0"/>
        <w:spacing w:line="360" w:lineRule="auto"/>
        <w:ind w:firstLine="5355" w:firstLineChars="2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7878F01B">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654" w:name="_Toc13961"/>
      <w:bookmarkStart w:id="655" w:name="_Toc140596937"/>
      <w:bookmarkStart w:id="656" w:name="_Toc94107218"/>
      <w:bookmarkStart w:id="657" w:name="_Toc102860426"/>
      <w:bookmarkStart w:id="658" w:name="_Toc104991884"/>
      <w:bookmarkStart w:id="659" w:name="_Toc29505"/>
      <w:bookmarkStart w:id="660" w:name="_Toc5473"/>
      <w:bookmarkStart w:id="661" w:name="_Toc102860082"/>
      <w:bookmarkStart w:id="662" w:name="_Toc13179"/>
      <w:bookmarkStart w:id="663" w:name="_Toc142508377"/>
      <w:bookmarkStart w:id="664" w:name="_Toc486167717"/>
      <w:bookmarkStart w:id="665" w:name="_Toc27980_WPSOffice_Level2"/>
      <w:r>
        <w:rPr>
          <w:rFonts w:hint="eastAsia" w:ascii="宋体" w:hAnsi="宋体" w:eastAsia="宋体" w:cs="宋体"/>
          <w:b/>
          <w:color w:val="auto"/>
          <w:kern w:val="0"/>
          <w:sz w:val="32"/>
          <w:szCs w:val="32"/>
          <w:highlight w:val="none"/>
          <w:lang w:val="en-US" w:eastAsia="zh-CN"/>
        </w:rPr>
        <w:t>十</w:t>
      </w:r>
      <w:r>
        <w:rPr>
          <w:rFonts w:hint="eastAsia" w:ascii="宋体" w:hAnsi="宋体" w:eastAsia="宋体" w:cs="宋体"/>
          <w:b/>
          <w:color w:val="auto"/>
          <w:kern w:val="0"/>
          <w:sz w:val="32"/>
          <w:szCs w:val="32"/>
          <w:highlight w:val="none"/>
        </w:rPr>
        <w:t>、业绩表格式</w:t>
      </w:r>
      <w:bookmarkEnd w:id="654"/>
      <w:bookmarkEnd w:id="655"/>
      <w:bookmarkEnd w:id="656"/>
      <w:bookmarkEnd w:id="657"/>
      <w:bookmarkEnd w:id="658"/>
      <w:bookmarkEnd w:id="659"/>
      <w:bookmarkEnd w:id="660"/>
      <w:bookmarkEnd w:id="661"/>
      <w:bookmarkEnd w:id="662"/>
      <w:bookmarkEnd w:id="663"/>
    </w:p>
    <w:p w14:paraId="3DF3DF69">
      <w:pPr>
        <w:autoSpaceDE w:val="0"/>
        <w:autoSpaceDN w:val="0"/>
        <w:adjustRightInd w:val="0"/>
        <w:spacing w:line="360" w:lineRule="auto"/>
        <w:ind w:firstLine="602"/>
        <w:jc w:val="center"/>
        <w:rPr>
          <w:rFonts w:hint="eastAsia" w:ascii="宋体" w:hAnsi="宋体" w:eastAsia="宋体" w:cs="Times New Roman"/>
          <w:b/>
          <w:bCs/>
          <w:color w:val="auto"/>
          <w:sz w:val="30"/>
          <w:szCs w:val="30"/>
          <w:highlight w:val="none"/>
          <w:lang w:val="en-US" w:eastAsia="zh-CN"/>
        </w:rPr>
      </w:pPr>
      <w:r>
        <w:rPr>
          <w:rFonts w:hint="eastAsia" w:ascii="宋体" w:hAnsi="宋体" w:eastAsia="宋体" w:cs="宋体"/>
          <w:b/>
          <w:bCs/>
          <w:color w:val="auto"/>
          <w:sz w:val="30"/>
          <w:szCs w:val="30"/>
          <w:lang w:val="zh-CN"/>
        </w:rPr>
        <w:t>投标人</w:t>
      </w:r>
      <w:r>
        <w:rPr>
          <w:rFonts w:ascii="宋体" w:hAnsi="宋体" w:eastAsia="宋体" w:cs="宋体"/>
          <w:b/>
          <w:bCs/>
          <w:color w:val="auto"/>
          <w:sz w:val="30"/>
          <w:szCs w:val="30"/>
          <w:lang w:val="zh-CN"/>
        </w:rPr>
        <w:t>202</w:t>
      </w:r>
      <w:r>
        <w:rPr>
          <w:rFonts w:hint="eastAsia" w:ascii="宋体" w:hAnsi="宋体" w:eastAsia="宋体" w:cs="宋体"/>
          <w:b/>
          <w:bCs/>
          <w:color w:val="auto"/>
          <w:sz w:val="30"/>
          <w:szCs w:val="30"/>
          <w:lang w:val="en-US" w:eastAsia="zh-CN"/>
        </w:rPr>
        <w:t>2</w:t>
      </w:r>
      <w:r>
        <w:rPr>
          <w:rFonts w:hint="eastAsia" w:ascii="宋体" w:hAnsi="宋体" w:eastAsia="宋体" w:cs="宋体"/>
          <w:b/>
          <w:bCs/>
          <w:color w:val="auto"/>
          <w:sz w:val="30"/>
          <w:szCs w:val="30"/>
          <w:lang w:val="zh-CN"/>
        </w:rPr>
        <w:t>年</w:t>
      </w:r>
      <w:r>
        <w:rPr>
          <w:rFonts w:ascii="宋体" w:hAnsi="宋体" w:eastAsia="宋体" w:cs="宋体"/>
          <w:b/>
          <w:bCs/>
          <w:color w:val="auto"/>
          <w:sz w:val="30"/>
          <w:szCs w:val="30"/>
          <w:lang w:val="zh-CN"/>
        </w:rPr>
        <w:t>1月1日以来</w:t>
      </w:r>
      <w:r>
        <w:rPr>
          <w:rFonts w:hint="eastAsia" w:ascii="宋体" w:hAnsi="宋体" w:eastAsia="宋体" w:cs="宋体"/>
          <w:b/>
          <w:bCs/>
          <w:color w:val="auto"/>
          <w:sz w:val="30"/>
          <w:szCs w:val="30"/>
          <w:lang w:val="en-US" w:eastAsia="zh-CN"/>
        </w:rPr>
        <w:t>已完成的</w:t>
      </w:r>
      <w:r>
        <w:rPr>
          <w:rFonts w:ascii="宋体" w:hAnsi="宋体" w:eastAsia="宋体" w:cs="宋体"/>
          <w:b/>
          <w:bCs/>
          <w:color w:val="auto"/>
          <w:sz w:val="30"/>
          <w:szCs w:val="30"/>
          <w:lang w:val="zh-CN"/>
        </w:rPr>
        <w:t>保安服务项目业绩表</w:t>
      </w:r>
    </w:p>
    <w:tbl>
      <w:tblPr>
        <w:tblStyle w:val="37"/>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600"/>
        <w:gridCol w:w="872"/>
        <w:gridCol w:w="872"/>
        <w:gridCol w:w="874"/>
        <w:gridCol w:w="874"/>
        <w:gridCol w:w="874"/>
        <w:gridCol w:w="1019"/>
        <w:gridCol w:w="874"/>
        <w:gridCol w:w="874"/>
        <w:gridCol w:w="874"/>
        <w:gridCol w:w="875"/>
        <w:gridCol w:w="722"/>
      </w:tblGrid>
      <w:tr w14:paraId="448B6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294" w:type="pct"/>
            <w:noWrap w:val="0"/>
            <w:vAlign w:val="center"/>
          </w:tcPr>
          <w:p w14:paraId="4772B3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27" w:type="pct"/>
            <w:noWrap w:val="0"/>
            <w:vAlign w:val="center"/>
          </w:tcPr>
          <w:p w14:paraId="312A3C5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427" w:type="pct"/>
            <w:noWrap w:val="0"/>
            <w:vAlign w:val="center"/>
          </w:tcPr>
          <w:p w14:paraId="1DB6D23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项目规模</w:t>
            </w:r>
          </w:p>
        </w:tc>
        <w:tc>
          <w:tcPr>
            <w:tcW w:w="428" w:type="pct"/>
            <w:noWrap w:val="0"/>
            <w:vAlign w:val="center"/>
          </w:tcPr>
          <w:p w14:paraId="6A1287F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合同金额（万元）</w:t>
            </w:r>
          </w:p>
        </w:tc>
        <w:tc>
          <w:tcPr>
            <w:tcW w:w="428" w:type="pct"/>
            <w:noWrap w:val="0"/>
            <w:vAlign w:val="center"/>
          </w:tcPr>
          <w:p w14:paraId="0CD7563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428" w:type="pct"/>
            <w:noWrap w:val="0"/>
            <w:vAlign w:val="center"/>
          </w:tcPr>
          <w:p w14:paraId="631C103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合同期限</w:t>
            </w:r>
          </w:p>
        </w:tc>
        <w:tc>
          <w:tcPr>
            <w:tcW w:w="499" w:type="pct"/>
            <w:noWrap w:val="0"/>
            <w:vAlign w:val="center"/>
          </w:tcPr>
          <w:p w14:paraId="1AE0AAE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428" w:type="pct"/>
            <w:noWrap w:val="0"/>
            <w:vAlign w:val="center"/>
          </w:tcPr>
          <w:p w14:paraId="7482474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服务完成情况</w:t>
            </w:r>
          </w:p>
        </w:tc>
        <w:tc>
          <w:tcPr>
            <w:tcW w:w="428" w:type="pct"/>
            <w:noWrap w:val="0"/>
            <w:vAlign w:val="center"/>
          </w:tcPr>
          <w:p w14:paraId="62DE1A1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服务质量情况</w:t>
            </w:r>
          </w:p>
        </w:tc>
        <w:tc>
          <w:tcPr>
            <w:tcW w:w="428" w:type="pct"/>
            <w:noWrap w:val="0"/>
            <w:vAlign w:val="center"/>
          </w:tcPr>
          <w:p w14:paraId="157FC956">
            <w:pPr>
              <w:pStyle w:val="17"/>
              <w:rPr>
                <w:color w:val="auto"/>
              </w:rPr>
            </w:pPr>
            <w:r>
              <w:rPr>
                <w:rFonts w:hint="eastAsia" w:ascii="宋体" w:hAnsi="宋体" w:eastAsia="宋体" w:cs="宋体"/>
                <w:color w:val="auto"/>
                <w:sz w:val="21"/>
                <w:szCs w:val="21"/>
                <w:highlight w:val="none"/>
                <w:lang w:val="en-US" w:eastAsia="zh-CN"/>
              </w:rPr>
              <w:t>是否已附验收证明或用户评价等证明文件</w:t>
            </w:r>
          </w:p>
          <w:p w14:paraId="7370EF55">
            <w:pPr>
              <w:jc w:val="center"/>
              <w:rPr>
                <w:rFonts w:hint="eastAsia" w:ascii="宋体" w:hAnsi="宋体" w:eastAsia="宋体" w:cs="宋体"/>
                <w:color w:val="auto"/>
                <w:sz w:val="21"/>
                <w:szCs w:val="21"/>
                <w:highlight w:val="none"/>
              </w:rPr>
            </w:pPr>
          </w:p>
        </w:tc>
        <w:tc>
          <w:tcPr>
            <w:tcW w:w="428" w:type="pct"/>
            <w:noWrap w:val="0"/>
            <w:vAlign w:val="center"/>
          </w:tcPr>
          <w:p w14:paraId="4869FE3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353" w:type="pct"/>
            <w:noWrap w:val="0"/>
            <w:vAlign w:val="center"/>
          </w:tcPr>
          <w:p w14:paraId="096F4D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76FC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294" w:type="pct"/>
            <w:noWrap w:val="0"/>
            <w:vAlign w:val="center"/>
          </w:tcPr>
          <w:p w14:paraId="70EFB755">
            <w:pPr>
              <w:jc w:val="center"/>
              <w:rPr>
                <w:rFonts w:hint="eastAsia" w:ascii="宋体" w:hAnsi="宋体" w:eastAsia="宋体" w:cs="宋体"/>
                <w:color w:val="auto"/>
                <w:sz w:val="21"/>
                <w:szCs w:val="21"/>
                <w:highlight w:val="none"/>
              </w:rPr>
            </w:pPr>
          </w:p>
        </w:tc>
        <w:tc>
          <w:tcPr>
            <w:tcW w:w="427" w:type="pct"/>
            <w:noWrap w:val="0"/>
            <w:vAlign w:val="center"/>
          </w:tcPr>
          <w:p w14:paraId="24533DFC">
            <w:pPr>
              <w:jc w:val="center"/>
              <w:rPr>
                <w:rFonts w:hint="eastAsia" w:ascii="宋体" w:hAnsi="宋体" w:eastAsia="宋体" w:cs="宋体"/>
                <w:color w:val="auto"/>
                <w:sz w:val="21"/>
                <w:szCs w:val="21"/>
                <w:highlight w:val="none"/>
              </w:rPr>
            </w:pPr>
          </w:p>
        </w:tc>
        <w:tc>
          <w:tcPr>
            <w:tcW w:w="427" w:type="pct"/>
            <w:noWrap w:val="0"/>
            <w:vAlign w:val="center"/>
          </w:tcPr>
          <w:p w14:paraId="30E2822E">
            <w:pPr>
              <w:jc w:val="center"/>
              <w:rPr>
                <w:rFonts w:hint="eastAsia" w:ascii="宋体" w:hAnsi="宋体" w:eastAsia="宋体" w:cs="宋体"/>
                <w:color w:val="auto"/>
                <w:sz w:val="21"/>
                <w:szCs w:val="21"/>
                <w:highlight w:val="none"/>
              </w:rPr>
            </w:pPr>
          </w:p>
        </w:tc>
        <w:tc>
          <w:tcPr>
            <w:tcW w:w="428" w:type="pct"/>
            <w:noWrap w:val="0"/>
            <w:vAlign w:val="center"/>
          </w:tcPr>
          <w:p w14:paraId="5E585234">
            <w:pPr>
              <w:jc w:val="center"/>
              <w:rPr>
                <w:rFonts w:hint="eastAsia" w:ascii="宋体" w:hAnsi="宋体" w:eastAsia="宋体" w:cs="宋体"/>
                <w:color w:val="auto"/>
                <w:sz w:val="21"/>
                <w:szCs w:val="21"/>
                <w:highlight w:val="none"/>
              </w:rPr>
            </w:pPr>
          </w:p>
        </w:tc>
        <w:tc>
          <w:tcPr>
            <w:tcW w:w="428" w:type="pct"/>
            <w:noWrap w:val="0"/>
            <w:vAlign w:val="center"/>
          </w:tcPr>
          <w:p w14:paraId="1570136B">
            <w:pPr>
              <w:jc w:val="center"/>
              <w:rPr>
                <w:rFonts w:hint="eastAsia" w:ascii="宋体" w:hAnsi="宋体" w:eastAsia="宋体" w:cs="宋体"/>
                <w:color w:val="auto"/>
                <w:sz w:val="21"/>
                <w:szCs w:val="21"/>
                <w:highlight w:val="none"/>
              </w:rPr>
            </w:pPr>
          </w:p>
        </w:tc>
        <w:tc>
          <w:tcPr>
            <w:tcW w:w="428" w:type="pct"/>
            <w:noWrap w:val="0"/>
            <w:vAlign w:val="center"/>
          </w:tcPr>
          <w:p w14:paraId="6C6A1CD0">
            <w:pPr>
              <w:jc w:val="center"/>
              <w:rPr>
                <w:rFonts w:hint="eastAsia" w:ascii="宋体" w:hAnsi="宋体" w:eastAsia="宋体" w:cs="宋体"/>
                <w:color w:val="auto"/>
                <w:sz w:val="21"/>
                <w:szCs w:val="21"/>
                <w:highlight w:val="none"/>
              </w:rPr>
            </w:pPr>
          </w:p>
        </w:tc>
        <w:tc>
          <w:tcPr>
            <w:tcW w:w="499" w:type="pct"/>
            <w:noWrap w:val="0"/>
            <w:vAlign w:val="center"/>
          </w:tcPr>
          <w:p w14:paraId="00F66AC7">
            <w:pPr>
              <w:jc w:val="center"/>
              <w:rPr>
                <w:rFonts w:hint="eastAsia" w:ascii="宋体" w:hAnsi="宋体" w:eastAsia="宋体" w:cs="宋体"/>
                <w:color w:val="auto"/>
                <w:sz w:val="21"/>
                <w:szCs w:val="21"/>
                <w:highlight w:val="none"/>
              </w:rPr>
            </w:pPr>
          </w:p>
        </w:tc>
        <w:tc>
          <w:tcPr>
            <w:tcW w:w="428" w:type="pct"/>
            <w:noWrap w:val="0"/>
            <w:vAlign w:val="top"/>
          </w:tcPr>
          <w:p w14:paraId="6D905E5E">
            <w:pPr>
              <w:jc w:val="center"/>
              <w:rPr>
                <w:rFonts w:hint="eastAsia" w:ascii="宋体" w:hAnsi="宋体" w:eastAsia="宋体" w:cs="宋体"/>
                <w:color w:val="auto"/>
                <w:sz w:val="21"/>
                <w:szCs w:val="21"/>
                <w:highlight w:val="none"/>
              </w:rPr>
            </w:pPr>
          </w:p>
        </w:tc>
        <w:tc>
          <w:tcPr>
            <w:tcW w:w="428" w:type="pct"/>
            <w:noWrap w:val="0"/>
            <w:vAlign w:val="center"/>
          </w:tcPr>
          <w:p w14:paraId="366D1191">
            <w:pPr>
              <w:jc w:val="center"/>
              <w:rPr>
                <w:rFonts w:hint="eastAsia" w:ascii="宋体" w:hAnsi="宋体" w:eastAsia="宋体" w:cs="宋体"/>
                <w:color w:val="auto"/>
                <w:sz w:val="21"/>
                <w:szCs w:val="21"/>
                <w:highlight w:val="none"/>
              </w:rPr>
            </w:pPr>
          </w:p>
        </w:tc>
        <w:tc>
          <w:tcPr>
            <w:tcW w:w="428" w:type="pct"/>
            <w:noWrap w:val="0"/>
            <w:vAlign w:val="center"/>
          </w:tcPr>
          <w:p w14:paraId="7AC14FA5">
            <w:pPr>
              <w:jc w:val="center"/>
              <w:rPr>
                <w:rFonts w:hint="eastAsia" w:ascii="宋体" w:hAnsi="宋体" w:eastAsia="宋体" w:cs="宋体"/>
                <w:color w:val="auto"/>
                <w:sz w:val="21"/>
                <w:szCs w:val="21"/>
                <w:highlight w:val="none"/>
              </w:rPr>
            </w:pPr>
          </w:p>
        </w:tc>
        <w:tc>
          <w:tcPr>
            <w:tcW w:w="428" w:type="pct"/>
            <w:noWrap w:val="0"/>
            <w:vAlign w:val="center"/>
          </w:tcPr>
          <w:p w14:paraId="19CBE01F">
            <w:pPr>
              <w:jc w:val="center"/>
              <w:rPr>
                <w:rFonts w:hint="eastAsia" w:ascii="宋体" w:hAnsi="宋体" w:eastAsia="宋体" w:cs="宋体"/>
                <w:color w:val="auto"/>
                <w:sz w:val="21"/>
                <w:szCs w:val="21"/>
                <w:highlight w:val="none"/>
              </w:rPr>
            </w:pPr>
          </w:p>
        </w:tc>
        <w:tc>
          <w:tcPr>
            <w:tcW w:w="353" w:type="pct"/>
            <w:noWrap w:val="0"/>
            <w:vAlign w:val="center"/>
          </w:tcPr>
          <w:p w14:paraId="3870C0FA">
            <w:pPr>
              <w:jc w:val="center"/>
              <w:rPr>
                <w:rFonts w:hint="eastAsia" w:ascii="宋体" w:hAnsi="宋体" w:eastAsia="宋体" w:cs="宋体"/>
                <w:color w:val="auto"/>
                <w:sz w:val="21"/>
                <w:szCs w:val="21"/>
                <w:highlight w:val="none"/>
              </w:rPr>
            </w:pPr>
          </w:p>
        </w:tc>
      </w:tr>
      <w:tr w14:paraId="0801E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294" w:type="pct"/>
            <w:noWrap w:val="0"/>
            <w:vAlign w:val="center"/>
          </w:tcPr>
          <w:p w14:paraId="14814ABF">
            <w:pPr>
              <w:jc w:val="center"/>
              <w:rPr>
                <w:rFonts w:hint="eastAsia" w:ascii="宋体" w:hAnsi="宋体" w:eastAsia="宋体" w:cs="宋体"/>
                <w:color w:val="auto"/>
                <w:sz w:val="21"/>
                <w:szCs w:val="21"/>
                <w:highlight w:val="none"/>
              </w:rPr>
            </w:pPr>
          </w:p>
        </w:tc>
        <w:tc>
          <w:tcPr>
            <w:tcW w:w="427" w:type="pct"/>
            <w:noWrap w:val="0"/>
            <w:vAlign w:val="center"/>
          </w:tcPr>
          <w:p w14:paraId="21D36925">
            <w:pPr>
              <w:jc w:val="center"/>
              <w:rPr>
                <w:rFonts w:hint="eastAsia" w:ascii="宋体" w:hAnsi="宋体" w:eastAsia="宋体" w:cs="宋体"/>
                <w:color w:val="auto"/>
                <w:sz w:val="21"/>
                <w:szCs w:val="21"/>
                <w:highlight w:val="none"/>
              </w:rPr>
            </w:pPr>
          </w:p>
        </w:tc>
        <w:tc>
          <w:tcPr>
            <w:tcW w:w="427" w:type="pct"/>
            <w:noWrap w:val="0"/>
            <w:vAlign w:val="center"/>
          </w:tcPr>
          <w:p w14:paraId="1BB8C0E2">
            <w:pPr>
              <w:jc w:val="center"/>
              <w:rPr>
                <w:rFonts w:hint="eastAsia" w:ascii="宋体" w:hAnsi="宋体" w:eastAsia="宋体" w:cs="宋体"/>
                <w:color w:val="auto"/>
                <w:sz w:val="21"/>
                <w:szCs w:val="21"/>
                <w:highlight w:val="none"/>
              </w:rPr>
            </w:pPr>
          </w:p>
        </w:tc>
        <w:tc>
          <w:tcPr>
            <w:tcW w:w="428" w:type="pct"/>
            <w:noWrap w:val="0"/>
            <w:vAlign w:val="center"/>
          </w:tcPr>
          <w:p w14:paraId="1917CA68">
            <w:pPr>
              <w:jc w:val="center"/>
              <w:rPr>
                <w:rFonts w:hint="eastAsia" w:ascii="宋体" w:hAnsi="宋体" w:eastAsia="宋体" w:cs="宋体"/>
                <w:color w:val="auto"/>
                <w:sz w:val="21"/>
                <w:szCs w:val="21"/>
                <w:highlight w:val="none"/>
              </w:rPr>
            </w:pPr>
          </w:p>
        </w:tc>
        <w:tc>
          <w:tcPr>
            <w:tcW w:w="428" w:type="pct"/>
            <w:noWrap w:val="0"/>
            <w:vAlign w:val="center"/>
          </w:tcPr>
          <w:p w14:paraId="39F9A6C9">
            <w:pPr>
              <w:jc w:val="center"/>
              <w:rPr>
                <w:rFonts w:hint="eastAsia" w:ascii="宋体" w:hAnsi="宋体" w:eastAsia="宋体" w:cs="宋体"/>
                <w:color w:val="auto"/>
                <w:sz w:val="21"/>
                <w:szCs w:val="21"/>
                <w:highlight w:val="none"/>
              </w:rPr>
            </w:pPr>
          </w:p>
        </w:tc>
        <w:tc>
          <w:tcPr>
            <w:tcW w:w="428" w:type="pct"/>
            <w:noWrap w:val="0"/>
            <w:vAlign w:val="center"/>
          </w:tcPr>
          <w:p w14:paraId="53D62CC2">
            <w:pPr>
              <w:jc w:val="center"/>
              <w:rPr>
                <w:rFonts w:hint="eastAsia" w:ascii="宋体" w:hAnsi="宋体" w:eastAsia="宋体" w:cs="宋体"/>
                <w:color w:val="auto"/>
                <w:sz w:val="21"/>
                <w:szCs w:val="21"/>
                <w:highlight w:val="none"/>
              </w:rPr>
            </w:pPr>
          </w:p>
        </w:tc>
        <w:tc>
          <w:tcPr>
            <w:tcW w:w="499" w:type="pct"/>
            <w:noWrap w:val="0"/>
            <w:vAlign w:val="center"/>
          </w:tcPr>
          <w:p w14:paraId="7DF2976D">
            <w:pPr>
              <w:jc w:val="center"/>
              <w:rPr>
                <w:rFonts w:hint="eastAsia" w:ascii="宋体" w:hAnsi="宋体" w:eastAsia="宋体" w:cs="宋体"/>
                <w:color w:val="auto"/>
                <w:sz w:val="21"/>
                <w:szCs w:val="21"/>
                <w:highlight w:val="none"/>
              </w:rPr>
            </w:pPr>
          </w:p>
        </w:tc>
        <w:tc>
          <w:tcPr>
            <w:tcW w:w="428" w:type="pct"/>
            <w:noWrap w:val="0"/>
            <w:vAlign w:val="top"/>
          </w:tcPr>
          <w:p w14:paraId="5F4F1755">
            <w:pPr>
              <w:jc w:val="center"/>
              <w:rPr>
                <w:rFonts w:hint="eastAsia" w:ascii="宋体" w:hAnsi="宋体" w:eastAsia="宋体" w:cs="宋体"/>
                <w:color w:val="auto"/>
                <w:sz w:val="21"/>
                <w:szCs w:val="21"/>
                <w:highlight w:val="none"/>
              </w:rPr>
            </w:pPr>
          </w:p>
        </w:tc>
        <w:tc>
          <w:tcPr>
            <w:tcW w:w="428" w:type="pct"/>
            <w:noWrap w:val="0"/>
            <w:vAlign w:val="center"/>
          </w:tcPr>
          <w:p w14:paraId="43161C81">
            <w:pPr>
              <w:jc w:val="center"/>
              <w:rPr>
                <w:rFonts w:hint="eastAsia" w:ascii="宋体" w:hAnsi="宋体" w:eastAsia="宋体" w:cs="宋体"/>
                <w:color w:val="auto"/>
                <w:sz w:val="21"/>
                <w:szCs w:val="21"/>
                <w:highlight w:val="none"/>
              </w:rPr>
            </w:pPr>
          </w:p>
        </w:tc>
        <w:tc>
          <w:tcPr>
            <w:tcW w:w="428" w:type="pct"/>
            <w:noWrap w:val="0"/>
            <w:vAlign w:val="center"/>
          </w:tcPr>
          <w:p w14:paraId="5AC2AF5B">
            <w:pPr>
              <w:jc w:val="center"/>
              <w:rPr>
                <w:rFonts w:hint="eastAsia" w:ascii="宋体" w:hAnsi="宋体" w:eastAsia="宋体" w:cs="宋体"/>
                <w:color w:val="auto"/>
                <w:sz w:val="21"/>
                <w:szCs w:val="21"/>
                <w:highlight w:val="none"/>
              </w:rPr>
            </w:pPr>
          </w:p>
        </w:tc>
        <w:tc>
          <w:tcPr>
            <w:tcW w:w="428" w:type="pct"/>
            <w:noWrap w:val="0"/>
            <w:vAlign w:val="center"/>
          </w:tcPr>
          <w:p w14:paraId="22B5EF8E">
            <w:pPr>
              <w:jc w:val="center"/>
              <w:rPr>
                <w:rFonts w:hint="eastAsia" w:ascii="宋体" w:hAnsi="宋体" w:eastAsia="宋体" w:cs="宋体"/>
                <w:color w:val="auto"/>
                <w:sz w:val="21"/>
                <w:szCs w:val="21"/>
                <w:highlight w:val="none"/>
              </w:rPr>
            </w:pPr>
          </w:p>
        </w:tc>
        <w:tc>
          <w:tcPr>
            <w:tcW w:w="353" w:type="pct"/>
            <w:noWrap w:val="0"/>
            <w:vAlign w:val="center"/>
          </w:tcPr>
          <w:p w14:paraId="06D49355">
            <w:pPr>
              <w:jc w:val="center"/>
              <w:rPr>
                <w:rFonts w:hint="eastAsia" w:ascii="宋体" w:hAnsi="宋体" w:eastAsia="宋体" w:cs="宋体"/>
                <w:color w:val="auto"/>
                <w:sz w:val="21"/>
                <w:szCs w:val="21"/>
                <w:highlight w:val="none"/>
              </w:rPr>
            </w:pPr>
          </w:p>
        </w:tc>
      </w:tr>
      <w:tr w14:paraId="36E6B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294" w:type="pct"/>
            <w:noWrap w:val="0"/>
            <w:vAlign w:val="center"/>
          </w:tcPr>
          <w:p w14:paraId="514D9CE1">
            <w:pPr>
              <w:jc w:val="center"/>
              <w:rPr>
                <w:rFonts w:hint="eastAsia" w:ascii="宋体" w:hAnsi="宋体" w:eastAsia="宋体" w:cs="宋体"/>
                <w:color w:val="auto"/>
                <w:sz w:val="21"/>
                <w:szCs w:val="21"/>
                <w:highlight w:val="none"/>
              </w:rPr>
            </w:pPr>
          </w:p>
        </w:tc>
        <w:tc>
          <w:tcPr>
            <w:tcW w:w="427" w:type="pct"/>
            <w:noWrap w:val="0"/>
            <w:vAlign w:val="center"/>
          </w:tcPr>
          <w:p w14:paraId="62161130">
            <w:pPr>
              <w:jc w:val="center"/>
              <w:rPr>
                <w:rFonts w:hint="eastAsia" w:ascii="宋体" w:hAnsi="宋体" w:eastAsia="宋体" w:cs="宋体"/>
                <w:color w:val="auto"/>
                <w:sz w:val="21"/>
                <w:szCs w:val="21"/>
                <w:highlight w:val="none"/>
              </w:rPr>
            </w:pPr>
          </w:p>
        </w:tc>
        <w:tc>
          <w:tcPr>
            <w:tcW w:w="427" w:type="pct"/>
            <w:noWrap w:val="0"/>
            <w:vAlign w:val="center"/>
          </w:tcPr>
          <w:p w14:paraId="485B207A">
            <w:pPr>
              <w:jc w:val="center"/>
              <w:rPr>
                <w:rFonts w:hint="eastAsia" w:ascii="宋体" w:hAnsi="宋体" w:eastAsia="宋体" w:cs="宋体"/>
                <w:color w:val="auto"/>
                <w:sz w:val="21"/>
                <w:szCs w:val="21"/>
                <w:highlight w:val="none"/>
              </w:rPr>
            </w:pPr>
          </w:p>
        </w:tc>
        <w:tc>
          <w:tcPr>
            <w:tcW w:w="428" w:type="pct"/>
            <w:noWrap w:val="0"/>
            <w:vAlign w:val="center"/>
          </w:tcPr>
          <w:p w14:paraId="3E26B0AD">
            <w:pPr>
              <w:jc w:val="center"/>
              <w:rPr>
                <w:rFonts w:hint="eastAsia" w:ascii="宋体" w:hAnsi="宋体" w:eastAsia="宋体" w:cs="宋体"/>
                <w:color w:val="auto"/>
                <w:sz w:val="21"/>
                <w:szCs w:val="21"/>
                <w:highlight w:val="none"/>
              </w:rPr>
            </w:pPr>
          </w:p>
        </w:tc>
        <w:tc>
          <w:tcPr>
            <w:tcW w:w="428" w:type="pct"/>
            <w:noWrap w:val="0"/>
            <w:vAlign w:val="center"/>
          </w:tcPr>
          <w:p w14:paraId="06BCF4F5">
            <w:pPr>
              <w:jc w:val="center"/>
              <w:rPr>
                <w:rFonts w:hint="eastAsia" w:ascii="宋体" w:hAnsi="宋体" w:eastAsia="宋体" w:cs="宋体"/>
                <w:color w:val="auto"/>
                <w:sz w:val="21"/>
                <w:szCs w:val="21"/>
                <w:highlight w:val="none"/>
              </w:rPr>
            </w:pPr>
          </w:p>
        </w:tc>
        <w:tc>
          <w:tcPr>
            <w:tcW w:w="428" w:type="pct"/>
            <w:noWrap w:val="0"/>
            <w:vAlign w:val="center"/>
          </w:tcPr>
          <w:p w14:paraId="6A547E6F">
            <w:pPr>
              <w:jc w:val="center"/>
              <w:rPr>
                <w:rFonts w:hint="eastAsia" w:ascii="宋体" w:hAnsi="宋体" w:eastAsia="宋体" w:cs="宋体"/>
                <w:color w:val="auto"/>
                <w:sz w:val="21"/>
                <w:szCs w:val="21"/>
                <w:highlight w:val="none"/>
              </w:rPr>
            </w:pPr>
          </w:p>
        </w:tc>
        <w:tc>
          <w:tcPr>
            <w:tcW w:w="499" w:type="pct"/>
            <w:noWrap w:val="0"/>
            <w:vAlign w:val="center"/>
          </w:tcPr>
          <w:p w14:paraId="004E1834">
            <w:pPr>
              <w:jc w:val="center"/>
              <w:rPr>
                <w:rFonts w:hint="eastAsia" w:ascii="宋体" w:hAnsi="宋体" w:eastAsia="宋体" w:cs="宋体"/>
                <w:color w:val="auto"/>
                <w:sz w:val="21"/>
                <w:szCs w:val="21"/>
                <w:highlight w:val="none"/>
              </w:rPr>
            </w:pPr>
          </w:p>
        </w:tc>
        <w:tc>
          <w:tcPr>
            <w:tcW w:w="428" w:type="pct"/>
            <w:noWrap w:val="0"/>
            <w:vAlign w:val="top"/>
          </w:tcPr>
          <w:p w14:paraId="586F952C">
            <w:pPr>
              <w:jc w:val="center"/>
              <w:rPr>
                <w:rFonts w:hint="eastAsia" w:ascii="宋体" w:hAnsi="宋体" w:eastAsia="宋体" w:cs="宋体"/>
                <w:color w:val="auto"/>
                <w:sz w:val="21"/>
                <w:szCs w:val="21"/>
                <w:highlight w:val="none"/>
              </w:rPr>
            </w:pPr>
          </w:p>
        </w:tc>
        <w:tc>
          <w:tcPr>
            <w:tcW w:w="428" w:type="pct"/>
            <w:noWrap w:val="0"/>
            <w:vAlign w:val="center"/>
          </w:tcPr>
          <w:p w14:paraId="6923221E">
            <w:pPr>
              <w:jc w:val="center"/>
              <w:rPr>
                <w:rFonts w:hint="eastAsia" w:ascii="宋体" w:hAnsi="宋体" w:eastAsia="宋体" w:cs="宋体"/>
                <w:color w:val="auto"/>
                <w:sz w:val="21"/>
                <w:szCs w:val="21"/>
                <w:highlight w:val="none"/>
              </w:rPr>
            </w:pPr>
          </w:p>
        </w:tc>
        <w:tc>
          <w:tcPr>
            <w:tcW w:w="428" w:type="pct"/>
            <w:noWrap w:val="0"/>
            <w:vAlign w:val="center"/>
          </w:tcPr>
          <w:p w14:paraId="7B1985FD">
            <w:pPr>
              <w:jc w:val="center"/>
              <w:rPr>
                <w:rFonts w:hint="eastAsia" w:ascii="宋体" w:hAnsi="宋体" w:eastAsia="宋体" w:cs="宋体"/>
                <w:color w:val="auto"/>
                <w:sz w:val="21"/>
                <w:szCs w:val="21"/>
                <w:highlight w:val="none"/>
              </w:rPr>
            </w:pPr>
          </w:p>
        </w:tc>
        <w:tc>
          <w:tcPr>
            <w:tcW w:w="428" w:type="pct"/>
            <w:noWrap w:val="0"/>
            <w:vAlign w:val="center"/>
          </w:tcPr>
          <w:p w14:paraId="12F745E2">
            <w:pPr>
              <w:jc w:val="center"/>
              <w:rPr>
                <w:rFonts w:hint="eastAsia" w:ascii="宋体" w:hAnsi="宋体" w:eastAsia="宋体" w:cs="宋体"/>
                <w:color w:val="auto"/>
                <w:sz w:val="21"/>
                <w:szCs w:val="21"/>
                <w:highlight w:val="none"/>
              </w:rPr>
            </w:pPr>
          </w:p>
        </w:tc>
        <w:tc>
          <w:tcPr>
            <w:tcW w:w="353" w:type="pct"/>
            <w:noWrap w:val="0"/>
            <w:vAlign w:val="center"/>
          </w:tcPr>
          <w:p w14:paraId="1A88381B">
            <w:pPr>
              <w:jc w:val="center"/>
              <w:rPr>
                <w:rFonts w:hint="eastAsia" w:ascii="宋体" w:hAnsi="宋体" w:eastAsia="宋体" w:cs="宋体"/>
                <w:color w:val="auto"/>
                <w:sz w:val="21"/>
                <w:szCs w:val="21"/>
                <w:highlight w:val="none"/>
              </w:rPr>
            </w:pPr>
          </w:p>
        </w:tc>
      </w:tr>
      <w:tr w14:paraId="5B96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294" w:type="pct"/>
            <w:noWrap w:val="0"/>
            <w:vAlign w:val="center"/>
          </w:tcPr>
          <w:p w14:paraId="55194659">
            <w:pPr>
              <w:jc w:val="center"/>
              <w:rPr>
                <w:rFonts w:hint="eastAsia" w:ascii="宋体" w:hAnsi="宋体" w:eastAsia="宋体" w:cs="宋体"/>
                <w:color w:val="auto"/>
                <w:sz w:val="21"/>
                <w:szCs w:val="21"/>
                <w:highlight w:val="none"/>
              </w:rPr>
            </w:pPr>
          </w:p>
        </w:tc>
        <w:tc>
          <w:tcPr>
            <w:tcW w:w="427" w:type="pct"/>
            <w:noWrap w:val="0"/>
            <w:vAlign w:val="center"/>
          </w:tcPr>
          <w:p w14:paraId="3310C218">
            <w:pPr>
              <w:jc w:val="center"/>
              <w:rPr>
                <w:rFonts w:hint="eastAsia" w:ascii="宋体" w:hAnsi="宋体" w:eastAsia="宋体" w:cs="宋体"/>
                <w:color w:val="auto"/>
                <w:sz w:val="21"/>
                <w:szCs w:val="21"/>
                <w:highlight w:val="none"/>
              </w:rPr>
            </w:pPr>
          </w:p>
        </w:tc>
        <w:tc>
          <w:tcPr>
            <w:tcW w:w="427" w:type="pct"/>
            <w:noWrap w:val="0"/>
            <w:vAlign w:val="center"/>
          </w:tcPr>
          <w:p w14:paraId="23AEA4E2">
            <w:pPr>
              <w:jc w:val="center"/>
              <w:rPr>
                <w:rFonts w:hint="eastAsia" w:ascii="宋体" w:hAnsi="宋体" w:eastAsia="宋体" w:cs="宋体"/>
                <w:color w:val="auto"/>
                <w:sz w:val="21"/>
                <w:szCs w:val="21"/>
                <w:highlight w:val="none"/>
              </w:rPr>
            </w:pPr>
          </w:p>
        </w:tc>
        <w:tc>
          <w:tcPr>
            <w:tcW w:w="428" w:type="pct"/>
            <w:noWrap w:val="0"/>
            <w:vAlign w:val="center"/>
          </w:tcPr>
          <w:p w14:paraId="0961F609">
            <w:pPr>
              <w:jc w:val="center"/>
              <w:rPr>
                <w:rFonts w:hint="eastAsia" w:ascii="宋体" w:hAnsi="宋体" w:eastAsia="宋体" w:cs="宋体"/>
                <w:color w:val="auto"/>
                <w:sz w:val="21"/>
                <w:szCs w:val="21"/>
                <w:highlight w:val="none"/>
              </w:rPr>
            </w:pPr>
          </w:p>
        </w:tc>
        <w:tc>
          <w:tcPr>
            <w:tcW w:w="428" w:type="pct"/>
            <w:noWrap w:val="0"/>
            <w:vAlign w:val="center"/>
          </w:tcPr>
          <w:p w14:paraId="39280CDC">
            <w:pPr>
              <w:jc w:val="center"/>
              <w:rPr>
                <w:rFonts w:hint="eastAsia" w:ascii="宋体" w:hAnsi="宋体" w:eastAsia="宋体" w:cs="宋体"/>
                <w:color w:val="auto"/>
                <w:sz w:val="21"/>
                <w:szCs w:val="21"/>
                <w:highlight w:val="none"/>
              </w:rPr>
            </w:pPr>
          </w:p>
        </w:tc>
        <w:tc>
          <w:tcPr>
            <w:tcW w:w="428" w:type="pct"/>
            <w:noWrap w:val="0"/>
            <w:vAlign w:val="center"/>
          </w:tcPr>
          <w:p w14:paraId="27A0563D">
            <w:pPr>
              <w:jc w:val="center"/>
              <w:rPr>
                <w:rFonts w:hint="eastAsia" w:ascii="宋体" w:hAnsi="宋体" w:eastAsia="宋体" w:cs="宋体"/>
                <w:color w:val="auto"/>
                <w:sz w:val="21"/>
                <w:szCs w:val="21"/>
                <w:highlight w:val="none"/>
              </w:rPr>
            </w:pPr>
          </w:p>
        </w:tc>
        <w:tc>
          <w:tcPr>
            <w:tcW w:w="499" w:type="pct"/>
            <w:noWrap w:val="0"/>
            <w:vAlign w:val="center"/>
          </w:tcPr>
          <w:p w14:paraId="2BA2F792">
            <w:pPr>
              <w:jc w:val="center"/>
              <w:rPr>
                <w:rFonts w:hint="eastAsia" w:ascii="宋体" w:hAnsi="宋体" w:eastAsia="宋体" w:cs="宋体"/>
                <w:color w:val="auto"/>
                <w:sz w:val="21"/>
                <w:szCs w:val="21"/>
                <w:highlight w:val="none"/>
              </w:rPr>
            </w:pPr>
          </w:p>
        </w:tc>
        <w:tc>
          <w:tcPr>
            <w:tcW w:w="428" w:type="pct"/>
            <w:noWrap w:val="0"/>
            <w:vAlign w:val="top"/>
          </w:tcPr>
          <w:p w14:paraId="35B1EF9E">
            <w:pPr>
              <w:jc w:val="center"/>
              <w:rPr>
                <w:rFonts w:hint="eastAsia" w:ascii="宋体" w:hAnsi="宋体" w:eastAsia="宋体" w:cs="宋体"/>
                <w:color w:val="auto"/>
                <w:sz w:val="21"/>
                <w:szCs w:val="21"/>
                <w:highlight w:val="none"/>
              </w:rPr>
            </w:pPr>
          </w:p>
        </w:tc>
        <w:tc>
          <w:tcPr>
            <w:tcW w:w="428" w:type="pct"/>
            <w:noWrap w:val="0"/>
            <w:vAlign w:val="center"/>
          </w:tcPr>
          <w:p w14:paraId="4578701F">
            <w:pPr>
              <w:jc w:val="center"/>
              <w:rPr>
                <w:rFonts w:hint="eastAsia" w:ascii="宋体" w:hAnsi="宋体" w:eastAsia="宋体" w:cs="宋体"/>
                <w:color w:val="auto"/>
                <w:sz w:val="21"/>
                <w:szCs w:val="21"/>
                <w:highlight w:val="none"/>
              </w:rPr>
            </w:pPr>
          </w:p>
        </w:tc>
        <w:tc>
          <w:tcPr>
            <w:tcW w:w="428" w:type="pct"/>
            <w:noWrap w:val="0"/>
            <w:vAlign w:val="center"/>
          </w:tcPr>
          <w:p w14:paraId="1B0CCF62">
            <w:pPr>
              <w:jc w:val="center"/>
              <w:rPr>
                <w:rFonts w:hint="eastAsia" w:ascii="宋体" w:hAnsi="宋体" w:eastAsia="宋体" w:cs="宋体"/>
                <w:color w:val="auto"/>
                <w:sz w:val="21"/>
                <w:szCs w:val="21"/>
                <w:highlight w:val="none"/>
              </w:rPr>
            </w:pPr>
          </w:p>
        </w:tc>
        <w:tc>
          <w:tcPr>
            <w:tcW w:w="428" w:type="pct"/>
            <w:noWrap w:val="0"/>
            <w:vAlign w:val="center"/>
          </w:tcPr>
          <w:p w14:paraId="161B713E">
            <w:pPr>
              <w:jc w:val="center"/>
              <w:rPr>
                <w:rFonts w:hint="eastAsia" w:ascii="宋体" w:hAnsi="宋体" w:eastAsia="宋体" w:cs="宋体"/>
                <w:color w:val="auto"/>
                <w:sz w:val="21"/>
                <w:szCs w:val="21"/>
                <w:highlight w:val="none"/>
              </w:rPr>
            </w:pPr>
          </w:p>
        </w:tc>
        <w:tc>
          <w:tcPr>
            <w:tcW w:w="353" w:type="pct"/>
            <w:noWrap w:val="0"/>
            <w:vAlign w:val="center"/>
          </w:tcPr>
          <w:p w14:paraId="6073B7C9">
            <w:pPr>
              <w:jc w:val="center"/>
              <w:rPr>
                <w:rFonts w:hint="eastAsia" w:ascii="宋体" w:hAnsi="宋体" w:eastAsia="宋体" w:cs="宋体"/>
                <w:color w:val="auto"/>
                <w:sz w:val="21"/>
                <w:szCs w:val="21"/>
                <w:highlight w:val="none"/>
              </w:rPr>
            </w:pPr>
          </w:p>
        </w:tc>
      </w:tr>
    </w:tbl>
    <w:p w14:paraId="4F31385F">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0E4BBD0B">
      <w:pPr>
        <w:autoSpaceDE w:val="0"/>
        <w:autoSpaceDN w:val="0"/>
        <w:adjustRightInd w:val="0"/>
        <w:snapToGrid w:val="0"/>
        <w:spacing w:line="360" w:lineRule="auto"/>
        <w:ind w:left="691" w:leftChars="59" w:hanging="567" w:hangingChars="270"/>
        <w:jc w:val="left"/>
        <w:rPr>
          <w:rFonts w:hint="eastAsia" w:ascii="宋体" w:hAnsi="宋体" w:eastAsia="宋体" w:cs="宋体"/>
          <w:bCs/>
          <w:color w:val="auto"/>
          <w:kern w:val="0"/>
          <w:sz w:val="21"/>
          <w:szCs w:val="21"/>
          <w:lang w:val="zh-CN"/>
        </w:rPr>
      </w:pPr>
      <w:r>
        <w:rPr>
          <w:rFonts w:hint="eastAsia" w:ascii="宋体" w:hAnsi="宋体" w:eastAsia="宋体" w:cs="宋体"/>
          <w:bCs/>
          <w:color w:val="auto"/>
          <w:kern w:val="0"/>
          <w:sz w:val="21"/>
          <w:szCs w:val="21"/>
          <w:lang w:val="zh-CN"/>
        </w:rPr>
        <w:t>备注：</w:t>
      </w:r>
    </w:p>
    <w:p w14:paraId="01D49BAB">
      <w:pPr>
        <w:numPr>
          <w:ilvl w:val="0"/>
          <w:numId w:val="8"/>
        </w:numPr>
        <w:autoSpaceDE w:val="0"/>
        <w:autoSpaceDN w:val="0"/>
        <w:adjustRightInd w:val="0"/>
        <w:snapToGrid w:val="0"/>
        <w:spacing w:line="360" w:lineRule="auto"/>
        <w:ind w:left="705" w:leftChars="104" w:hanging="487" w:hangingChars="232"/>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业绩按单项合同金额从高到低的方式排列；</w:t>
      </w:r>
      <w:r>
        <w:rPr>
          <w:rFonts w:hint="eastAsia" w:ascii="宋体" w:hAnsi="宋体" w:eastAsia="宋体" w:cs="宋体"/>
          <w:b/>
          <w:bCs/>
          <w:color w:val="auto"/>
          <w:kern w:val="0"/>
          <w:sz w:val="21"/>
          <w:szCs w:val="21"/>
        </w:rPr>
        <w:t>同一个单项合同的业绩可以同时在资格业绩和评分业绩重复放置</w:t>
      </w:r>
      <w:r>
        <w:rPr>
          <w:rFonts w:hint="eastAsia" w:ascii="宋体" w:hAnsi="宋体" w:eastAsia="宋体" w:cs="宋体"/>
          <w:bCs/>
          <w:color w:val="auto"/>
          <w:kern w:val="0"/>
          <w:sz w:val="21"/>
          <w:szCs w:val="21"/>
        </w:rPr>
        <w:t>。</w:t>
      </w:r>
    </w:p>
    <w:p w14:paraId="1C9AA41E">
      <w:pPr>
        <w:numPr>
          <w:ilvl w:val="0"/>
          <w:numId w:val="8"/>
        </w:numPr>
        <w:autoSpaceDE w:val="0"/>
        <w:autoSpaceDN w:val="0"/>
        <w:adjustRightInd w:val="0"/>
        <w:snapToGrid w:val="0"/>
        <w:spacing w:line="360" w:lineRule="auto"/>
        <w:ind w:left="705" w:leftChars="104" w:hanging="487" w:hangingChars="232"/>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业绩须须附合同复印件（合同服务提供方为投标人）及合同对应的服务购买方出具的能证明服务质量合格的验收证明或用户评价等证明文件的复印件（复印件能显示服务购买方公章），否则不得分。</w:t>
      </w:r>
    </w:p>
    <w:p w14:paraId="1DD874F8">
      <w:pPr>
        <w:autoSpaceDE w:val="0"/>
        <w:autoSpaceDN w:val="0"/>
        <w:adjustRightInd w:val="0"/>
        <w:snapToGrid w:val="0"/>
        <w:spacing w:line="360" w:lineRule="auto"/>
        <w:ind w:left="705" w:leftChars="104" w:hanging="487" w:hangingChars="232"/>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3）如果投标人提供含保安服务的物业管理等项目业绩，则根据保安服务部分所占合同金额按上述标准计分，如果在合同文件中不能明确体现保安服务部分所占的合同金额，还需提供服务购买方出具的书面补充说明文件复印件作为辅助证明（复印件能显示服务购买方公章），否则在评标时将不予考虑。</w:t>
      </w:r>
    </w:p>
    <w:p w14:paraId="498B805C">
      <w:pPr>
        <w:autoSpaceDE w:val="0"/>
        <w:autoSpaceDN w:val="0"/>
        <w:adjustRightInd w:val="0"/>
        <w:snapToGrid w:val="0"/>
        <w:spacing w:line="360" w:lineRule="auto"/>
        <w:ind w:left="705" w:leftChars="104" w:hanging="487" w:hangingChars="232"/>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（4）若合同及证明文件无法反映评分条件（合同签订日期为202</w:t>
      </w:r>
      <w:r>
        <w:rPr>
          <w:rFonts w:hint="eastAsia" w:ascii="宋体" w:hAnsi="宋体" w:eastAsia="宋体" w:cs="宋体"/>
          <w:bCs/>
          <w:color w:val="auto"/>
          <w:kern w:val="0"/>
          <w:sz w:val="21"/>
          <w:szCs w:val="21"/>
          <w:lang w:val="en-US" w:eastAsia="zh-CN"/>
        </w:rPr>
        <w:t>2</w:t>
      </w:r>
      <w:r>
        <w:rPr>
          <w:rFonts w:hint="eastAsia" w:ascii="宋体" w:hAnsi="宋体" w:eastAsia="宋体" w:cs="宋体"/>
          <w:bCs/>
          <w:color w:val="auto"/>
          <w:kern w:val="0"/>
          <w:sz w:val="21"/>
          <w:szCs w:val="21"/>
        </w:rPr>
        <w:t>年1月1日或以后、合同服务内容必须具有保安服务、合同金额）的，还需提供服务购买方出具的书面补充说明文件复印件作为辅助证明（复印件能显示服务购买方公章），否则不得分。</w:t>
      </w:r>
    </w:p>
    <w:p w14:paraId="34503126">
      <w:pPr>
        <w:autoSpaceDE w:val="0"/>
        <w:autoSpaceDN w:val="0"/>
        <w:adjustRightInd w:val="0"/>
        <w:snapToGrid w:val="0"/>
        <w:spacing w:line="360" w:lineRule="auto"/>
        <w:ind w:left="705" w:leftChars="104" w:hanging="487" w:hangingChars="232"/>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（5）若业绩为框架式协议或资格入围无明确金额的合同，必须同时提供合同期限内已服务发票金额统计表和发票复印件。</w:t>
      </w:r>
    </w:p>
    <w:p w14:paraId="794C785A">
      <w:pPr>
        <w:autoSpaceDE w:val="0"/>
        <w:autoSpaceDN w:val="0"/>
        <w:adjustRightInd w:val="0"/>
        <w:snapToGrid w:val="0"/>
        <w:spacing w:line="360" w:lineRule="auto"/>
        <w:ind w:left="705" w:leftChars="104" w:hanging="487" w:hangingChars="232"/>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（6）</w:t>
      </w:r>
      <w:r>
        <w:rPr>
          <w:rFonts w:hint="eastAsia" w:ascii="宋体" w:hAnsi="宋体" w:eastAsia="宋体" w:cs="宋体"/>
          <w:b/>
          <w:bCs/>
          <w:color w:val="auto"/>
          <w:kern w:val="0"/>
          <w:sz w:val="21"/>
          <w:szCs w:val="21"/>
        </w:rPr>
        <w:t>未按上述要求在此格式下提供证明材料的业绩，或在此格式下所附材料无法证明填报项目符合本项评分要求的业绩，在评标时将不予考虑。</w:t>
      </w:r>
    </w:p>
    <w:p w14:paraId="2704252D">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29FC08AE">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14:paraId="6D599C88">
      <w:pPr>
        <w:pageBreakBefore/>
        <w:snapToGrid w:val="0"/>
        <w:spacing w:line="360" w:lineRule="auto"/>
        <w:ind w:left="593" w:hanging="803"/>
        <w:rPr>
          <w:rFonts w:ascii="宋体" w:hAnsi="宋体" w:eastAsia="宋体" w:cs="宋体"/>
          <w:b/>
          <w:color w:val="auto"/>
          <w:sz w:val="32"/>
          <w:szCs w:val="32"/>
          <w:lang w:val="zh-CN"/>
        </w:rPr>
      </w:pPr>
      <w:r>
        <w:rPr>
          <w:rFonts w:hint="eastAsia" w:ascii="宋体" w:hAnsi="宋体" w:eastAsia="宋体" w:cs="宋体"/>
          <w:b/>
          <w:color w:val="auto"/>
          <w:sz w:val="32"/>
          <w:szCs w:val="32"/>
          <w:lang w:val="zh-CN"/>
        </w:rPr>
        <w:t>附表：已服务发票金额统计表</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3576"/>
        <w:gridCol w:w="1267"/>
        <w:gridCol w:w="1423"/>
        <w:gridCol w:w="1740"/>
        <w:gridCol w:w="1385"/>
      </w:tblGrid>
      <w:tr w14:paraId="159FE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6" w:type="pct"/>
            <w:gridSpan w:val="2"/>
            <w:vAlign w:val="center"/>
          </w:tcPr>
          <w:p w14:paraId="68C0025B">
            <w:pPr>
              <w:pStyle w:val="19"/>
              <w:keepNext w:val="0"/>
              <w:keepLines w:val="0"/>
              <w:pageBreakBefore w:val="0"/>
              <w:widowControl w:val="0"/>
              <w:kinsoku/>
              <w:wordWrap/>
              <w:overflowPunct/>
              <w:topLinePunct w:val="0"/>
              <w:autoSpaceDE/>
              <w:autoSpaceDN/>
              <w:bidi w:val="0"/>
              <w:adjustRightInd/>
              <w:snapToGrid/>
              <w:spacing w:before="164" w:beforeLines="50" w:line="360" w:lineRule="auto"/>
              <w:ind w:left="0" w:leftChars="0" w:firstLine="0" w:firstLineChars="0"/>
              <w:jc w:val="center"/>
              <w:textAlignment w:val="auto"/>
              <w:rPr>
                <w:color w:val="auto"/>
              </w:rPr>
            </w:pPr>
            <w:r>
              <w:rPr>
                <w:rFonts w:hint="eastAsia"/>
                <w:color w:val="auto"/>
              </w:rPr>
              <w:t>项目名称</w:t>
            </w:r>
          </w:p>
        </w:tc>
        <w:tc>
          <w:tcPr>
            <w:tcW w:w="2804" w:type="pct"/>
            <w:gridSpan w:val="4"/>
            <w:vAlign w:val="center"/>
          </w:tcPr>
          <w:p w14:paraId="61A4C2CD">
            <w:pPr>
              <w:pStyle w:val="19"/>
              <w:keepNext w:val="0"/>
              <w:keepLines w:val="0"/>
              <w:pageBreakBefore w:val="0"/>
              <w:widowControl w:val="0"/>
              <w:kinsoku/>
              <w:wordWrap/>
              <w:overflowPunct/>
              <w:topLinePunct w:val="0"/>
              <w:autoSpaceDE/>
              <w:autoSpaceDN/>
              <w:bidi w:val="0"/>
              <w:adjustRightInd/>
              <w:snapToGrid/>
              <w:spacing w:before="164" w:beforeLines="50" w:line="360" w:lineRule="auto"/>
              <w:ind w:left="0" w:leftChars="0" w:firstLine="0" w:firstLineChars="0"/>
              <w:jc w:val="center"/>
              <w:textAlignment w:val="auto"/>
              <w:rPr>
                <w:color w:val="auto"/>
              </w:rPr>
            </w:pPr>
          </w:p>
        </w:tc>
      </w:tr>
      <w:tr w14:paraId="6DC89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6" w:type="pct"/>
            <w:gridSpan w:val="2"/>
            <w:vAlign w:val="center"/>
          </w:tcPr>
          <w:p w14:paraId="675939DB">
            <w:pPr>
              <w:pStyle w:val="19"/>
              <w:keepNext w:val="0"/>
              <w:keepLines w:val="0"/>
              <w:pageBreakBefore w:val="0"/>
              <w:widowControl w:val="0"/>
              <w:kinsoku/>
              <w:wordWrap/>
              <w:overflowPunct/>
              <w:topLinePunct w:val="0"/>
              <w:autoSpaceDE/>
              <w:autoSpaceDN/>
              <w:bidi w:val="0"/>
              <w:adjustRightInd/>
              <w:snapToGrid/>
              <w:spacing w:before="164" w:beforeLines="50" w:line="360" w:lineRule="auto"/>
              <w:ind w:left="0" w:leftChars="0" w:firstLine="0" w:firstLineChars="0"/>
              <w:jc w:val="center"/>
              <w:textAlignment w:val="auto"/>
              <w:rPr>
                <w:color w:val="auto"/>
              </w:rPr>
            </w:pPr>
            <w:r>
              <w:rPr>
                <w:rFonts w:hint="eastAsia"/>
                <w:color w:val="auto"/>
              </w:rPr>
              <w:t>合同约定的服务期</w:t>
            </w:r>
          </w:p>
        </w:tc>
        <w:tc>
          <w:tcPr>
            <w:tcW w:w="2804" w:type="pct"/>
            <w:gridSpan w:val="4"/>
            <w:vAlign w:val="center"/>
          </w:tcPr>
          <w:p w14:paraId="6116A79F">
            <w:pPr>
              <w:pStyle w:val="19"/>
              <w:keepNext w:val="0"/>
              <w:keepLines w:val="0"/>
              <w:pageBreakBefore w:val="0"/>
              <w:widowControl w:val="0"/>
              <w:kinsoku/>
              <w:wordWrap/>
              <w:overflowPunct/>
              <w:topLinePunct w:val="0"/>
              <w:autoSpaceDE/>
              <w:autoSpaceDN/>
              <w:bidi w:val="0"/>
              <w:adjustRightInd/>
              <w:snapToGrid/>
              <w:spacing w:before="164" w:beforeLines="50" w:line="360" w:lineRule="auto"/>
              <w:ind w:left="0" w:leftChars="0" w:firstLine="0" w:firstLineChars="0"/>
              <w:jc w:val="center"/>
              <w:textAlignment w:val="auto"/>
              <w:rPr>
                <w:color w:val="auto"/>
              </w:rPr>
            </w:pPr>
          </w:p>
        </w:tc>
      </w:tr>
      <w:tr w14:paraId="32FE3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6" w:type="pct"/>
            <w:gridSpan w:val="2"/>
            <w:vAlign w:val="center"/>
          </w:tcPr>
          <w:p w14:paraId="38596787">
            <w:pPr>
              <w:pStyle w:val="19"/>
              <w:keepNext w:val="0"/>
              <w:keepLines w:val="0"/>
              <w:pageBreakBefore w:val="0"/>
              <w:widowControl w:val="0"/>
              <w:kinsoku/>
              <w:wordWrap/>
              <w:overflowPunct/>
              <w:topLinePunct w:val="0"/>
              <w:autoSpaceDE/>
              <w:autoSpaceDN/>
              <w:bidi w:val="0"/>
              <w:adjustRightInd/>
              <w:snapToGrid/>
              <w:spacing w:before="164" w:beforeLines="50" w:line="360" w:lineRule="auto"/>
              <w:ind w:left="0" w:leftChars="0" w:firstLine="0" w:firstLineChars="0"/>
              <w:jc w:val="center"/>
              <w:textAlignment w:val="auto"/>
              <w:rPr>
                <w:color w:val="auto"/>
                <w:szCs w:val="21"/>
              </w:rPr>
            </w:pPr>
            <w:r>
              <w:rPr>
                <w:rFonts w:hint="eastAsia"/>
                <w:color w:val="auto"/>
                <w:szCs w:val="21"/>
              </w:rPr>
              <w:t>发票抬头（</w:t>
            </w:r>
            <w:r>
              <w:rPr>
                <w:rFonts w:hint="eastAsia"/>
                <w:color w:val="auto"/>
              </w:rPr>
              <w:t>合同服务购买方）</w:t>
            </w:r>
          </w:p>
        </w:tc>
        <w:tc>
          <w:tcPr>
            <w:tcW w:w="2804" w:type="pct"/>
            <w:gridSpan w:val="4"/>
            <w:vAlign w:val="center"/>
          </w:tcPr>
          <w:p w14:paraId="0467487C">
            <w:pPr>
              <w:pStyle w:val="19"/>
              <w:keepNext w:val="0"/>
              <w:keepLines w:val="0"/>
              <w:pageBreakBefore w:val="0"/>
              <w:widowControl w:val="0"/>
              <w:kinsoku/>
              <w:wordWrap/>
              <w:overflowPunct/>
              <w:topLinePunct w:val="0"/>
              <w:autoSpaceDE/>
              <w:autoSpaceDN/>
              <w:bidi w:val="0"/>
              <w:adjustRightInd/>
              <w:snapToGrid/>
              <w:spacing w:before="164" w:beforeLines="50" w:line="360" w:lineRule="auto"/>
              <w:ind w:left="0" w:leftChars="0" w:firstLine="0" w:firstLineChars="0"/>
              <w:jc w:val="center"/>
              <w:textAlignment w:val="auto"/>
              <w:rPr>
                <w:color w:val="auto"/>
              </w:rPr>
            </w:pPr>
          </w:p>
        </w:tc>
      </w:tr>
      <w:tr w14:paraId="08696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pct"/>
            <w:vAlign w:val="center"/>
          </w:tcPr>
          <w:p w14:paraId="6725AACE">
            <w:pPr>
              <w:pStyle w:val="19"/>
              <w:keepNext w:val="0"/>
              <w:keepLines w:val="0"/>
              <w:pageBreakBefore w:val="0"/>
              <w:widowControl w:val="0"/>
              <w:kinsoku/>
              <w:wordWrap/>
              <w:overflowPunct/>
              <w:topLinePunct w:val="0"/>
              <w:autoSpaceDE/>
              <w:autoSpaceDN/>
              <w:bidi w:val="0"/>
              <w:adjustRightInd/>
              <w:snapToGrid/>
              <w:spacing w:before="164" w:beforeLines="50" w:line="360" w:lineRule="auto"/>
              <w:ind w:left="0" w:leftChars="0" w:firstLine="0" w:firstLineChars="0"/>
              <w:jc w:val="center"/>
              <w:textAlignment w:val="auto"/>
              <w:rPr>
                <w:color w:val="auto"/>
              </w:rPr>
            </w:pPr>
            <w:r>
              <w:rPr>
                <w:rFonts w:hint="eastAsia"/>
                <w:color w:val="auto"/>
              </w:rPr>
              <w:t>序号</w:t>
            </w:r>
          </w:p>
        </w:tc>
        <w:tc>
          <w:tcPr>
            <w:tcW w:w="1724" w:type="pct"/>
            <w:vAlign w:val="center"/>
          </w:tcPr>
          <w:p w14:paraId="2CB3A439">
            <w:pPr>
              <w:pStyle w:val="19"/>
              <w:keepNext w:val="0"/>
              <w:keepLines w:val="0"/>
              <w:pageBreakBefore w:val="0"/>
              <w:widowControl w:val="0"/>
              <w:kinsoku/>
              <w:wordWrap/>
              <w:overflowPunct/>
              <w:topLinePunct w:val="0"/>
              <w:autoSpaceDE/>
              <w:autoSpaceDN/>
              <w:bidi w:val="0"/>
              <w:adjustRightInd/>
              <w:snapToGrid/>
              <w:spacing w:before="164" w:beforeLines="50" w:line="360" w:lineRule="auto"/>
              <w:ind w:left="0" w:leftChars="0" w:firstLine="0" w:firstLineChars="0"/>
              <w:jc w:val="center"/>
              <w:textAlignment w:val="auto"/>
              <w:rPr>
                <w:color w:val="auto"/>
              </w:rPr>
            </w:pPr>
            <w:r>
              <w:rPr>
                <w:rFonts w:hint="eastAsia"/>
                <w:color w:val="auto"/>
              </w:rPr>
              <w:t>发票名目</w:t>
            </w:r>
          </w:p>
        </w:tc>
        <w:tc>
          <w:tcPr>
            <w:tcW w:w="611" w:type="pct"/>
            <w:vAlign w:val="center"/>
          </w:tcPr>
          <w:p w14:paraId="5176C1CC">
            <w:pPr>
              <w:pStyle w:val="19"/>
              <w:keepNext w:val="0"/>
              <w:keepLines w:val="0"/>
              <w:pageBreakBefore w:val="0"/>
              <w:widowControl w:val="0"/>
              <w:kinsoku/>
              <w:wordWrap/>
              <w:overflowPunct/>
              <w:topLinePunct w:val="0"/>
              <w:autoSpaceDE/>
              <w:autoSpaceDN/>
              <w:bidi w:val="0"/>
              <w:adjustRightInd/>
              <w:snapToGrid/>
              <w:spacing w:before="164" w:beforeLines="50" w:line="360" w:lineRule="auto"/>
              <w:ind w:left="0" w:leftChars="0" w:firstLine="0" w:firstLineChars="0"/>
              <w:jc w:val="center"/>
              <w:textAlignment w:val="auto"/>
              <w:rPr>
                <w:color w:val="auto"/>
              </w:rPr>
            </w:pPr>
            <w:r>
              <w:rPr>
                <w:rFonts w:hint="eastAsia"/>
                <w:color w:val="auto"/>
              </w:rPr>
              <w:t>发票金额（单位：万元）</w:t>
            </w:r>
          </w:p>
        </w:tc>
        <w:tc>
          <w:tcPr>
            <w:tcW w:w="686" w:type="pct"/>
            <w:vAlign w:val="center"/>
          </w:tcPr>
          <w:p w14:paraId="751F338C">
            <w:pPr>
              <w:pStyle w:val="19"/>
              <w:keepNext w:val="0"/>
              <w:keepLines w:val="0"/>
              <w:pageBreakBefore w:val="0"/>
              <w:widowControl w:val="0"/>
              <w:kinsoku/>
              <w:wordWrap/>
              <w:overflowPunct/>
              <w:topLinePunct w:val="0"/>
              <w:autoSpaceDE/>
              <w:autoSpaceDN/>
              <w:bidi w:val="0"/>
              <w:adjustRightInd/>
              <w:snapToGrid/>
              <w:spacing w:before="164" w:beforeLines="50" w:line="360" w:lineRule="auto"/>
              <w:ind w:left="0" w:leftChars="0" w:firstLine="0" w:firstLineChars="0"/>
              <w:jc w:val="center"/>
              <w:textAlignment w:val="auto"/>
              <w:rPr>
                <w:color w:val="auto"/>
              </w:rPr>
            </w:pPr>
            <w:r>
              <w:rPr>
                <w:rFonts w:hint="eastAsia"/>
                <w:color w:val="auto"/>
              </w:rPr>
              <w:t>发票号码</w:t>
            </w:r>
          </w:p>
        </w:tc>
        <w:tc>
          <w:tcPr>
            <w:tcW w:w="839" w:type="pct"/>
            <w:vAlign w:val="center"/>
          </w:tcPr>
          <w:p w14:paraId="7FA649D7">
            <w:pPr>
              <w:pStyle w:val="19"/>
              <w:keepNext w:val="0"/>
              <w:keepLines w:val="0"/>
              <w:pageBreakBefore w:val="0"/>
              <w:widowControl w:val="0"/>
              <w:kinsoku/>
              <w:wordWrap/>
              <w:overflowPunct/>
              <w:topLinePunct w:val="0"/>
              <w:autoSpaceDE/>
              <w:autoSpaceDN/>
              <w:bidi w:val="0"/>
              <w:adjustRightInd/>
              <w:snapToGrid/>
              <w:spacing w:before="164" w:beforeLines="50" w:line="360" w:lineRule="auto"/>
              <w:ind w:left="0" w:leftChars="0" w:firstLine="0" w:firstLineChars="0"/>
              <w:jc w:val="center"/>
              <w:textAlignment w:val="auto"/>
              <w:rPr>
                <w:color w:val="auto"/>
              </w:rPr>
            </w:pPr>
            <w:r>
              <w:rPr>
                <w:rFonts w:hint="eastAsia"/>
                <w:color w:val="auto"/>
              </w:rPr>
              <w:t>发票所属时期</w:t>
            </w:r>
          </w:p>
        </w:tc>
        <w:tc>
          <w:tcPr>
            <w:tcW w:w="668" w:type="pct"/>
            <w:vAlign w:val="center"/>
          </w:tcPr>
          <w:p w14:paraId="67D34A62">
            <w:pPr>
              <w:pStyle w:val="19"/>
              <w:keepNext w:val="0"/>
              <w:keepLines w:val="0"/>
              <w:pageBreakBefore w:val="0"/>
              <w:widowControl w:val="0"/>
              <w:kinsoku/>
              <w:wordWrap/>
              <w:overflowPunct/>
              <w:topLinePunct w:val="0"/>
              <w:autoSpaceDE/>
              <w:autoSpaceDN/>
              <w:bidi w:val="0"/>
              <w:adjustRightInd/>
              <w:snapToGrid/>
              <w:spacing w:before="164" w:beforeLines="50" w:line="360" w:lineRule="auto"/>
              <w:ind w:left="0" w:leftChars="0" w:firstLine="0" w:firstLineChars="0"/>
              <w:jc w:val="center"/>
              <w:textAlignment w:val="auto"/>
              <w:rPr>
                <w:color w:val="auto"/>
              </w:rPr>
            </w:pPr>
            <w:r>
              <w:rPr>
                <w:rFonts w:hint="eastAsia"/>
                <w:color w:val="auto"/>
              </w:rPr>
              <w:t>备注</w:t>
            </w:r>
          </w:p>
        </w:tc>
      </w:tr>
      <w:tr w14:paraId="08748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pct"/>
            <w:vAlign w:val="center"/>
          </w:tcPr>
          <w:p w14:paraId="6AB811A8">
            <w:pPr>
              <w:pStyle w:val="19"/>
              <w:keepNext w:val="0"/>
              <w:keepLines w:val="0"/>
              <w:pageBreakBefore w:val="0"/>
              <w:widowControl w:val="0"/>
              <w:kinsoku/>
              <w:wordWrap/>
              <w:overflowPunct/>
              <w:topLinePunct w:val="0"/>
              <w:autoSpaceDE/>
              <w:autoSpaceDN/>
              <w:bidi w:val="0"/>
              <w:adjustRightInd/>
              <w:snapToGrid/>
              <w:spacing w:before="164" w:beforeLines="50" w:line="360" w:lineRule="auto"/>
              <w:ind w:left="0" w:leftChars="0" w:firstLine="0" w:firstLineChars="0"/>
              <w:jc w:val="center"/>
              <w:textAlignment w:val="auto"/>
              <w:rPr>
                <w:color w:val="auto"/>
              </w:rPr>
            </w:pPr>
            <w:r>
              <w:rPr>
                <w:rFonts w:hint="eastAsia"/>
                <w:color w:val="auto"/>
              </w:rPr>
              <w:t>1</w:t>
            </w:r>
          </w:p>
        </w:tc>
        <w:tc>
          <w:tcPr>
            <w:tcW w:w="1724" w:type="pct"/>
            <w:vAlign w:val="center"/>
          </w:tcPr>
          <w:p w14:paraId="62A175CF">
            <w:pPr>
              <w:pStyle w:val="19"/>
              <w:keepNext w:val="0"/>
              <w:keepLines w:val="0"/>
              <w:pageBreakBefore w:val="0"/>
              <w:widowControl w:val="0"/>
              <w:kinsoku/>
              <w:wordWrap/>
              <w:overflowPunct/>
              <w:topLinePunct w:val="0"/>
              <w:autoSpaceDE/>
              <w:autoSpaceDN/>
              <w:bidi w:val="0"/>
              <w:adjustRightInd/>
              <w:snapToGrid/>
              <w:spacing w:before="164" w:beforeLines="50" w:line="360" w:lineRule="auto"/>
              <w:jc w:val="center"/>
              <w:textAlignment w:val="auto"/>
              <w:rPr>
                <w:color w:val="auto"/>
              </w:rPr>
            </w:pPr>
          </w:p>
        </w:tc>
        <w:tc>
          <w:tcPr>
            <w:tcW w:w="611" w:type="pct"/>
            <w:vAlign w:val="center"/>
          </w:tcPr>
          <w:p w14:paraId="19499BA9">
            <w:pPr>
              <w:pStyle w:val="19"/>
              <w:keepNext w:val="0"/>
              <w:keepLines w:val="0"/>
              <w:pageBreakBefore w:val="0"/>
              <w:widowControl w:val="0"/>
              <w:kinsoku/>
              <w:wordWrap/>
              <w:overflowPunct/>
              <w:topLinePunct w:val="0"/>
              <w:autoSpaceDE/>
              <w:autoSpaceDN/>
              <w:bidi w:val="0"/>
              <w:adjustRightInd/>
              <w:snapToGrid/>
              <w:spacing w:before="164" w:beforeLines="50" w:line="360" w:lineRule="auto"/>
              <w:jc w:val="center"/>
              <w:textAlignment w:val="auto"/>
              <w:rPr>
                <w:color w:val="auto"/>
              </w:rPr>
            </w:pPr>
          </w:p>
        </w:tc>
        <w:tc>
          <w:tcPr>
            <w:tcW w:w="686" w:type="pct"/>
            <w:vAlign w:val="center"/>
          </w:tcPr>
          <w:p w14:paraId="775EAD4F">
            <w:pPr>
              <w:pStyle w:val="19"/>
              <w:keepNext w:val="0"/>
              <w:keepLines w:val="0"/>
              <w:pageBreakBefore w:val="0"/>
              <w:widowControl w:val="0"/>
              <w:kinsoku/>
              <w:wordWrap/>
              <w:overflowPunct/>
              <w:topLinePunct w:val="0"/>
              <w:autoSpaceDE/>
              <w:autoSpaceDN/>
              <w:bidi w:val="0"/>
              <w:adjustRightInd/>
              <w:snapToGrid/>
              <w:spacing w:before="164" w:beforeLines="50" w:line="360" w:lineRule="auto"/>
              <w:jc w:val="center"/>
              <w:textAlignment w:val="auto"/>
              <w:rPr>
                <w:color w:val="auto"/>
              </w:rPr>
            </w:pPr>
          </w:p>
        </w:tc>
        <w:tc>
          <w:tcPr>
            <w:tcW w:w="839" w:type="pct"/>
            <w:vAlign w:val="center"/>
          </w:tcPr>
          <w:p w14:paraId="22AF1F5D">
            <w:pPr>
              <w:pStyle w:val="19"/>
              <w:keepNext w:val="0"/>
              <w:keepLines w:val="0"/>
              <w:pageBreakBefore w:val="0"/>
              <w:widowControl w:val="0"/>
              <w:kinsoku/>
              <w:wordWrap/>
              <w:overflowPunct/>
              <w:topLinePunct w:val="0"/>
              <w:autoSpaceDE/>
              <w:autoSpaceDN/>
              <w:bidi w:val="0"/>
              <w:adjustRightInd/>
              <w:snapToGrid/>
              <w:spacing w:before="164" w:beforeLines="50" w:line="360" w:lineRule="auto"/>
              <w:jc w:val="center"/>
              <w:textAlignment w:val="auto"/>
              <w:rPr>
                <w:color w:val="auto"/>
              </w:rPr>
            </w:pPr>
          </w:p>
        </w:tc>
        <w:tc>
          <w:tcPr>
            <w:tcW w:w="668" w:type="pct"/>
            <w:vAlign w:val="center"/>
          </w:tcPr>
          <w:p w14:paraId="5945CE1B">
            <w:pPr>
              <w:pStyle w:val="19"/>
              <w:keepNext w:val="0"/>
              <w:keepLines w:val="0"/>
              <w:pageBreakBefore w:val="0"/>
              <w:widowControl w:val="0"/>
              <w:kinsoku/>
              <w:wordWrap/>
              <w:overflowPunct/>
              <w:topLinePunct w:val="0"/>
              <w:autoSpaceDE/>
              <w:autoSpaceDN/>
              <w:bidi w:val="0"/>
              <w:adjustRightInd/>
              <w:snapToGrid/>
              <w:spacing w:before="164" w:beforeLines="50" w:line="360" w:lineRule="auto"/>
              <w:jc w:val="center"/>
              <w:textAlignment w:val="auto"/>
              <w:rPr>
                <w:color w:val="auto"/>
              </w:rPr>
            </w:pPr>
          </w:p>
        </w:tc>
      </w:tr>
      <w:tr w14:paraId="354DC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pct"/>
            <w:vAlign w:val="center"/>
          </w:tcPr>
          <w:p w14:paraId="40BF94DE">
            <w:pPr>
              <w:pStyle w:val="19"/>
              <w:keepNext w:val="0"/>
              <w:keepLines w:val="0"/>
              <w:pageBreakBefore w:val="0"/>
              <w:widowControl w:val="0"/>
              <w:kinsoku/>
              <w:wordWrap/>
              <w:overflowPunct/>
              <w:topLinePunct w:val="0"/>
              <w:autoSpaceDE/>
              <w:autoSpaceDN/>
              <w:bidi w:val="0"/>
              <w:adjustRightInd/>
              <w:snapToGrid/>
              <w:spacing w:before="164" w:beforeLines="50" w:line="360" w:lineRule="auto"/>
              <w:ind w:left="0" w:leftChars="0" w:firstLine="0" w:firstLineChars="0"/>
              <w:jc w:val="center"/>
              <w:textAlignment w:val="auto"/>
              <w:rPr>
                <w:color w:val="auto"/>
              </w:rPr>
            </w:pPr>
            <w:r>
              <w:rPr>
                <w:rFonts w:hint="eastAsia"/>
                <w:color w:val="auto"/>
              </w:rPr>
              <w:t>2</w:t>
            </w:r>
          </w:p>
        </w:tc>
        <w:tc>
          <w:tcPr>
            <w:tcW w:w="1724" w:type="pct"/>
            <w:vAlign w:val="center"/>
          </w:tcPr>
          <w:p w14:paraId="4ADB4E86">
            <w:pPr>
              <w:pStyle w:val="19"/>
              <w:keepNext w:val="0"/>
              <w:keepLines w:val="0"/>
              <w:pageBreakBefore w:val="0"/>
              <w:widowControl w:val="0"/>
              <w:kinsoku/>
              <w:wordWrap/>
              <w:overflowPunct/>
              <w:topLinePunct w:val="0"/>
              <w:autoSpaceDE/>
              <w:autoSpaceDN/>
              <w:bidi w:val="0"/>
              <w:adjustRightInd/>
              <w:snapToGrid/>
              <w:spacing w:before="164" w:beforeLines="50" w:line="360" w:lineRule="auto"/>
              <w:jc w:val="center"/>
              <w:textAlignment w:val="auto"/>
              <w:rPr>
                <w:color w:val="auto"/>
              </w:rPr>
            </w:pPr>
          </w:p>
        </w:tc>
        <w:tc>
          <w:tcPr>
            <w:tcW w:w="611" w:type="pct"/>
            <w:vAlign w:val="center"/>
          </w:tcPr>
          <w:p w14:paraId="375BCD1A">
            <w:pPr>
              <w:pStyle w:val="19"/>
              <w:keepNext w:val="0"/>
              <w:keepLines w:val="0"/>
              <w:pageBreakBefore w:val="0"/>
              <w:widowControl w:val="0"/>
              <w:kinsoku/>
              <w:wordWrap/>
              <w:overflowPunct/>
              <w:topLinePunct w:val="0"/>
              <w:autoSpaceDE/>
              <w:autoSpaceDN/>
              <w:bidi w:val="0"/>
              <w:adjustRightInd/>
              <w:snapToGrid/>
              <w:spacing w:before="164" w:beforeLines="50" w:line="360" w:lineRule="auto"/>
              <w:jc w:val="center"/>
              <w:textAlignment w:val="auto"/>
              <w:rPr>
                <w:color w:val="auto"/>
              </w:rPr>
            </w:pPr>
          </w:p>
        </w:tc>
        <w:tc>
          <w:tcPr>
            <w:tcW w:w="686" w:type="pct"/>
            <w:vAlign w:val="center"/>
          </w:tcPr>
          <w:p w14:paraId="63E3E377">
            <w:pPr>
              <w:pStyle w:val="19"/>
              <w:keepNext w:val="0"/>
              <w:keepLines w:val="0"/>
              <w:pageBreakBefore w:val="0"/>
              <w:widowControl w:val="0"/>
              <w:kinsoku/>
              <w:wordWrap/>
              <w:overflowPunct/>
              <w:topLinePunct w:val="0"/>
              <w:autoSpaceDE/>
              <w:autoSpaceDN/>
              <w:bidi w:val="0"/>
              <w:adjustRightInd/>
              <w:snapToGrid/>
              <w:spacing w:before="164" w:beforeLines="50" w:line="360" w:lineRule="auto"/>
              <w:jc w:val="center"/>
              <w:textAlignment w:val="auto"/>
              <w:rPr>
                <w:color w:val="auto"/>
              </w:rPr>
            </w:pPr>
          </w:p>
        </w:tc>
        <w:tc>
          <w:tcPr>
            <w:tcW w:w="839" w:type="pct"/>
            <w:vAlign w:val="center"/>
          </w:tcPr>
          <w:p w14:paraId="153E5F03">
            <w:pPr>
              <w:pStyle w:val="19"/>
              <w:keepNext w:val="0"/>
              <w:keepLines w:val="0"/>
              <w:pageBreakBefore w:val="0"/>
              <w:widowControl w:val="0"/>
              <w:kinsoku/>
              <w:wordWrap/>
              <w:overflowPunct/>
              <w:topLinePunct w:val="0"/>
              <w:autoSpaceDE/>
              <w:autoSpaceDN/>
              <w:bidi w:val="0"/>
              <w:adjustRightInd/>
              <w:snapToGrid/>
              <w:spacing w:before="164" w:beforeLines="50" w:line="360" w:lineRule="auto"/>
              <w:jc w:val="center"/>
              <w:textAlignment w:val="auto"/>
              <w:rPr>
                <w:color w:val="auto"/>
              </w:rPr>
            </w:pPr>
          </w:p>
        </w:tc>
        <w:tc>
          <w:tcPr>
            <w:tcW w:w="668" w:type="pct"/>
            <w:vAlign w:val="center"/>
          </w:tcPr>
          <w:p w14:paraId="7072DF25">
            <w:pPr>
              <w:pStyle w:val="19"/>
              <w:keepNext w:val="0"/>
              <w:keepLines w:val="0"/>
              <w:pageBreakBefore w:val="0"/>
              <w:widowControl w:val="0"/>
              <w:kinsoku/>
              <w:wordWrap/>
              <w:overflowPunct/>
              <w:topLinePunct w:val="0"/>
              <w:autoSpaceDE/>
              <w:autoSpaceDN/>
              <w:bidi w:val="0"/>
              <w:adjustRightInd/>
              <w:snapToGrid/>
              <w:spacing w:before="164" w:beforeLines="50" w:line="360" w:lineRule="auto"/>
              <w:jc w:val="center"/>
              <w:textAlignment w:val="auto"/>
              <w:rPr>
                <w:color w:val="auto"/>
              </w:rPr>
            </w:pPr>
          </w:p>
        </w:tc>
      </w:tr>
      <w:tr w14:paraId="292E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pct"/>
            <w:vAlign w:val="center"/>
          </w:tcPr>
          <w:p w14:paraId="565484E7">
            <w:pPr>
              <w:pStyle w:val="19"/>
              <w:keepNext w:val="0"/>
              <w:keepLines w:val="0"/>
              <w:pageBreakBefore w:val="0"/>
              <w:widowControl w:val="0"/>
              <w:kinsoku/>
              <w:wordWrap/>
              <w:overflowPunct/>
              <w:topLinePunct w:val="0"/>
              <w:autoSpaceDE/>
              <w:autoSpaceDN/>
              <w:bidi w:val="0"/>
              <w:adjustRightInd/>
              <w:snapToGrid/>
              <w:spacing w:before="164" w:beforeLines="50" w:line="360" w:lineRule="auto"/>
              <w:ind w:left="0" w:leftChars="0" w:firstLine="0" w:firstLineChars="0"/>
              <w:jc w:val="center"/>
              <w:textAlignment w:val="auto"/>
              <w:rPr>
                <w:color w:val="auto"/>
              </w:rPr>
            </w:pPr>
            <w:r>
              <w:rPr>
                <w:rFonts w:hint="eastAsia"/>
                <w:color w:val="auto"/>
              </w:rPr>
              <w:t>3</w:t>
            </w:r>
          </w:p>
        </w:tc>
        <w:tc>
          <w:tcPr>
            <w:tcW w:w="1724" w:type="pct"/>
            <w:vAlign w:val="center"/>
          </w:tcPr>
          <w:p w14:paraId="26F3C198">
            <w:pPr>
              <w:pStyle w:val="19"/>
              <w:keepNext w:val="0"/>
              <w:keepLines w:val="0"/>
              <w:pageBreakBefore w:val="0"/>
              <w:widowControl w:val="0"/>
              <w:kinsoku/>
              <w:wordWrap/>
              <w:overflowPunct/>
              <w:topLinePunct w:val="0"/>
              <w:autoSpaceDE/>
              <w:autoSpaceDN/>
              <w:bidi w:val="0"/>
              <w:adjustRightInd/>
              <w:snapToGrid/>
              <w:spacing w:before="164" w:beforeLines="50" w:line="360" w:lineRule="auto"/>
              <w:jc w:val="center"/>
              <w:textAlignment w:val="auto"/>
              <w:rPr>
                <w:color w:val="auto"/>
              </w:rPr>
            </w:pPr>
          </w:p>
        </w:tc>
        <w:tc>
          <w:tcPr>
            <w:tcW w:w="611" w:type="pct"/>
            <w:vAlign w:val="center"/>
          </w:tcPr>
          <w:p w14:paraId="69B0B7FB">
            <w:pPr>
              <w:pStyle w:val="19"/>
              <w:keepNext w:val="0"/>
              <w:keepLines w:val="0"/>
              <w:pageBreakBefore w:val="0"/>
              <w:widowControl w:val="0"/>
              <w:kinsoku/>
              <w:wordWrap/>
              <w:overflowPunct/>
              <w:topLinePunct w:val="0"/>
              <w:autoSpaceDE/>
              <w:autoSpaceDN/>
              <w:bidi w:val="0"/>
              <w:adjustRightInd/>
              <w:snapToGrid/>
              <w:spacing w:before="164" w:beforeLines="50" w:line="360" w:lineRule="auto"/>
              <w:jc w:val="center"/>
              <w:textAlignment w:val="auto"/>
              <w:rPr>
                <w:color w:val="auto"/>
              </w:rPr>
            </w:pPr>
          </w:p>
        </w:tc>
        <w:tc>
          <w:tcPr>
            <w:tcW w:w="686" w:type="pct"/>
            <w:vAlign w:val="center"/>
          </w:tcPr>
          <w:p w14:paraId="7DEBD9A5">
            <w:pPr>
              <w:pStyle w:val="19"/>
              <w:keepNext w:val="0"/>
              <w:keepLines w:val="0"/>
              <w:pageBreakBefore w:val="0"/>
              <w:widowControl w:val="0"/>
              <w:kinsoku/>
              <w:wordWrap/>
              <w:overflowPunct/>
              <w:topLinePunct w:val="0"/>
              <w:autoSpaceDE/>
              <w:autoSpaceDN/>
              <w:bidi w:val="0"/>
              <w:adjustRightInd/>
              <w:snapToGrid/>
              <w:spacing w:before="164" w:beforeLines="50" w:line="360" w:lineRule="auto"/>
              <w:jc w:val="center"/>
              <w:textAlignment w:val="auto"/>
              <w:rPr>
                <w:color w:val="auto"/>
              </w:rPr>
            </w:pPr>
          </w:p>
        </w:tc>
        <w:tc>
          <w:tcPr>
            <w:tcW w:w="839" w:type="pct"/>
            <w:vAlign w:val="center"/>
          </w:tcPr>
          <w:p w14:paraId="2CD69CBA">
            <w:pPr>
              <w:pStyle w:val="19"/>
              <w:keepNext w:val="0"/>
              <w:keepLines w:val="0"/>
              <w:pageBreakBefore w:val="0"/>
              <w:widowControl w:val="0"/>
              <w:kinsoku/>
              <w:wordWrap/>
              <w:overflowPunct/>
              <w:topLinePunct w:val="0"/>
              <w:autoSpaceDE/>
              <w:autoSpaceDN/>
              <w:bidi w:val="0"/>
              <w:adjustRightInd/>
              <w:snapToGrid/>
              <w:spacing w:before="164" w:beforeLines="50" w:line="360" w:lineRule="auto"/>
              <w:jc w:val="center"/>
              <w:textAlignment w:val="auto"/>
              <w:rPr>
                <w:color w:val="auto"/>
              </w:rPr>
            </w:pPr>
          </w:p>
        </w:tc>
        <w:tc>
          <w:tcPr>
            <w:tcW w:w="668" w:type="pct"/>
            <w:vAlign w:val="center"/>
          </w:tcPr>
          <w:p w14:paraId="70E1F00C">
            <w:pPr>
              <w:pStyle w:val="19"/>
              <w:keepNext w:val="0"/>
              <w:keepLines w:val="0"/>
              <w:pageBreakBefore w:val="0"/>
              <w:widowControl w:val="0"/>
              <w:kinsoku/>
              <w:wordWrap/>
              <w:overflowPunct/>
              <w:topLinePunct w:val="0"/>
              <w:autoSpaceDE/>
              <w:autoSpaceDN/>
              <w:bidi w:val="0"/>
              <w:adjustRightInd/>
              <w:snapToGrid/>
              <w:spacing w:before="164" w:beforeLines="50" w:line="360" w:lineRule="auto"/>
              <w:jc w:val="center"/>
              <w:textAlignment w:val="auto"/>
              <w:rPr>
                <w:color w:val="auto"/>
              </w:rPr>
            </w:pPr>
          </w:p>
        </w:tc>
      </w:tr>
      <w:tr w14:paraId="51644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pct"/>
            <w:vAlign w:val="center"/>
          </w:tcPr>
          <w:p w14:paraId="0F28D3CA">
            <w:pPr>
              <w:pStyle w:val="19"/>
              <w:keepNext w:val="0"/>
              <w:keepLines w:val="0"/>
              <w:pageBreakBefore w:val="0"/>
              <w:widowControl w:val="0"/>
              <w:kinsoku/>
              <w:wordWrap/>
              <w:overflowPunct/>
              <w:topLinePunct w:val="0"/>
              <w:autoSpaceDE/>
              <w:autoSpaceDN/>
              <w:bidi w:val="0"/>
              <w:adjustRightInd/>
              <w:snapToGrid/>
              <w:spacing w:before="164" w:beforeLines="50" w:line="360" w:lineRule="auto"/>
              <w:ind w:left="0" w:leftChars="0" w:firstLine="0" w:firstLineChars="0"/>
              <w:jc w:val="center"/>
              <w:textAlignment w:val="auto"/>
              <w:rPr>
                <w:color w:val="auto"/>
              </w:rPr>
            </w:pPr>
            <w:r>
              <w:rPr>
                <w:rFonts w:hint="eastAsia"/>
                <w:color w:val="auto"/>
              </w:rPr>
              <w:t>...</w:t>
            </w:r>
          </w:p>
        </w:tc>
        <w:tc>
          <w:tcPr>
            <w:tcW w:w="1724" w:type="pct"/>
            <w:vAlign w:val="center"/>
          </w:tcPr>
          <w:p w14:paraId="012626BA">
            <w:pPr>
              <w:pStyle w:val="19"/>
              <w:keepNext w:val="0"/>
              <w:keepLines w:val="0"/>
              <w:pageBreakBefore w:val="0"/>
              <w:widowControl w:val="0"/>
              <w:kinsoku/>
              <w:wordWrap/>
              <w:overflowPunct/>
              <w:topLinePunct w:val="0"/>
              <w:autoSpaceDE/>
              <w:autoSpaceDN/>
              <w:bidi w:val="0"/>
              <w:adjustRightInd/>
              <w:snapToGrid/>
              <w:spacing w:before="164" w:beforeLines="50" w:line="360" w:lineRule="auto"/>
              <w:jc w:val="center"/>
              <w:textAlignment w:val="auto"/>
              <w:rPr>
                <w:color w:val="auto"/>
              </w:rPr>
            </w:pPr>
          </w:p>
        </w:tc>
        <w:tc>
          <w:tcPr>
            <w:tcW w:w="611" w:type="pct"/>
            <w:vAlign w:val="center"/>
          </w:tcPr>
          <w:p w14:paraId="75D0DFEF">
            <w:pPr>
              <w:pStyle w:val="19"/>
              <w:keepNext w:val="0"/>
              <w:keepLines w:val="0"/>
              <w:pageBreakBefore w:val="0"/>
              <w:widowControl w:val="0"/>
              <w:kinsoku/>
              <w:wordWrap/>
              <w:overflowPunct/>
              <w:topLinePunct w:val="0"/>
              <w:autoSpaceDE/>
              <w:autoSpaceDN/>
              <w:bidi w:val="0"/>
              <w:adjustRightInd/>
              <w:snapToGrid/>
              <w:spacing w:before="164" w:beforeLines="50" w:line="360" w:lineRule="auto"/>
              <w:jc w:val="center"/>
              <w:textAlignment w:val="auto"/>
              <w:rPr>
                <w:color w:val="auto"/>
              </w:rPr>
            </w:pPr>
          </w:p>
        </w:tc>
        <w:tc>
          <w:tcPr>
            <w:tcW w:w="686" w:type="pct"/>
            <w:vAlign w:val="center"/>
          </w:tcPr>
          <w:p w14:paraId="70E530E8">
            <w:pPr>
              <w:pStyle w:val="19"/>
              <w:keepNext w:val="0"/>
              <w:keepLines w:val="0"/>
              <w:pageBreakBefore w:val="0"/>
              <w:widowControl w:val="0"/>
              <w:kinsoku/>
              <w:wordWrap/>
              <w:overflowPunct/>
              <w:topLinePunct w:val="0"/>
              <w:autoSpaceDE/>
              <w:autoSpaceDN/>
              <w:bidi w:val="0"/>
              <w:adjustRightInd/>
              <w:snapToGrid/>
              <w:spacing w:before="164" w:beforeLines="50" w:line="360" w:lineRule="auto"/>
              <w:jc w:val="center"/>
              <w:textAlignment w:val="auto"/>
              <w:rPr>
                <w:color w:val="auto"/>
              </w:rPr>
            </w:pPr>
          </w:p>
        </w:tc>
        <w:tc>
          <w:tcPr>
            <w:tcW w:w="839" w:type="pct"/>
            <w:vAlign w:val="center"/>
          </w:tcPr>
          <w:p w14:paraId="1E31597A">
            <w:pPr>
              <w:pStyle w:val="19"/>
              <w:keepNext w:val="0"/>
              <w:keepLines w:val="0"/>
              <w:pageBreakBefore w:val="0"/>
              <w:widowControl w:val="0"/>
              <w:kinsoku/>
              <w:wordWrap/>
              <w:overflowPunct/>
              <w:topLinePunct w:val="0"/>
              <w:autoSpaceDE/>
              <w:autoSpaceDN/>
              <w:bidi w:val="0"/>
              <w:adjustRightInd/>
              <w:snapToGrid/>
              <w:spacing w:before="164" w:beforeLines="50" w:line="360" w:lineRule="auto"/>
              <w:jc w:val="center"/>
              <w:textAlignment w:val="auto"/>
              <w:rPr>
                <w:color w:val="auto"/>
              </w:rPr>
            </w:pPr>
          </w:p>
        </w:tc>
        <w:tc>
          <w:tcPr>
            <w:tcW w:w="668" w:type="pct"/>
            <w:vAlign w:val="center"/>
          </w:tcPr>
          <w:p w14:paraId="44991DE7">
            <w:pPr>
              <w:pStyle w:val="19"/>
              <w:keepNext w:val="0"/>
              <w:keepLines w:val="0"/>
              <w:pageBreakBefore w:val="0"/>
              <w:widowControl w:val="0"/>
              <w:kinsoku/>
              <w:wordWrap/>
              <w:overflowPunct/>
              <w:topLinePunct w:val="0"/>
              <w:autoSpaceDE/>
              <w:autoSpaceDN/>
              <w:bidi w:val="0"/>
              <w:adjustRightInd/>
              <w:snapToGrid/>
              <w:spacing w:before="164" w:beforeLines="50" w:line="360" w:lineRule="auto"/>
              <w:jc w:val="center"/>
              <w:textAlignment w:val="auto"/>
              <w:rPr>
                <w:color w:val="auto"/>
              </w:rPr>
            </w:pPr>
          </w:p>
        </w:tc>
      </w:tr>
      <w:tr w14:paraId="6755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6" w:type="pct"/>
            <w:gridSpan w:val="2"/>
            <w:vAlign w:val="center"/>
          </w:tcPr>
          <w:p w14:paraId="5B49AC5D">
            <w:pPr>
              <w:pStyle w:val="19"/>
              <w:keepNext w:val="0"/>
              <w:keepLines w:val="0"/>
              <w:pageBreakBefore w:val="0"/>
              <w:widowControl w:val="0"/>
              <w:kinsoku/>
              <w:wordWrap/>
              <w:overflowPunct/>
              <w:topLinePunct w:val="0"/>
              <w:autoSpaceDE/>
              <w:autoSpaceDN/>
              <w:bidi w:val="0"/>
              <w:adjustRightInd/>
              <w:snapToGrid/>
              <w:spacing w:before="164" w:beforeLines="50" w:line="360" w:lineRule="auto"/>
              <w:ind w:left="0" w:leftChars="0" w:firstLine="0" w:firstLineChars="0"/>
              <w:jc w:val="center"/>
              <w:textAlignment w:val="auto"/>
              <w:rPr>
                <w:color w:val="auto"/>
              </w:rPr>
            </w:pPr>
            <w:r>
              <w:rPr>
                <w:rFonts w:hint="eastAsia"/>
                <w:color w:val="auto"/>
              </w:rPr>
              <w:t>发票金额合计</w:t>
            </w:r>
          </w:p>
        </w:tc>
        <w:tc>
          <w:tcPr>
            <w:tcW w:w="611" w:type="pct"/>
            <w:vAlign w:val="center"/>
          </w:tcPr>
          <w:p w14:paraId="1FAFD50B">
            <w:pPr>
              <w:pStyle w:val="19"/>
              <w:keepNext w:val="0"/>
              <w:keepLines w:val="0"/>
              <w:pageBreakBefore w:val="0"/>
              <w:widowControl w:val="0"/>
              <w:kinsoku/>
              <w:wordWrap/>
              <w:overflowPunct/>
              <w:topLinePunct w:val="0"/>
              <w:autoSpaceDE/>
              <w:autoSpaceDN/>
              <w:bidi w:val="0"/>
              <w:adjustRightInd/>
              <w:snapToGrid/>
              <w:spacing w:before="164" w:beforeLines="50" w:line="360" w:lineRule="auto"/>
              <w:jc w:val="center"/>
              <w:textAlignment w:val="auto"/>
              <w:rPr>
                <w:color w:val="auto"/>
              </w:rPr>
            </w:pPr>
          </w:p>
        </w:tc>
        <w:tc>
          <w:tcPr>
            <w:tcW w:w="686" w:type="pct"/>
            <w:vAlign w:val="center"/>
          </w:tcPr>
          <w:p w14:paraId="1CE111EA">
            <w:pPr>
              <w:pStyle w:val="19"/>
              <w:keepNext w:val="0"/>
              <w:keepLines w:val="0"/>
              <w:pageBreakBefore w:val="0"/>
              <w:widowControl w:val="0"/>
              <w:kinsoku/>
              <w:wordWrap/>
              <w:overflowPunct/>
              <w:topLinePunct w:val="0"/>
              <w:autoSpaceDE/>
              <w:autoSpaceDN/>
              <w:bidi w:val="0"/>
              <w:adjustRightInd/>
              <w:snapToGrid/>
              <w:spacing w:before="164" w:beforeLines="50" w:line="360" w:lineRule="auto"/>
              <w:jc w:val="center"/>
              <w:textAlignment w:val="auto"/>
              <w:rPr>
                <w:color w:val="auto"/>
              </w:rPr>
            </w:pPr>
          </w:p>
        </w:tc>
        <w:tc>
          <w:tcPr>
            <w:tcW w:w="839" w:type="pct"/>
            <w:vAlign w:val="center"/>
          </w:tcPr>
          <w:p w14:paraId="27D31B57">
            <w:pPr>
              <w:pStyle w:val="19"/>
              <w:keepNext w:val="0"/>
              <w:keepLines w:val="0"/>
              <w:pageBreakBefore w:val="0"/>
              <w:widowControl w:val="0"/>
              <w:kinsoku/>
              <w:wordWrap/>
              <w:overflowPunct/>
              <w:topLinePunct w:val="0"/>
              <w:autoSpaceDE/>
              <w:autoSpaceDN/>
              <w:bidi w:val="0"/>
              <w:adjustRightInd/>
              <w:snapToGrid/>
              <w:spacing w:before="164" w:beforeLines="50" w:line="360" w:lineRule="auto"/>
              <w:jc w:val="center"/>
              <w:textAlignment w:val="auto"/>
              <w:rPr>
                <w:color w:val="auto"/>
              </w:rPr>
            </w:pPr>
          </w:p>
        </w:tc>
        <w:tc>
          <w:tcPr>
            <w:tcW w:w="668" w:type="pct"/>
            <w:vAlign w:val="center"/>
          </w:tcPr>
          <w:p w14:paraId="62770684">
            <w:pPr>
              <w:pStyle w:val="19"/>
              <w:keepNext w:val="0"/>
              <w:keepLines w:val="0"/>
              <w:pageBreakBefore w:val="0"/>
              <w:widowControl w:val="0"/>
              <w:kinsoku/>
              <w:wordWrap/>
              <w:overflowPunct/>
              <w:topLinePunct w:val="0"/>
              <w:autoSpaceDE/>
              <w:autoSpaceDN/>
              <w:bidi w:val="0"/>
              <w:adjustRightInd/>
              <w:snapToGrid/>
              <w:spacing w:before="164" w:beforeLines="50" w:line="360" w:lineRule="auto"/>
              <w:jc w:val="center"/>
              <w:textAlignment w:val="auto"/>
              <w:rPr>
                <w:color w:val="auto"/>
              </w:rPr>
            </w:pPr>
          </w:p>
        </w:tc>
      </w:tr>
    </w:tbl>
    <w:p w14:paraId="6F6714E4">
      <w:pPr>
        <w:snapToGrid w:val="0"/>
        <w:spacing w:line="360" w:lineRule="auto"/>
        <w:ind w:left="491" w:leftChars="-57" w:hanging="611" w:hangingChars="291"/>
        <w:rPr>
          <w:rFonts w:ascii="宋体" w:hAnsi="宋体" w:eastAsia="宋体" w:cs="宋体"/>
          <w:color w:val="auto"/>
        </w:rPr>
      </w:pPr>
    </w:p>
    <w:p w14:paraId="11B51DE3">
      <w:pPr>
        <w:snapToGrid w:val="0"/>
        <w:spacing w:line="360" w:lineRule="auto"/>
        <w:ind w:left="491" w:leftChars="-57" w:hanging="611" w:hangingChars="291"/>
        <w:rPr>
          <w:rFonts w:ascii="宋体" w:hAnsi="宋体" w:eastAsia="宋体" w:cs="宋体"/>
          <w:color w:val="auto"/>
        </w:rPr>
      </w:pPr>
      <w:r>
        <w:rPr>
          <w:rFonts w:hint="eastAsia" w:ascii="宋体" w:hAnsi="宋体" w:eastAsia="宋体" w:cs="宋体"/>
          <w:color w:val="auto"/>
        </w:rPr>
        <w:t>备注：</w:t>
      </w:r>
    </w:p>
    <w:p w14:paraId="0C389B1D">
      <w:pPr>
        <w:snapToGrid w:val="0"/>
        <w:spacing w:line="360" w:lineRule="auto"/>
        <w:ind w:left="396" w:leftChars="-58" w:hanging="518" w:hangingChars="247"/>
        <w:rPr>
          <w:rFonts w:ascii="宋体" w:hAnsi="宋体" w:eastAsia="宋体" w:cs="宋体"/>
          <w:color w:val="auto"/>
        </w:rPr>
      </w:pPr>
      <w:r>
        <w:rPr>
          <w:rFonts w:hint="eastAsia" w:ascii="宋体" w:hAnsi="宋体" w:eastAsia="宋体" w:cs="宋体"/>
          <w:color w:val="auto"/>
        </w:rPr>
        <w:t>（1）投标人提供框架式协议或资格入围无明确金额的合同时，须同时提供本统计表及供货发票复印件，本统计表及供货发票复印件应后附于合同复印件。</w:t>
      </w:r>
    </w:p>
    <w:p w14:paraId="51A31410">
      <w:pPr>
        <w:snapToGrid w:val="0"/>
        <w:spacing w:line="360" w:lineRule="auto"/>
        <w:ind w:left="396" w:leftChars="-58" w:hanging="518" w:hangingChars="247"/>
        <w:rPr>
          <w:rFonts w:ascii="宋体" w:hAnsi="宋体" w:eastAsia="宋体" w:cs="宋体"/>
          <w:color w:val="auto"/>
        </w:rPr>
      </w:pPr>
      <w:r>
        <w:rPr>
          <w:rFonts w:hint="eastAsia" w:ascii="宋体" w:hAnsi="宋体" w:eastAsia="宋体" w:cs="宋体"/>
          <w:color w:val="auto"/>
        </w:rPr>
        <w:t>（2）发票抬头应为合同服务购买方，销售方应为投标人，且发票名目、所属时期应与合同约定内容一致，否则不计分。</w:t>
      </w:r>
    </w:p>
    <w:p w14:paraId="6202984A">
      <w:pPr>
        <w:snapToGrid w:val="0"/>
        <w:spacing w:line="360" w:lineRule="auto"/>
        <w:ind w:left="396" w:leftChars="-58" w:right="-19" w:hanging="518" w:hangingChars="247"/>
        <w:jc w:val="left"/>
        <w:rPr>
          <w:rFonts w:hint="eastAsia" w:ascii="宋体" w:hAnsi="宋体" w:eastAsia="宋体" w:cs="宋体"/>
          <w:b w:val="0"/>
          <w:color w:val="auto"/>
          <w:sz w:val="21"/>
        </w:rPr>
      </w:pPr>
      <w:r>
        <w:rPr>
          <w:rFonts w:hint="eastAsia" w:ascii="宋体" w:hAnsi="宋体" w:eastAsia="宋体" w:cs="宋体"/>
          <w:b w:val="0"/>
          <w:color w:val="auto"/>
          <w:sz w:val="21"/>
        </w:rPr>
        <w:t>（3）发票合计金额视为投标人所提供该项服务业绩的服务金额，并按此金额进行评审。</w:t>
      </w:r>
    </w:p>
    <w:p w14:paraId="00E2210E">
      <w:pPr>
        <w:autoSpaceDE w:val="0"/>
        <w:autoSpaceDN w:val="0"/>
        <w:adjustRightInd w:val="0"/>
        <w:spacing w:line="360" w:lineRule="auto"/>
        <w:rPr>
          <w:rFonts w:ascii="宋体" w:hAnsi="宋体" w:eastAsia="宋体" w:cs="Times New Roman"/>
          <w:b/>
          <w:bCs/>
          <w:color w:val="auto"/>
          <w:sz w:val="30"/>
          <w:szCs w:val="30"/>
          <w:highlight w:val="none"/>
          <w:lang w:val="zh-CN"/>
        </w:rPr>
      </w:pPr>
    </w:p>
    <w:bookmarkEnd w:id="664"/>
    <w:bookmarkEnd w:id="665"/>
    <w:p w14:paraId="33FCE514">
      <w:pPr>
        <w:keepNext w:val="0"/>
        <w:keepLines w:val="0"/>
        <w:pageBreakBefore/>
        <w:widowControl w:val="0"/>
        <w:tabs>
          <w:tab w:val="left" w:pos="567"/>
        </w:tabs>
        <w:kinsoku/>
        <w:wordWrap/>
        <w:overflowPunct/>
        <w:topLinePunct w:val="0"/>
        <w:autoSpaceDE/>
        <w:autoSpaceDN/>
        <w:bidi w:val="0"/>
        <w:adjustRightInd/>
        <w:snapToGrid/>
        <w:spacing w:line="360" w:lineRule="auto"/>
        <w:ind w:left="595" w:hanging="805"/>
        <w:textAlignment w:val="auto"/>
        <w:outlineLvl w:val="2"/>
        <w:rPr>
          <w:rFonts w:ascii="宋体" w:hAnsi="宋体" w:eastAsia="宋体" w:cs="宋体"/>
          <w:b/>
          <w:color w:val="auto"/>
          <w:sz w:val="32"/>
          <w:szCs w:val="32"/>
        </w:rPr>
      </w:pPr>
      <w:bookmarkStart w:id="666" w:name="_Toc85553401"/>
      <w:bookmarkStart w:id="667" w:name="_Toc176453454"/>
      <w:bookmarkStart w:id="668" w:name="_Toc117668212"/>
      <w:bookmarkStart w:id="669" w:name="_Toc177203325"/>
      <w:bookmarkStart w:id="670" w:name="_Toc29257"/>
      <w:bookmarkStart w:id="671" w:name="_Toc3795"/>
      <w:bookmarkStart w:id="672" w:name="_Toc18175_WPSOffice_Level2"/>
      <w:bookmarkStart w:id="673" w:name="_Toc102860427"/>
      <w:bookmarkStart w:id="674" w:name="_Toc104991885"/>
      <w:bookmarkStart w:id="675" w:name="_Toc94107220"/>
      <w:bookmarkStart w:id="676" w:name="_Toc19890"/>
      <w:bookmarkStart w:id="677" w:name="_Toc142508378"/>
      <w:bookmarkStart w:id="678" w:name="_Toc1977737"/>
      <w:bookmarkStart w:id="679" w:name="_Toc18413"/>
      <w:bookmarkStart w:id="680" w:name="_Toc533708132"/>
      <w:bookmarkStart w:id="681" w:name="_Toc140596938"/>
      <w:bookmarkStart w:id="682" w:name="_Toc102860083"/>
      <w:bookmarkStart w:id="683" w:name="_Toc486167719"/>
      <w:bookmarkStart w:id="684" w:name="_Toc31965"/>
      <w:r>
        <w:rPr>
          <w:rFonts w:hint="eastAsia" w:ascii="宋体" w:hAnsi="宋体" w:eastAsia="宋体" w:cs="宋体"/>
          <w:b/>
          <w:color w:val="auto"/>
          <w:sz w:val="32"/>
          <w:szCs w:val="32"/>
        </w:rPr>
        <w:t>十、投标人保安服务团队实力</w:t>
      </w:r>
      <w:bookmarkEnd w:id="666"/>
      <w:bookmarkEnd w:id="667"/>
      <w:bookmarkEnd w:id="668"/>
      <w:bookmarkEnd w:id="669"/>
      <w:bookmarkEnd w:id="670"/>
      <w:bookmarkEnd w:id="671"/>
    </w:p>
    <w:p w14:paraId="02980B56">
      <w:pPr>
        <w:spacing w:line="360" w:lineRule="auto"/>
        <w:ind w:left="543" w:hanging="753"/>
        <w:jc w:val="center"/>
        <w:rPr>
          <w:rFonts w:ascii="宋体" w:hAnsi="宋体" w:eastAsia="宋体" w:cs="宋体"/>
          <w:b/>
          <w:color w:val="auto"/>
          <w:sz w:val="30"/>
          <w:szCs w:val="30"/>
        </w:rPr>
      </w:pPr>
      <w:r>
        <w:rPr>
          <w:rFonts w:hint="eastAsia" w:ascii="宋体" w:hAnsi="宋体" w:eastAsia="宋体" w:cs="宋体"/>
          <w:b/>
          <w:color w:val="auto"/>
          <w:sz w:val="30"/>
          <w:szCs w:val="30"/>
        </w:rPr>
        <w:t>投标人保安服务团队人员情况表</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253"/>
        <w:gridCol w:w="726"/>
        <w:gridCol w:w="726"/>
        <w:gridCol w:w="726"/>
        <w:gridCol w:w="1766"/>
        <w:gridCol w:w="1519"/>
        <w:gridCol w:w="1776"/>
        <w:gridCol w:w="1015"/>
      </w:tblGrid>
      <w:tr w14:paraId="1D56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95" w:type="dxa"/>
            <w:vAlign w:val="center"/>
          </w:tcPr>
          <w:p w14:paraId="748EBFEB">
            <w:pPr>
              <w:spacing w:line="400" w:lineRule="exact"/>
              <w:jc w:val="center"/>
              <w:rPr>
                <w:rFonts w:ascii="宋体" w:hAnsi="宋体" w:eastAsia="宋体" w:cs="宋体"/>
                <w:color w:val="auto"/>
                <w:szCs w:val="21"/>
              </w:rPr>
            </w:pPr>
            <w:r>
              <w:rPr>
                <w:rFonts w:hint="eastAsia" w:ascii="宋体" w:hAnsi="宋体" w:eastAsia="宋体" w:cs="宋体"/>
                <w:color w:val="auto"/>
                <w:szCs w:val="21"/>
              </w:rPr>
              <w:t>序号</w:t>
            </w:r>
          </w:p>
        </w:tc>
        <w:tc>
          <w:tcPr>
            <w:tcW w:w="1253" w:type="dxa"/>
            <w:vAlign w:val="center"/>
          </w:tcPr>
          <w:p w14:paraId="4211E177">
            <w:pPr>
              <w:spacing w:line="400" w:lineRule="exact"/>
              <w:jc w:val="center"/>
              <w:rPr>
                <w:rFonts w:ascii="宋体" w:hAnsi="宋体" w:eastAsia="宋体" w:cs="宋体"/>
                <w:color w:val="auto"/>
                <w:szCs w:val="21"/>
              </w:rPr>
            </w:pPr>
            <w:r>
              <w:rPr>
                <w:rFonts w:hint="eastAsia" w:ascii="宋体" w:hAnsi="宋体" w:eastAsia="宋体" w:cs="宋体"/>
                <w:color w:val="auto"/>
                <w:szCs w:val="21"/>
              </w:rPr>
              <w:t>姓名</w:t>
            </w:r>
          </w:p>
        </w:tc>
        <w:tc>
          <w:tcPr>
            <w:tcW w:w="726" w:type="dxa"/>
            <w:vAlign w:val="center"/>
          </w:tcPr>
          <w:p w14:paraId="3264F287">
            <w:pPr>
              <w:spacing w:line="400" w:lineRule="exact"/>
              <w:jc w:val="center"/>
              <w:rPr>
                <w:rFonts w:ascii="宋体" w:hAnsi="宋体" w:eastAsia="宋体" w:cs="宋体"/>
                <w:color w:val="auto"/>
                <w:szCs w:val="21"/>
              </w:rPr>
            </w:pPr>
            <w:r>
              <w:rPr>
                <w:rFonts w:hint="eastAsia" w:ascii="宋体" w:hAnsi="宋体" w:eastAsia="宋体" w:cs="宋体"/>
                <w:color w:val="auto"/>
                <w:szCs w:val="21"/>
              </w:rPr>
              <w:t>性别</w:t>
            </w:r>
          </w:p>
        </w:tc>
        <w:tc>
          <w:tcPr>
            <w:tcW w:w="726" w:type="dxa"/>
            <w:vAlign w:val="center"/>
          </w:tcPr>
          <w:p w14:paraId="3C85A4C1">
            <w:pPr>
              <w:spacing w:line="400" w:lineRule="exact"/>
              <w:jc w:val="center"/>
              <w:rPr>
                <w:rFonts w:ascii="宋体" w:hAnsi="宋体" w:eastAsia="宋体" w:cs="宋体"/>
                <w:color w:val="auto"/>
                <w:szCs w:val="21"/>
              </w:rPr>
            </w:pPr>
            <w:r>
              <w:rPr>
                <w:rFonts w:hint="eastAsia" w:ascii="宋体" w:hAnsi="宋体" w:eastAsia="宋体" w:cs="宋体"/>
                <w:color w:val="auto"/>
                <w:szCs w:val="21"/>
              </w:rPr>
              <w:t>年龄</w:t>
            </w:r>
          </w:p>
        </w:tc>
        <w:tc>
          <w:tcPr>
            <w:tcW w:w="726" w:type="dxa"/>
            <w:vAlign w:val="center"/>
          </w:tcPr>
          <w:p w14:paraId="7B873BF5">
            <w:pPr>
              <w:spacing w:line="400" w:lineRule="exact"/>
              <w:jc w:val="center"/>
              <w:rPr>
                <w:rFonts w:ascii="宋体" w:hAnsi="宋体" w:eastAsia="宋体" w:cs="宋体"/>
                <w:color w:val="auto"/>
                <w:szCs w:val="21"/>
              </w:rPr>
            </w:pPr>
            <w:r>
              <w:rPr>
                <w:rFonts w:hint="eastAsia" w:ascii="宋体" w:hAnsi="宋体" w:eastAsia="宋体" w:cs="宋体"/>
                <w:color w:val="auto"/>
                <w:szCs w:val="21"/>
              </w:rPr>
              <w:t>学历</w:t>
            </w:r>
          </w:p>
        </w:tc>
        <w:tc>
          <w:tcPr>
            <w:tcW w:w="1766" w:type="dxa"/>
            <w:vAlign w:val="center"/>
          </w:tcPr>
          <w:p w14:paraId="6346B808">
            <w:pPr>
              <w:spacing w:line="400" w:lineRule="exact"/>
              <w:jc w:val="center"/>
              <w:rPr>
                <w:rFonts w:ascii="宋体" w:hAnsi="宋体" w:eastAsia="宋体" w:cs="宋体"/>
                <w:color w:val="auto"/>
                <w:szCs w:val="21"/>
              </w:rPr>
            </w:pPr>
            <w:r>
              <w:rPr>
                <w:rFonts w:hint="eastAsia" w:ascii="宋体" w:hAnsi="宋体" w:eastAsia="宋体" w:cs="宋体"/>
                <w:color w:val="auto"/>
                <w:szCs w:val="21"/>
              </w:rPr>
              <w:t>资格证书</w:t>
            </w:r>
          </w:p>
        </w:tc>
        <w:tc>
          <w:tcPr>
            <w:tcW w:w="1519" w:type="dxa"/>
            <w:vAlign w:val="center"/>
          </w:tcPr>
          <w:p w14:paraId="0F40E109">
            <w:pPr>
              <w:spacing w:line="400" w:lineRule="exact"/>
              <w:jc w:val="center"/>
              <w:rPr>
                <w:rFonts w:ascii="宋体" w:hAnsi="宋体" w:eastAsia="宋体" w:cs="宋体"/>
                <w:color w:val="auto"/>
                <w:szCs w:val="21"/>
              </w:rPr>
            </w:pPr>
            <w:r>
              <w:rPr>
                <w:rFonts w:hint="eastAsia" w:ascii="宋体" w:hAnsi="宋体" w:eastAsia="宋体" w:cs="宋体"/>
                <w:color w:val="auto"/>
                <w:szCs w:val="21"/>
              </w:rPr>
              <w:t>拟任职务或承担内容</w:t>
            </w:r>
          </w:p>
        </w:tc>
        <w:tc>
          <w:tcPr>
            <w:tcW w:w="1776" w:type="dxa"/>
            <w:vAlign w:val="center"/>
          </w:tcPr>
          <w:p w14:paraId="7831EE9D">
            <w:pPr>
              <w:spacing w:line="400" w:lineRule="exact"/>
              <w:jc w:val="center"/>
              <w:rPr>
                <w:rFonts w:ascii="宋体" w:hAnsi="宋体" w:eastAsia="宋体" w:cs="宋体"/>
                <w:color w:val="auto"/>
                <w:szCs w:val="21"/>
              </w:rPr>
            </w:pPr>
            <w:r>
              <w:rPr>
                <w:rFonts w:hint="eastAsia" w:ascii="宋体" w:hAnsi="宋体" w:eastAsia="宋体" w:cs="宋体"/>
                <w:color w:val="auto"/>
                <w:szCs w:val="21"/>
              </w:rPr>
              <w:t>专业年限</w:t>
            </w:r>
          </w:p>
        </w:tc>
        <w:tc>
          <w:tcPr>
            <w:tcW w:w="1015" w:type="dxa"/>
            <w:vAlign w:val="center"/>
          </w:tcPr>
          <w:p w14:paraId="249CF9EE">
            <w:pPr>
              <w:spacing w:line="400" w:lineRule="exact"/>
              <w:jc w:val="center"/>
              <w:rPr>
                <w:rFonts w:ascii="宋体" w:hAnsi="宋体" w:eastAsia="宋体" w:cs="宋体"/>
                <w:color w:val="auto"/>
                <w:szCs w:val="21"/>
              </w:rPr>
            </w:pPr>
            <w:r>
              <w:rPr>
                <w:rFonts w:hint="eastAsia" w:ascii="宋体" w:hAnsi="宋体" w:eastAsia="宋体" w:cs="宋体"/>
                <w:color w:val="auto"/>
                <w:szCs w:val="21"/>
              </w:rPr>
              <w:t>备注</w:t>
            </w:r>
          </w:p>
        </w:tc>
      </w:tr>
      <w:tr w14:paraId="0B745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5" w:type="dxa"/>
            <w:vAlign w:val="center"/>
          </w:tcPr>
          <w:p w14:paraId="4F94A245">
            <w:pPr>
              <w:spacing w:line="400" w:lineRule="exact"/>
              <w:jc w:val="center"/>
              <w:rPr>
                <w:rFonts w:ascii="宋体" w:hAnsi="宋体" w:eastAsia="宋体" w:cs="宋体"/>
                <w:color w:val="auto"/>
                <w:szCs w:val="21"/>
              </w:rPr>
            </w:pPr>
          </w:p>
        </w:tc>
        <w:tc>
          <w:tcPr>
            <w:tcW w:w="1253" w:type="dxa"/>
            <w:vAlign w:val="center"/>
          </w:tcPr>
          <w:p w14:paraId="0A1ACC51">
            <w:pPr>
              <w:spacing w:line="400" w:lineRule="exact"/>
              <w:jc w:val="center"/>
              <w:rPr>
                <w:rFonts w:ascii="宋体" w:hAnsi="宋体" w:eastAsia="宋体" w:cs="宋体"/>
                <w:color w:val="auto"/>
                <w:szCs w:val="21"/>
              </w:rPr>
            </w:pPr>
          </w:p>
        </w:tc>
        <w:tc>
          <w:tcPr>
            <w:tcW w:w="726" w:type="dxa"/>
            <w:vAlign w:val="center"/>
          </w:tcPr>
          <w:p w14:paraId="032BA316">
            <w:pPr>
              <w:spacing w:line="400" w:lineRule="exact"/>
              <w:jc w:val="center"/>
              <w:rPr>
                <w:rFonts w:ascii="宋体" w:hAnsi="宋体" w:eastAsia="宋体" w:cs="宋体"/>
                <w:color w:val="auto"/>
                <w:szCs w:val="21"/>
              </w:rPr>
            </w:pPr>
          </w:p>
        </w:tc>
        <w:tc>
          <w:tcPr>
            <w:tcW w:w="726" w:type="dxa"/>
            <w:vAlign w:val="center"/>
          </w:tcPr>
          <w:p w14:paraId="08571671">
            <w:pPr>
              <w:spacing w:line="400" w:lineRule="exact"/>
              <w:jc w:val="center"/>
              <w:rPr>
                <w:rFonts w:ascii="宋体" w:hAnsi="宋体" w:eastAsia="宋体" w:cs="宋体"/>
                <w:color w:val="auto"/>
                <w:szCs w:val="21"/>
              </w:rPr>
            </w:pPr>
          </w:p>
        </w:tc>
        <w:tc>
          <w:tcPr>
            <w:tcW w:w="726" w:type="dxa"/>
            <w:vAlign w:val="center"/>
          </w:tcPr>
          <w:p w14:paraId="46778269">
            <w:pPr>
              <w:spacing w:line="400" w:lineRule="exact"/>
              <w:jc w:val="center"/>
              <w:rPr>
                <w:rFonts w:ascii="宋体" w:hAnsi="宋体" w:eastAsia="宋体" w:cs="宋体"/>
                <w:color w:val="auto"/>
                <w:szCs w:val="21"/>
              </w:rPr>
            </w:pPr>
          </w:p>
        </w:tc>
        <w:tc>
          <w:tcPr>
            <w:tcW w:w="1766" w:type="dxa"/>
            <w:vAlign w:val="center"/>
          </w:tcPr>
          <w:p w14:paraId="133AAE9B">
            <w:pPr>
              <w:spacing w:line="400" w:lineRule="exact"/>
              <w:jc w:val="center"/>
              <w:rPr>
                <w:rFonts w:ascii="宋体" w:hAnsi="宋体" w:eastAsia="宋体" w:cs="宋体"/>
                <w:color w:val="auto"/>
                <w:szCs w:val="21"/>
              </w:rPr>
            </w:pPr>
          </w:p>
        </w:tc>
        <w:tc>
          <w:tcPr>
            <w:tcW w:w="1519" w:type="dxa"/>
            <w:vAlign w:val="center"/>
          </w:tcPr>
          <w:p w14:paraId="2DB85857">
            <w:pPr>
              <w:spacing w:line="400" w:lineRule="exact"/>
              <w:jc w:val="center"/>
              <w:rPr>
                <w:rFonts w:ascii="宋体" w:hAnsi="宋体" w:eastAsia="宋体" w:cs="宋体"/>
                <w:color w:val="auto"/>
                <w:szCs w:val="21"/>
              </w:rPr>
            </w:pPr>
          </w:p>
        </w:tc>
        <w:tc>
          <w:tcPr>
            <w:tcW w:w="1776" w:type="dxa"/>
            <w:vAlign w:val="center"/>
          </w:tcPr>
          <w:p w14:paraId="7F0FC358">
            <w:pPr>
              <w:spacing w:line="400" w:lineRule="exact"/>
              <w:jc w:val="center"/>
              <w:rPr>
                <w:rFonts w:ascii="宋体" w:hAnsi="宋体" w:eastAsia="宋体" w:cs="宋体"/>
                <w:color w:val="auto"/>
                <w:szCs w:val="21"/>
              </w:rPr>
            </w:pPr>
          </w:p>
        </w:tc>
        <w:tc>
          <w:tcPr>
            <w:tcW w:w="1015" w:type="dxa"/>
            <w:vAlign w:val="center"/>
          </w:tcPr>
          <w:p w14:paraId="2F9CD3A4">
            <w:pPr>
              <w:spacing w:line="400" w:lineRule="exact"/>
              <w:jc w:val="center"/>
              <w:rPr>
                <w:rFonts w:ascii="宋体" w:hAnsi="宋体" w:eastAsia="宋体" w:cs="宋体"/>
                <w:color w:val="auto"/>
                <w:szCs w:val="21"/>
              </w:rPr>
            </w:pPr>
          </w:p>
        </w:tc>
      </w:tr>
      <w:tr w14:paraId="59FCA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95" w:type="dxa"/>
            <w:vAlign w:val="center"/>
          </w:tcPr>
          <w:p w14:paraId="432410F2">
            <w:pPr>
              <w:spacing w:line="400" w:lineRule="exact"/>
              <w:jc w:val="center"/>
              <w:rPr>
                <w:rFonts w:ascii="宋体" w:hAnsi="宋体" w:eastAsia="宋体" w:cs="宋体"/>
                <w:color w:val="auto"/>
                <w:szCs w:val="21"/>
              </w:rPr>
            </w:pPr>
          </w:p>
        </w:tc>
        <w:tc>
          <w:tcPr>
            <w:tcW w:w="1253" w:type="dxa"/>
            <w:vAlign w:val="center"/>
          </w:tcPr>
          <w:p w14:paraId="63F6DB74">
            <w:pPr>
              <w:spacing w:line="400" w:lineRule="exact"/>
              <w:jc w:val="center"/>
              <w:rPr>
                <w:rFonts w:ascii="宋体" w:hAnsi="宋体" w:eastAsia="宋体" w:cs="宋体"/>
                <w:color w:val="auto"/>
                <w:szCs w:val="21"/>
              </w:rPr>
            </w:pPr>
          </w:p>
        </w:tc>
        <w:tc>
          <w:tcPr>
            <w:tcW w:w="726" w:type="dxa"/>
            <w:vAlign w:val="center"/>
          </w:tcPr>
          <w:p w14:paraId="4A218305">
            <w:pPr>
              <w:spacing w:line="400" w:lineRule="exact"/>
              <w:jc w:val="center"/>
              <w:rPr>
                <w:rFonts w:ascii="宋体" w:hAnsi="宋体" w:eastAsia="宋体" w:cs="宋体"/>
                <w:color w:val="auto"/>
                <w:szCs w:val="21"/>
              </w:rPr>
            </w:pPr>
          </w:p>
        </w:tc>
        <w:tc>
          <w:tcPr>
            <w:tcW w:w="726" w:type="dxa"/>
            <w:vAlign w:val="center"/>
          </w:tcPr>
          <w:p w14:paraId="5A95AF21">
            <w:pPr>
              <w:spacing w:line="400" w:lineRule="exact"/>
              <w:jc w:val="center"/>
              <w:rPr>
                <w:rFonts w:ascii="宋体" w:hAnsi="宋体" w:eastAsia="宋体" w:cs="宋体"/>
                <w:color w:val="auto"/>
                <w:szCs w:val="21"/>
              </w:rPr>
            </w:pPr>
          </w:p>
        </w:tc>
        <w:tc>
          <w:tcPr>
            <w:tcW w:w="726" w:type="dxa"/>
            <w:vAlign w:val="center"/>
          </w:tcPr>
          <w:p w14:paraId="5269095B">
            <w:pPr>
              <w:spacing w:line="400" w:lineRule="exact"/>
              <w:jc w:val="center"/>
              <w:rPr>
                <w:rFonts w:ascii="宋体" w:hAnsi="宋体" w:eastAsia="宋体" w:cs="宋体"/>
                <w:color w:val="auto"/>
                <w:szCs w:val="21"/>
              </w:rPr>
            </w:pPr>
          </w:p>
        </w:tc>
        <w:tc>
          <w:tcPr>
            <w:tcW w:w="1766" w:type="dxa"/>
            <w:vAlign w:val="center"/>
          </w:tcPr>
          <w:p w14:paraId="3FDD2519">
            <w:pPr>
              <w:spacing w:line="400" w:lineRule="exact"/>
              <w:jc w:val="center"/>
              <w:rPr>
                <w:rFonts w:ascii="宋体" w:hAnsi="宋体" w:eastAsia="宋体" w:cs="宋体"/>
                <w:color w:val="auto"/>
                <w:szCs w:val="21"/>
              </w:rPr>
            </w:pPr>
          </w:p>
        </w:tc>
        <w:tc>
          <w:tcPr>
            <w:tcW w:w="1519" w:type="dxa"/>
            <w:vAlign w:val="center"/>
          </w:tcPr>
          <w:p w14:paraId="05893CDC">
            <w:pPr>
              <w:spacing w:line="400" w:lineRule="exact"/>
              <w:jc w:val="center"/>
              <w:rPr>
                <w:rFonts w:ascii="宋体" w:hAnsi="宋体" w:eastAsia="宋体" w:cs="宋体"/>
                <w:color w:val="auto"/>
                <w:szCs w:val="21"/>
              </w:rPr>
            </w:pPr>
          </w:p>
        </w:tc>
        <w:tc>
          <w:tcPr>
            <w:tcW w:w="1776" w:type="dxa"/>
            <w:vAlign w:val="center"/>
          </w:tcPr>
          <w:p w14:paraId="542E9A85">
            <w:pPr>
              <w:spacing w:line="400" w:lineRule="exact"/>
              <w:jc w:val="center"/>
              <w:rPr>
                <w:rFonts w:ascii="宋体" w:hAnsi="宋体" w:eastAsia="宋体" w:cs="宋体"/>
                <w:color w:val="auto"/>
                <w:szCs w:val="21"/>
              </w:rPr>
            </w:pPr>
          </w:p>
        </w:tc>
        <w:tc>
          <w:tcPr>
            <w:tcW w:w="1015" w:type="dxa"/>
            <w:vAlign w:val="center"/>
          </w:tcPr>
          <w:p w14:paraId="2D72291C">
            <w:pPr>
              <w:spacing w:line="400" w:lineRule="exact"/>
              <w:jc w:val="center"/>
              <w:rPr>
                <w:rFonts w:ascii="宋体" w:hAnsi="宋体" w:eastAsia="宋体" w:cs="宋体"/>
                <w:color w:val="auto"/>
                <w:szCs w:val="21"/>
              </w:rPr>
            </w:pPr>
          </w:p>
        </w:tc>
      </w:tr>
      <w:tr w14:paraId="68FD7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95" w:type="dxa"/>
            <w:vAlign w:val="center"/>
          </w:tcPr>
          <w:p w14:paraId="197A71BE">
            <w:pPr>
              <w:spacing w:line="400" w:lineRule="exact"/>
              <w:jc w:val="center"/>
              <w:rPr>
                <w:rFonts w:ascii="宋体" w:hAnsi="宋体" w:eastAsia="宋体" w:cs="宋体"/>
                <w:color w:val="auto"/>
                <w:szCs w:val="21"/>
              </w:rPr>
            </w:pPr>
          </w:p>
        </w:tc>
        <w:tc>
          <w:tcPr>
            <w:tcW w:w="1253" w:type="dxa"/>
            <w:vAlign w:val="center"/>
          </w:tcPr>
          <w:p w14:paraId="2C0508AB">
            <w:pPr>
              <w:spacing w:line="400" w:lineRule="exact"/>
              <w:jc w:val="center"/>
              <w:rPr>
                <w:rFonts w:ascii="宋体" w:hAnsi="宋体" w:eastAsia="宋体" w:cs="宋体"/>
                <w:color w:val="auto"/>
                <w:szCs w:val="21"/>
              </w:rPr>
            </w:pPr>
          </w:p>
        </w:tc>
        <w:tc>
          <w:tcPr>
            <w:tcW w:w="726" w:type="dxa"/>
            <w:vAlign w:val="center"/>
          </w:tcPr>
          <w:p w14:paraId="6B7E5C4E">
            <w:pPr>
              <w:spacing w:line="400" w:lineRule="exact"/>
              <w:jc w:val="center"/>
              <w:rPr>
                <w:rFonts w:ascii="宋体" w:hAnsi="宋体" w:eastAsia="宋体" w:cs="宋体"/>
                <w:color w:val="auto"/>
                <w:szCs w:val="21"/>
              </w:rPr>
            </w:pPr>
          </w:p>
        </w:tc>
        <w:tc>
          <w:tcPr>
            <w:tcW w:w="726" w:type="dxa"/>
            <w:vAlign w:val="center"/>
          </w:tcPr>
          <w:p w14:paraId="0F77BE8E">
            <w:pPr>
              <w:spacing w:line="400" w:lineRule="exact"/>
              <w:jc w:val="center"/>
              <w:rPr>
                <w:rFonts w:ascii="宋体" w:hAnsi="宋体" w:eastAsia="宋体" w:cs="宋体"/>
                <w:color w:val="auto"/>
                <w:szCs w:val="21"/>
              </w:rPr>
            </w:pPr>
          </w:p>
        </w:tc>
        <w:tc>
          <w:tcPr>
            <w:tcW w:w="726" w:type="dxa"/>
            <w:vAlign w:val="center"/>
          </w:tcPr>
          <w:p w14:paraId="162A71F5">
            <w:pPr>
              <w:spacing w:line="400" w:lineRule="exact"/>
              <w:jc w:val="center"/>
              <w:rPr>
                <w:rFonts w:ascii="宋体" w:hAnsi="宋体" w:eastAsia="宋体" w:cs="宋体"/>
                <w:color w:val="auto"/>
                <w:szCs w:val="21"/>
              </w:rPr>
            </w:pPr>
          </w:p>
        </w:tc>
        <w:tc>
          <w:tcPr>
            <w:tcW w:w="1766" w:type="dxa"/>
            <w:vAlign w:val="center"/>
          </w:tcPr>
          <w:p w14:paraId="3B0B3E5A">
            <w:pPr>
              <w:spacing w:line="400" w:lineRule="exact"/>
              <w:jc w:val="center"/>
              <w:rPr>
                <w:rFonts w:ascii="宋体" w:hAnsi="宋体" w:eastAsia="宋体" w:cs="宋体"/>
                <w:color w:val="auto"/>
                <w:szCs w:val="21"/>
              </w:rPr>
            </w:pPr>
          </w:p>
        </w:tc>
        <w:tc>
          <w:tcPr>
            <w:tcW w:w="1519" w:type="dxa"/>
            <w:vAlign w:val="center"/>
          </w:tcPr>
          <w:p w14:paraId="77A5C597">
            <w:pPr>
              <w:spacing w:line="400" w:lineRule="exact"/>
              <w:jc w:val="center"/>
              <w:rPr>
                <w:rFonts w:ascii="宋体" w:hAnsi="宋体" w:eastAsia="宋体" w:cs="宋体"/>
                <w:color w:val="auto"/>
                <w:szCs w:val="21"/>
              </w:rPr>
            </w:pPr>
          </w:p>
        </w:tc>
        <w:tc>
          <w:tcPr>
            <w:tcW w:w="1776" w:type="dxa"/>
            <w:vAlign w:val="center"/>
          </w:tcPr>
          <w:p w14:paraId="4DAE1BFC">
            <w:pPr>
              <w:spacing w:line="400" w:lineRule="exact"/>
              <w:jc w:val="center"/>
              <w:rPr>
                <w:rFonts w:ascii="宋体" w:hAnsi="宋体" w:eastAsia="宋体" w:cs="宋体"/>
                <w:color w:val="auto"/>
                <w:szCs w:val="21"/>
              </w:rPr>
            </w:pPr>
          </w:p>
        </w:tc>
        <w:tc>
          <w:tcPr>
            <w:tcW w:w="1015" w:type="dxa"/>
            <w:vAlign w:val="center"/>
          </w:tcPr>
          <w:p w14:paraId="39C86248">
            <w:pPr>
              <w:spacing w:line="400" w:lineRule="exact"/>
              <w:jc w:val="center"/>
              <w:rPr>
                <w:rFonts w:ascii="宋体" w:hAnsi="宋体" w:eastAsia="宋体" w:cs="宋体"/>
                <w:color w:val="auto"/>
                <w:szCs w:val="21"/>
              </w:rPr>
            </w:pPr>
          </w:p>
        </w:tc>
      </w:tr>
      <w:tr w14:paraId="4F3D2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95" w:type="dxa"/>
            <w:vAlign w:val="center"/>
          </w:tcPr>
          <w:p w14:paraId="5A1713C5">
            <w:pPr>
              <w:spacing w:line="400" w:lineRule="exact"/>
              <w:jc w:val="center"/>
              <w:rPr>
                <w:rFonts w:ascii="宋体" w:hAnsi="宋体" w:eastAsia="宋体" w:cs="宋体"/>
                <w:color w:val="auto"/>
                <w:szCs w:val="21"/>
              </w:rPr>
            </w:pPr>
          </w:p>
        </w:tc>
        <w:tc>
          <w:tcPr>
            <w:tcW w:w="1253" w:type="dxa"/>
            <w:vAlign w:val="center"/>
          </w:tcPr>
          <w:p w14:paraId="0CC7C07E">
            <w:pPr>
              <w:spacing w:line="400" w:lineRule="exact"/>
              <w:jc w:val="center"/>
              <w:rPr>
                <w:rFonts w:ascii="宋体" w:hAnsi="宋体" w:eastAsia="宋体" w:cs="宋体"/>
                <w:color w:val="auto"/>
                <w:szCs w:val="21"/>
              </w:rPr>
            </w:pPr>
          </w:p>
        </w:tc>
        <w:tc>
          <w:tcPr>
            <w:tcW w:w="726" w:type="dxa"/>
            <w:vAlign w:val="center"/>
          </w:tcPr>
          <w:p w14:paraId="24D05365">
            <w:pPr>
              <w:spacing w:line="400" w:lineRule="exact"/>
              <w:jc w:val="center"/>
              <w:rPr>
                <w:rFonts w:ascii="宋体" w:hAnsi="宋体" w:eastAsia="宋体" w:cs="宋体"/>
                <w:color w:val="auto"/>
                <w:szCs w:val="21"/>
              </w:rPr>
            </w:pPr>
          </w:p>
        </w:tc>
        <w:tc>
          <w:tcPr>
            <w:tcW w:w="726" w:type="dxa"/>
            <w:vAlign w:val="center"/>
          </w:tcPr>
          <w:p w14:paraId="32DE576B">
            <w:pPr>
              <w:spacing w:line="400" w:lineRule="exact"/>
              <w:jc w:val="center"/>
              <w:rPr>
                <w:rFonts w:ascii="宋体" w:hAnsi="宋体" w:eastAsia="宋体" w:cs="宋体"/>
                <w:color w:val="auto"/>
                <w:szCs w:val="21"/>
              </w:rPr>
            </w:pPr>
          </w:p>
        </w:tc>
        <w:tc>
          <w:tcPr>
            <w:tcW w:w="726" w:type="dxa"/>
            <w:vAlign w:val="center"/>
          </w:tcPr>
          <w:p w14:paraId="3D9141C5">
            <w:pPr>
              <w:spacing w:line="400" w:lineRule="exact"/>
              <w:jc w:val="center"/>
              <w:rPr>
                <w:rFonts w:ascii="宋体" w:hAnsi="宋体" w:eastAsia="宋体" w:cs="宋体"/>
                <w:color w:val="auto"/>
                <w:szCs w:val="21"/>
              </w:rPr>
            </w:pPr>
          </w:p>
        </w:tc>
        <w:tc>
          <w:tcPr>
            <w:tcW w:w="1766" w:type="dxa"/>
            <w:vAlign w:val="center"/>
          </w:tcPr>
          <w:p w14:paraId="167A8199">
            <w:pPr>
              <w:spacing w:line="400" w:lineRule="exact"/>
              <w:jc w:val="center"/>
              <w:rPr>
                <w:rFonts w:ascii="宋体" w:hAnsi="宋体" w:eastAsia="宋体" w:cs="宋体"/>
                <w:color w:val="auto"/>
                <w:szCs w:val="21"/>
              </w:rPr>
            </w:pPr>
          </w:p>
        </w:tc>
        <w:tc>
          <w:tcPr>
            <w:tcW w:w="1519" w:type="dxa"/>
            <w:vAlign w:val="center"/>
          </w:tcPr>
          <w:p w14:paraId="3C26A316">
            <w:pPr>
              <w:spacing w:line="400" w:lineRule="exact"/>
              <w:jc w:val="center"/>
              <w:rPr>
                <w:rFonts w:ascii="宋体" w:hAnsi="宋体" w:eastAsia="宋体" w:cs="宋体"/>
                <w:color w:val="auto"/>
                <w:szCs w:val="21"/>
              </w:rPr>
            </w:pPr>
          </w:p>
        </w:tc>
        <w:tc>
          <w:tcPr>
            <w:tcW w:w="1776" w:type="dxa"/>
            <w:vAlign w:val="center"/>
          </w:tcPr>
          <w:p w14:paraId="0DFA1C0D">
            <w:pPr>
              <w:spacing w:line="400" w:lineRule="exact"/>
              <w:jc w:val="center"/>
              <w:rPr>
                <w:rFonts w:ascii="宋体" w:hAnsi="宋体" w:eastAsia="宋体" w:cs="宋体"/>
                <w:color w:val="auto"/>
                <w:szCs w:val="21"/>
              </w:rPr>
            </w:pPr>
          </w:p>
        </w:tc>
        <w:tc>
          <w:tcPr>
            <w:tcW w:w="1015" w:type="dxa"/>
            <w:vAlign w:val="center"/>
          </w:tcPr>
          <w:p w14:paraId="7319406B">
            <w:pPr>
              <w:spacing w:line="400" w:lineRule="exact"/>
              <w:jc w:val="center"/>
              <w:rPr>
                <w:rFonts w:ascii="宋体" w:hAnsi="宋体" w:eastAsia="宋体" w:cs="宋体"/>
                <w:color w:val="auto"/>
                <w:szCs w:val="21"/>
              </w:rPr>
            </w:pPr>
          </w:p>
        </w:tc>
      </w:tr>
      <w:tr w14:paraId="475A2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95" w:type="dxa"/>
            <w:vAlign w:val="center"/>
          </w:tcPr>
          <w:p w14:paraId="7FC7B6BB">
            <w:pPr>
              <w:spacing w:line="400" w:lineRule="exact"/>
              <w:jc w:val="center"/>
              <w:rPr>
                <w:rFonts w:ascii="宋体" w:hAnsi="宋体" w:eastAsia="宋体" w:cs="宋体"/>
                <w:color w:val="auto"/>
                <w:szCs w:val="21"/>
              </w:rPr>
            </w:pPr>
          </w:p>
        </w:tc>
        <w:tc>
          <w:tcPr>
            <w:tcW w:w="1253" w:type="dxa"/>
            <w:vAlign w:val="center"/>
          </w:tcPr>
          <w:p w14:paraId="0B0729D9">
            <w:pPr>
              <w:spacing w:line="400" w:lineRule="exact"/>
              <w:jc w:val="center"/>
              <w:rPr>
                <w:rFonts w:ascii="宋体" w:hAnsi="宋体" w:eastAsia="宋体" w:cs="宋体"/>
                <w:color w:val="auto"/>
                <w:szCs w:val="21"/>
              </w:rPr>
            </w:pPr>
          </w:p>
        </w:tc>
        <w:tc>
          <w:tcPr>
            <w:tcW w:w="726" w:type="dxa"/>
            <w:vAlign w:val="center"/>
          </w:tcPr>
          <w:p w14:paraId="532C56D2">
            <w:pPr>
              <w:spacing w:line="400" w:lineRule="exact"/>
              <w:jc w:val="center"/>
              <w:rPr>
                <w:rFonts w:ascii="宋体" w:hAnsi="宋体" w:eastAsia="宋体" w:cs="宋体"/>
                <w:color w:val="auto"/>
                <w:szCs w:val="21"/>
              </w:rPr>
            </w:pPr>
          </w:p>
        </w:tc>
        <w:tc>
          <w:tcPr>
            <w:tcW w:w="726" w:type="dxa"/>
            <w:vAlign w:val="center"/>
          </w:tcPr>
          <w:p w14:paraId="7E04FF2F">
            <w:pPr>
              <w:spacing w:line="400" w:lineRule="exact"/>
              <w:jc w:val="center"/>
              <w:rPr>
                <w:rFonts w:ascii="宋体" w:hAnsi="宋体" w:eastAsia="宋体" w:cs="宋体"/>
                <w:color w:val="auto"/>
                <w:szCs w:val="21"/>
              </w:rPr>
            </w:pPr>
          </w:p>
        </w:tc>
        <w:tc>
          <w:tcPr>
            <w:tcW w:w="726" w:type="dxa"/>
            <w:vAlign w:val="center"/>
          </w:tcPr>
          <w:p w14:paraId="3B323916">
            <w:pPr>
              <w:spacing w:line="400" w:lineRule="exact"/>
              <w:jc w:val="center"/>
              <w:rPr>
                <w:rFonts w:ascii="宋体" w:hAnsi="宋体" w:eastAsia="宋体" w:cs="宋体"/>
                <w:color w:val="auto"/>
                <w:szCs w:val="21"/>
              </w:rPr>
            </w:pPr>
          </w:p>
        </w:tc>
        <w:tc>
          <w:tcPr>
            <w:tcW w:w="1766" w:type="dxa"/>
            <w:vAlign w:val="center"/>
          </w:tcPr>
          <w:p w14:paraId="44D18F41">
            <w:pPr>
              <w:spacing w:line="400" w:lineRule="exact"/>
              <w:jc w:val="center"/>
              <w:rPr>
                <w:rFonts w:ascii="宋体" w:hAnsi="宋体" w:eastAsia="宋体" w:cs="宋体"/>
                <w:color w:val="auto"/>
                <w:szCs w:val="21"/>
              </w:rPr>
            </w:pPr>
          </w:p>
        </w:tc>
        <w:tc>
          <w:tcPr>
            <w:tcW w:w="1519" w:type="dxa"/>
            <w:vAlign w:val="center"/>
          </w:tcPr>
          <w:p w14:paraId="3343B52A">
            <w:pPr>
              <w:spacing w:line="400" w:lineRule="exact"/>
              <w:jc w:val="center"/>
              <w:rPr>
                <w:rFonts w:ascii="宋体" w:hAnsi="宋体" w:eastAsia="宋体" w:cs="宋体"/>
                <w:color w:val="auto"/>
                <w:szCs w:val="21"/>
              </w:rPr>
            </w:pPr>
          </w:p>
        </w:tc>
        <w:tc>
          <w:tcPr>
            <w:tcW w:w="1776" w:type="dxa"/>
            <w:vAlign w:val="center"/>
          </w:tcPr>
          <w:p w14:paraId="33B2999F">
            <w:pPr>
              <w:spacing w:line="400" w:lineRule="exact"/>
              <w:jc w:val="center"/>
              <w:rPr>
                <w:rFonts w:ascii="宋体" w:hAnsi="宋体" w:eastAsia="宋体" w:cs="宋体"/>
                <w:color w:val="auto"/>
                <w:szCs w:val="21"/>
              </w:rPr>
            </w:pPr>
          </w:p>
        </w:tc>
        <w:tc>
          <w:tcPr>
            <w:tcW w:w="1015" w:type="dxa"/>
            <w:vAlign w:val="center"/>
          </w:tcPr>
          <w:p w14:paraId="323A2860">
            <w:pPr>
              <w:spacing w:line="400" w:lineRule="exact"/>
              <w:jc w:val="center"/>
              <w:rPr>
                <w:rFonts w:ascii="宋体" w:hAnsi="宋体" w:eastAsia="宋体" w:cs="宋体"/>
                <w:color w:val="auto"/>
                <w:szCs w:val="21"/>
              </w:rPr>
            </w:pPr>
          </w:p>
        </w:tc>
      </w:tr>
      <w:tr w14:paraId="47BD1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95" w:type="dxa"/>
            <w:vAlign w:val="center"/>
          </w:tcPr>
          <w:p w14:paraId="59A736A3">
            <w:pPr>
              <w:spacing w:line="400" w:lineRule="exact"/>
              <w:jc w:val="center"/>
              <w:rPr>
                <w:rFonts w:ascii="宋体" w:hAnsi="宋体" w:eastAsia="宋体" w:cs="宋体"/>
                <w:color w:val="auto"/>
                <w:szCs w:val="21"/>
              </w:rPr>
            </w:pPr>
          </w:p>
        </w:tc>
        <w:tc>
          <w:tcPr>
            <w:tcW w:w="1253" w:type="dxa"/>
            <w:vAlign w:val="center"/>
          </w:tcPr>
          <w:p w14:paraId="0B52E5C0">
            <w:pPr>
              <w:spacing w:line="400" w:lineRule="exact"/>
              <w:jc w:val="center"/>
              <w:rPr>
                <w:rFonts w:ascii="宋体" w:hAnsi="宋体" w:eastAsia="宋体" w:cs="宋体"/>
                <w:color w:val="auto"/>
                <w:szCs w:val="21"/>
              </w:rPr>
            </w:pPr>
          </w:p>
        </w:tc>
        <w:tc>
          <w:tcPr>
            <w:tcW w:w="726" w:type="dxa"/>
            <w:vAlign w:val="center"/>
          </w:tcPr>
          <w:p w14:paraId="577D0E73">
            <w:pPr>
              <w:spacing w:line="400" w:lineRule="exact"/>
              <w:jc w:val="center"/>
              <w:rPr>
                <w:rFonts w:ascii="宋体" w:hAnsi="宋体" w:eastAsia="宋体" w:cs="宋体"/>
                <w:color w:val="auto"/>
                <w:szCs w:val="21"/>
              </w:rPr>
            </w:pPr>
          </w:p>
        </w:tc>
        <w:tc>
          <w:tcPr>
            <w:tcW w:w="726" w:type="dxa"/>
            <w:vAlign w:val="center"/>
          </w:tcPr>
          <w:p w14:paraId="41A21531">
            <w:pPr>
              <w:spacing w:line="400" w:lineRule="exact"/>
              <w:jc w:val="center"/>
              <w:rPr>
                <w:rFonts w:ascii="宋体" w:hAnsi="宋体" w:eastAsia="宋体" w:cs="宋体"/>
                <w:color w:val="auto"/>
                <w:szCs w:val="21"/>
              </w:rPr>
            </w:pPr>
          </w:p>
        </w:tc>
        <w:tc>
          <w:tcPr>
            <w:tcW w:w="726" w:type="dxa"/>
            <w:vAlign w:val="center"/>
          </w:tcPr>
          <w:p w14:paraId="0F378E33">
            <w:pPr>
              <w:spacing w:line="400" w:lineRule="exact"/>
              <w:jc w:val="center"/>
              <w:rPr>
                <w:rFonts w:ascii="宋体" w:hAnsi="宋体" w:eastAsia="宋体" w:cs="宋体"/>
                <w:color w:val="auto"/>
                <w:szCs w:val="21"/>
              </w:rPr>
            </w:pPr>
          </w:p>
        </w:tc>
        <w:tc>
          <w:tcPr>
            <w:tcW w:w="1766" w:type="dxa"/>
            <w:vAlign w:val="center"/>
          </w:tcPr>
          <w:p w14:paraId="46BFC61A">
            <w:pPr>
              <w:spacing w:line="400" w:lineRule="exact"/>
              <w:jc w:val="center"/>
              <w:rPr>
                <w:rFonts w:ascii="宋体" w:hAnsi="宋体" w:eastAsia="宋体" w:cs="宋体"/>
                <w:color w:val="auto"/>
                <w:szCs w:val="21"/>
              </w:rPr>
            </w:pPr>
          </w:p>
        </w:tc>
        <w:tc>
          <w:tcPr>
            <w:tcW w:w="1519" w:type="dxa"/>
            <w:vAlign w:val="center"/>
          </w:tcPr>
          <w:p w14:paraId="778DEA2C">
            <w:pPr>
              <w:spacing w:line="400" w:lineRule="exact"/>
              <w:jc w:val="center"/>
              <w:rPr>
                <w:rFonts w:ascii="宋体" w:hAnsi="宋体" w:eastAsia="宋体" w:cs="宋体"/>
                <w:color w:val="auto"/>
                <w:szCs w:val="21"/>
              </w:rPr>
            </w:pPr>
          </w:p>
        </w:tc>
        <w:tc>
          <w:tcPr>
            <w:tcW w:w="1776" w:type="dxa"/>
            <w:vAlign w:val="center"/>
          </w:tcPr>
          <w:p w14:paraId="5EB04971">
            <w:pPr>
              <w:spacing w:line="400" w:lineRule="exact"/>
              <w:jc w:val="center"/>
              <w:rPr>
                <w:rFonts w:ascii="宋体" w:hAnsi="宋体" w:eastAsia="宋体" w:cs="宋体"/>
                <w:color w:val="auto"/>
                <w:szCs w:val="21"/>
              </w:rPr>
            </w:pPr>
          </w:p>
        </w:tc>
        <w:tc>
          <w:tcPr>
            <w:tcW w:w="1015" w:type="dxa"/>
            <w:vAlign w:val="center"/>
          </w:tcPr>
          <w:p w14:paraId="71BB5683">
            <w:pPr>
              <w:spacing w:line="400" w:lineRule="exact"/>
              <w:jc w:val="center"/>
              <w:rPr>
                <w:rFonts w:ascii="宋体" w:hAnsi="宋体" w:eastAsia="宋体" w:cs="宋体"/>
                <w:color w:val="auto"/>
                <w:szCs w:val="21"/>
              </w:rPr>
            </w:pPr>
          </w:p>
        </w:tc>
      </w:tr>
      <w:tr w14:paraId="15795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95" w:type="dxa"/>
            <w:vAlign w:val="center"/>
          </w:tcPr>
          <w:p w14:paraId="35020643">
            <w:pPr>
              <w:spacing w:line="400" w:lineRule="exact"/>
              <w:jc w:val="center"/>
              <w:rPr>
                <w:rFonts w:ascii="宋体" w:hAnsi="宋体" w:eastAsia="宋体" w:cs="宋体"/>
                <w:color w:val="auto"/>
                <w:szCs w:val="21"/>
              </w:rPr>
            </w:pPr>
          </w:p>
        </w:tc>
        <w:tc>
          <w:tcPr>
            <w:tcW w:w="1253" w:type="dxa"/>
            <w:vAlign w:val="center"/>
          </w:tcPr>
          <w:p w14:paraId="344354AB">
            <w:pPr>
              <w:spacing w:line="400" w:lineRule="exact"/>
              <w:jc w:val="center"/>
              <w:rPr>
                <w:rFonts w:ascii="宋体" w:hAnsi="宋体" w:eastAsia="宋体" w:cs="宋体"/>
                <w:color w:val="auto"/>
                <w:szCs w:val="21"/>
              </w:rPr>
            </w:pPr>
          </w:p>
        </w:tc>
        <w:tc>
          <w:tcPr>
            <w:tcW w:w="726" w:type="dxa"/>
            <w:vAlign w:val="center"/>
          </w:tcPr>
          <w:p w14:paraId="45F5F672">
            <w:pPr>
              <w:spacing w:line="400" w:lineRule="exact"/>
              <w:jc w:val="center"/>
              <w:rPr>
                <w:rFonts w:ascii="宋体" w:hAnsi="宋体" w:eastAsia="宋体" w:cs="宋体"/>
                <w:color w:val="auto"/>
                <w:szCs w:val="21"/>
              </w:rPr>
            </w:pPr>
          </w:p>
        </w:tc>
        <w:tc>
          <w:tcPr>
            <w:tcW w:w="726" w:type="dxa"/>
            <w:vAlign w:val="center"/>
          </w:tcPr>
          <w:p w14:paraId="1C420C3B">
            <w:pPr>
              <w:spacing w:line="400" w:lineRule="exact"/>
              <w:jc w:val="center"/>
              <w:rPr>
                <w:rFonts w:ascii="宋体" w:hAnsi="宋体" w:eastAsia="宋体" w:cs="宋体"/>
                <w:color w:val="auto"/>
                <w:szCs w:val="21"/>
              </w:rPr>
            </w:pPr>
          </w:p>
        </w:tc>
        <w:tc>
          <w:tcPr>
            <w:tcW w:w="726" w:type="dxa"/>
            <w:vAlign w:val="center"/>
          </w:tcPr>
          <w:p w14:paraId="0694AF8D">
            <w:pPr>
              <w:spacing w:line="400" w:lineRule="exact"/>
              <w:jc w:val="center"/>
              <w:rPr>
                <w:rFonts w:ascii="宋体" w:hAnsi="宋体" w:eastAsia="宋体" w:cs="宋体"/>
                <w:color w:val="auto"/>
                <w:szCs w:val="21"/>
              </w:rPr>
            </w:pPr>
          </w:p>
        </w:tc>
        <w:tc>
          <w:tcPr>
            <w:tcW w:w="1766" w:type="dxa"/>
            <w:vAlign w:val="center"/>
          </w:tcPr>
          <w:p w14:paraId="21F2D5D7">
            <w:pPr>
              <w:spacing w:line="400" w:lineRule="exact"/>
              <w:jc w:val="center"/>
              <w:rPr>
                <w:rFonts w:ascii="宋体" w:hAnsi="宋体" w:eastAsia="宋体" w:cs="宋体"/>
                <w:color w:val="auto"/>
                <w:szCs w:val="21"/>
              </w:rPr>
            </w:pPr>
          </w:p>
        </w:tc>
        <w:tc>
          <w:tcPr>
            <w:tcW w:w="1519" w:type="dxa"/>
            <w:vAlign w:val="center"/>
          </w:tcPr>
          <w:p w14:paraId="4A4AB6A6">
            <w:pPr>
              <w:spacing w:line="400" w:lineRule="exact"/>
              <w:jc w:val="center"/>
              <w:rPr>
                <w:rFonts w:ascii="宋体" w:hAnsi="宋体" w:eastAsia="宋体" w:cs="宋体"/>
                <w:color w:val="auto"/>
                <w:szCs w:val="21"/>
              </w:rPr>
            </w:pPr>
          </w:p>
        </w:tc>
        <w:tc>
          <w:tcPr>
            <w:tcW w:w="1776" w:type="dxa"/>
            <w:vAlign w:val="center"/>
          </w:tcPr>
          <w:p w14:paraId="696136D8">
            <w:pPr>
              <w:spacing w:line="400" w:lineRule="exact"/>
              <w:jc w:val="center"/>
              <w:rPr>
                <w:rFonts w:ascii="宋体" w:hAnsi="宋体" w:eastAsia="宋体" w:cs="宋体"/>
                <w:color w:val="auto"/>
                <w:szCs w:val="21"/>
              </w:rPr>
            </w:pPr>
          </w:p>
        </w:tc>
        <w:tc>
          <w:tcPr>
            <w:tcW w:w="1015" w:type="dxa"/>
            <w:vAlign w:val="center"/>
          </w:tcPr>
          <w:p w14:paraId="466FCFD5">
            <w:pPr>
              <w:spacing w:line="400" w:lineRule="exact"/>
              <w:jc w:val="center"/>
              <w:rPr>
                <w:rFonts w:ascii="宋体" w:hAnsi="宋体" w:eastAsia="宋体" w:cs="宋体"/>
                <w:color w:val="auto"/>
                <w:szCs w:val="21"/>
              </w:rPr>
            </w:pPr>
          </w:p>
        </w:tc>
      </w:tr>
      <w:tr w14:paraId="14F3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95" w:type="dxa"/>
            <w:vAlign w:val="center"/>
          </w:tcPr>
          <w:p w14:paraId="1E4FE9DF">
            <w:pPr>
              <w:spacing w:line="400" w:lineRule="exact"/>
              <w:jc w:val="center"/>
              <w:rPr>
                <w:rFonts w:ascii="宋体" w:hAnsi="宋体" w:eastAsia="宋体" w:cs="宋体"/>
                <w:color w:val="auto"/>
                <w:szCs w:val="21"/>
              </w:rPr>
            </w:pPr>
          </w:p>
        </w:tc>
        <w:tc>
          <w:tcPr>
            <w:tcW w:w="1253" w:type="dxa"/>
            <w:vAlign w:val="center"/>
          </w:tcPr>
          <w:p w14:paraId="3AEB9475">
            <w:pPr>
              <w:spacing w:line="400" w:lineRule="exact"/>
              <w:jc w:val="center"/>
              <w:rPr>
                <w:rFonts w:ascii="宋体" w:hAnsi="宋体" w:eastAsia="宋体" w:cs="宋体"/>
                <w:color w:val="auto"/>
                <w:szCs w:val="21"/>
              </w:rPr>
            </w:pPr>
          </w:p>
        </w:tc>
        <w:tc>
          <w:tcPr>
            <w:tcW w:w="726" w:type="dxa"/>
            <w:vAlign w:val="center"/>
          </w:tcPr>
          <w:p w14:paraId="12C5EE87">
            <w:pPr>
              <w:spacing w:line="400" w:lineRule="exact"/>
              <w:jc w:val="center"/>
              <w:rPr>
                <w:rFonts w:ascii="宋体" w:hAnsi="宋体" w:eastAsia="宋体" w:cs="宋体"/>
                <w:color w:val="auto"/>
                <w:szCs w:val="21"/>
              </w:rPr>
            </w:pPr>
          </w:p>
        </w:tc>
        <w:tc>
          <w:tcPr>
            <w:tcW w:w="726" w:type="dxa"/>
            <w:vAlign w:val="center"/>
          </w:tcPr>
          <w:p w14:paraId="22C1A265">
            <w:pPr>
              <w:spacing w:line="400" w:lineRule="exact"/>
              <w:jc w:val="center"/>
              <w:rPr>
                <w:rFonts w:ascii="宋体" w:hAnsi="宋体" w:eastAsia="宋体" w:cs="宋体"/>
                <w:color w:val="auto"/>
                <w:szCs w:val="21"/>
              </w:rPr>
            </w:pPr>
          </w:p>
        </w:tc>
        <w:tc>
          <w:tcPr>
            <w:tcW w:w="726" w:type="dxa"/>
            <w:vAlign w:val="center"/>
          </w:tcPr>
          <w:p w14:paraId="32FC5838">
            <w:pPr>
              <w:spacing w:line="400" w:lineRule="exact"/>
              <w:jc w:val="center"/>
              <w:rPr>
                <w:rFonts w:ascii="宋体" w:hAnsi="宋体" w:eastAsia="宋体" w:cs="宋体"/>
                <w:color w:val="auto"/>
                <w:szCs w:val="21"/>
              </w:rPr>
            </w:pPr>
          </w:p>
        </w:tc>
        <w:tc>
          <w:tcPr>
            <w:tcW w:w="1766" w:type="dxa"/>
            <w:vAlign w:val="center"/>
          </w:tcPr>
          <w:p w14:paraId="27DC1DF4">
            <w:pPr>
              <w:spacing w:line="400" w:lineRule="exact"/>
              <w:jc w:val="center"/>
              <w:rPr>
                <w:rFonts w:ascii="宋体" w:hAnsi="宋体" w:eastAsia="宋体" w:cs="宋体"/>
                <w:color w:val="auto"/>
                <w:szCs w:val="21"/>
              </w:rPr>
            </w:pPr>
          </w:p>
        </w:tc>
        <w:tc>
          <w:tcPr>
            <w:tcW w:w="1519" w:type="dxa"/>
            <w:vAlign w:val="center"/>
          </w:tcPr>
          <w:p w14:paraId="60DBC1C5">
            <w:pPr>
              <w:spacing w:line="400" w:lineRule="exact"/>
              <w:jc w:val="center"/>
              <w:rPr>
                <w:rFonts w:ascii="宋体" w:hAnsi="宋体" w:eastAsia="宋体" w:cs="宋体"/>
                <w:color w:val="auto"/>
                <w:szCs w:val="21"/>
              </w:rPr>
            </w:pPr>
          </w:p>
        </w:tc>
        <w:tc>
          <w:tcPr>
            <w:tcW w:w="1776" w:type="dxa"/>
            <w:vAlign w:val="center"/>
          </w:tcPr>
          <w:p w14:paraId="70A6104B">
            <w:pPr>
              <w:spacing w:line="400" w:lineRule="exact"/>
              <w:jc w:val="center"/>
              <w:rPr>
                <w:rFonts w:ascii="宋体" w:hAnsi="宋体" w:eastAsia="宋体" w:cs="宋体"/>
                <w:color w:val="auto"/>
                <w:szCs w:val="21"/>
              </w:rPr>
            </w:pPr>
          </w:p>
        </w:tc>
        <w:tc>
          <w:tcPr>
            <w:tcW w:w="1015" w:type="dxa"/>
            <w:vAlign w:val="center"/>
          </w:tcPr>
          <w:p w14:paraId="3BBA7910">
            <w:pPr>
              <w:spacing w:line="400" w:lineRule="exact"/>
              <w:jc w:val="center"/>
              <w:rPr>
                <w:rFonts w:ascii="宋体" w:hAnsi="宋体" w:eastAsia="宋体" w:cs="宋体"/>
                <w:color w:val="auto"/>
                <w:szCs w:val="21"/>
              </w:rPr>
            </w:pPr>
          </w:p>
        </w:tc>
      </w:tr>
      <w:tr w14:paraId="456B4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95" w:type="dxa"/>
            <w:vAlign w:val="center"/>
          </w:tcPr>
          <w:p w14:paraId="09287EE2">
            <w:pPr>
              <w:spacing w:line="400" w:lineRule="exact"/>
              <w:jc w:val="center"/>
              <w:rPr>
                <w:rFonts w:ascii="宋体" w:hAnsi="宋体" w:eastAsia="宋体" w:cs="宋体"/>
                <w:color w:val="auto"/>
                <w:szCs w:val="21"/>
              </w:rPr>
            </w:pPr>
          </w:p>
        </w:tc>
        <w:tc>
          <w:tcPr>
            <w:tcW w:w="1253" w:type="dxa"/>
            <w:vAlign w:val="center"/>
          </w:tcPr>
          <w:p w14:paraId="0D7D2D3A">
            <w:pPr>
              <w:spacing w:line="400" w:lineRule="exact"/>
              <w:jc w:val="center"/>
              <w:rPr>
                <w:rFonts w:ascii="宋体" w:hAnsi="宋体" w:eastAsia="宋体" w:cs="宋体"/>
                <w:color w:val="auto"/>
                <w:szCs w:val="21"/>
              </w:rPr>
            </w:pPr>
          </w:p>
        </w:tc>
        <w:tc>
          <w:tcPr>
            <w:tcW w:w="726" w:type="dxa"/>
            <w:vAlign w:val="center"/>
          </w:tcPr>
          <w:p w14:paraId="34DAF133">
            <w:pPr>
              <w:spacing w:line="400" w:lineRule="exact"/>
              <w:jc w:val="center"/>
              <w:rPr>
                <w:rFonts w:ascii="宋体" w:hAnsi="宋体" w:eastAsia="宋体" w:cs="宋体"/>
                <w:color w:val="auto"/>
                <w:szCs w:val="21"/>
              </w:rPr>
            </w:pPr>
          </w:p>
        </w:tc>
        <w:tc>
          <w:tcPr>
            <w:tcW w:w="726" w:type="dxa"/>
            <w:vAlign w:val="center"/>
          </w:tcPr>
          <w:p w14:paraId="4B582813">
            <w:pPr>
              <w:spacing w:line="400" w:lineRule="exact"/>
              <w:jc w:val="center"/>
              <w:rPr>
                <w:rFonts w:ascii="宋体" w:hAnsi="宋体" w:eastAsia="宋体" w:cs="宋体"/>
                <w:color w:val="auto"/>
                <w:szCs w:val="21"/>
              </w:rPr>
            </w:pPr>
          </w:p>
        </w:tc>
        <w:tc>
          <w:tcPr>
            <w:tcW w:w="726" w:type="dxa"/>
            <w:vAlign w:val="center"/>
          </w:tcPr>
          <w:p w14:paraId="1E380E09">
            <w:pPr>
              <w:spacing w:line="400" w:lineRule="exact"/>
              <w:jc w:val="center"/>
              <w:rPr>
                <w:rFonts w:ascii="宋体" w:hAnsi="宋体" w:eastAsia="宋体" w:cs="宋体"/>
                <w:color w:val="auto"/>
                <w:szCs w:val="21"/>
              </w:rPr>
            </w:pPr>
          </w:p>
        </w:tc>
        <w:tc>
          <w:tcPr>
            <w:tcW w:w="1766" w:type="dxa"/>
            <w:vAlign w:val="center"/>
          </w:tcPr>
          <w:p w14:paraId="132554E5">
            <w:pPr>
              <w:spacing w:line="400" w:lineRule="exact"/>
              <w:jc w:val="center"/>
              <w:rPr>
                <w:rFonts w:ascii="宋体" w:hAnsi="宋体" w:eastAsia="宋体" w:cs="宋体"/>
                <w:color w:val="auto"/>
                <w:szCs w:val="21"/>
              </w:rPr>
            </w:pPr>
          </w:p>
        </w:tc>
        <w:tc>
          <w:tcPr>
            <w:tcW w:w="1519" w:type="dxa"/>
            <w:vAlign w:val="center"/>
          </w:tcPr>
          <w:p w14:paraId="2165E85F">
            <w:pPr>
              <w:spacing w:line="400" w:lineRule="exact"/>
              <w:jc w:val="center"/>
              <w:rPr>
                <w:rFonts w:ascii="宋体" w:hAnsi="宋体" w:eastAsia="宋体" w:cs="宋体"/>
                <w:color w:val="auto"/>
                <w:szCs w:val="21"/>
              </w:rPr>
            </w:pPr>
          </w:p>
        </w:tc>
        <w:tc>
          <w:tcPr>
            <w:tcW w:w="1776" w:type="dxa"/>
            <w:vAlign w:val="center"/>
          </w:tcPr>
          <w:p w14:paraId="658F939D">
            <w:pPr>
              <w:spacing w:line="400" w:lineRule="exact"/>
              <w:jc w:val="center"/>
              <w:rPr>
                <w:rFonts w:ascii="宋体" w:hAnsi="宋体" w:eastAsia="宋体" w:cs="宋体"/>
                <w:color w:val="auto"/>
                <w:szCs w:val="21"/>
              </w:rPr>
            </w:pPr>
          </w:p>
        </w:tc>
        <w:tc>
          <w:tcPr>
            <w:tcW w:w="1015" w:type="dxa"/>
            <w:vAlign w:val="center"/>
          </w:tcPr>
          <w:p w14:paraId="38D1B726">
            <w:pPr>
              <w:spacing w:line="400" w:lineRule="exact"/>
              <w:jc w:val="center"/>
              <w:rPr>
                <w:rFonts w:ascii="宋体" w:hAnsi="宋体" w:eastAsia="宋体" w:cs="宋体"/>
                <w:color w:val="auto"/>
                <w:szCs w:val="21"/>
              </w:rPr>
            </w:pPr>
          </w:p>
        </w:tc>
      </w:tr>
      <w:tr w14:paraId="280A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95" w:type="dxa"/>
            <w:vAlign w:val="center"/>
          </w:tcPr>
          <w:p w14:paraId="35419AB0">
            <w:pPr>
              <w:spacing w:line="400" w:lineRule="exact"/>
              <w:jc w:val="center"/>
              <w:rPr>
                <w:rFonts w:ascii="宋体" w:hAnsi="宋体" w:eastAsia="宋体" w:cs="宋体"/>
                <w:color w:val="auto"/>
                <w:szCs w:val="21"/>
              </w:rPr>
            </w:pPr>
          </w:p>
        </w:tc>
        <w:tc>
          <w:tcPr>
            <w:tcW w:w="1253" w:type="dxa"/>
            <w:vAlign w:val="center"/>
          </w:tcPr>
          <w:p w14:paraId="16393CAD">
            <w:pPr>
              <w:spacing w:line="400" w:lineRule="exact"/>
              <w:jc w:val="center"/>
              <w:rPr>
                <w:rFonts w:ascii="宋体" w:hAnsi="宋体" w:eastAsia="宋体" w:cs="宋体"/>
                <w:color w:val="auto"/>
                <w:szCs w:val="21"/>
              </w:rPr>
            </w:pPr>
          </w:p>
        </w:tc>
        <w:tc>
          <w:tcPr>
            <w:tcW w:w="726" w:type="dxa"/>
            <w:vAlign w:val="center"/>
          </w:tcPr>
          <w:p w14:paraId="29CECA07">
            <w:pPr>
              <w:spacing w:line="400" w:lineRule="exact"/>
              <w:jc w:val="center"/>
              <w:rPr>
                <w:rFonts w:ascii="宋体" w:hAnsi="宋体" w:eastAsia="宋体" w:cs="宋体"/>
                <w:color w:val="auto"/>
                <w:szCs w:val="21"/>
              </w:rPr>
            </w:pPr>
          </w:p>
        </w:tc>
        <w:tc>
          <w:tcPr>
            <w:tcW w:w="726" w:type="dxa"/>
            <w:vAlign w:val="center"/>
          </w:tcPr>
          <w:p w14:paraId="107B26DC">
            <w:pPr>
              <w:spacing w:line="400" w:lineRule="exact"/>
              <w:jc w:val="center"/>
              <w:rPr>
                <w:rFonts w:ascii="宋体" w:hAnsi="宋体" w:eastAsia="宋体" w:cs="宋体"/>
                <w:color w:val="auto"/>
                <w:szCs w:val="21"/>
              </w:rPr>
            </w:pPr>
          </w:p>
        </w:tc>
        <w:tc>
          <w:tcPr>
            <w:tcW w:w="726" w:type="dxa"/>
            <w:vAlign w:val="center"/>
          </w:tcPr>
          <w:p w14:paraId="1AC7E679">
            <w:pPr>
              <w:spacing w:line="400" w:lineRule="exact"/>
              <w:jc w:val="center"/>
              <w:rPr>
                <w:rFonts w:ascii="宋体" w:hAnsi="宋体" w:eastAsia="宋体" w:cs="宋体"/>
                <w:color w:val="auto"/>
                <w:szCs w:val="21"/>
              </w:rPr>
            </w:pPr>
          </w:p>
        </w:tc>
        <w:tc>
          <w:tcPr>
            <w:tcW w:w="1766" w:type="dxa"/>
            <w:vAlign w:val="center"/>
          </w:tcPr>
          <w:p w14:paraId="29305468">
            <w:pPr>
              <w:spacing w:line="400" w:lineRule="exact"/>
              <w:jc w:val="center"/>
              <w:rPr>
                <w:rFonts w:ascii="宋体" w:hAnsi="宋体" w:eastAsia="宋体" w:cs="宋体"/>
                <w:color w:val="auto"/>
                <w:szCs w:val="21"/>
              </w:rPr>
            </w:pPr>
          </w:p>
        </w:tc>
        <w:tc>
          <w:tcPr>
            <w:tcW w:w="1519" w:type="dxa"/>
            <w:vAlign w:val="center"/>
          </w:tcPr>
          <w:p w14:paraId="03E79A44">
            <w:pPr>
              <w:spacing w:line="400" w:lineRule="exact"/>
              <w:jc w:val="center"/>
              <w:rPr>
                <w:rFonts w:ascii="宋体" w:hAnsi="宋体" w:eastAsia="宋体" w:cs="宋体"/>
                <w:color w:val="auto"/>
                <w:szCs w:val="21"/>
              </w:rPr>
            </w:pPr>
          </w:p>
        </w:tc>
        <w:tc>
          <w:tcPr>
            <w:tcW w:w="1776" w:type="dxa"/>
            <w:vAlign w:val="center"/>
          </w:tcPr>
          <w:p w14:paraId="39C20E6B">
            <w:pPr>
              <w:spacing w:line="400" w:lineRule="exact"/>
              <w:jc w:val="center"/>
              <w:rPr>
                <w:rFonts w:ascii="宋体" w:hAnsi="宋体" w:eastAsia="宋体" w:cs="宋体"/>
                <w:color w:val="auto"/>
                <w:szCs w:val="21"/>
              </w:rPr>
            </w:pPr>
          </w:p>
        </w:tc>
        <w:tc>
          <w:tcPr>
            <w:tcW w:w="1015" w:type="dxa"/>
            <w:vAlign w:val="center"/>
          </w:tcPr>
          <w:p w14:paraId="0BA345F5">
            <w:pPr>
              <w:spacing w:line="400" w:lineRule="exact"/>
              <w:jc w:val="center"/>
              <w:rPr>
                <w:rFonts w:ascii="宋体" w:hAnsi="宋体" w:eastAsia="宋体" w:cs="宋体"/>
                <w:color w:val="auto"/>
                <w:szCs w:val="21"/>
              </w:rPr>
            </w:pPr>
          </w:p>
        </w:tc>
      </w:tr>
    </w:tbl>
    <w:p w14:paraId="288F69FB">
      <w:pPr>
        <w:overflowPunct w:val="0"/>
        <w:spacing w:before="120" w:line="360" w:lineRule="auto"/>
        <w:rPr>
          <w:rFonts w:ascii="宋体" w:hAnsi="宋体" w:eastAsia="宋体" w:cs="宋体"/>
          <w:b/>
          <w:bCs/>
          <w:color w:val="auto"/>
          <w:sz w:val="84"/>
          <w:szCs w:val="84"/>
          <w:lang w:val="zh-CN"/>
        </w:rPr>
      </w:pPr>
      <w:r>
        <w:rPr>
          <w:rFonts w:hint="eastAsia" w:ascii="宋体" w:hAnsi="宋体" w:eastAsia="宋体" w:cs="宋体"/>
          <w:color w:val="auto"/>
          <w:szCs w:val="21"/>
        </w:rPr>
        <w:t>备注：</w:t>
      </w:r>
    </w:p>
    <w:p w14:paraId="77B21B75">
      <w:pPr>
        <w:overflowPunct w:val="0"/>
        <w:spacing w:before="120" w:line="360" w:lineRule="auto"/>
        <w:ind w:left="-210" w:firstLine="422" w:firstLineChars="200"/>
        <w:rPr>
          <w:rFonts w:ascii="宋体" w:hAnsi="宋体" w:eastAsia="宋体" w:cs="宋体"/>
          <w:b/>
          <w:color w:val="auto"/>
          <w:szCs w:val="21"/>
        </w:rPr>
      </w:pPr>
      <w:r>
        <w:rPr>
          <w:rFonts w:hint="eastAsia" w:ascii="宋体" w:hAnsi="宋体" w:eastAsia="宋体" w:cs="宋体"/>
          <w:b/>
          <w:color w:val="auto"/>
          <w:szCs w:val="21"/>
          <w:lang w:val="zh-CN"/>
        </w:rPr>
        <w:t>所提供的人员资料须按评分标准中所列要求提供证明资料，若未按要求提供证明材料的人员，或所附材料无法证明符合评分要求的人员，在评标时将不予考虑。</w:t>
      </w:r>
    </w:p>
    <w:p w14:paraId="329EBB19">
      <w:pPr>
        <w:spacing w:line="360" w:lineRule="auto"/>
        <w:ind w:left="-210" w:firstLine="4200" w:firstLineChars="2000"/>
        <w:rPr>
          <w:rFonts w:ascii="宋体" w:hAnsi="宋体" w:eastAsia="宋体" w:cs="宋体"/>
          <w:color w:val="auto"/>
          <w:kern w:val="3"/>
          <w:szCs w:val="21"/>
        </w:rPr>
      </w:pPr>
    </w:p>
    <w:p w14:paraId="299BEE41">
      <w:pPr>
        <w:spacing w:line="360" w:lineRule="auto"/>
        <w:ind w:left="-210" w:firstLine="4200" w:firstLineChars="2000"/>
        <w:rPr>
          <w:rFonts w:ascii="宋体" w:hAnsi="宋体" w:eastAsia="宋体" w:cs="宋体"/>
          <w:color w:val="auto"/>
          <w:szCs w:val="21"/>
        </w:rPr>
      </w:pPr>
      <w:r>
        <w:rPr>
          <w:rFonts w:hint="eastAsia" w:ascii="宋体" w:hAnsi="宋体" w:eastAsia="宋体" w:cs="宋体"/>
          <w:color w:val="auto"/>
          <w:kern w:val="3"/>
          <w:szCs w:val="21"/>
        </w:rPr>
        <w:t xml:space="preserve">投 标 人：（加盖投标人法人公章）              </w:t>
      </w:r>
    </w:p>
    <w:p w14:paraId="2383098D">
      <w:pPr>
        <w:ind w:left="-210" w:firstLine="4200" w:firstLineChars="2000"/>
        <w:rPr>
          <w:rFonts w:ascii="宋体" w:hAnsi="宋体" w:eastAsia="宋体" w:cs="宋体"/>
          <w:color w:val="auto"/>
        </w:rPr>
      </w:pPr>
      <w:r>
        <w:rPr>
          <w:rFonts w:hint="eastAsia" w:ascii="宋体" w:hAnsi="宋体" w:eastAsia="宋体" w:cs="宋体"/>
          <w:color w:val="auto"/>
          <w:szCs w:val="21"/>
        </w:rPr>
        <w:t>日  期：        年     月     日</w:t>
      </w:r>
    </w:p>
    <w:p w14:paraId="6A950219">
      <w:pPr>
        <w:rPr>
          <w:rFonts w:ascii="宋体" w:hAnsi="宋体" w:eastAsia="宋体" w:cs="宋体"/>
          <w:color w:val="auto"/>
          <w:lang w:val="zh-CN"/>
        </w:rPr>
      </w:pPr>
    </w:p>
    <w:p w14:paraId="1CAD50EA">
      <w:pPr>
        <w:autoSpaceDE w:val="0"/>
        <w:autoSpaceDN w:val="0"/>
        <w:adjustRightInd w:val="0"/>
        <w:spacing w:line="360" w:lineRule="auto"/>
        <w:ind w:left="543" w:hanging="753"/>
        <w:rPr>
          <w:rFonts w:ascii="宋体" w:hAnsi="宋体" w:eastAsia="宋体" w:cs="宋体"/>
          <w:b/>
          <w:bCs/>
          <w:color w:val="auto"/>
          <w:sz w:val="30"/>
          <w:szCs w:val="30"/>
          <w:lang w:val="zh-CN"/>
        </w:rPr>
      </w:pPr>
    </w:p>
    <w:p w14:paraId="000E05B6">
      <w:pPr>
        <w:numPr>
          <w:ilvl w:val="-1"/>
          <w:numId w:val="0"/>
        </w:numPr>
        <w:autoSpaceDE/>
        <w:autoSpaceDN/>
        <w:adjustRightInd/>
        <w:spacing w:line="240" w:lineRule="auto"/>
        <w:ind w:left="0" w:leftChars="0" w:firstLine="0"/>
        <w:jc w:val="left"/>
        <w:outlineLvl w:val="9"/>
        <w:rPr>
          <w:rFonts w:hint="eastAsia" w:ascii="宋体" w:hAnsi="宋体" w:eastAsia="宋体" w:cs="宋体"/>
          <w:b/>
          <w:bCs/>
          <w:color w:val="auto"/>
          <w:kern w:val="0"/>
          <w:sz w:val="32"/>
          <w:szCs w:val="32"/>
          <w:lang w:val="zh-CN" w:eastAsia="zh-CN" w:bidi="ar-SA"/>
        </w:rPr>
      </w:pPr>
      <w:r>
        <w:rPr>
          <w:rFonts w:hint="eastAsia" w:ascii="宋体" w:hAnsi="宋体" w:eastAsia="宋体" w:cs="宋体"/>
          <w:b/>
          <w:bCs/>
          <w:color w:val="auto"/>
          <w:kern w:val="0"/>
          <w:sz w:val="32"/>
          <w:szCs w:val="32"/>
          <w:lang w:val="zh-CN" w:eastAsia="zh-CN" w:bidi="ar-SA"/>
        </w:rPr>
        <w:br w:type="page"/>
      </w:r>
    </w:p>
    <w:p w14:paraId="0D368198">
      <w:pPr>
        <w:numPr>
          <w:ilvl w:val="0"/>
          <w:numId w:val="0"/>
        </w:numPr>
        <w:tabs>
          <w:tab w:val="left" w:pos="567"/>
        </w:tabs>
        <w:autoSpaceDE w:val="0"/>
        <w:autoSpaceDN w:val="0"/>
        <w:adjustRightInd w:val="0"/>
        <w:spacing w:line="360" w:lineRule="auto"/>
        <w:ind w:left="593" w:leftChars="-100" w:hanging="803"/>
        <w:jc w:val="left"/>
        <w:outlineLvl w:val="2"/>
        <w:rPr>
          <w:rFonts w:hint="eastAsia" w:ascii="宋体" w:hAnsi="宋体" w:eastAsia="宋体" w:cs="宋体"/>
          <w:b/>
          <w:bCs/>
          <w:color w:val="auto"/>
          <w:kern w:val="0"/>
          <w:sz w:val="32"/>
          <w:szCs w:val="32"/>
          <w:lang w:val="zh-CN"/>
        </w:rPr>
      </w:pPr>
      <w:bookmarkStart w:id="685" w:name="_Toc6348"/>
      <w:bookmarkStart w:id="686" w:name="_Toc181"/>
      <w:r>
        <w:rPr>
          <w:rFonts w:hint="eastAsia" w:ascii="宋体" w:hAnsi="宋体" w:eastAsia="宋体" w:cs="宋体"/>
          <w:b/>
          <w:bCs/>
          <w:color w:val="auto"/>
          <w:kern w:val="0"/>
          <w:sz w:val="32"/>
          <w:szCs w:val="32"/>
          <w:lang w:val="zh-CN" w:eastAsia="zh-CN" w:bidi="ar-SA"/>
        </w:rPr>
        <w:t>十</w:t>
      </w:r>
      <w:r>
        <w:rPr>
          <w:rFonts w:hint="eastAsia" w:ascii="宋体" w:hAnsi="宋体" w:eastAsia="宋体" w:cs="宋体"/>
          <w:b/>
          <w:bCs/>
          <w:color w:val="auto"/>
          <w:kern w:val="0"/>
          <w:sz w:val="32"/>
          <w:szCs w:val="32"/>
          <w:lang w:val="en-US" w:eastAsia="zh-CN" w:bidi="ar-SA"/>
        </w:rPr>
        <w:t>一</w:t>
      </w:r>
      <w:r>
        <w:rPr>
          <w:rFonts w:hint="eastAsia" w:ascii="宋体" w:hAnsi="宋体" w:eastAsia="宋体" w:cs="宋体"/>
          <w:b/>
          <w:bCs/>
          <w:color w:val="auto"/>
          <w:kern w:val="0"/>
          <w:sz w:val="32"/>
          <w:szCs w:val="32"/>
          <w:lang w:val="zh-CN" w:eastAsia="zh-CN" w:bidi="ar-SA"/>
        </w:rPr>
        <w:t>、</w:t>
      </w:r>
      <w:r>
        <w:rPr>
          <w:rFonts w:hint="eastAsia" w:ascii="宋体" w:hAnsi="宋体" w:eastAsia="宋体" w:cs="宋体"/>
          <w:b/>
          <w:bCs/>
          <w:color w:val="auto"/>
          <w:kern w:val="0"/>
          <w:sz w:val="32"/>
          <w:szCs w:val="32"/>
          <w:lang w:val="zh-CN"/>
        </w:rPr>
        <w:t>服务便利性响应时间承诺表</w:t>
      </w:r>
      <w:bookmarkEnd w:id="685"/>
      <w:bookmarkEnd w:id="686"/>
    </w:p>
    <w:p w14:paraId="6F45EF2F">
      <w:pPr>
        <w:ind w:left="657" w:hanging="867"/>
        <w:jc w:val="center"/>
        <w:rPr>
          <w:rFonts w:hint="eastAsia" w:ascii="宋体" w:hAnsi="宋体" w:eastAsia="宋体" w:cs="宋体"/>
          <w:b/>
          <w:color w:val="auto"/>
          <w:sz w:val="32"/>
          <w:szCs w:val="32"/>
        </w:rPr>
      </w:pPr>
    </w:p>
    <w:p w14:paraId="1A3A9F76">
      <w:pPr>
        <w:ind w:left="657" w:hanging="867"/>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服务便利性响应时间承诺表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8912"/>
      </w:tblGrid>
      <w:tr w14:paraId="434E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6" w:hRule="atLeast"/>
          <w:jc w:val="center"/>
        </w:trPr>
        <w:tc>
          <w:tcPr>
            <w:tcW w:w="1456" w:type="dxa"/>
            <w:vAlign w:val="center"/>
          </w:tcPr>
          <w:p w14:paraId="16EF7520">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8912" w:type="dxa"/>
            <w:vAlign w:val="center"/>
          </w:tcPr>
          <w:p w14:paraId="3E93B7B7">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承诺事项</w:t>
            </w:r>
          </w:p>
        </w:tc>
      </w:tr>
      <w:tr w14:paraId="5538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1456" w:type="dxa"/>
            <w:vAlign w:val="center"/>
          </w:tcPr>
          <w:p w14:paraId="24B7DB55">
            <w:pPr>
              <w:spacing w:line="360" w:lineRule="auto"/>
              <w:ind w:left="-210" w:firstLine="210" w:firstLineChars="100"/>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8912" w:type="dxa"/>
            <w:vAlign w:val="center"/>
          </w:tcPr>
          <w:p w14:paraId="289DC5D4">
            <w:pPr>
              <w:spacing w:line="360" w:lineRule="auto"/>
              <w:rPr>
                <w:rFonts w:hint="eastAsia" w:ascii="宋体" w:hAnsi="宋体" w:eastAsia="宋体" w:cs="宋体"/>
                <w:color w:val="auto"/>
                <w:szCs w:val="21"/>
              </w:rPr>
            </w:pPr>
            <w:r>
              <w:rPr>
                <w:rFonts w:hint="eastAsia" w:ascii="宋体" w:hAnsi="宋体" w:eastAsia="宋体" w:cs="宋体"/>
                <w:color w:val="auto"/>
                <w:szCs w:val="21"/>
              </w:rPr>
              <w:t>我方承诺</w:t>
            </w:r>
            <w:r>
              <w:rPr>
                <w:rFonts w:hint="eastAsia" w:ascii="宋体" w:hAnsi="宋体" w:eastAsia="宋体" w:cs="宋体"/>
                <w:color w:val="auto"/>
                <w:szCs w:val="21"/>
                <w:lang w:val="en-US" w:eastAsia="zh-CN"/>
              </w:rPr>
              <w:t>在</w:t>
            </w:r>
            <w:r>
              <w:rPr>
                <w:rFonts w:hint="eastAsia" w:ascii="宋体" w:hAnsi="宋体" w:eastAsia="宋体" w:cs="宋体"/>
                <w:color w:val="auto"/>
                <w:szCs w:val="21"/>
              </w:rPr>
              <w:t>合同履行期间，本项目管理人员在接到招标人通知后</w:t>
            </w:r>
            <w:r>
              <w:rPr>
                <w:rFonts w:hint="eastAsia" w:ascii="宋体" w:hAnsi="宋体" w:eastAsia="宋体" w:cs="宋体"/>
                <w:b/>
                <w:bCs/>
                <w:color w:val="auto"/>
                <w:szCs w:val="21"/>
                <w:u w:val="single"/>
              </w:rPr>
              <w:t xml:space="preserve">      </w:t>
            </w:r>
            <w:r>
              <w:rPr>
                <w:rFonts w:hint="eastAsia" w:ascii="宋体" w:hAnsi="宋体" w:eastAsia="宋体" w:cs="宋体"/>
                <w:b/>
                <w:bCs/>
                <w:color w:val="auto"/>
                <w:szCs w:val="21"/>
              </w:rPr>
              <w:t>小时</w:t>
            </w:r>
            <w:r>
              <w:rPr>
                <w:rFonts w:hint="eastAsia" w:ascii="宋体" w:hAnsi="宋体" w:eastAsia="宋体" w:cs="宋体"/>
                <w:color w:val="auto"/>
                <w:szCs w:val="21"/>
              </w:rPr>
              <w:t>内响应，</w:t>
            </w:r>
            <w:r>
              <w:rPr>
                <w:rFonts w:hint="eastAsia" w:ascii="宋体" w:hAnsi="宋体" w:eastAsia="宋体" w:cs="宋体"/>
                <w:b/>
                <w:bCs/>
                <w:color w:val="auto"/>
                <w:szCs w:val="21"/>
                <w:u w:val="single"/>
              </w:rPr>
              <w:t xml:space="preserve">      </w:t>
            </w:r>
            <w:r>
              <w:rPr>
                <w:rFonts w:hint="eastAsia" w:ascii="宋体" w:hAnsi="宋体" w:eastAsia="宋体" w:cs="宋体"/>
                <w:b/>
                <w:bCs/>
                <w:color w:val="auto"/>
                <w:szCs w:val="21"/>
              </w:rPr>
              <w:t>小时</w:t>
            </w:r>
            <w:r>
              <w:rPr>
                <w:rFonts w:hint="eastAsia" w:ascii="宋体" w:hAnsi="宋体" w:eastAsia="宋体" w:cs="宋体"/>
                <w:color w:val="auto"/>
                <w:szCs w:val="21"/>
              </w:rPr>
              <w:t>内到达招标人指定地点。</w:t>
            </w:r>
          </w:p>
        </w:tc>
      </w:tr>
    </w:tbl>
    <w:p w14:paraId="6CEF78BD">
      <w:pPr>
        <w:spacing w:line="360" w:lineRule="auto"/>
        <w:ind w:left="-210" w:right="420" w:firstLine="3255" w:firstLineChars="1550"/>
        <w:rPr>
          <w:rFonts w:hint="eastAsia" w:ascii="宋体" w:hAnsi="宋体" w:eastAsia="宋体" w:cs="宋体"/>
          <w:color w:val="auto"/>
        </w:rPr>
      </w:pPr>
    </w:p>
    <w:p w14:paraId="5FD2614C">
      <w:pPr>
        <w:spacing w:line="360" w:lineRule="auto"/>
        <w:ind w:left="-210" w:firstLine="422" w:firstLineChars="200"/>
        <w:rPr>
          <w:rFonts w:hint="eastAsia" w:ascii="宋体" w:hAnsi="宋体" w:eastAsia="宋体" w:cs="宋体"/>
          <w:b/>
          <w:color w:val="auto"/>
        </w:rPr>
      </w:pPr>
      <w:r>
        <w:rPr>
          <w:rFonts w:hint="eastAsia" w:ascii="宋体" w:hAnsi="宋体" w:eastAsia="宋体" w:cs="宋体"/>
          <w:b/>
          <w:color w:val="auto"/>
        </w:rPr>
        <w:t>备注：</w:t>
      </w:r>
    </w:p>
    <w:p w14:paraId="559F76F0">
      <w:pPr>
        <w:spacing w:line="360" w:lineRule="auto"/>
        <w:ind w:left="-210" w:firstLine="422" w:firstLineChars="200"/>
        <w:rPr>
          <w:rFonts w:hint="eastAsia" w:ascii="宋体" w:hAnsi="宋体" w:eastAsia="宋体" w:cs="宋体"/>
          <w:b/>
          <w:color w:val="auto"/>
        </w:rPr>
      </w:pPr>
      <w:r>
        <w:rPr>
          <w:rFonts w:hint="eastAsia" w:ascii="宋体" w:hAnsi="宋体" w:eastAsia="宋体" w:cs="宋体"/>
          <w:b/>
          <w:color w:val="auto"/>
        </w:rPr>
        <w:t>1.本表承诺事项若未填或漏填的，视为投标人不作响应，对应商务部分服务便利性评审内容不得分。</w:t>
      </w:r>
    </w:p>
    <w:p w14:paraId="69E94191">
      <w:pPr>
        <w:spacing w:line="360" w:lineRule="auto"/>
        <w:ind w:left="-210" w:firstLine="422" w:firstLineChars="200"/>
        <w:rPr>
          <w:rFonts w:hint="eastAsia" w:ascii="宋体" w:hAnsi="宋体" w:eastAsia="宋体" w:cs="宋体"/>
          <w:b/>
          <w:color w:val="auto"/>
        </w:rPr>
      </w:pPr>
      <w:r>
        <w:rPr>
          <w:rFonts w:hint="eastAsia" w:ascii="宋体" w:hAnsi="宋体" w:eastAsia="宋体" w:cs="宋体"/>
          <w:b/>
          <w:color w:val="auto"/>
        </w:rPr>
        <w:t>2.本表承诺事项若与投标文件其他地方表述不一致的，以本承诺表为准。</w:t>
      </w:r>
    </w:p>
    <w:p w14:paraId="5FF58D94">
      <w:pPr>
        <w:spacing w:line="360" w:lineRule="auto"/>
        <w:ind w:left="-210" w:firstLine="4200" w:firstLineChars="2000"/>
        <w:rPr>
          <w:rFonts w:hint="eastAsia" w:ascii="宋体" w:hAnsi="宋体" w:eastAsia="宋体" w:cs="宋体"/>
          <w:color w:val="auto"/>
          <w:kern w:val="3"/>
          <w:szCs w:val="21"/>
        </w:rPr>
      </w:pPr>
    </w:p>
    <w:p w14:paraId="1190679A">
      <w:pPr>
        <w:widowControl/>
        <w:jc w:val="left"/>
        <w:rPr>
          <w:rFonts w:hint="eastAsia" w:ascii="宋体" w:hAnsi="宋体" w:eastAsia="宋体" w:cs="宋体"/>
          <w:color w:val="auto"/>
          <w:kern w:val="3"/>
          <w:szCs w:val="21"/>
        </w:rPr>
      </w:pPr>
    </w:p>
    <w:p w14:paraId="69110A0A">
      <w:pPr>
        <w:spacing w:line="360" w:lineRule="auto"/>
        <w:ind w:left="-210" w:firstLine="4200" w:firstLineChars="2000"/>
        <w:rPr>
          <w:rFonts w:hint="eastAsia" w:ascii="宋体" w:hAnsi="宋体" w:eastAsia="宋体" w:cs="宋体"/>
          <w:color w:val="auto"/>
          <w:kern w:val="3"/>
          <w:szCs w:val="21"/>
        </w:rPr>
      </w:pPr>
    </w:p>
    <w:p w14:paraId="5B764B6B">
      <w:pPr>
        <w:spacing w:line="360" w:lineRule="auto"/>
        <w:ind w:left="-210" w:firstLine="4200" w:firstLineChars="2000"/>
        <w:rPr>
          <w:rFonts w:hint="eastAsia" w:ascii="宋体" w:hAnsi="宋体" w:eastAsia="宋体" w:cs="宋体"/>
          <w:color w:val="auto"/>
          <w:szCs w:val="21"/>
        </w:rPr>
      </w:pPr>
      <w:r>
        <w:rPr>
          <w:rFonts w:hint="eastAsia" w:ascii="宋体" w:hAnsi="宋体" w:eastAsia="宋体" w:cs="宋体"/>
          <w:color w:val="auto"/>
          <w:kern w:val="3"/>
          <w:szCs w:val="21"/>
        </w:rPr>
        <w:t>投 标 人（加盖投标人法人公章）：</w:t>
      </w:r>
    </w:p>
    <w:p w14:paraId="6BF96730">
      <w:pPr>
        <w:spacing w:line="360" w:lineRule="auto"/>
        <w:ind w:left="-210" w:firstLine="4200" w:firstLineChars="2000"/>
        <w:rPr>
          <w:rFonts w:hint="eastAsia" w:ascii="宋体" w:hAnsi="宋体" w:eastAsia="宋体" w:cs="宋体"/>
          <w:color w:val="auto"/>
          <w:szCs w:val="21"/>
        </w:rPr>
      </w:pPr>
      <w:r>
        <w:rPr>
          <w:rFonts w:hint="eastAsia" w:ascii="宋体" w:hAnsi="宋体" w:eastAsia="宋体" w:cs="宋体"/>
          <w:color w:val="auto"/>
          <w:szCs w:val="21"/>
        </w:rPr>
        <w:t>日  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14:paraId="7D907B04">
      <w:pPr>
        <w:pageBreakBefore/>
        <w:spacing w:before="120" w:after="120" w:line="360" w:lineRule="auto"/>
        <w:jc w:val="left"/>
        <w:outlineLvl w:val="2"/>
        <w:rPr>
          <w:rFonts w:ascii="宋体" w:hAnsi="宋体" w:eastAsia="宋体" w:cs="宋体"/>
          <w:b/>
          <w:bCs/>
          <w:color w:val="auto"/>
          <w:kern w:val="0"/>
          <w:sz w:val="32"/>
          <w:szCs w:val="32"/>
          <w:highlight w:val="none"/>
          <w:lang w:val="zh-CN"/>
        </w:rPr>
      </w:pPr>
      <w:bookmarkStart w:id="687" w:name="_Toc30954"/>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二</w:t>
      </w:r>
      <w:r>
        <w:rPr>
          <w:rFonts w:hint="eastAsia" w:ascii="宋体" w:hAnsi="宋体" w:eastAsia="宋体" w:cs="宋体"/>
          <w:b/>
          <w:bCs/>
          <w:color w:val="auto"/>
          <w:kern w:val="0"/>
          <w:sz w:val="32"/>
          <w:szCs w:val="32"/>
          <w:highlight w:val="none"/>
          <w:lang w:val="zh-CN"/>
        </w:rPr>
        <w:t>、投标保证金汇入情况说明</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7"/>
    </w:p>
    <w:p w14:paraId="62752840">
      <w:pPr>
        <w:autoSpaceDE w:val="0"/>
        <w:autoSpaceDN w:val="0"/>
        <w:adjustRightInd w:val="0"/>
        <w:spacing w:line="360" w:lineRule="auto"/>
        <w:jc w:val="left"/>
        <w:rPr>
          <w:rFonts w:ascii="宋体" w:hAnsi="宋体" w:eastAsia="宋体" w:cs="宋体"/>
          <w:color w:val="auto"/>
          <w:szCs w:val="24"/>
          <w:highlight w:val="none"/>
        </w:rPr>
      </w:pPr>
    </w:p>
    <w:p w14:paraId="77281BA6">
      <w:pPr>
        <w:autoSpaceDE w:val="0"/>
        <w:autoSpaceDN w:val="0"/>
        <w:adjustRightInd w:val="0"/>
        <w:spacing w:line="360" w:lineRule="auto"/>
        <w:jc w:val="center"/>
        <w:outlineLvl w:val="0"/>
        <w:rPr>
          <w:rFonts w:ascii="宋体" w:hAnsi="宋体" w:eastAsia="宋体" w:cs="宋体"/>
          <w:b/>
          <w:bCs/>
          <w:color w:val="auto"/>
          <w:kern w:val="0"/>
          <w:sz w:val="24"/>
          <w:szCs w:val="24"/>
          <w:highlight w:val="none"/>
        </w:rPr>
      </w:pPr>
      <w:bookmarkStart w:id="688" w:name="_Toc31832_WPSOffice_Level3"/>
      <w:bookmarkStart w:id="689" w:name="_Toc31441"/>
      <w:r>
        <w:rPr>
          <w:rFonts w:hint="eastAsia" w:ascii="宋体" w:hAnsi="宋体" w:eastAsia="宋体" w:cs="宋体"/>
          <w:b/>
          <w:bCs/>
          <w:color w:val="auto"/>
          <w:kern w:val="0"/>
          <w:sz w:val="24"/>
          <w:szCs w:val="24"/>
          <w:highlight w:val="none"/>
        </w:rPr>
        <w:t>投标保证金汇入情况说明</w:t>
      </w:r>
      <w:bookmarkEnd w:id="688"/>
      <w:bookmarkEnd w:id="689"/>
    </w:p>
    <w:p w14:paraId="4CD45E5A">
      <w:pPr>
        <w:autoSpaceDE w:val="0"/>
        <w:autoSpaceDN w:val="0"/>
        <w:adjustRightInd w:val="0"/>
        <w:spacing w:line="360" w:lineRule="auto"/>
        <w:jc w:val="center"/>
        <w:rPr>
          <w:rFonts w:ascii="宋体" w:hAnsi="宋体" w:eastAsia="宋体" w:cs="宋体"/>
          <w:b/>
          <w:bCs/>
          <w:color w:val="auto"/>
          <w:kern w:val="0"/>
          <w:szCs w:val="24"/>
          <w:highlight w:val="none"/>
        </w:rPr>
      </w:pPr>
    </w:p>
    <w:p w14:paraId="0700E9A0">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东莞市水务集团管网有限公司</w:t>
      </w:r>
      <w:r>
        <w:rPr>
          <w:rFonts w:hint="eastAsia" w:ascii="宋体" w:hAnsi="宋体" w:eastAsia="宋体" w:cs="宋体"/>
          <w:color w:val="auto"/>
          <w:szCs w:val="21"/>
          <w:highlight w:val="none"/>
        </w:rPr>
        <w:t>：</w:t>
      </w:r>
    </w:p>
    <w:p w14:paraId="703FF0F0">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kern w:val="0"/>
          <w:szCs w:val="21"/>
          <w:highlight w:val="none"/>
          <w:u w:val="single"/>
          <w:lang w:eastAsia="zh-CN"/>
        </w:rPr>
        <w:t>东莞市水务集团管网有限公司2025年保安服务采购项目</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lang w:eastAsia="zh-CN"/>
        </w:rPr>
        <w:t>YDZB24DGQY0200</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14:paraId="76804F03">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单）</w:t>
      </w:r>
    </w:p>
    <w:p w14:paraId="6A7E3F1F">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14:paraId="3665D87F">
      <w:pPr>
        <w:spacing w:line="360" w:lineRule="auto"/>
        <w:ind w:firstLine="424" w:firstLineChars="202"/>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lang w:eastAsia="zh-CN"/>
        </w:rPr>
        <w:t>（大写）人民币      元（小写：¥      元）</w:t>
      </w:r>
    </w:p>
    <w:p w14:paraId="5D672E64">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14:paraId="7434C25F">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14:paraId="07D4FBF8">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省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市         </w:t>
      </w:r>
    </w:p>
    <w:p w14:paraId="0CDA195D">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14:paraId="5E4E6FEB">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保证金退回时，请按上述资料退回。</w:t>
      </w:r>
    </w:p>
    <w:p w14:paraId="6D8A34A8">
      <w:pPr>
        <w:spacing w:line="360" w:lineRule="auto"/>
        <w:ind w:right="844" w:rightChars="402" w:firstLine="424" w:firstLineChars="202"/>
        <w:jc w:val="right"/>
        <w:rPr>
          <w:rFonts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14:paraId="2371B4BF">
      <w:pPr>
        <w:spacing w:line="360" w:lineRule="auto"/>
        <w:ind w:right="628" w:rightChars="299" w:firstLine="7774" w:firstLineChars="3702"/>
        <w:jc w:val="left"/>
        <w:rPr>
          <w:rFonts w:ascii="宋体" w:hAnsi="宋体" w:eastAsia="宋体" w:cs="宋体"/>
          <w:color w:val="auto"/>
          <w:szCs w:val="24"/>
          <w:highlight w:val="none"/>
        </w:rPr>
      </w:pPr>
      <w:r>
        <w:rPr>
          <w:rFonts w:hint="eastAsia" w:ascii="宋体" w:hAnsi="宋体" w:eastAsia="宋体" w:cs="宋体"/>
          <w:color w:val="auto"/>
          <w:szCs w:val="24"/>
          <w:highlight w:val="none"/>
        </w:rPr>
        <w:t>年   月   日</w:t>
      </w:r>
    </w:p>
    <w:p w14:paraId="3CF35F4D">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单位名称：</w:t>
      </w:r>
    </w:p>
    <w:p w14:paraId="2369B612">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单位地址：</w:t>
      </w:r>
    </w:p>
    <w:p w14:paraId="3F6D22AC">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w:t>
      </w:r>
    </w:p>
    <w:p w14:paraId="2483AD1E">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14:paraId="67AB6646">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联系人手机：</w:t>
      </w:r>
    </w:p>
    <w:p w14:paraId="197A21AD">
      <w:pPr>
        <w:spacing w:line="360" w:lineRule="auto"/>
        <w:ind w:left="340" w:leftChars="162" w:firstLine="425"/>
        <w:rPr>
          <w:rFonts w:ascii="宋体" w:hAnsi="宋体" w:eastAsia="宋体" w:cs="宋体"/>
          <w:b/>
          <w:bCs/>
          <w:color w:val="auto"/>
          <w:szCs w:val="21"/>
          <w:highlight w:val="none"/>
        </w:rPr>
      </w:pPr>
      <w:bookmarkStart w:id="690" w:name="_Toc26208_WPSOffice_Level3"/>
      <w:r>
        <w:rPr>
          <w:rFonts w:hint="eastAsia" w:ascii="宋体" w:hAnsi="宋体" w:eastAsia="宋体" w:cs="宋体"/>
          <w:b/>
          <w:bCs/>
          <w:color w:val="auto"/>
          <w:szCs w:val="21"/>
          <w:highlight w:val="none"/>
        </w:rPr>
        <w:t>附：1、我方投标保证金汇款凭证（复印件）</w:t>
      </w:r>
      <w:bookmarkEnd w:id="690"/>
    </w:p>
    <w:p w14:paraId="6388A00B">
      <w:pPr>
        <w:spacing w:line="360" w:lineRule="auto"/>
        <w:ind w:left="340" w:leftChars="162" w:firstLine="839" w:firstLineChars="398"/>
        <w:outlineLvl w:val="0"/>
        <w:rPr>
          <w:rFonts w:ascii="宋体" w:hAnsi="宋体" w:eastAsia="宋体" w:cs="宋体"/>
          <w:b/>
          <w:bCs/>
          <w:color w:val="auto"/>
          <w:szCs w:val="21"/>
          <w:highlight w:val="none"/>
        </w:rPr>
      </w:pPr>
      <w:bookmarkStart w:id="691" w:name="_Toc30413"/>
      <w:bookmarkStart w:id="692" w:name="_Toc12992_WPSOffice_Level3"/>
      <w:r>
        <w:rPr>
          <w:rFonts w:hint="eastAsia" w:ascii="宋体" w:hAnsi="宋体" w:eastAsia="宋体" w:cs="宋体"/>
          <w:b/>
          <w:bCs/>
          <w:color w:val="auto"/>
          <w:szCs w:val="21"/>
          <w:highlight w:val="none"/>
        </w:rPr>
        <w:t>2、我方基本账户开户许可证（复印件）</w:t>
      </w:r>
      <w:bookmarkEnd w:id="691"/>
      <w:bookmarkEnd w:id="692"/>
    </w:p>
    <w:p w14:paraId="69DD2C3F">
      <w:pPr>
        <w:spacing w:line="360" w:lineRule="auto"/>
        <w:ind w:left="340" w:leftChars="162" w:firstLine="736" w:firstLineChars="349"/>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14:paraId="54BABA9F">
      <w:pPr>
        <w:autoSpaceDE w:val="0"/>
        <w:autoSpaceDN w:val="0"/>
        <w:adjustRightInd w:val="0"/>
        <w:spacing w:line="360" w:lineRule="auto"/>
        <w:ind w:firstLine="5145" w:firstLineChars="2450"/>
        <w:rPr>
          <w:rFonts w:ascii="宋体" w:hAnsi="宋体" w:eastAsia="宋体" w:cs="宋体"/>
          <w:color w:val="auto"/>
          <w:szCs w:val="24"/>
          <w:highlight w:val="none"/>
          <w:lang w:val="zh-CN"/>
        </w:rPr>
      </w:pPr>
    </w:p>
    <w:p w14:paraId="79AF689E">
      <w:pPr>
        <w:spacing w:line="360" w:lineRule="auto"/>
        <w:rPr>
          <w:rFonts w:ascii="宋体" w:hAnsi="宋体" w:eastAsia="宋体" w:cs="宋体"/>
          <w:b/>
          <w:color w:val="auto"/>
          <w:kern w:val="0"/>
          <w:szCs w:val="21"/>
          <w:highlight w:val="none"/>
        </w:rPr>
      </w:pPr>
      <w:bookmarkStart w:id="693" w:name="_Toc533708134"/>
      <w:bookmarkStart w:id="694" w:name="_Toc486167721"/>
    </w:p>
    <w:p w14:paraId="3CD11C06">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bCs/>
          <w:color w:val="auto"/>
          <w:kern w:val="0"/>
          <w:sz w:val="32"/>
          <w:szCs w:val="32"/>
          <w:highlight w:val="none"/>
          <w:lang w:val="zh-CN"/>
        </w:rPr>
      </w:pPr>
      <w:bookmarkStart w:id="695" w:name="_Toc1977738"/>
      <w:bookmarkStart w:id="696" w:name="_Toc102860084"/>
      <w:bookmarkStart w:id="697" w:name="_Toc142508379"/>
      <w:bookmarkStart w:id="698" w:name="_Toc102860428"/>
      <w:bookmarkStart w:id="699" w:name="_Toc140596939"/>
      <w:bookmarkStart w:id="700" w:name="_Toc94107221"/>
      <w:bookmarkStart w:id="701" w:name="_Toc24616"/>
      <w:bookmarkStart w:id="702" w:name="_Toc104991886"/>
    </w:p>
    <w:p w14:paraId="7EF22CE3">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bCs/>
          <w:color w:val="auto"/>
          <w:kern w:val="0"/>
          <w:sz w:val="32"/>
          <w:szCs w:val="32"/>
          <w:highlight w:val="none"/>
          <w:lang w:val="zh-CN"/>
        </w:rPr>
      </w:pPr>
    </w:p>
    <w:p w14:paraId="02FE2E6C">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bookmarkStart w:id="703" w:name="_Toc2007"/>
      <w:bookmarkStart w:id="704" w:name="_Toc1137"/>
      <w:bookmarkStart w:id="705" w:name="_Toc29652"/>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三</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bookmarkEnd w:id="695"/>
      <w:bookmarkEnd w:id="696"/>
      <w:bookmarkEnd w:id="697"/>
      <w:bookmarkEnd w:id="698"/>
      <w:bookmarkEnd w:id="699"/>
      <w:bookmarkEnd w:id="700"/>
      <w:bookmarkEnd w:id="701"/>
      <w:bookmarkEnd w:id="702"/>
      <w:bookmarkEnd w:id="703"/>
      <w:bookmarkEnd w:id="704"/>
      <w:bookmarkEnd w:id="705"/>
    </w:p>
    <w:p w14:paraId="33CD01C1">
      <w:pPr>
        <w:tabs>
          <w:tab w:val="left" w:pos="567"/>
        </w:tabs>
        <w:autoSpaceDE w:val="0"/>
        <w:autoSpaceDN w:val="0"/>
        <w:adjustRightInd w:val="0"/>
        <w:spacing w:line="360" w:lineRule="auto"/>
        <w:ind w:left="357" w:leftChars="-100" w:hanging="567"/>
        <w:jc w:val="left"/>
        <w:outlineLvl w:val="1"/>
        <w:rPr>
          <w:rFonts w:ascii="宋体" w:hAnsi="宋体" w:eastAsia="宋体" w:cs="宋体"/>
          <w:b/>
          <w:color w:val="auto"/>
          <w:kern w:val="0"/>
          <w:sz w:val="32"/>
          <w:szCs w:val="32"/>
          <w:highlight w:val="none"/>
        </w:rPr>
      </w:pPr>
      <w:bookmarkStart w:id="706" w:name="_Toc18038"/>
      <w:bookmarkStart w:id="707" w:name="_Toc1977739"/>
      <w:bookmarkStart w:id="708" w:name="_Toc27482"/>
      <w:bookmarkStart w:id="709" w:name="_Toc102860429"/>
      <w:bookmarkStart w:id="710" w:name="_Toc102860085"/>
      <w:bookmarkStart w:id="711" w:name="_Toc140596940"/>
      <w:bookmarkStart w:id="712" w:name="_Toc142508380"/>
      <w:bookmarkStart w:id="713" w:name="_Toc679"/>
      <w:bookmarkStart w:id="714" w:name="_Toc94107222"/>
      <w:bookmarkStart w:id="715" w:name="_Toc31916"/>
      <w:bookmarkStart w:id="716" w:name="_Toc104991887"/>
      <w:r>
        <w:rPr>
          <w:rFonts w:hint="eastAsia" w:ascii="宋体" w:hAnsi="宋体" w:eastAsia="宋体" w:cs="宋体"/>
          <w:b/>
          <w:color w:val="auto"/>
          <w:kern w:val="0"/>
          <w:sz w:val="32"/>
          <w:szCs w:val="32"/>
          <w:highlight w:val="none"/>
        </w:rPr>
        <w:t>十</w:t>
      </w:r>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、技术响应文件格式</w:t>
      </w:r>
      <w:bookmarkEnd w:id="693"/>
      <w:bookmarkEnd w:id="706"/>
      <w:bookmarkEnd w:id="707"/>
      <w:bookmarkEnd w:id="708"/>
      <w:bookmarkEnd w:id="709"/>
      <w:bookmarkEnd w:id="710"/>
      <w:bookmarkEnd w:id="711"/>
      <w:bookmarkEnd w:id="712"/>
      <w:bookmarkEnd w:id="713"/>
      <w:bookmarkEnd w:id="714"/>
      <w:bookmarkEnd w:id="715"/>
      <w:bookmarkEnd w:id="716"/>
    </w:p>
    <w:p w14:paraId="63791EF4">
      <w:pPr>
        <w:tabs>
          <w:tab w:val="left" w:pos="8640"/>
        </w:tabs>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14:paraId="773446A9">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zCs w:val="21"/>
        </w:rPr>
        <w:t>用户需求响应程度（即1</w:t>
      </w:r>
      <w:r>
        <w:rPr>
          <w:rFonts w:hint="eastAsia" w:ascii="宋体" w:hAnsi="宋体" w:eastAsia="宋体" w:cs="宋体"/>
          <w:color w:val="auto"/>
          <w:szCs w:val="21"/>
          <w:lang w:val="en-US" w:eastAsia="zh-CN"/>
        </w:rPr>
        <w:t>4</w:t>
      </w:r>
      <w:r>
        <w:rPr>
          <w:rFonts w:ascii="宋体" w:hAnsi="宋体" w:eastAsia="宋体" w:cs="宋体"/>
          <w:color w:val="auto"/>
          <w:szCs w:val="21"/>
        </w:rPr>
        <w:t>.1</w:t>
      </w:r>
      <w:r>
        <w:rPr>
          <w:rFonts w:hint="eastAsia" w:ascii="宋体" w:hAnsi="宋体" w:eastAsia="宋体" w:cs="宋体"/>
          <w:color w:val="auto"/>
          <w:szCs w:val="21"/>
        </w:rPr>
        <w:t>用户需求偏离表格式）</w:t>
      </w:r>
      <w:r>
        <w:rPr>
          <w:rFonts w:hint="eastAsia" w:ascii="宋体" w:hAnsi="宋体" w:eastAsia="宋体" w:cs="宋体"/>
          <w:color w:val="auto"/>
          <w:kern w:val="0"/>
          <w:szCs w:val="21"/>
          <w:highlight w:val="none"/>
        </w:rPr>
        <w:t>；</w:t>
      </w:r>
    </w:p>
    <w:p w14:paraId="0EC8ED48">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szCs w:val="21"/>
        </w:rPr>
        <w:t>管理计划及实施方案（投标人自行编写）</w:t>
      </w:r>
      <w:r>
        <w:rPr>
          <w:rFonts w:hint="eastAsia" w:ascii="宋体" w:hAnsi="宋体" w:eastAsia="宋体" w:cs="宋体"/>
          <w:color w:val="auto"/>
          <w:kern w:val="0"/>
          <w:szCs w:val="21"/>
          <w:highlight w:val="none"/>
        </w:rPr>
        <w:t>；</w:t>
      </w:r>
    </w:p>
    <w:p w14:paraId="589FB0D0">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szCs w:val="21"/>
        </w:rPr>
        <w:t>保安人员投入计划及保证措施（投标人自行编写）</w:t>
      </w:r>
      <w:r>
        <w:rPr>
          <w:rFonts w:hint="eastAsia" w:ascii="宋体" w:hAnsi="宋体" w:eastAsia="宋体" w:cs="宋体"/>
          <w:color w:val="auto"/>
          <w:kern w:val="0"/>
          <w:szCs w:val="21"/>
          <w:highlight w:val="none"/>
        </w:rPr>
        <w:t>；</w:t>
      </w:r>
    </w:p>
    <w:p w14:paraId="179EAC5D">
      <w:pPr>
        <w:spacing w:line="360" w:lineRule="auto"/>
        <w:ind w:left="443" w:leftChars="77" w:hanging="281" w:hangingChars="134"/>
        <w:rPr>
          <w:rFonts w:ascii="宋体" w:hAnsi="宋体" w:eastAsia="宋体" w:cs="宋体"/>
          <w:color w:val="auto"/>
          <w:kern w:val="0"/>
          <w:szCs w:val="21"/>
          <w:highlight w:val="none"/>
        </w:rPr>
      </w:pPr>
      <w:r>
        <w:rPr>
          <w:rFonts w:ascii="宋体" w:hAnsi="宋体" w:eastAsia="宋体" w:cs="宋体"/>
          <w:color w:val="auto"/>
          <w:kern w:val="0"/>
          <w:szCs w:val="21"/>
          <w:highlight w:val="none"/>
        </w:rPr>
        <w:t>4</w:t>
      </w:r>
      <w:r>
        <w:rPr>
          <w:rFonts w:hint="eastAsia" w:ascii="宋体" w:hAnsi="宋体" w:eastAsia="宋体" w:cs="宋体"/>
          <w:color w:val="auto"/>
          <w:kern w:val="0"/>
          <w:szCs w:val="21"/>
          <w:highlight w:val="none"/>
        </w:rPr>
        <w:t>、</w:t>
      </w:r>
      <w:r>
        <w:rPr>
          <w:rFonts w:hint="eastAsia" w:ascii="宋体" w:hAnsi="宋体" w:eastAsia="宋体" w:cs="宋体"/>
          <w:color w:val="auto"/>
          <w:szCs w:val="21"/>
        </w:rPr>
        <w:t>保安人员配套装备的承诺及保证措施（投标人自行编写）</w:t>
      </w:r>
      <w:r>
        <w:rPr>
          <w:rFonts w:hint="eastAsia" w:ascii="宋体" w:hAnsi="宋体" w:eastAsia="宋体" w:cs="宋体"/>
          <w:color w:val="auto"/>
          <w:kern w:val="0"/>
          <w:szCs w:val="21"/>
          <w:highlight w:val="none"/>
        </w:rPr>
        <w:t>；</w:t>
      </w:r>
    </w:p>
    <w:p w14:paraId="7A375D24">
      <w:pPr>
        <w:spacing w:line="360" w:lineRule="auto"/>
        <w:ind w:left="443" w:leftChars="77" w:hanging="281" w:hangingChars="134"/>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szCs w:val="21"/>
        </w:rPr>
        <w:t>应急处理预案（投标人自行编写）；</w:t>
      </w:r>
    </w:p>
    <w:p w14:paraId="007E49D6">
      <w:pPr>
        <w:spacing w:line="360" w:lineRule="auto"/>
        <w:ind w:left="443" w:leftChars="77" w:hanging="281" w:hangingChars="134"/>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szCs w:val="21"/>
        </w:rPr>
        <w:t>培训方案（投标人自行编写）</w:t>
      </w:r>
      <w:r>
        <w:rPr>
          <w:rFonts w:hint="eastAsia" w:ascii="宋体" w:hAnsi="宋体" w:eastAsia="宋体" w:cs="宋体"/>
          <w:color w:val="auto"/>
          <w:szCs w:val="21"/>
          <w:lang w:eastAsia="zh-CN"/>
        </w:rPr>
        <w:t>；</w:t>
      </w:r>
    </w:p>
    <w:p w14:paraId="3D77E1CC">
      <w:pPr>
        <w:spacing w:line="360" w:lineRule="auto"/>
        <w:ind w:left="443" w:leftChars="77" w:hanging="281" w:hangingChars="134"/>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szCs w:val="21"/>
          <w:lang w:val="zh-CN"/>
        </w:rPr>
        <w:t>管理规章制度</w:t>
      </w:r>
      <w:r>
        <w:rPr>
          <w:rFonts w:hint="eastAsia" w:ascii="宋体" w:hAnsi="宋体" w:eastAsia="宋体" w:cs="宋体"/>
          <w:color w:val="auto"/>
          <w:szCs w:val="21"/>
        </w:rPr>
        <w:t>（投标人自行编写）</w:t>
      </w:r>
      <w:r>
        <w:rPr>
          <w:rFonts w:hint="eastAsia" w:ascii="宋体" w:hAnsi="宋体" w:eastAsia="宋体" w:cs="宋体"/>
          <w:color w:val="auto"/>
          <w:szCs w:val="21"/>
          <w:lang w:eastAsia="zh-CN"/>
        </w:rPr>
        <w:t>；</w:t>
      </w:r>
    </w:p>
    <w:p w14:paraId="36B14518">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、投标人认为有必要提供的其它材料（不做强制要求）。</w:t>
      </w:r>
    </w:p>
    <w:p w14:paraId="21EF7DB0">
      <w:pPr>
        <w:pStyle w:val="19"/>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bookmarkEnd w:id="694"/>
      <w:bookmarkStart w:id="717" w:name="_Toc533708135"/>
      <w:bookmarkStart w:id="718" w:name="_Toc102860430"/>
      <w:bookmarkStart w:id="719" w:name="_Toc94107223"/>
      <w:bookmarkStart w:id="720" w:name="_Toc142508381"/>
      <w:bookmarkStart w:id="721" w:name="_Toc140596941"/>
      <w:bookmarkStart w:id="722" w:name="_Toc102860086"/>
      <w:bookmarkStart w:id="723" w:name="_Toc104991888"/>
      <w:bookmarkStart w:id="724" w:name="_Toc1977740"/>
    </w:p>
    <w:p w14:paraId="179AF4FC">
      <w:pPr>
        <w:pStyle w:val="19"/>
        <w:spacing w:line="360" w:lineRule="auto"/>
        <w:jc w:val="center"/>
        <w:rPr>
          <w:rFonts w:hint="eastAsia" w:ascii="宋体" w:hAnsi="宋体" w:eastAsia="宋体" w:cs="宋体"/>
          <w:b/>
          <w:color w:val="auto"/>
          <w:kern w:val="0"/>
          <w:szCs w:val="21"/>
          <w:highlight w:val="none"/>
        </w:rPr>
      </w:pPr>
    </w:p>
    <w:p w14:paraId="048695C8">
      <w:pPr>
        <w:pStyle w:val="19"/>
        <w:spacing w:line="360" w:lineRule="auto"/>
        <w:jc w:val="center"/>
        <w:rPr>
          <w:rFonts w:hint="eastAsia" w:ascii="宋体" w:hAnsi="宋体" w:eastAsia="宋体" w:cs="宋体"/>
          <w:b/>
          <w:color w:val="auto"/>
          <w:kern w:val="0"/>
          <w:szCs w:val="21"/>
          <w:highlight w:val="none"/>
        </w:rPr>
      </w:pPr>
    </w:p>
    <w:p w14:paraId="3C0B6204">
      <w:pPr>
        <w:pStyle w:val="19"/>
        <w:spacing w:line="360" w:lineRule="auto"/>
        <w:jc w:val="center"/>
        <w:rPr>
          <w:rFonts w:hint="eastAsia" w:ascii="宋体" w:hAnsi="宋体" w:eastAsia="宋体" w:cs="宋体"/>
          <w:b/>
          <w:color w:val="auto"/>
          <w:kern w:val="0"/>
          <w:szCs w:val="21"/>
          <w:highlight w:val="none"/>
        </w:rPr>
      </w:pPr>
    </w:p>
    <w:p w14:paraId="7D7A14EF">
      <w:pPr>
        <w:pStyle w:val="19"/>
        <w:spacing w:line="360" w:lineRule="auto"/>
        <w:jc w:val="center"/>
        <w:rPr>
          <w:rFonts w:hint="eastAsia" w:ascii="宋体" w:hAnsi="宋体" w:eastAsia="宋体" w:cs="宋体"/>
          <w:b/>
          <w:color w:val="auto"/>
          <w:kern w:val="0"/>
          <w:szCs w:val="21"/>
          <w:highlight w:val="none"/>
        </w:rPr>
      </w:pPr>
    </w:p>
    <w:p w14:paraId="4FEA63C4">
      <w:pPr>
        <w:pStyle w:val="19"/>
        <w:spacing w:line="360" w:lineRule="auto"/>
        <w:jc w:val="center"/>
        <w:rPr>
          <w:rFonts w:hint="eastAsia" w:ascii="宋体" w:hAnsi="宋体" w:eastAsia="宋体" w:cs="宋体"/>
          <w:b/>
          <w:color w:val="auto"/>
          <w:kern w:val="0"/>
          <w:szCs w:val="21"/>
          <w:highlight w:val="none"/>
        </w:rPr>
      </w:pPr>
    </w:p>
    <w:p w14:paraId="033ACCEF">
      <w:pPr>
        <w:pStyle w:val="19"/>
        <w:spacing w:line="360" w:lineRule="auto"/>
        <w:jc w:val="center"/>
        <w:rPr>
          <w:rFonts w:hint="eastAsia" w:ascii="宋体" w:hAnsi="宋体" w:eastAsia="宋体" w:cs="宋体"/>
          <w:b/>
          <w:color w:val="auto"/>
          <w:kern w:val="0"/>
          <w:szCs w:val="21"/>
          <w:highlight w:val="none"/>
        </w:rPr>
      </w:pPr>
    </w:p>
    <w:p w14:paraId="04700998">
      <w:pPr>
        <w:pStyle w:val="19"/>
        <w:spacing w:line="360" w:lineRule="auto"/>
        <w:jc w:val="center"/>
        <w:rPr>
          <w:rFonts w:hint="eastAsia" w:ascii="宋体" w:hAnsi="宋体" w:eastAsia="宋体" w:cs="宋体"/>
          <w:b/>
          <w:color w:val="auto"/>
          <w:kern w:val="0"/>
          <w:szCs w:val="21"/>
          <w:highlight w:val="none"/>
        </w:rPr>
      </w:pPr>
    </w:p>
    <w:p w14:paraId="7733756E">
      <w:pPr>
        <w:pStyle w:val="19"/>
        <w:spacing w:line="360" w:lineRule="auto"/>
        <w:jc w:val="center"/>
        <w:rPr>
          <w:rFonts w:hint="eastAsia" w:ascii="宋体" w:hAnsi="宋体" w:eastAsia="宋体" w:cs="宋体"/>
          <w:b/>
          <w:color w:val="auto"/>
          <w:kern w:val="0"/>
          <w:szCs w:val="21"/>
          <w:highlight w:val="none"/>
        </w:rPr>
      </w:pPr>
    </w:p>
    <w:p w14:paraId="651F97D0">
      <w:pPr>
        <w:pStyle w:val="19"/>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7347B10E">
      <w:pPr>
        <w:pStyle w:val="19"/>
        <w:spacing w:line="360" w:lineRule="auto"/>
        <w:rPr>
          <w:rFonts w:hint="eastAsia" w:ascii="宋体" w:hAnsi="宋体" w:eastAsia="宋体" w:cs="宋体"/>
          <w:color w:val="auto"/>
          <w:highlight w:val="none"/>
        </w:rPr>
      </w:pPr>
    </w:p>
    <w:p w14:paraId="43E4F342">
      <w:pPr>
        <w:pStyle w:val="19"/>
        <w:spacing w:line="360" w:lineRule="auto"/>
        <w:rPr>
          <w:rFonts w:hint="eastAsia" w:ascii="宋体" w:hAnsi="宋体" w:eastAsia="宋体" w:cs="宋体"/>
          <w:color w:val="auto"/>
          <w:highlight w:val="none"/>
        </w:rPr>
      </w:pPr>
    </w:p>
    <w:p w14:paraId="73755F5E">
      <w:pPr>
        <w:pStyle w:val="19"/>
        <w:spacing w:line="360" w:lineRule="auto"/>
        <w:rPr>
          <w:rFonts w:hint="eastAsia" w:ascii="宋体" w:hAnsi="宋体" w:eastAsia="宋体" w:cs="宋体"/>
          <w:color w:val="auto"/>
          <w:highlight w:val="none"/>
        </w:rPr>
      </w:pPr>
    </w:p>
    <w:p w14:paraId="73D970A6">
      <w:pPr>
        <w:pStyle w:val="19"/>
        <w:spacing w:line="360" w:lineRule="auto"/>
        <w:rPr>
          <w:rFonts w:hint="eastAsia" w:ascii="宋体" w:hAnsi="宋体" w:eastAsia="宋体" w:cs="宋体"/>
          <w:color w:val="auto"/>
          <w:highlight w:val="none"/>
        </w:rPr>
      </w:pPr>
    </w:p>
    <w:p w14:paraId="719BFD6F">
      <w:pPr>
        <w:pStyle w:val="19"/>
        <w:spacing w:line="360" w:lineRule="auto"/>
        <w:rPr>
          <w:rFonts w:hint="eastAsia" w:ascii="宋体" w:hAnsi="宋体" w:eastAsia="宋体" w:cs="宋体"/>
          <w:color w:val="auto"/>
          <w:highlight w:val="none"/>
        </w:rPr>
      </w:pPr>
    </w:p>
    <w:p w14:paraId="76954BE2">
      <w:pPr>
        <w:pStyle w:val="19"/>
        <w:spacing w:line="360" w:lineRule="auto"/>
        <w:rPr>
          <w:rFonts w:hint="eastAsia" w:ascii="宋体" w:hAnsi="宋体" w:eastAsia="宋体" w:cs="宋体"/>
          <w:color w:val="auto"/>
          <w:highlight w:val="none"/>
        </w:rPr>
      </w:pPr>
    </w:p>
    <w:p w14:paraId="3428EEFE">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09B5E02C">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4EB95611">
      <w:pPr>
        <w:pStyle w:val="19"/>
        <w:spacing w:line="360" w:lineRule="auto"/>
        <w:ind w:firstLine="1875" w:firstLineChars="625"/>
        <w:outlineLvl w:val="2"/>
        <w:rPr>
          <w:rFonts w:hint="eastAsia" w:ascii="宋体" w:hAnsi="宋体" w:eastAsia="宋体" w:cs="宋体"/>
          <w:color w:val="auto"/>
          <w:sz w:val="30"/>
          <w:highlight w:val="none"/>
          <w:u w:val="single"/>
        </w:rPr>
      </w:pPr>
      <w:bookmarkStart w:id="725" w:name="_Toc20178"/>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w:t>
      </w:r>
      <w:r>
        <w:rPr>
          <w:rFonts w:hint="eastAsia" w:ascii="宋体" w:hAnsi="宋体" w:cs="宋体"/>
          <w:color w:val="auto"/>
          <w:sz w:val="30"/>
          <w:highlight w:val="none"/>
          <w:u w:val="single"/>
          <w:lang w:val="en-US" w:eastAsia="zh-CN"/>
        </w:rPr>
        <w:t>技术</w:t>
      </w:r>
      <w:r>
        <w:rPr>
          <w:rFonts w:hint="eastAsia" w:ascii="宋体" w:hAnsi="宋体" w:eastAsia="宋体" w:cs="宋体"/>
          <w:color w:val="auto"/>
          <w:sz w:val="30"/>
          <w:highlight w:val="none"/>
          <w:u w:val="single"/>
        </w:rPr>
        <w:t>部分</w:t>
      </w:r>
      <w:bookmarkEnd w:id="725"/>
      <w:r>
        <w:rPr>
          <w:rFonts w:hint="eastAsia" w:ascii="宋体" w:hAnsi="宋体" w:eastAsia="宋体" w:cs="宋体"/>
          <w:color w:val="auto"/>
          <w:sz w:val="30"/>
          <w:highlight w:val="none"/>
          <w:u w:val="single"/>
        </w:rPr>
        <w:t xml:space="preserve"> </w:t>
      </w:r>
    </w:p>
    <w:p w14:paraId="76BB967C">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369728AC">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128146AB">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132A74F2">
      <w:pPr>
        <w:pStyle w:val="19"/>
        <w:spacing w:line="360" w:lineRule="auto"/>
        <w:rPr>
          <w:rFonts w:hint="eastAsia" w:ascii="宋体" w:hAnsi="宋体" w:eastAsia="宋体" w:cs="宋体"/>
          <w:color w:val="auto"/>
          <w:highlight w:val="none"/>
        </w:rPr>
      </w:pPr>
    </w:p>
    <w:p w14:paraId="6B716259">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BBC0517">
      <w:pPr>
        <w:pBdr>
          <w:top w:val="none" w:color="auto" w:sz="0" w:space="0"/>
          <w:left w:val="none" w:color="auto" w:sz="0" w:space="0"/>
          <w:bottom w:val="none" w:color="auto" w:sz="0" w:space="0"/>
          <w:right w:val="none" w:color="auto" w:sz="0" w:space="0"/>
          <w:between w:val="none" w:color="auto" w:sz="0" w:space="0"/>
        </w:pBdr>
        <w:spacing w:line="480" w:lineRule="auto"/>
        <w:ind w:firstLine="675" w:firstLineChars="224"/>
        <w:jc w:val="center"/>
        <w:rPr>
          <w:rFonts w:hint="eastAsia" w:ascii="宋体" w:hAnsi="宋体" w:eastAsia="宋体" w:cs="宋体"/>
          <w:b/>
          <w:bCs/>
          <w:color w:val="auto"/>
          <w:sz w:val="30"/>
          <w:szCs w:val="30"/>
          <w:highlight w:val="none"/>
        </w:rPr>
      </w:pPr>
    </w:p>
    <w:p w14:paraId="7943E402">
      <w:pPr>
        <w:pBdr>
          <w:top w:val="none" w:color="auto" w:sz="0" w:space="0"/>
          <w:left w:val="none" w:color="auto" w:sz="0" w:space="0"/>
          <w:bottom w:val="none" w:color="auto" w:sz="0" w:space="0"/>
          <w:right w:val="none" w:color="auto" w:sz="0" w:space="0"/>
          <w:between w:val="none" w:color="auto" w:sz="0" w:space="0"/>
        </w:pBdr>
        <w:spacing w:line="480" w:lineRule="auto"/>
        <w:ind w:firstLine="675" w:firstLineChars="224"/>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投标文件</w:t>
      </w:r>
      <w:r>
        <w:rPr>
          <w:rFonts w:hint="eastAsia" w:ascii="宋体" w:hAnsi="宋体" w:eastAsia="宋体" w:cs="宋体"/>
          <w:b/>
          <w:bCs/>
          <w:color w:val="auto"/>
          <w:sz w:val="30"/>
          <w:szCs w:val="30"/>
          <w:highlight w:val="none"/>
          <w:lang w:val="en-US" w:eastAsia="zh-CN"/>
        </w:rPr>
        <w:t>技术</w:t>
      </w:r>
      <w:r>
        <w:rPr>
          <w:rFonts w:hint="eastAsia" w:ascii="宋体" w:hAnsi="宋体" w:eastAsia="宋体" w:cs="宋体"/>
          <w:b/>
          <w:bCs/>
          <w:color w:val="auto"/>
          <w:sz w:val="30"/>
          <w:szCs w:val="30"/>
          <w:highlight w:val="none"/>
        </w:rPr>
        <w:t>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71"/>
        <w:gridCol w:w="4045"/>
      </w:tblGrid>
      <w:tr w14:paraId="33F64C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cantSplit/>
          <w:trHeight w:val="1204" w:hRule="atLeast"/>
          <w:jc w:val="center"/>
        </w:trPr>
        <w:tc>
          <w:tcPr>
            <w:tcW w:w="665" w:type="pct"/>
            <w:vAlign w:val="center"/>
          </w:tcPr>
          <w:p w14:paraId="2E0BC1B9">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095B0CD2">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047" w:type="pct"/>
            <w:vAlign w:val="center"/>
          </w:tcPr>
          <w:p w14:paraId="54FAD72F">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1950" w:type="pct"/>
            <w:tcBorders>
              <w:left w:val="single" w:color="auto" w:sz="4" w:space="0"/>
            </w:tcBorders>
            <w:vAlign w:val="center"/>
          </w:tcPr>
          <w:p w14:paraId="0E7A1640">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5FF21B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3F0B7E57">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0A0F887D">
            <w:pPr>
              <w:adjustRightInd w:val="0"/>
              <w:snapToGrid w:val="0"/>
              <w:spacing w:line="360" w:lineRule="auto"/>
              <w:jc w:val="center"/>
              <w:rPr>
                <w:rFonts w:hint="eastAsia" w:ascii="宋体" w:hAnsi="宋体" w:eastAsia="宋体" w:cs="宋体"/>
                <w:bCs/>
                <w:color w:val="auto"/>
                <w:szCs w:val="21"/>
                <w:highlight w:val="none"/>
              </w:rPr>
            </w:pPr>
          </w:p>
        </w:tc>
        <w:tc>
          <w:tcPr>
            <w:tcW w:w="1047" w:type="pct"/>
            <w:vAlign w:val="center"/>
          </w:tcPr>
          <w:p w14:paraId="79809D3F">
            <w:pPr>
              <w:adjustRightInd w:val="0"/>
              <w:snapToGrid w:val="0"/>
              <w:spacing w:line="360" w:lineRule="auto"/>
              <w:jc w:val="center"/>
              <w:rPr>
                <w:rFonts w:hint="eastAsia" w:ascii="宋体" w:hAnsi="宋体" w:eastAsia="宋体" w:cs="宋体"/>
                <w:bCs/>
                <w:color w:val="auto"/>
                <w:szCs w:val="21"/>
                <w:highlight w:val="none"/>
              </w:rPr>
            </w:pPr>
          </w:p>
        </w:tc>
        <w:tc>
          <w:tcPr>
            <w:tcW w:w="1950" w:type="pct"/>
            <w:tcBorders>
              <w:left w:val="single" w:color="auto" w:sz="4" w:space="0"/>
            </w:tcBorders>
            <w:vAlign w:val="center"/>
          </w:tcPr>
          <w:p w14:paraId="7A398F4B">
            <w:pPr>
              <w:adjustRightInd w:val="0"/>
              <w:snapToGrid w:val="0"/>
              <w:spacing w:line="360" w:lineRule="auto"/>
              <w:rPr>
                <w:rFonts w:hint="eastAsia" w:ascii="宋体" w:hAnsi="宋体" w:eastAsia="宋体" w:cs="宋体"/>
                <w:bCs/>
                <w:color w:val="auto"/>
                <w:szCs w:val="21"/>
                <w:highlight w:val="none"/>
              </w:rPr>
            </w:pPr>
          </w:p>
        </w:tc>
      </w:tr>
      <w:tr w14:paraId="1AD0EF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3EEE5C06">
            <w:pPr>
              <w:rPr>
                <w:rFonts w:hint="eastAsia" w:ascii="宋体" w:hAnsi="宋体" w:eastAsia="宋体" w:cs="宋体"/>
                <w:bCs/>
                <w:color w:val="auto"/>
                <w:szCs w:val="21"/>
                <w:highlight w:val="none"/>
              </w:rPr>
            </w:pPr>
          </w:p>
        </w:tc>
        <w:tc>
          <w:tcPr>
            <w:tcW w:w="1337" w:type="pct"/>
            <w:vAlign w:val="center"/>
          </w:tcPr>
          <w:p w14:paraId="0A5D028C">
            <w:pPr>
              <w:rPr>
                <w:rFonts w:hint="eastAsia" w:ascii="宋体" w:hAnsi="宋体" w:eastAsia="宋体" w:cs="宋体"/>
                <w:bCs/>
                <w:color w:val="auto"/>
                <w:szCs w:val="21"/>
                <w:highlight w:val="none"/>
              </w:rPr>
            </w:pPr>
          </w:p>
        </w:tc>
        <w:tc>
          <w:tcPr>
            <w:tcW w:w="1047" w:type="pct"/>
            <w:vAlign w:val="center"/>
          </w:tcPr>
          <w:p w14:paraId="4A7ABA36">
            <w:pPr>
              <w:rPr>
                <w:rFonts w:hint="eastAsia" w:ascii="宋体" w:hAnsi="宋体" w:eastAsia="宋体" w:cs="宋体"/>
                <w:bCs/>
                <w:color w:val="auto"/>
                <w:szCs w:val="21"/>
                <w:highlight w:val="none"/>
              </w:rPr>
            </w:pPr>
          </w:p>
        </w:tc>
        <w:tc>
          <w:tcPr>
            <w:tcW w:w="1950" w:type="pct"/>
            <w:tcBorders>
              <w:left w:val="single" w:color="auto" w:sz="4" w:space="0"/>
            </w:tcBorders>
            <w:vAlign w:val="center"/>
          </w:tcPr>
          <w:p w14:paraId="07F9FFAB">
            <w:pPr>
              <w:adjustRightInd w:val="0"/>
              <w:snapToGrid w:val="0"/>
              <w:spacing w:line="360" w:lineRule="auto"/>
              <w:ind w:firstLine="105" w:firstLineChars="50"/>
              <w:rPr>
                <w:rFonts w:hint="eastAsia" w:ascii="宋体" w:hAnsi="宋体" w:eastAsia="宋体" w:cs="宋体"/>
                <w:bCs/>
                <w:color w:val="auto"/>
                <w:szCs w:val="21"/>
                <w:highlight w:val="none"/>
              </w:rPr>
            </w:pPr>
          </w:p>
        </w:tc>
      </w:tr>
      <w:tr w14:paraId="3B6143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3F18997A">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39285032">
            <w:pPr>
              <w:adjustRightInd w:val="0"/>
              <w:snapToGrid w:val="0"/>
              <w:spacing w:line="360" w:lineRule="auto"/>
              <w:rPr>
                <w:rFonts w:hint="eastAsia" w:ascii="宋体" w:hAnsi="宋体" w:eastAsia="宋体" w:cs="宋体"/>
                <w:bCs/>
                <w:color w:val="auto"/>
                <w:szCs w:val="21"/>
                <w:highlight w:val="none"/>
              </w:rPr>
            </w:pPr>
          </w:p>
        </w:tc>
        <w:tc>
          <w:tcPr>
            <w:tcW w:w="1047" w:type="pct"/>
            <w:vAlign w:val="center"/>
          </w:tcPr>
          <w:p w14:paraId="55668158">
            <w:pPr>
              <w:adjustRightInd w:val="0"/>
              <w:snapToGrid w:val="0"/>
              <w:spacing w:line="360" w:lineRule="auto"/>
              <w:jc w:val="center"/>
              <w:rPr>
                <w:rFonts w:hint="eastAsia" w:ascii="宋体" w:hAnsi="宋体" w:eastAsia="宋体" w:cs="宋体"/>
                <w:bCs/>
                <w:color w:val="auto"/>
                <w:szCs w:val="21"/>
                <w:highlight w:val="none"/>
              </w:rPr>
            </w:pPr>
          </w:p>
        </w:tc>
        <w:tc>
          <w:tcPr>
            <w:tcW w:w="1950" w:type="pct"/>
            <w:tcBorders>
              <w:left w:val="single" w:color="auto" w:sz="4" w:space="0"/>
            </w:tcBorders>
            <w:vAlign w:val="center"/>
          </w:tcPr>
          <w:p w14:paraId="1AF36EC1">
            <w:pPr>
              <w:spacing w:line="360" w:lineRule="auto"/>
              <w:ind w:firstLine="8" w:firstLineChars="4"/>
              <w:rPr>
                <w:rFonts w:hint="eastAsia" w:ascii="宋体" w:hAnsi="宋体" w:eastAsia="宋体" w:cs="宋体"/>
                <w:bCs/>
                <w:color w:val="auto"/>
                <w:szCs w:val="21"/>
                <w:highlight w:val="none"/>
              </w:rPr>
            </w:pPr>
          </w:p>
        </w:tc>
      </w:tr>
      <w:tr w14:paraId="3DA33D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2EA09CB3">
            <w:pPr>
              <w:adjustRightInd w:val="0"/>
              <w:snapToGrid w:val="0"/>
              <w:spacing w:line="360" w:lineRule="auto"/>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244DDF2A">
            <w:pPr>
              <w:adjustRightInd w:val="0"/>
              <w:snapToGrid w:val="0"/>
              <w:spacing w:line="360" w:lineRule="auto"/>
              <w:rPr>
                <w:rFonts w:hint="eastAsia" w:ascii="宋体" w:hAnsi="宋体" w:eastAsia="宋体" w:cs="宋体"/>
                <w:bCs/>
                <w:color w:val="auto"/>
                <w:szCs w:val="21"/>
                <w:highlight w:val="none"/>
              </w:rPr>
            </w:pPr>
          </w:p>
        </w:tc>
        <w:tc>
          <w:tcPr>
            <w:tcW w:w="1047" w:type="pct"/>
            <w:tcBorders>
              <w:top w:val="single" w:color="auto" w:sz="6" w:space="0"/>
              <w:left w:val="single" w:color="auto" w:sz="6" w:space="0"/>
              <w:bottom w:val="outset" w:color="808080" w:sz="6" w:space="0"/>
              <w:right w:val="single" w:color="auto" w:sz="6" w:space="0"/>
            </w:tcBorders>
            <w:vAlign w:val="center"/>
          </w:tcPr>
          <w:p w14:paraId="534FDBF7">
            <w:pPr>
              <w:adjustRightInd w:val="0"/>
              <w:snapToGrid w:val="0"/>
              <w:spacing w:line="360" w:lineRule="auto"/>
              <w:jc w:val="center"/>
              <w:rPr>
                <w:rFonts w:hint="eastAsia" w:ascii="宋体" w:hAnsi="宋体" w:eastAsia="宋体" w:cs="宋体"/>
                <w:bCs/>
                <w:color w:val="auto"/>
                <w:szCs w:val="21"/>
                <w:highlight w:val="none"/>
              </w:rPr>
            </w:pPr>
          </w:p>
        </w:tc>
        <w:tc>
          <w:tcPr>
            <w:tcW w:w="1950" w:type="pct"/>
            <w:tcBorders>
              <w:top w:val="single" w:color="auto" w:sz="6" w:space="0"/>
              <w:left w:val="single" w:color="auto" w:sz="4" w:space="0"/>
              <w:bottom w:val="outset" w:color="808080" w:sz="6" w:space="0"/>
              <w:right w:val="single" w:color="auto" w:sz="6" w:space="0"/>
            </w:tcBorders>
            <w:vAlign w:val="center"/>
          </w:tcPr>
          <w:p w14:paraId="136A2A8B">
            <w:pPr>
              <w:adjustRightInd w:val="0"/>
              <w:snapToGrid w:val="0"/>
              <w:spacing w:line="360" w:lineRule="auto"/>
              <w:rPr>
                <w:rFonts w:hint="eastAsia" w:ascii="宋体" w:hAnsi="宋体" w:eastAsia="宋体" w:cs="宋体"/>
                <w:bCs/>
                <w:color w:val="auto"/>
                <w:szCs w:val="21"/>
                <w:highlight w:val="none"/>
              </w:rPr>
            </w:pPr>
          </w:p>
        </w:tc>
      </w:tr>
      <w:tr w14:paraId="6E4F92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47E6F064">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047" w:type="pct"/>
            <w:tcBorders>
              <w:bottom w:val="single" w:color="auto" w:sz="4" w:space="0"/>
            </w:tcBorders>
            <w:vAlign w:val="center"/>
          </w:tcPr>
          <w:p w14:paraId="095EB1B1">
            <w:pPr>
              <w:adjustRightInd w:val="0"/>
              <w:snapToGrid w:val="0"/>
              <w:spacing w:line="360" w:lineRule="auto"/>
              <w:jc w:val="center"/>
              <w:rPr>
                <w:rFonts w:hint="eastAsia" w:ascii="宋体" w:hAnsi="宋体" w:eastAsia="宋体" w:cs="宋体"/>
                <w:bCs/>
                <w:color w:val="auto"/>
                <w:szCs w:val="21"/>
                <w:highlight w:val="none"/>
              </w:rPr>
            </w:pPr>
          </w:p>
        </w:tc>
        <w:tc>
          <w:tcPr>
            <w:tcW w:w="1950" w:type="pct"/>
            <w:tcBorders>
              <w:left w:val="single" w:color="auto" w:sz="4" w:space="0"/>
              <w:bottom w:val="single" w:color="auto" w:sz="4" w:space="0"/>
            </w:tcBorders>
            <w:vAlign w:val="center"/>
          </w:tcPr>
          <w:p w14:paraId="4DC6BE2F">
            <w:pPr>
              <w:spacing w:line="360" w:lineRule="auto"/>
              <w:jc w:val="center"/>
              <w:rPr>
                <w:rFonts w:hint="eastAsia" w:ascii="宋体" w:hAnsi="宋体" w:eastAsia="宋体" w:cs="宋体"/>
                <w:bCs/>
                <w:color w:val="auto"/>
                <w:szCs w:val="21"/>
                <w:highlight w:val="none"/>
              </w:rPr>
            </w:pPr>
          </w:p>
        </w:tc>
      </w:tr>
    </w:tbl>
    <w:p w14:paraId="6DB29330">
      <w:pP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2FE6556F">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726" w:name="_Toc30448"/>
      <w:bookmarkStart w:id="727" w:name="_Toc27934"/>
      <w:bookmarkStart w:id="728" w:name="_Toc8540"/>
      <w:bookmarkStart w:id="729" w:name="_Toc18999"/>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.1 用户需求偏离表格式</w:t>
      </w:r>
      <w:bookmarkEnd w:id="717"/>
      <w:bookmarkEnd w:id="718"/>
      <w:bookmarkEnd w:id="719"/>
      <w:bookmarkEnd w:id="720"/>
      <w:bookmarkEnd w:id="721"/>
      <w:bookmarkEnd w:id="722"/>
      <w:bookmarkEnd w:id="723"/>
      <w:bookmarkEnd w:id="724"/>
      <w:bookmarkEnd w:id="726"/>
      <w:bookmarkEnd w:id="727"/>
      <w:bookmarkEnd w:id="728"/>
      <w:bookmarkEnd w:id="729"/>
    </w:p>
    <w:p w14:paraId="13900FD1">
      <w:pPr>
        <w:spacing w:before="120" w:after="120" w:line="360" w:lineRule="auto"/>
        <w:jc w:val="center"/>
        <w:rPr>
          <w:rFonts w:ascii="宋体" w:hAnsi="宋体" w:eastAsia="宋体" w:cs="Times New Roman"/>
          <w:color w:val="auto"/>
          <w:kern w:val="0"/>
          <w:szCs w:val="21"/>
          <w:highlight w:val="none"/>
        </w:rPr>
      </w:pPr>
      <w:bookmarkStart w:id="730" w:name="_Toc17449_WPSOffice_Level3"/>
      <w:r>
        <w:rPr>
          <w:rFonts w:hint="eastAsia" w:ascii="宋体" w:hAnsi="宋体" w:eastAsia="宋体" w:cs="宋体"/>
          <w:b/>
          <w:color w:val="auto"/>
          <w:kern w:val="0"/>
          <w:sz w:val="30"/>
          <w:szCs w:val="30"/>
          <w:highlight w:val="none"/>
          <w:lang w:val="zh-CN"/>
        </w:rPr>
        <w:t>用户需求偏离表</w:t>
      </w:r>
      <w:bookmarkEnd w:id="730"/>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952"/>
        <w:gridCol w:w="6413"/>
        <w:gridCol w:w="722"/>
        <w:gridCol w:w="867"/>
        <w:gridCol w:w="819"/>
      </w:tblGrid>
      <w:tr w14:paraId="0C503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8" w:type="pct"/>
            <w:vMerge w:val="restart"/>
            <w:vAlign w:val="center"/>
          </w:tcPr>
          <w:p w14:paraId="5973AFD1">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3551" w:type="pct"/>
            <w:gridSpan w:val="2"/>
            <w:vAlign w:val="center"/>
          </w:tcPr>
          <w:p w14:paraId="2C932CA1">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招标文件要求</w:t>
            </w:r>
          </w:p>
        </w:tc>
        <w:tc>
          <w:tcPr>
            <w:tcW w:w="1160" w:type="pct"/>
            <w:gridSpan w:val="3"/>
            <w:vAlign w:val="center"/>
          </w:tcPr>
          <w:p w14:paraId="11AAF811">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投标文件内容</w:t>
            </w:r>
          </w:p>
        </w:tc>
      </w:tr>
      <w:tr w14:paraId="4D93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8" w:type="pct"/>
            <w:vMerge w:val="continue"/>
            <w:vAlign w:val="center"/>
          </w:tcPr>
          <w:p w14:paraId="7FE0A1FC">
            <w:pPr>
              <w:keepNext/>
              <w:keepLines/>
              <w:spacing w:line="400" w:lineRule="exact"/>
              <w:jc w:val="center"/>
              <w:outlineLvl w:val="9"/>
              <w:rPr>
                <w:rFonts w:ascii="宋体" w:hAnsi="宋体" w:eastAsia="宋体" w:cs="宋体"/>
                <w:color w:val="auto"/>
                <w:kern w:val="0"/>
                <w:sz w:val="21"/>
                <w:szCs w:val="21"/>
                <w:highlight w:val="none"/>
              </w:rPr>
            </w:pPr>
          </w:p>
        </w:tc>
        <w:tc>
          <w:tcPr>
            <w:tcW w:w="459" w:type="pct"/>
            <w:vAlign w:val="center"/>
          </w:tcPr>
          <w:p w14:paraId="6ED70ED0">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条款号</w:t>
            </w:r>
          </w:p>
        </w:tc>
        <w:tc>
          <w:tcPr>
            <w:tcW w:w="3092" w:type="pct"/>
            <w:vAlign w:val="center"/>
          </w:tcPr>
          <w:p w14:paraId="15DCAA0B">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简要内容</w:t>
            </w:r>
          </w:p>
        </w:tc>
        <w:tc>
          <w:tcPr>
            <w:tcW w:w="348" w:type="pct"/>
            <w:vAlign w:val="center"/>
          </w:tcPr>
          <w:p w14:paraId="7C2FF2C4">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c>
          <w:tcPr>
            <w:tcW w:w="418" w:type="pct"/>
            <w:vAlign w:val="center"/>
          </w:tcPr>
          <w:p w14:paraId="6BB4F08F">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实质性响应的具体内容</w:t>
            </w:r>
          </w:p>
        </w:tc>
        <w:tc>
          <w:tcPr>
            <w:tcW w:w="393" w:type="pct"/>
            <w:vAlign w:val="center"/>
          </w:tcPr>
          <w:p w14:paraId="7C0C7914">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对应证明材料页码</w:t>
            </w:r>
          </w:p>
        </w:tc>
      </w:tr>
      <w:tr w14:paraId="093DC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8" w:type="pct"/>
            <w:vAlign w:val="center"/>
          </w:tcPr>
          <w:p w14:paraId="3E25079F">
            <w:pPr>
              <w:keepNext w:val="0"/>
              <w:keepLines w:val="0"/>
              <w:pageBreakBefore w:val="0"/>
              <w:widowControl w:val="0"/>
              <w:kinsoku/>
              <w:wordWrap/>
              <w:overflowPunct/>
              <w:topLinePunct w:val="0"/>
              <w:bidi w:val="0"/>
              <w:adjustRightInd/>
              <w:snapToGrid/>
              <w:spacing w:before="164" w:beforeLines="50" w:line="360" w:lineRule="auto"/>
              <w:jc w:val="center"/>
              <w:textAlignment w:val="auto"/>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1</w:t>
            </w:r>
          </w:p>
        </w:tc>
        <w:tc>
          <w:tcPr>
            <w:tcW w:w="459" w:type="pct"/>
            <w:vAlign w:val="center"/>
          </w:tcPr>
          <w:p w14:paraId="0023A5D2">
            <w:pPr>
              <w:keepNext w:val="0"/>
              <w:keepLines w:val="0"/>
              <w:pageBreakBefore w:val="0"/>
              <w:widowControl w:val="0"/>
              <w:kinsoku/>
              <w:wordWrap/>
              <w:overflowPunct/>
              <w:topLinePunct w:val="0"/>
              <w:bidi w:val="0"/>
              <w:snapToGrid/>
              <w:spacing w:before="164" w:beforeLines="50" w:line="360" w:lineRule="auto"/>
              <w:jc w:val="center"/>
              <w:textAlignment w:val="auto"/>
              <w:rPr>
                <w:rFonts w:hint="eastAsia" w:ascii="宋体" w:hAnsi="宋体" w:eastAsia="宋体" w:cs="Times New Roman"/>
                <w:b/>
                <w:color w:val="auto"/>
                <w:kern w:val="0"/>
                <w:sz w:val="21"/>
                <w:szCs w:val="21"/>
                <w:highlight w:val="none"/>
                <w:lang w:val="en-US" w:eastAsia="zh-CN"/>
              </w:rPr>
            </w:pPr>
            <w:r>
              <w:rPr>
                <w:rFonts w:hint="eastAsia" w:ascii="宋体" w:hAnsi="宋体" w:eastAsia="宋体" w:cs="Times New Roman"/>
                <w:b/>
                <w:color w:val="auto"/>
                <w:kern w:val="0"/>
                <w:sz w:val="21"/>
                <w:szCs w:val="21"/>
                <w:highlight w:val="none"/>
                <w:lang w:val="en-US" w:eastAsia="zh-CN"/>
              </w:rPr>
              <w:t>一</w:t>
            </w:r>
          </w:p>
        </w:tc>
        <w:tc>
          <w:tcPr>
            <w:tcW w:w="3092" w:type="pct"/>
            <w:vAlign w:val="center"/>
          </w:tcPr>
          <w:p w14:paraId="01A2FE32">
            <w:pPr>
              <w:keepNext w:val="0"/>
              <w:keepLines w:val="0"/>
              <w:pageBreakBefore w:val="0"/>
              <w:widowControl w:val="0"/>
              <w:kinsoku/>
              <w:wordWrap/>
              <w:overflowPunct/>
              <w:topLinePunct w:val="0"/>
              <w:autoSpaceDE w:val="0"/>
              <w:autoSpaceDN w:val="0"/>
              <w:bidi w:val="0"/>
              <w:adjustRightInd w:val="0"/>
              <w:snapToGrid/>
              <w:spacing w:before="164" w:beforeLines="50" w:line="360" w:lineRule="auto"/>
              <w:textAlignment w:val="auto"/>
              <w:rPr>
                <w:rFonts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采购内容</w:t>
            </w:r>
          </w:p>
        </w:tc>
        <w:tc>
          <w:tcPr>
            <w:tcW w:w="348" w:type="pct"/>
            <w:vAlign w:val="center"/>
          </w:tcPr>
          <w:p w14:paraId="4EBA5595">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7FD19AEF">
            <w:pPr>
              <w:keepNext/>
              <w:keepLines/>
              <w:spacing w:line="400" w:lineRule="exact"/>
              <w:jc w:val="center"/>
              <w:outlineLvl w:val="9"/>
              <w:rPr>
                <w:rFonts w:ascii="宋体" w:hAnsi="宋体" w:eastAsia="宋体" w:cs="宋体"/>
                <w:color w:val="auto"/>
                <w:kern w:val="0"/>
                <w:sz w:val="18"/>
                <w:szCs w:val="18"/>
                <w:highlight w:val="none"/>
              </w:rPr>
            </w:pPr>
          </w:p>
        </w:tc>
        <w:tc>
          <w:tcPr>
            <w:tcW w:w="393" w:type="pct"/>
            <w:vAlign w:val="center"/>
          </w:tcPr>
          <w:p w14:paraId="002510B9">
            <w:pPr>
              <w:keepNext/>
              <w:keepLines/>
              <w:spacing w:line="400" w:lineRule="exact"/>
              <w:jc w:val="center"/>
              <w:outlineLvl w:val="9"/>
              <w:rPr>
                <w:rFonts w:ascii="宋体" w:hAnsi="宋体" w:eastAsia="宋体" w:cs="宋体"/>
                <w:color w:val="auto"/>
                <w:kern w:val="0"/>
                <w:sz w:val="18"/>
                <w:szCs w:val="18"/>
                <w:highlight w:val="none"/>
              </w:rPr>
            </w:pPr>
          </w:p>
        </w:tc>
      </w:tr>
      <w:tr w14:paraId="0100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16C43866">
            <w:pPr>
              <w:keepNext w:val="0"/>
              <w:keepLines w:val="0"/>
              <w:pageBreakBefore w:val="0"/>
              <w:widowControl w:val="0"/>
              <w:kinsoku/>
              <w:wordWrap/>
              <w:overflowPunct/>
              <w:topLinePunct w:val="0"/>
              <w:bidi w:val="0"/>
              <w:adjustRightInd/>
              <w:snapToGrid/>
              <w:spacing w:before="164" w:beforeLines="50" w:line="360" w:lineRule="auto"/>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459" w:type="pct"/>
            <w:vAlign w:val="center"/>
          </w:tcPr>
          <w:p w14:paraId="021A9E74">
            <w:pPr>
              <w:keepNext w:val="0"/>
              <w:keepLines w:val="0"/>
              <w:pageBreakBefore w:val="0"/>
              <w:widowControl w:val="0"/>
              <w:kinsoku/>
              <w:wordWrap/>
              <w:overflowPunct/>
              <w:topLinePunct w:val="0"/>
              <w:bidi w:val="0"/>
              <w:snapToGrid/>
              <w:spacing w:before="164" w:beforeLines="50"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二</w:t>
            </w:r>
          </w:p>
        </w:tc>
        <w:tc>
          <w:tcPr>
            <w:tcW w:w="3092" w:type="pct"/>
            <w:vAlign w:val="center"/>
          </w:tcPr>
          <w:p w14:paraId="0ABF1094">
            <w:pPr>
              <w:keepNext w:val="0"/>
              <w:keepLines w:val="0"/>
              <w:pageBreakBefore w:val="0"/>
              <w:widowControl w:val="0"/>
              <w:kinsoku/>
              <w:wordWrap/>
              <w:overflowPunct/>
              <w:topLinePunct w:val="0"/>
              <w:bidi w:val="0"/>
              <w:snapToGrid/>
              <w:spacing w:before="164" w:beforeLines="50"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保安服务质量要求</w:t>
            </w:r>
          </w:p>
        </w:tc>
        <w:tc>
          <w:tcPr>
            <w:tcW w:w="348" w:type="pct"/>
            <w:vAlign w:val="center"/>
          </w:tcPr>
          <w:p w14:paraId="0BB41D94">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2F97A31A">
            <w:pPr>
              <w:keepNext/>
              <w:keepLines/>
              <w:spacing w:line="400" w:lineRule="exact"/>
              <w:jc w:val="center"/>
              <w:outlineLvl w:val="9"/>
              <w:rPr>
                <w:rFonts w:ascii="宋体" w:hAnsi="宋体" w:eastAsia="宋体" w:cs="宋体"/>
                <w:color w:val="auto"/>
                <w:kern w:val="0"/>
                <w:sz w:val="18"/>
                <w:szCs w:val="18"/>
                <w:highlight w:val="none"/>
              </w:rPr>
            </w:pPr>
          </w:p>
        </w:tc>
        <w:tc>
          <w:tcPr>
            <w:tcW w:w="393" w:type="pct"/>
            <w:vAlign w:val="center"/>
          </w:tcPr>
          <w:p w14:paraId="54835D7D">
            <w:pPr>
              <w:keepNext/>
              <w:keepLines/>
              <w:spacing w:line="400" w:lineRule="exact"/>
              <w:jc w:val="center"/>
              <w:outlineLvl w:val="9"/>
              <w:rPr>
                <w:rFonts w:ascii="宋体" w:hAnsi="宋体" w:eastAsia="宋体" w:cs="宋体"/>
                <w:color w:val="auto"/>
                <w:kern w:val="0"/>
                <w:sz w:val="18"/>
                <w:szCs w:val="18"/>
                <w:highlight w:val="none"/>
              </w:rPr>
            </w:pPr>
          </w:p>
        </w:tc>
      </w:tr>
      <w:tr w14:paraId="76ACE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4CEC501E">
            <w:pPr>
              <w:keepNext w:val="0"/>
              <w:keepLines w:val="0"/>
              <w:pageBreakBefore w:val="0"/>
              <w:widowControl w:val="0"/>
              <w:kinsoku/>
              <w:wordWrap/>
              <w:overflowPunct/>
              <w:topLinePunct w:val="0"/>
              <w:bidi w:val="0"/>
              <w:adjustRightInd/>
              <w:snapToGrid/>
              <w:spacing w:before="164" w:beforeLines="50" w:line="360" w:lineRule="auto"/>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459" w:type="pct"/>
            <w:vAlign w:val="center"/>
          </w:tcPr>
          <w:p w14:paraId="3D86D032">
            <w:pPr>
              <w:keepNext w:val="0"/>
              <w:keepLines w:val="0"/>
              <w:pageBreakBefore w:val="0"/>
              <w:widowControl w:val="0"/>
              <w:kinsoku/>
              <w:wordWrap/>
              <w:overflowPunct/>
              <w:topLinePunct w:val="0"/>
              <w:bidi w:val="0"/>
              <w:snapToGrid/>
              <w:spacing w:before="164" w:beforeLines="50"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三</w:t>
            </w:r>
          </w:p>
        </w:tc>
        <w:tc>
          <w:tcPr>
            <w:tcW w:w="3092" w:type="pct"/>
            <w:vAlign w:val="center"/>
          </w:tcPr>
          <w:p w14:paraId="45EDED7E">
            <w:pPr>
              <w:keepNext w:val="0"/>
              <w:keepLines w:val="0"/>
              <w:pageBreakBefore w:val="0"/>
              <w:widowControl w:val="0"/>
              <w:kinsoku/>
              <w:wordWrap/>
              <w:overflowPunct/>
              <w:topLinePunct w:val="0"/>
              <w:bidi w:val="0"/>
              <w:snapToGrid/>
              <w:spacing w:before="164" w:beforeLines="50"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服务具体要求</w:t>
            </w:r>
          </w:p>
        </w:tc>
        <w:tc>
          <w:tcPr>
            <w:tcW w:w="348" w:type="pct"/>
            <w:vAlign w:val="center"/>
          </w:tcPr>
          <w:p w14:paraId="0C3AE9CF">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371BFE69">
            <w:pPr>
              <w:keepNext/>
              <w:keepLines/>
              <w:spacing w:line="400" w:lineRule="exact"/>
              <w:jc w:val="center"/>
              <w:outlineLvl w:val="9"/>
              <w:rPr>
                <w:rFonts w:ascii="宋体" w:hAnsi="宋体" w:eastAsia="宋体" w:cs="宋体"/>
                <w:color w:val="auto"/>
                <w:kern w:val="0"/>
                <w:sz w:val="18"/>
                <w:szCs w:val="18"/>
                <w:highlight w:val="none"/>
              </w:rPr>
            </w:pPr>
          </w:p>
        </w:tc>
        <w:tc>
          <w:tcPr>
            <w:tcW w:w="393" w:type="pct"/>
            <w:vAlign w:val="center"/>
          </w:tcPr>
          <w:p w14:paraId="153415BD">
            <w:pPr>
              <w:keepNext/>
              <w:keepLines/>
              <w:spacing w:line="400" w:lineRule="exact"/>
              <w:jc w:val="center"/>
              <w:outlineLvl w:val="9"/>
              <w:rPr>
                <w:rFonts w:ascii="宋体" w:hAnsi="宋体" w:eastAsia="宋体" w:cs="宋体"/>
                <w:color w:val="auto"/>
                <w:kern w:val="0"/>
                <w:sz w:val="18"/>
                <w:szCs w:val="18"/>
                <w:highlight w:val="none"/>
              </w:rPr>
            </w:pPr>
          </w:p>
        </w:tc>
      </w:tr>
      <w:tr w14:paraId="3947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7BC6CEBE">
            <w:pPr>
              <w:keepNext w:val="0"/>
              <w:keepLines w:val="0"/>
              <w:pageBreakBefore w:val="0"/>
              <w:widowControl w:val="0"/>
              <w:kinsoku/>
              <w:wordWrap/>
              <w:overflowPunct/>
              <w:topLinePunct w:val="0"/>
              <w:bidi w:val="0"/>
              <w:adjustRightInd/>
              <w:snapToGrid/>
              <w:spacing w:before="164" w:beforeLines="50" w:line="360" w:lineRule="auto"/>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459" w:type="pct"/>
            <w:vAlign w:val="center"/>
          </w:tcPr>
          <w:p w14:paraId="5B6CD8A7">
            <w:pPr>
              <w:keepNext w:val="0"/>
              <w:keepLines w:val="0"/>
              <w:pageBreakBefore w:val="0"/>
              <w:widowControl w:val="0"/>
              <w:kinsoku/>
              <w:wordWrap/>
              <w:overflowPunct/>
              <w:topLinePunct w:val="0"/>
              <w:bidi w:val="0"/>
              <w:snapToGrid/>
              <w:spacing w:before="164" w:beforeLines="50"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四</w:t>
            </w:r>
          </w:p>
        </w:tc>
        <w:tc>
          <w:tcPr>
            <w:tcW w:w="3092" w:type="pct"/>
            <w:vAlign w:val="center"/>
          </w:tcPr>
          <w:p w14:paraId="12C03219">
            <w:pPr>
              <w:keepNext w:val="0"/>
              <w:keepLines w:val="0"/>
              <w:pageBreakBefore w:val="0"/>
              <w:widowControl w:val="0"/>
              <w:kinsoku/>
              <w:wordWrap/>
              <w:overflowPunct/>
              <w:topLinePunct w:val="0"/>
              <w:bidi w:val="0"/>
              <w:snapToGrid/>
              <w:spacing w:before="164" w:beforeLines="50"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投标报价及服务费支付</w:t>
            </w:r>
          </w:p>
        </w:tc>
        <w:tc>
          <w:tcPr>
            <w:tcW w:w="348" w:type="pct"/>
            <w:vAlign w:val="center"/>
          </w:tcPr>
          <w:p w14:paraId="13D66EFE">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0B30F980">
            <w:pPr>
              <w:keepNext/>
              <w:keepLines/>
              <w:spacing w:line="400" w:lineRule="exact"/>
              <w:jc w:val="center"/>
              <w:outlineLvl w:val="9"/>
              <w:rPr>
                <w:rFonts w:ascii="宋体" w:hAnsi="宋体" w:eastAsia="宋体" w:cs="宋体"/>
                <w:color w:val="auto"/>
                <w:kern w:val="0"/>
                <w:sz w:val="18"/>
                <w:szCs w:val="18"/>
                <w:highlight w:val="none"/>
              </w:rPr>
            </w:pPr>
          </w:p>
        </w:tc>
        <w:tc>
          <w:tcPr>
            <w:tcW w:w="393" w:type="pct"/>
            <w:vAlign w:val="center"/>
          </w:tcPr>
          <w:p w14:paraId="793E13B1">
            <w:pPr>
              <w:keepNext/>
              <w:keepLines/>
              <w:spacing w:line="400" w:lineRule="exact"/>
              <w:jc w:val="center"/>
              <w:outlineLvl w:val="9"/>
              <w:rPr>
                <w:rFonts w:ascii="宋体" w:hAnsi="宋体" w:eastAsia="宋体" w:cs="宋体"/>
                <w:color w:val="auto"/>
                <w:kern w:val="0"/>
                <w:sz w:val="18"/>
                <w:szCs w:val="18"/>
                <w:highlight w:val="none"/>
              </w:rPr>
            </w:pPr>
          </w:p>
        </w:tc>
      </w:tr>
      <w:tr w14:paraId="7A08B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40E71E44">
            <w:pPr>
              <w:keepNext w:val="0"/>
              <w:keepLines w:val="0"/>
              <w:pageBreakBefore w:val="0"/>
              <w:widowControl w:val="0"/>
              <w:kinsoku/>
              <w:wordWrap/>
              <w:overflowPunct/>
              <w:topLinePunct w:val="0"/>
              <w:bidi w:val="0"/>
              <w:adjustRightInd/>
              <w:snapToGrid/>
              <w:spacing w:before="164" w:beforeLines="50" w:line="360" w:lineRule="auto"/>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459" w:type="pct"/>
            <w:vAlign w:val="center"/>
          </w:tcPr>
          <w:p w14:paraId="309B0B06">
            <w:pPr>
              <w:keepNext w:val="0"/>
              <w:keepLines w:val="0"/>
              <w:pageBreakBefore w:val="0"/>
              <w:widowControl w:val="0"/>
              <w:kinsoku/>
              <w:wordWrap/>
              <w:overflowPunct/>
              <w:topLinePunct w:val="0"/>
              <w:bidi w:val="0"/>
              <w:snapToGrid/>
              <w:spacing w:before="164" w:beforeLines="50"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五</w:t>
            </w:r>
          </w:p>
        </w:tc>
        <w:tc>
          <w:tcPr>
            <w:tcW w:w="3092" w:type="pct"/>
            <w:vAlign w:val="center"/>
          </w:tcPr>
          <w:p w14:paraId="581C9817">
            <w:pPr>
              <w:keepNext w:val="0"/>
              <w:keepLines w:val="0"/>
              <w:pageBreakBefore w:val="0"/>
              <w:widowControl w:val="0"/>
              <w:kinsoku/>
              <w:wordWrap/>
              <w:overflowPunct/>
              <w:topLinePunct w:val="0"/>
              <w:bidi w:val="0"/>
              <w:snapToGrid/>
              <w:spacing w:before="164" w:beforeLines="50" w:line="360" w:lineRule="auto"/>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考核办法</w:t>
            </w:r>
          </w:p>
        </w:tc>
        <w:tc>
          <w:tcPr>
            <w:tcW w:w="348" w:type="pct"/>
            <w:vAlign w:val="center"/>
          </w:tcPr>
          <w:p w14:paraId="758602E7">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2C0B2814">
            <w:pPr>
              <w:keepNext/>
              <w:keepLines/>
              <w:spacing w:line="400" w:lineRule="exact"/>
              <w:jc w:val="center"/>
              <w:outlineLvl w:val="9"/>
              <w:rPr>
                <w:rFonts w:ascii="宋体" w:hAnsi="宋体" w:eastAsia="宋体" w:cs="宋体"/>
                <w:color w:val="auto"/>
                <w:kern w:val="0"/>
                <w:sz w:val="18"/>
                <w:szCs w:val="18"/>
                <w:highlight w:val="none"/>
              </w:rPr>
            </w:pPr>
          </w:p>
        </w:tc>
        <w:tc>
          <w:tcPr>
            <w:tcW w:w="393" w:type="pct"/>
            <w:vAlign w:val="center"/>
          </w:tcPr>
          <w:p w14:paraId="63B70D5D">
            <w:pPr>
              <w:keepNext/>
              <w:keepLines/>
              <w:spacing w:line="400" w:lineRule="exact"/>
              <w:jc w:val="center"/>
              <w:outlineLvl w:val="9"/>
              <w:rPr>
                <w:rFonts w:ascii="宋体" w:hAnsi="宋体" w:eastAsia="宋体" w:cs="宋体"/>
                <w:color w:val="auto"/>
                <w:kern w:val="0"/>
                <w:sz w:val="18"/>
                <w:szCs w:val="18"/>
                <w:highlight w:val="none"/>
              </w:rPr>
            </w:pPr>
          </w:p>
        </w:tc>
      </w:tr>
      <w:tr w14:paraId="23D99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64B1FB14">
            <w:pPr>
              <w:keepNext/>
              <w:keepLines/>
              <w:spacing w:line="400" w:lineRule="exact"/>
              <w:jc w:val="center"/>
              <w:outlineLvl w:val="2"/>
              <w:rPr>
                <w:rFonts w:ascii="宋体" w:hAnsi="宋体" w:eastAsia="宋体" w:cs="宋体"/>
                <w:color w:val="auto"/>
                <w:kern w:val="0"/>
                <w:sz w:val="18"/>
                <w:szCs w:val="18"/>
                <w:highlight w:val="none"/>
              </w:rPr>
            </w:pPr>
            <w:bookmarkStart w:id="731" w:name="_Toc177203330"/>
            <w:bookmarkStart w:id="732" w:name="_Toc8778"/>
            <w:bookmarkStart w:id="733" w:name="_Toc10037"/>
            <w:r>
              <w:rPr>
                <w:rFonts w:hint="eastAsia" w:ascii="宋体" w:hAnsi="宋体" w:eastAsia="宋体" w:cs="宋体"/>
                <w:b/>
                <w:bCs/>
                <w:color w:val="auto"/>
                <w:kern w:val="0"/>
                <w:szCs w:val="21"/>
              </w:rPr>
              <w:t>用户需求书“★”条款汇总:</w:t>
            </w:r>
            <w:bookmarkEnd w:id="731"/>
            <w:bookmarkEnd w:id="732"/>
            <w:bookmarkEnd w:id="733"/>
          </w:p>
        </w:tc>
      </w:tr>
      <w:tr w14:paraId="057F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1BE5405E">
            <w:pPr>
              <w:spacing w:line="400" w:lineRule="exact"/>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c>
          <w:tcPr>
            <w:tcW w:w="459" w:type="pct"/>
            <w:vAlign w:val="center"/>
          </w:tcPr>
          <w:p w14:paraId="7CF3890A">
            <w:pPr>
              <w:spacing w:line="400" w:lineRule="exact"/>
              <w:jc w:val="center"/>
              <w:rPr>
                <w:rFonts w:hint="eastAsia" w:ascii="宋体" w:hAnsi="宋体" w:eastAsia="宋体" w:cs="Times New Roman"/>
                <w:b w:val="0"/>
                <w:bCs w:val="0"/>
                <w:color w:val="auto"/>
                <w:kern w:val="0"/>
                <w:sz w:val="21"/>
                <w:szCs w:val="21"/>
                <w:highlight w:val="none"/>
                <w:lang w:val="en-US" w:eastAsia="zh-CN"/>
              </w:rPr>
            </w:pPr>
            <w:r>
              <w:rPr>
                <w:rFonts w:hint="eastAsia" w:ascii="宋体" w:hAnsi="宋体" w:eastAsia="宋体" w:cs="Times New Roman"/>
                <w:b w:val="0"/>
                <w:bCs w:val="0"/>
                <w:color w:val="auto"/>
                <w:kern w:val="0"/>
                <w:sz w:val="21"/>
                <w:szCs w:val="21"/>
                <w:highlight w:val="none"/>
                <w:lang w:val="en-US" w:eastAsia="zh-CN"/>
              </w:rPr>
              <w:t>二</w:t>
            </w:r>
          </w:p>
        </w:tc>
        <w:tc>
          <w:tcPr>
            <w:tcW w:w="3092" w:type="pct"/>
            <w:vAlign w:val="center"/>
          </w:tcPr>
          <w:p w14:paraId="47C6C745">
            <w:pPr>
              <w:spacing w:line="40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 xml:space="preserve">★（四）服务成果要求 </w:t>
            </w:r>
          </w:p>
          <w:p w14:paraId="454600C5">
            <w:pPr>
              <w:spacing w:line="40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在服务期内无因中标人的安保原因而造成的重大安全事故发生、中标人派驻的保安人员无重大安全事故发生。【重大安全事故是指造成重大人身伤亡或者造成重大经济损失的事故：①一次死亡1人；②一次重伤3人以上；③重大火灾事故（着火面积达到300㎡以上）；④一次造成重大直接经济损失的（5万元以上）。】</w:t>
            </w:r>
          </w:p>
          <w:p w14:paraId="681EB43F">
            <w:pPr>
              <w:spacing w:line="40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2．中标人要制定保安管理发展规划，使招标人满意率达90%以上（即考核取得90分或以上）。</w:t>
            </w:r>
          </w:p>
        </w:tc>
        <w:tc>
          <w:tcPr>
            <w:tcW w:w="348" w:type="pct"/>
            <w:vAlign w:val="center"/>
          </w:tcPr>
          <w:p w14:paraId="460B4F96">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39620D20">
            <w:pPr>
              <w:keepNext/>
              <w:keepLines/>
              <w:spacing w:line="400" w:lineRule="exact"/>
              <w:jc w:val="center"/>
              <w:outlineLvl w:val="9"/>
              <w:rPr>
                <w:rFonts w:ascii="宋体" w:hAnsi="宋体" w:eastAsia="宋体" w:cs="宋体"/>
                <w:color w:val="auto"/>
                <w:kern w:val="0"/>
                <w:sz w:val="18"/>
                <w:szCs w:val="18"/>
                <w:highlight w:val="none"/>
              </w:rPr>
            </w:pPr>
          </w:p>
        </w:tc>
        <w:tc>
          <w:tcPr>
            <w:tcW w:w="393" w:type="pct"/>
            <w:vAlign w:val="center"/>
          </w:tcPr>
          <w:p w14:paraId="61C43181">
            <w:pPr>
              <w:keepNext/>
              <w:keepLines/>
              <w:spacing w:line="400" w:lineRule="exact"/>
              <w:jc w:val="center"/>
              <w:outlineLvl w:val="9"/>
              <w:rPr>
                <w:rFonts w:ascii="宋体" w:hAnsi="宋体" w:eastAsia="宋体" w:cs="宋体"/>
                <w:color w:val="auto"/>
                <w:kern w:val="0"/>
                <w:sz w:val="18"/>
                <w:szCs w:val="18"/>
                <w:highlight w:val="none"/>
              </w:rPr>
            </w:pPr>
          </w:p>
        </w:tc>
      </w:tr>
      <w:tr w14:paraId="69061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1971F482">
            <w:pPr>
              <w:spacing w:line="400" w:lineRule="exact"/>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459" w:type="pct"/>
            <w:vAlign w:val="center"/>
          </w:tcPr>
          <w:p w14:paraId="601056B3">
            <w:pPr>
              <w:spacing w:line="400" w:lineRule="exact"/>
              <w:jc w:val="center"/>
              <w:rPr>
                <w:rFonts w:hint="eastAsia" w:ascii="宋体" w:hAnsi="宋体" w:eastAsia="宋体" w:cs="Times New Roman"/>
                <w:b w:val="0"/>
                <w:bCs w:val="0"/>
                <w:color w:val="auto"/>
                <w:kern w:val="0"/>
                <w:sz w:val="21"/>
                <w:szCs w:val="21"/>
                <w:highlight w:val="none"/>
                <w:lang w:val="en-US" w:eastAsia="zh-CN"/>
              </w:rPr>
            </w:pPr>
            <w:r>
              <w:rPr>
                <w:rFonts w:hint="eastAsia" w:ascii="宋体" w:hAnsi="宋体" w:eastAsia="宋体" w:cs="Times New Roman"/>
                <w:b w:val="0"/>
                <w:bCs w:val="0"/>
                <w:color w:val="auto"/>
                <w:kern w:val="0"/>
                <w:sz w:val="21"/>
                <w:szCs w:val="21"/>
                <w:highlight w:val="none"/>
                <w:lang w:val="en-US" w:eastAsia="zh-CN"/>
              </w:rPr>
              <w:t>二</w:t>
            </w:r>
          </w:p>
        </w:tc>
        <w:tc>
          <w:tcPr>
            <w:tcW w:w="3092" w:type="pct"/>
            <w:vAlign w:val="center"/>
          </w:tcPr>
          <w:p w14:paraId="50C062BC">
            <w:pPr>
              <w:spacing w:line="40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 xml:space="preserve">★（六）保安人员配置说明 </w:t>
            </w:r>
          </w:p>
          <w:p w14:paraId="0E844832">
            <w:pPr>
              <w:spacing w:line="40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基于管网公司实际经营情况，人员配置按以下安排：（1）保安执行三班倒工作制，实行 24 小时值班，每班次8小时，按用户需求书的人员配置分配到每班中，或根据招标人运营地的工作要求合理安排每班次安保岗位的人数；（2）每班人员不能重复，严格按照保安人员配置表要求人数上班，保证服务范围内的人员财产安全，每个服务地应设保安队长1名。</w:t>
            </w:r>
          </w:p>
        </w:tc>
        <w:tc>
          <w:tcPr>
            <w:tcW w:w="348" w:type="pct"/>
            <w:vAlign w:val="center"/>
          </w:tcPr>
          <w:p w14:paraId="3425B1BD">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1F505BA3">
            <w:pPr>
              <w:keepNext/>
              <w:keepLines/>
              <w:spacing w:line="400" w:lineRule="exact"/>
              <w:jc w:val="center"/>
              <w:outlineLvl w:val="9"/>
              <w:rPr>
                <w:rFonts w:ascii="宋体" w:hAnsi="宋体" w:eastAsia="宋体" w:cs="宋体"/>
                <w:color w:val="auto"/>
                <w:kern w:val="0"/>
                <w:sz w:val="18"/>
                <w:szCs w:val="18"/>
                <w:highlight w:val="none"/>
              </w:rPr>
            </w:pPr>
          </w:p>
        </w:tc>
        <w:tc>
          <w:tcPr>
            <w:tcW w:w="393" w:type="pct"/>
            <w:vAlign w:val="center"/>
          </w:tcPr>
          <w:p w14:paraId="3FA4AE3A">
            <w:pPr>
              <w:keepNext/>
              <w:keepLines/>
              <w:spacing w:line="400" w:lineRule="exact"/>
              <w:jc w:val="center"/>
              <w:outlineLvl w:val="9"/>
              <w:rPr>
                <w:rFonts w:ascii="宋体" w:hAnsi="宋体" w:eastAsia="宋体" w:cs="宋体"/>
                <w:color w:val="auto"/>
                <w:kern w:val="0"/>
                <w:sz w:val="18"/>
                <w:szCs w:val="18"/>
                <w:highlight w:val="none"/>
              </w:rPr>
            </w:pPr>
          </w:p>
        </w:tc>
      </w:tr>
      <w:tr w14:paraId="34995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6135643B">
            <w:pPr>
              <w:spacing w:line="400" w:lineRule="exact"/>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p>
        </w:tc>
        <w:tc>
          <w:tcPr>
            <w:tcW w:w="459" w:type="pct"/>
            <w:vAlign w:val="center"/>
          </w:tcPr>
          <w:p w14:paraId="2586CF96">
            <w:pPr>
              <w:spacing w:line="400" w:lineRule="exact"/>
              <w:jc w:val="center"/>
              <w:rPr>
                <w:rFonts w:hint="eastAsia" w:ascii="宋体" w:hAnsi="宋体" w:eastAsia="宋体" w:cs="Times New Roman"/>
                <w:b w:val="0"/>
                <w:bCs w:val="0"/>
                <w:color w:val="auto"/>
                <w:kern w:val="0"/>
                <w:sz w:val="21"/>
                <w:szCs w:val="21"/>
                <w:highlight w:val="none"/>
                <w:lang w:val="en-US" w:eastAsia="zh-CN"/>
              </w:rPr>
            </w:pPr>
            <w:r>
              <w:rPr>
                <w:rFonts w:hint="eastAsia" w:ascii="宋体" w:hAnsi="宋体" w:eastAsia="宋体" w:cs="Times New Roman"/>
                <w:b w:val="0"/>
                <w:bCs w:val="0"/>
                <w:color w:val="auto"/>
                <w:kern w:val="0"/>
                <w:sz w:val="21"/>
                <w:szCs w:val="21"/>
                <w:highlight w:val="none"/>
                <w:lang w:val="en-US" w:eastAsia="zh-CN"/>
              </w:rPr>
              <w:t>二</w:t>
            </w:r>
          </w:p>
        </w:tc>
        <w:tc>
          <w:tcPr>
            <w:tcW w:w="3092" w:type="pct"/>
            <w:vAlign w:val="center"/>
          </w:tcPr>
          <w:p w14:paraId="2EC9B4DD">
            <w:pPr>
              <w:spacing w:line="40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 xml:space="preserve">★（七）中标人派驻服务范围内的保安员素质要求 </w:t>
            </w:r>
          </w:p>
          <w:p w14:paraId="59143FB6">
            <w:pPr>
              <w:spacing w:line="40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1．身高 165cm 以上，</w:t>
            </w:r>
            <w:r>
              <w:rPr>
                <w:rFonts w:hint="eastAsia" w:ascii="宋体" w:hAnsi="宋体" w:eastAsia="宋体" w:cs="宋体"/>
                <w:b w:val="0"/>
                <w:bCs w:val="0"/>
                <w:color w:val="auto"/>
                <w:kern w:val="0"/>
                <w:sz w:val="21"/>
                <w:szCs w:val="21"/>
                <w:highlight w:val="none"/>
                <w:lang w:val="en-US" w:eastAsia="zh-CN"/>
              </w:rPr>
              <w:t>年龄在25-50岁之间，</w:t>
            </w:r>
            <w:r>
              <w:rPr>
                <w:rFonts w:hint="eastAsia" w:ascii="宋体" w:hAnsi="宋体" w:eastAsia="宋体" w:cs="宋体"/>
                <w:b w:val="0"/>
                <w:bCs w:val="0"/>
                <w:color w:val="auto"/>
                <w:kern w:val="0"/>
                <w:sz w:val="21"/>
                <w:szCs w:val="21"/>
                <w:highlight w:val="none"/>
              </w:rPr>
              <w:t>五官端正，身体健康无残疾，无色盲，双眼裸视 0.8 以上；</w:t>
            </w:r>
          </w:p>
          <w:p w14:paraId="63A4803E">
            <w:pPr>
              <w:spacing w:line="40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2．无纹身，男性不得留长发、长胡须、不染发；</w:t>
            </w:r>
          </w:p>
          <w:p w14:paraId="049229AD">
            <w:pPr>
              <w:spacing w:line="40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3．具备一定语言和文字表达能力；</w:t>
            </w:r>
          </w:p>
          <w:p w14:paraId="4E0EE739">
            <w:pPr>
              <w:spacing w:line="40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4．注重仪容仪表，文明执勤，礼貌服务；</w:t>
            </w:r>
          </w:p>
          <w:p w14:paraId="23D542A0">
            <w:pPr>
              <w:spacing w:line="40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5．所有人员培训合格并持证上岗；</w:t>
            </w:r>
          </w:p>
          <w:p w14:paraId="30353798">
            <w:pPr>
              <w:spacing w:line="40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6．热爱保安工作，具有较强的工作责任心，并具有敏锐的洞察力，具备与岗位职责相应的观察、发现、处置问题能力；</w:t>
            </w:r>
          </w:p>
          <w:p w14:paraId="6D292398">
            <w:pPr>
              <w:spacing w:line="40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7．遵纪守法，没有违法犯罪前科；</w:t>
            </w:r>
          </w:p>
          <w:p w14:paraId="7FE6BC47">
            <w:pPr>
              <w:spacing w:line="40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8．具备基本法律知识及保安专业相关的政策，纪律性强，保证绝对遵守招标人及本采购项目的工作规章制度与内部管理规定；</w:t>
            </w:r>
          </w:p>
          <w:p w14:paraId="151607B9">
            <w:pPr>
              <w:spacing w:line="40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9．具备使用基本消防设备、通讯器材、技术防范设施设备和相关防卫器械技能；</w:t>
            </w:r>
          </w:p>
          <w:p w14:paraId="74C2757E">
            <w:pPr>
              <w:spacing w:line="40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10．掌握一定防卫和擒敌技能。</w:t>
            </w:r>
          </w:p>
        </w:tc>
        <w:tc>
          <w:tcPr>
            <w:tcW w:w="348" w:type="pct"/>
            <w:vAlign w:val="center"/>
          </w:tcPr>
          <w:p w14:paraId="0FA18D17">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7ACCAECC">
            <w:pPr>
              <w:keepNext/>
              <w:keepLines/>
              <w:spacing w:line="400" w:lineRule="exact"/>
              <w:jc w:val="center"/>
              <w:outlineLvl w:val="9"/>
              <w:rPr>
                <w:rFonts w:ascii="宋体" w:hAnsi="宋体" w:eastAsia="宋体" w:cs="宋体"/>
                <w:color w:val="auto"/>
                <w:kern w:val="0"/>
                <w:sz w:val="18"/>
                <w:szCs w:val="18"/>
                <w:highlight w:val="none"/>
              </w:rPr>
            </w:pPr>
          </w:p>
        </w:tc>
        <w:tc>
          <w:tcPr>
            <w:tcW w:w="393" w:type="pct"/>
            <w:vAlign w:val="center"/>
          </w:tcPr>
          <w:p w14:paraId="45B8D236">
            <w:pPr>
              <w:keepNext/>
              <w:keepLines/>
              <w:spacing w:line="400" w:lineRule="exact"/>
              <w:jc w:val="center"/>
              <w:outlineLvl w:val="9"/>
              <w:rPr>
                <w:rFonts w:ascii="宋体" w:hAnsi="宋体" w:eastAsia="宋体" w:cs="宋体"/>
                <w:color w:val="auto"/>
                <w:kern w:val="0"/>
                <w:sz w:val="18"/>
                <w:szCs w:val="18"/>
                <w:highlight w:val="none"/>
              </w:rPr>
            </w:pPr>
          </w:p>
        </w:tc>
      </w:tr>
      <w:tr w14:paraId="0C536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18A1C62A">
            <w:pPr>
              <w:spacing w:line="400" w:lineRule="exact"/>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w:t>
            </w:r>
          </w:p>
        </w:tc>
        <w:tc>
          <w:tcPr>
            <w:tcW w:w="459" w:type="pct"/>
            <w:vAlign w:val="center"/>
          </w:tcPr>
          <w:p w14:paraId="6E3D8985">
            <w:pPr>
              <w:spacing w:line="400" w:lineRule="exact"/>
              <w:jc w:val="center"/>
              <w:rPr>
                <w:rFonts w:hint="eastAsia" w:ascii="宋体" w:hAnsi="宋体" w:eastAsia="宋体" w:cs="Times New Roman"/>
                <w:b w:val="0"/>
                <w:bCs w:val="0"/>
                <w:color w:val="auto"/>
                <w:kern w:val="0"/>
                <w:sz w:val="21"/>
                <w:szCs w:val="21"/>
                <w:highlight w:val="none"/>
                <w:lang w:val="en-US" w:eastAsia="zh-CN"/>
              </w:rPr>
            </w:pPr>
            <w:r>
              <w:rPr>
                <w:rFonts w:hint="eastAsia" w:ascii="宋体" w:hAnsi="宋体" w:eastAsia="宋体" w:cs="Times New Roman"/>
                <w:b w:val="0"/>
                <w:bCs w:val="0"/>
                <w:color w:val="auto"/>
                <w:kern w:val="0"/>
                <w:sz w:val="21"/>
                <w:szCs w:val="21"/>
                <w:highlight w:val="none"/>
                <w:lang w:val="en-US" w:eastAsia="zh-CN"/>
              </w:rPr>
              <w:t>二</w:t>
            </w:r>
          </w:p>
        </w:tc>
        <w:tc>
          <w:tcPr>
            <w:tcW w:w="3092" w:type="pct"/>
            <w:vAlign w:val="center"/>
          </w:tcPr>
          <w:p w14:paraId="5D9B82E7">
            <w:pPr>
              <w:spacing w:line="40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 xml:space="preserve">★（八）中标人派驻服务范围内保安员的保障要求 </w:t>
            </w:r>
          </w:p>
          <w:p w14:paraId="5538920F">
            <w:pPr>
              <w:spacing w:line="40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1．统一配发带标志的保安制服，工作用皮鞋；</w:t>
            </w:r>
          </w:p>
          <w:p w14:paraId="78B584F4">
            <w:pPr>
              <w:spacing w:line="40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2．配备足够的雨伞、雨衣、雨鞋、探照灯；</w:t>
            </w:r>
          </w:p>
          <w:p w14:paraId="18C31B09">
            <w:pPr>
              <w:spacing w:line="40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3．配备能适应服务范围内安保工作需要的保安器械；</w:t>
            </w:r>
          </w:p>
          <w:p w14:paraId="235A944C">
            <w:pPr>
              <w:spacing w:line="40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4．中标人派驻的保安人员的工作、福利、加班费、社保等不得低于东莞市用工的法定标准，并在报价时应予充分测算；</w:t>
            </w:r>
          </w:p>
          <w:p w14:paraId="37230347">
            <w:pPr>
              <w:spacing w:line="40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5．中标人派驻的保安人员必须是已签订劳动合同的人员，并购买足额的人身意外伤害保险及社会保险；</w:t>
            </w:r>
          </w:p>
          <w:p w14:paraId="65DA7668">
            <w:pPr>
              <w:spacing w:line="40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6．中标人不得将本管理项目分包给其它单位，同时应做好元旦、春节、清明、五一、端午、中秋、十一等长假和临时工作任务的加班安排；保安应全勤值班，加班费由保安中标人承担并保障节假日及重要节点的安保工作。</w:t>
            </w:r>
          </w:p>
        </w:tc>
        <w:tc>
          <w:tcPr>
            <w:tcW w:w="348" w:type="pct"/>
            <w:vAlign w:val="center"/>
          </w:tcPr>
          <w:p w14:paraId="28CAA731">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773BB678">
            <w:pPr>
              <w:keepNext/>
              <w:keepLines/>
              <w:spacing w:line="400" w:lineRule="exact"/>
              <w:jc w:val="center"/>
              <w:outlineLvl w:val="9"/>
              <w:rPr>
                <w:rFonts w:ascii="宋体" w:hAnsi="宋体" w:eastAsia="宋体" w:cs="宋体"/>
                <w:color w:val="auto"/>
                <w:kern w:val="0"/>
                <w:sz w:val="18"/>
                <w:szCs w:val="18"/>
                <w:highlight w:val="none"/>
              </w:rPr>
            </w:pPr>
          </w:p>
        </w:tc>
        <w:tc>
          <w:tcPr>
            <w:tcW w:w="393" w:type="pct"/>
            <w:vAlign w:val="center"/>
          </w:tcPr>
          <w:p w14:paraId="482E2855">
            <w:pPr>
              <w:keepNext/>
              <w:keepLines/>
              <w:spacing w:line="400" w:lineRule="exact"/>
              <w:jc w:val="center"/>
              <w:outlineLvl w:val="9"/>
              <w:rPr>
                <w:rFonts w:ascii="宋体" w:hAnsi="宋体" w:eastAsia="宋体" w:cs="宋体"/>
                <w:color w:val="auto"/>
                <w:kern w:val="0"/>
                <w:sz w:val="18"/>
                <w:szCs w:val="18"/>
                <w:highlight w:val="none"/>
              </w:rPr>
            </w:pPr>
          </w:p>
        </w:tc>
      </w:tr>
    </w:tbl>
    <w:p w14:paraId="531771AF">
      <w:pPr>
        <w:spacing w:line="360" w:lineRule="auto"/>
        <w:rPr>
          <w:rFonts w:ascii="宋体" w:hAnsi="宋体" w:eastAsia="宋体" w:cs="宋体"/>
          <w:color w:val="auto"/>
          <w:szCs w:val="21"/>
          <w:highlight w:val="none"/>
        </w:rPr>
      </w:pPr>
    </w:p>
    <w:p w14:paraId="24FD03FD">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1080B45B">
      <w:pPr>
        <w:spacing w:line="360" w:lineRule="auto"/>
        <w:ind w:left="605" w:leftChars="18" w:hanging="567" w:hangingChars="270"/>
        <w:rPr>
          <w:rFonts w:ascii="宋体" w:hAnsi="宋体" w:eastAsia="宋体" w:cs="宋体"/>
          <w:b/>
          <w:bCs w:val="0"/>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投标人应对照招标文件用户需求书的响应，逐条逐项、如实地填写“偏离情况”，</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14:paraId="3A70CDB1">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5F63B862">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hint="eastAsia" w:ascii="宋体" w:hAnsi="宋体" w:eastAsia="宋体" w:cs="Times New Roman"/>
          <w:b/>
          <w:color w:val="auto"/>
          <w:kern w:val="0"/>
          <w:szCs w:val="21"/>
          <w:highlight w:val="none"/>
          <w:u w:val="single"/>
          <w:lang w:val="en-US" w:eastAsia="zh-CN"/>
        </w:rPr>
        <w:t>服务能力</w:t>
      </w:r>
      <w:r>
        <w:rPr>
          <w:rFonts w:hint="eastAsia" w:ascii="宋体" w:hAnsi="宋体" w:eastAsia="宋体" w:cs="Times New Roman"/>
          <w:b/>
          <w:color w:val="auto"/>
          <w:kern w:val="0"/>
          <w:szCs w:val="21"/>
          <w:highlight w:val="none"/>
          <w:u w:val="single"/>
        </w:rPr>
        <w:t>的技术支持资料作为本表的附件，并在本偏离表“对应证明材料页码”项内注明其在投标文件中的具体页码。</w:t>
      </w:r>
    </w:p>
    <w:p w14:paraId="5C580450">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”的地方均被视为重要的技术指标要求或性能要求。投标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”的指标未响应或不满足，将按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w:t>
      </w:r>
      <w:r>
        <w:rPr>
          <w:rFonts w:ascii="宋体" w:hAnsi="宋体" w:eastAsia="宋体" w:cs="Times New Roman"/>
          <w:b/>
          <w:bCs w:val="0"/>
          <w:color w:val="auto"/>
          <w:kern w:val="0"/>
          <w:szCs w:val="21"/>
          <w:highlight w:val="none"/>
          <w:u w:val="single"/>
        </w:rPr>
        <w:t>理</w:t>
      </w:r>
      <w:r>
        <w:rPr>
          <w:rFonts w:ascii="宋体" w:hAnsi="宋体" w:eastAsia="宋体" w:cs="Times New Roman"/>
          <w:b/>
          <w:bCs w:val="0"/>
          <w:color w:val="auto"/>
          <w:kern w:val="0"/>
          <w:sz w:val="24"/>
          <w:szCs w:val="21"/>
          <w:highlight w:val="none"/>
          <w:u w:val="single"/>
          <w:lang w:val="zh-CN"/>
        </w:rPr>
        <w:t>。</w:t>
      </w:r>
    </w:p>
    <w:p w14:paraId="202C2042">
      <w:pPr>
        <w:spacing w:line="360" w:lineRule="auto"/>
        <w:rPr>
          <w:rFonts w:ascii="宋体" w:hAnsi="宋体" w:eastAsia="宋体" w:cs="宋体"/>
          <w:color w:val="auto"/>
          <w:szCs w:val="21"/>
          <w:highlight w:val="none"/>
        </w:rPr>
      </w:pPr>
    </w:p>
    <w:p w14:paraId="0C4B90C3">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14:paraId="26A96740">
      <w:pPr>
        <w:autoSpaceDE w:val="0"/>
        <w:autoSpaceDN w:val="0"/>
        <w:adjustRightInd w:val="0"/>
        <w:ind w:left="15" w:leftChars="-50" w:hanging="1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日  期：   年  月  日</w:t>
      </w:r>
    </w:p>
    <w:p w14:paraId="6A15CD6A">
      <w:pPr>
        <w:tabs>
          <w:tab w:val="left" w:pos="567"/>
        </w:tabs>
        <w:autoSpaceDE w:val="0"/>
        <w:autoSpaceDN w:val="0"/>
        <w:adjustRightInd w:val="0"/>
        <w:spacing w:line="360" w:lineRule="auto"/>
        <w:jc w:val="left"/>
        <w:outlineLvl w:val="2"/>
        <w:rPr>
          <w:rFonts w:ascii="宋体" w:hAnsi="宋体" w:eastAsia="宋体" w:cs="Times New Roman"/>
          <w:b/>
          <w:color w:val="auto"/>
          <w:kern w:val="0"/>
          <w:sz w:val="30"/>
          <w:szCs w:val="30"/>
          <w:highlight w:val="none"/>
        </w:rPr>
      </w:pPr>
      <w:r>
        <w:rPr>
          <w:rFonts w:hint="eastAsia" w:ascii="宋体" w:hAnsi="宋体" w:eastAsia="宋体" w:cs="宋体"/>
          <w:b/>
          <w:color w:val="auto"/>
          <w:kern w:val="0"/>
          <w:sz w:val="30"/>
          <w:szCs w:val="30"/>
          <w:highlight w:val="none"/>
        </w:rPr>
        <w:br w:type="page"/>
      </w:r>
      <w:bookmarkStart w:id="734" w:name="_Toc104991889"/>
      <w:bookmarkStart w:id="735" w:name="_Toc5046"/>
      <w:bookmarkStart w:id="736" w:name="_Toc23150"/>
      <w:bookmarkStart w:id="737" w:name="_Toc102860431"/>
      <w:bookmarkStart w:id="738" w:name="_Toc102860087"/>
      <w:bookmarkStart w:id="739" w:name="_Toc142508382"/>
      <w:bookmarkStart w:id="740" w:name="_Toc3593"/>
      <w:bookmarkStart w:id="741" w:name="_Toc94107224"/>
      <w:bookmarkStart w:id="742" w:name="_Toc140596942"/>
      <w:bookmarkStart w:id="743" w:name="_Toc7370"/>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.2</w:t>
      </w:r>
      <w:r>
        <w:rPr>
          <w:rFonts w:ascii="宋体" w:hAnsi="宋体" w:eastAsia="宋体" w:cs="宋体"/>
          <w:b/>
          <w:color w:val="auto"/>
          <w:kern w:val="0"/>
          <w:sz w:val="30"/>
          <w:szCs w:val="30"/>
          <w:highlight w:val="none"/>
        </w:rPr>
        <w:t xml:space="preserve"> </w:t>
      </w:r>
      <w:bookmarkEnd w:id="734"/>
      <w:bookmarkEnd w:id="735"/>
      <w:bookmarkEnd w:id="736"/>
      <w:bookmarkEnd w:id="737"/>
      <w:bookmarkEnd w:id="738"/>
      <w:bookmarkEnd w:id="739"/>
      <w:bookmarkEnd w:id="740"/>
      <w:bookmarkEnd w:id="741"/>
      <w:bookmarkEnd w:id="742"/>
      <w:r>
        <w:rPr>
          <w:rFonts w:hint="eastAsia" w:ascii="宋体" w:hAnsi="宋体" w:eastAsia="宋体" w:cs="宋体"/>
          <w:b/>
          <w:color w:val="auto"/>
          <w:kern w:val="0"/>
          <w:sz w:val="30"/>
          <w:szCs w:val="30"/>
        </w:rPr>
        <w:t>管理计划及实施方案</w:t>
      </w:r>
      <w:bookmarkEnd w:id="743"/>
    </w:p>
    <w:p w14:paraId="47499075">
      <w:pPr>
        <w:widowControl/>
        <w:jc w:val="left"/>
        <w:rPr>
          <w:rFonts w:ascii="宋体" w:hAnsi="宋体" w:eastAsia="宋体" w:cs="Times New Roman"/>
          <w:color w:val="auto"/>
          <w:kern w:val="0"/>
          <w:szCs w:val="21"/>
          <w:highlight w:val="none"/>
        </w:rPr>
      </w:pPr>
      <w:bookmarkStart w:id="744" w:name="_Toc94107225"/>
      <w:r>
        <w:rPr>
          <w:rFonts w:ascii="宋体" w:hAnsi="宋体" w:eastAsia="宋体" w:cs="Times New Roman"/>
          <w:color w:val="auto"/>
          <w:kern w:val="0"/>
          <w:szCs w:val="21"/>
          <w:highlight w:val="none"/>
        </w:rPr>
        <w:br w:type="page"/>
      </w:r>
    </w:p>
    <w:bookmarkEnd w:id="744"/>
    <w:p w14:paraId="44BFE9D1">
      <w:pPr>
        <w:rPr>
          <w:rFonts w:hint="eastAsia" w:ascii="宋体" w:hAnsi="宋体" w:eastAsia="宋体" w:cs="宋体"/>
          <w:b/>
          <w:color w:val="auto"/>
          <w:kern w:val="0"/>
          <w:sz w:val="30"/>
          <w:szCs w:val="30"/>
          <w:highlight w:val="none"/>
          <w:lang w:val="en-US" w:eastAsia="zh-CN"/>
        </w:rPr>
      </w:pPr>
      <w:bookmarkStart w:id="745" w:name="_Toc140596949"/>
      <w:bookmarkStart w:id="746" w:name="_Toc102860438"/>
      <w:bookmarkStart w:id="747" w:name="_Toc142508389"/>
      <w:bookmarkStart w:id="748" w:name="_Toc102860094"/>
      <w:bookmarkStart w:id="749" w:name="_Toc104991896"/>
      <w:bookmarkStart w:id="750" w:name="_Toc533708139"/>
      <w:r>
        <w:rPr>
          <w:rFonts w:hint="eastAsia" w:ascii="宋体" w:hAnsi="宋体" w:eastAsia="宋体" w:cs="宋体"/>
          <w:b/>
          <w:color w:val="auto"/>
          <w:kern w:val="0"/>
          <w:sz w:val="30"/>
          <w:szCs w:val="30"/>
          <w:highlight w:val="none"/>
          <w:lang w:val="en-US" w:eastAsia="zh-CN"/>
        </w:rPr>
        <w:t xml:space="preserve">14.3 </w:t>
      </w:r>
      <w:r>
        <w:rPr>
          <w:rFonts w:hint="eastAsia" w:ascii="宋体" w:hAnsi="宋体" w:eastAsia="宋体" w:cs="宋体"/>
          <w:b/>
          <w:color w:val="auto"/>
          <w:kern w:val="0"/>
          <w:sz w:val="30"/>
          <w:szCs w:val="30"/>
        </w:rPr>
        <w:t>保安人员投入计划及保证措施</w:t>
      </w:r>
      <w:r>
        <w:rPr>
          <w:rFonts w:hint="eastAsia" w:ascii="宋体" w:hAnsi="宋体" w:eastAsia="宋体" w:cs="宋体"/>
          <w:b/>
          <w:color w:val="auto"/>
          <w:kern w:val="0"/>
          <w:sz w:val="30"/>
          <w:szCs w:val="30"/>
          <w:highlight w:val="none"/>
          <w:lang w:val="en-US" w:eastAsia="zh-CN"/>
        </w:rPr>
        <w:br w:type="page"/>
      </w:r>
    </w:p>
    <w:p w14:paraId="43912B40">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 xml:space="preserve">14.4 </w:t>
      </w:r>
      <w:r>
        <w:rPr>
          <w:rFonts w:hint="eastAsia" w:ascii="宋体" w:hAnsi="宋体" w:eastAsia="宋体" w:cs="宋体"/>
          <w:b/>
          <w:color w:val="auto"/>
          <w:kern w:val="0"/>
          <w:sz w:val="30"/>
          <w:szCs w:val="30"/>
        </w:rPr>
        <w:t>保安人员配套装备的承诺及保证措施</w:t>
      </w:r>
      <w:r>
        <w:rPr>
          <w:rFonts w:hint="eastAsia" w:ascii="宋体" w:hAnsi="宋体" w:eastAsia="宋体" w:cs="宋体"/>
          <w:b/>
          <w:color w:val="auto"/>
          <w:kern w:val="0"/>
          <w:sz w:val="30"/>
          <w:szCs w:val="30"/>
          <w:highlight w:val="none"/>
          <w:lang w:val="en-US" w:eastAsia="zh-CN"/>
        </w:rPr>
        <w:br w:type="page"/>
      </w:r>
    </w:p>
    <w:p w14:paraId="73E44E6E">
      <w:pPr>
        <w:autoSpaceDE w:val="0"/>
        <w:autoSpaceDN w:val="0"/>
        <w:adjustRightInd w:val="0"/>
        <w:spacing w:line="360" w:lineRule="auto"/>
        <w:jc w:val="left"/>
        <w:outlineLvl w:val="2"/>
        <w:rPr>
          <w:rFonts w:hint="default" w:ascii="宋体" w:hAnsi="宋体" w:eastAsia="宋体" w:cs="宋体"/>
          <w:b/>
          <w:color w:val="auto"/>
          <w:kern w:val="0"/>
          <w:sz w:val="30"/>
          <w:szCs w:val="30"/>
          <w:highlight w:val="none"/>
          <w:lang w:val="en-US" w:eastAsia="zh-CN"/>
        </w:rPr>
      </w:pPr>
      <w:bookmarkStart w:id="751" w:name="_Toc16544"/>
      <w:bookmarkStart w:id="752" w:name="_Toc30545"/>
      <w:bookmarkStart w:id="753" w:name="_Toc18180"/>
      <w:bookmarkStart w:id="754" w:name="_Toc3750"/>
      <w:r>
        <w:rPr>
          <w:rFonts w:hint="eastAsia" w:ascii="宋体" w:hAnsi="宋体" w:eastAsia="宋体" w:cs="宋体"/>
          <w:b/>
          <w:color w:val="auto"/>
          <w:kern w:val="0"/>
          <w:sz w:val="30"/>
          <w:szCs w:val="30"/>
          <w:highlight w:val="none"/>
          <w:lang w:val="en-US" w:eastAsia="zh-CN"/>
        </w:rPr>
        <w:t xml:space="preserve">14.5 </w:t>
      </w:r>
      <w:r>
        <w:rPr>
          <w:rFonts w:hint="eastAsia" w:ascii="宋体" w:hAnsi="宋体" w:eastAsia="宋体" w:cs="宋体"/>
          <w:b/>
          <w:color w:val="auto"/>
          <w:kern w:val="0"/>
          <w:sz w:val="30"/>
          <w:szCs w:val="30"/>
        </w:rPr>
        <w:t>应急处理预案</w:t>
      </w:r>
      <w:bookmarkEnd w:id="751"/>
    </w:p>
    <w:p w14:paraId="0B4F89AE">
      <w:pPr>
        <w:keepNext w:val="0"/>
        <w:keepLines w:val="0"/>
        <w:pageBreakBefore/>
        <w:widowControl w:val="0"/>
        <w:kinsoku/>
        <w:wordWrap/>
        <w:overflowPunct/>
        <w:topLinePunct w:val="0"/>
        <w:autoSpaceDE w:val="0"/>
        <w:autoSpaceDN w:val="0"/>
        <w:bidi w:val="0"/>
        <w:adjustRightInd w:val="0"/>
        <w:snapToGrid/>
        <w:spacing w:line="360" w:lineRule="auto"/>
        <w:jc w:val="left"/>
        <w:textAlignment w:val="auto"/>
        <w:outlineLvl w:val="2"/>
        <w:rPr>
          <w:rFonts w:hint="default" w:ascii="宋体" w:hAnsi="宋体" w:eastAsia="宋体" w:cs="宋体"/>
          <w:b/>
          <w:color w:val="auto"/>
          <w:kern w:val="0"/>
          <w:sz w:val="30"/>
          <w:szCs w:val="30"/>
          <w:highlight w:val="none"/>
          <w:lang w:val="en-US" w:eastAsia="zh-CN"/>
        </w:rPr>
      </w:pPr>
      <w:bookmarkStart w:id="755" w:name="_Toc14736"/>
      <w:r>
        <w:rPr>
          <w:rFonts w:hint="eastAsia" w:ascii="宋体" w:hAnsi="宋体" w:eastAsia="宋体" w:cs="宋体"/>
          <w:b/>
          <w:color w:val="auto"/>
          <w:kern w:val="0"/>
          <w:sz w:val="30"/>
          <w:szCs w:val="30"/>
          <w:highlight w:val="none"/>
          <w:lang w:val="en-US" w:eastAsia="zh-CN"/>
        </w:rPr>
        <w:t xml:space="preserve">14.6 </w:t>
      </w:r>
      <w:r>
        <w:rPr>
          <w:rFonts w:hint="eastAsia" w:ascii="宋体" w:hAnsi="宋体" w:eastAsia="宋体" w:cs="宋体"/>
          <w:b/>
          <w:color w:val="auto"/>
          <w:kern w:val="0"/>
          <w:sz w:val="30"/>
          <w:szCs w:val="30"/>
        </w:rPr>
        <w:t>培训方案</w:t>
      </w:r>
      <w:bookmarkEnd w:id="755"/>
    </w:p>
    <w:p w14:paraId="457DD58B">
      <w:pPr>
        <w:keepNext w:val="0"/>
        <w:keepLines w:val="0"/>
        <w:pageBreakBefore/>
        <w:widowControl w:val="0"/>
        <w:kinsoku/>
        <w:wordWrap/>
        <w:overflowPunct/>
        <w:topLinePunct w:val="0"/>
        <w:autoSpaceDE w:val="0"/>
        <w:autoSpaceDN w:val="0"/>
        <w:bidi w:val="0"/>
        <w:adjustRightInd w:val="0"/>
        <w:snapToGrid/>
        <w:spacing w:line="360" w:lineRule="auto"/>
        <w:jc w:val="left"/>
        <w:textAlignment w:val="auto"/>
        <w:outlineLvl w:val="2"/>
        <w:rPr>
          <w:rFonts w:hint="default" w:ascii="宋体" w:hAnsi="宋体" w:eastAsia="宋体" w:cs="宋体"/>
          <w:b/>
          <w:color w:val="auto"/>
          <w:kern w:val="0"/>
          <w:sz w:val="30"/>
          <w:szCs w:val="30"/>
          <w:highlight w:val="none"/>
          <w:lang w:val="en-US" w:eastAsia="zh-CN"/>
        </w:rPr>
      </w:pPr>
      <w:bookmarkStart w:id="756" w:name="_Toc1563"/>
      <w:r>
        <w:rPr>
          <w:rFonts w:hint="eastAsia" w:ascii="宋体" w:hAnsi="宋体" w:eastAsia="宋体" w:cs="宋体"/>
          <w:b/>
          <w:color w:val="auto"/>
          <w:kern w:val="0"/>
          <w:sz w:val="30"/>
          <w:szCs w:val="30"/>
          <w:highlight w:val="none"/>
          <w:lang w:val="en-US" w:eastAsia="zh-CN"/>
        </w:rPr>
        <w:t xml:space="preserve">14.7 </w:t>
      </w:r>
      <w:r>
        <w:rPr>
          <w:rFonts w:hint="eastAsia" w:ascii="宋体" w:hAnsi="宋体" w:eastAsia="宋体" w:cs="宋体"/>
          <w:b/>
          <w:color w:val="auto"/>
          <w:kern w:val="0"/>
          <w:sz w:val="30"/>
          <w:szCs w:val="30"/>
        </w:rPr>
        <w:t>管理规章制度</w:t>
      </w:r>
      <w:bookmarkEnd w:id="756"/>
    </w:p>
    <w:p w14:paraId="17BF8F56">
      <w:pPr>
        <w:keepNext w:val="0"/>
        <w:keepLines w:val="0"/>
        <w:pageBreakBefore/>
        <w:widowControl w:val="0"/>
        <w:kinsoku/>
        <w:wordWrap/>
        <w:overflowPunct/>
        <w:topLinePunct w:val="0"/>
        <w:autoSpaceDE w:val="0"/>
        <w:autoSpaceDN w:val="0"/>
        <w:bidi w:val="0"/>
        <w:adjustRightInd w:val="0"/>
        <w:snapToGrid/>
        <w:spacing w:line="360" w:lineRule="auto"/>
        <w:jc w:val="left"/>
        <w:textAlignment w:val="auto"/>
        <w:outlineLvl w:val="2"/>
        <w:rPr>
          <w:rFonts w:ascii="宋体" w:hAnsi="宋体" w:eastAsia="宋体" w:cs="宋体"/>
          <w:b/>
          <w:color w:val="auto"/>
          <w:kern w:val="0"/>
          <w:sz w:val="30"/>
          <w:szCs w:val="30"/>
          <w:highlight w:val="none"/>
        </w:rPr>
      </w:pPr>
      <w:bookmarkStart w:id="757" w:name="_Toc16444"/>
      <w:r>
        <w:rPr>
          <w:rFonts w:hint="eastAsia" w:ascii="宋体" w:hAnsi="宋体" w:eastAsia="宋体" w:cs="宋体"/>
          <w:b/>
          <w:color w:val="auto"/>
          <w:kern w:val="0"/>
          <w:sz w:val="30"/>
          <w:szCs w:val="30"/>
          <w:highlight w:val="none"/>
          <w:lang w:val="en-US" w:eastAsia="zh-CN"/>
        </w:rPr>
        <w:t xml:space="preserve">14.8 </w:t>
      </w:r>
      <w:r>
        <w:rPr>
          <w:rFonts w:hint="eastAsia" w:ascii="宋体" w:hAnsi="宋体" w:eastAsia="宋体" w:cs="宋体"/>
          <w:b/>
          <w:color w:val="auto"/>
          <w:kern w:val="0"/>
          <w:sz w:val="30"/>
          <w:szCs w:val="30"/>
          <w:highlight w:val="none"/>
        </w:rPr>
        <w:t>投标人认为有必要提供的其它材料（不做强制要求）</w:t>
      </w:r>
      <w:bookmarkEnd w:id="745"/>
      <w:bookmarkEnd w:id="746"/>
      <w:bookmarkEnd w:id="747"/>
      <w:bookmarkEnd w:id="748"/>
      <w:bookmarkEnd w:id="749"/>
      <w:bookmarkEnd w:id="752"/>
      <w:bookmarkEnd w:id="753"/>
      <w:bookmarkEnd w:id="754"/>
      <w:bookmarkEnd w:id="757"/>
    </w:p>
    <w:p w14:paraId="579B92D9">
      <w:pPr>
        <w:autoSpaceDE w:val="0"/>
        <w:autoSpaceDN w:val="0"/>
        <w:adjustRightInd w:val="0"/>
        <w:jc w:val="left"/>
        <w:rPr>
          <w:rFonts w:ascii="宋体" w:hAnsi="宋体" w:eastAsia="宋体" w:cs="Times New Roman"/>
          <w:color w:val="auto"/>
          <w:kern w:val="0"/>
          <w:sz w:val="24"/>
          <w:szCs w:val="24"/>
          <w:highlight w:val="none"/>
        </w:rPr>
      </w:pPr>
    </w:p>
    <w:p w14:paraId="057DF1B4">
      <w:pPr>
        <w:autoSpaceDE w:val="0"/>
        <w:autoSpaceDN w:val="0"/>
        <w:adjustRightInd w:val="0"/>
        <w:jc w:val="left"/>
        <w:rPr>
          <w:rFonts w:ascii="宋体" w:hAnsi="宋体" w:eastAsia="宋体" w:cs="Times New Roman"/>
          <w:color w:val="auto"/>
          <w:kern w:val="0"/>
          <w:sz w:val="24"/>
          <w:szCs w:val="24"/>
          <w:highlight w:val="none"/>
        </w:rPr>
      </w:pPr>
    </w:p>
    <w:p w14:paraId="61E78E9D">
      <w:pPr>
        <w:autoSpaceDE w:val="0"/>
        <w:autoSpaceDN w:val="0"/>
        <w:adjustRightInd w:val="0"/>
        <w:jc w:val="left"/>
        <w:rPr>
          <w:rFonts w:ascii="宋体" w:hAnsi="宋体" w:eastAsia="宋体" w:cs="Times New Roman"/>
          <w:color w:val="auto"/>
          <w:kern w:val="0"/>
          <w:sz w:val="24"/>
          <w:szCs w:val="24"/>
          <w:highlight w:val="none"/>
        </w:rPr>
      </w:pPr>
    </w:p>
    <w:p w14:paraId="2455B33B">
      <w:pPr>
        <w:autoSpaceDE w:val="0"/>
        <w:autoSpaceDN w:val="0"/>
        <w:adjustRightInd w:val="0"/>
        <w:jc w:val="left"/>
        <w:rPr>
          <w:rFonts w:ascii="宋体" w:hAnsi="宋体" w:eastAsia="宋体" w:cs="Times New Roman"/>
          <w:color w:val="auto"/>
          <w:kern w:val="0"/>
          <w:sz w:val="24"/>
          <w:szCs w:val="24"/>
          <w:highlight w:val="none"/>
        </w:rPr>
      </w:pPr>
    </w:p>
    <w:p w14:paraId="6953AEFF">
      <w:pPr>
        <w:autoSpaceDE w:val="0"/>
        <w:autoSpaceDN w:val="0"/>
        <w:adjustRightInd w:val="0"/>
        <w:jc w:val="left"/>
        <w:rPr>
          <w:rFonts w:ascii="宋体" w:hAnsi="宋体" w:eastAsia="宋体" w:cs="Times New Roman"/>
          <w:color w:val="auto"/>
          <w:kern w:val="0"/>
          <w:sz w:val="24"/>
          <w:szCs w:val="24"/>
          <w:highlight w:val="none"/>
        </w:rPr>
      </w:pPr>
    </w:p>
    <w:p w14:paraId="1DA74650">
      <w:pPr>
        <w:autoSpaceDE w:val="0"/>
        <w:autoSpaceDN w:val="0"/>
        <w:adjustRightInd w:val="0"/>
        <w:jc w:val="left"/>
        <w:rPr>
          <w:rFonts w:ascii="宋体" w:hAnsi="宋体" w:eastAsia="宋体" w:cs="Times New Roman"/>
          <w:color w:val="auto"/>
          <w:kern w:val="0"/>
          <w:sz w:val="24"/>
          <w:szCs w:val="24"/>
          <w:highlight w:val="none"/>
        </w:rPr>
      </w:pPr>
    </w:p>
    <w:p w14:paraId="4F68B1FB">
      <w:pPr>
        <w:widowControl/>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14:paraId="5BAE35D7">
      <w:pPr>
        <w:autoSpaceDE w:val="0"/>
        <w:autoSpaceDN w:val="0"/>
        <w:adjustRightInd w:val="0"/>
        <w:jc w:val="left"/>
        <w:rPr>
          <w:rFonts w:ascii="宋体" w:hAnsi="宋体" w:eastAsia="宋体" w:cs="Times New Roman"/>
          <w:color w:val="auto"/>
          <w:kern w:val="0"/>
          <w:sz w:val="24"/>
          <w:szCs w:val="24"/>
          <w:highlight w:val="none"/>
        </w:rPr>
      </w:pPr>
    </w:p>
    <w:p w14:paraId="31047924">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758" w:name="_Toc29233"/>
      <w:bookmarkStart w:id="759" w:name="_Toc14977"/>
      <w:bookmarkStart w:id="760" w:name="_Toc142508390"/>
      <w:bookmarkStart w:id="761" w:name="_Toc21059"/>
      <w:bookmarkStart w:id="762" w:name="_Toc22601_WPSOffice_Level1"/>
      <w:bookmarkStart w:id="763" w:name="_Toc521918141"/>
      <w:bookmarkStart w:id="764" w:name="_Toc522047402"/>
      <w:r>
        <w:rPr>
          <w:rFonts w:hint="eastAsia" w:ascii="宋体" w:hAnsi="宋体" w:eastAsia="宋体" w:cs="宋体"/>
          <w:b/>
          <w:bCs/>
          <w:color w:val="auto"/>
          <w:kern w:val="44"/>
          <w:sz w:val="32"/>
          <w:szCs w:val="32"/>
          <w:highlight w:val="none"/>
          <w:lang w:val="zh-CN"/>
        </w:rPr>
        <w:t>附件一：评标工作大纲</w:t>
      </w:r>
      <w:bookmarkEnd w:id="758"/>
      <w:bookmarkEnd w:id="759"/>
      <w:bookmarkEnd w:id="760"/>
      <w:bookmarkEnd w:id="761"/>
    </w:p>
    <w:p w14:paraId="2F9452F3">
      <w:pPr>
        <w:autoSpaceDE w:val="0"/>
        <w:autoSpaceDN w:val="0"/>
        <w:adjustRightInd w:val="0"/>
        <w:spacing w:line="400" w:lineRule="atLeast"/>
        <w:jc w:val="center"/>
        <w:rPr>
          <w:rFonts w:ascii="宋体" w:hAnsi="宋体" w:eastAsia="宋体" w:cs="宋体"/>
          <w:b/>
          <w:bCs/>
          <w:color w:val="auto"/>
          <w:szCs w:val="21"/>
          <w:highlight w:val="none"/>
        </w:rPr>
      </w:pPr>
    </w:p>
    <w:p w14:paraId="663C05D7">
      <w:pPr>
        <w:autoSpaceDE w:val="0"/>
        <w:autoSpaceDN w:val="0"/>
        <w:adjustRightInd w:val="0"/>
        <w:spacing w:line="400" w:lineRule="atLeast"/>
        <w:jc w:val="center"/>
        <w:rPr>
          <w:rFonts w:ascii="宋体" w:hAnsi="宋体" w:eastAsia="宋体" w:cs="宋体"/>
          <w:b/>
          <w:bCs/>
          <w:color w:val="auto"/>
          <w:szCs w:val="21"/>
          <w:highlight w:val="none"/>
        </w:rPr>
      </w:pPr>
    </w:p>
    <w:p w14:paraId="0F7A9FA5">
      <w:pPr>
        <w:autoSpaceDE w:val="0"/>
        <w:autoSpaceDN w:val="0"/>
        <w:adjustRightInd w:val="0"/>
        <w:spacing w:line="400" w:lineRule="atLeast"/>
        <w:jc w:val="center"/>
        <w:rPr>
          <w:rFonts w:ascii="宋体" w:hAnsi="宋体" w:eastAsia="宋体" w:cs="宋体"/>
          <w:b/>
          <w:bCs/>
          <w:color w:val="auto"/>
          <w:szCs w:val="21"/>
          <w:highlight w:val="none"/>
        </w:rPr>
      </w:pPr>
    </w:p>
    <w:p w14:paraId="7924EF04">
      <w:pPr>
        <w:autoSpaceDE w:val="0"/>
        <w:autoSpaceDN w:val="0"/>
        <w:adjustRightInd w:val="0"/>
        <w:spacing w:line="400" w:lineRule="atLeast"/>
        <w:jc w:val="center"/>
        <w:rPr>
          <w:rFonts w:ascii="宋体" w:hAnsi="宋体" w:eastAsia="宋体" w:cs="宋体"/>
          <w:b/>
          <w:bCs/>
          <w:color w:val="auto"/>
          <w:szCs w:val="21"/>
          <w:highlight w:val="none"/>
        </w:rPr>
      </w:pPr>
    </w:p>
    <w:p w14:paraId="056E1457">
      <w:pPr>
        <w:autoSpaceDE w:val="0"/>
        <w:autoSpaceDN w:val="0"/>
        <w:adjustRightInd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40"/>
          <w:szCs w:val="36"/>
          <w:highlight w:val="none"/>
          <w:lang w:eastAsia="zh-CN"/>
        </w:rPr>
        <w:t>东莞市水务集团管网有限公司2025年保安服务采购项目</w:t>
      </w:r>
    </w:p>
    <w:p w14:paraId="096AF1D5">
      <w:pPr>
        <w:autoSpaceDE w:val="0"/>
        <w:autoSpaceDN w:val="0"/>
        <w:adjustRightInd w:val="0"/>
        <w:spacing w:line="360" w:lineRule="auto"/>
        <w:jc w:val="center"/>
        <w:rPr>
          <w:rFonts w:ascii="宋体" w:hAnsi="宋体" w:eastAsia="宋体" w:cs="宋体"/>
          <w:b/>
          <w:bCs/>
          <w:color w:val="auto"/>
          <w:sz w:val="36"/>
          <w:szCs w:val="36"/>
          <w:highlight w:val="none"/>
        </w:rPr>
      </w:pPr>
      <w:bookmarkStart w:id="765" w:name="_Toc14752_WPSOffice_Level1"/>
      <w:r>
        <w:rPr>
          <w:rFonts w:hint="eastAsia" w:ascii="宋体" w:hAnsi="宋体" w:eastAsia="宋体" w:cs="宋体"/>
          <w:b/>
          <w:bCs/>
          <w:color w:val="auto"/>
          <w:sz w:val="36"/>
          <w:szCs w:val="36"/>
          <w:highlight w:val="none"/>
          <w:lang w:val="zh-CN"/>
        </w:rPr>
        <w:t>（招标编号：YDZB24DGQY0200）</w:t>
      </w:r>
      <w:bookmarkEnd w:id="765"/>
    </w:p>
    <w:p w14:paraId="24F7BBEA">
      <w:pPr>
        <w:autoSpaceDE w:val="0"/>
        <w:autoSpaceDN w:val="0"/>
        <w:adjustRightInd w:val="0"/>
        <w:spacing w:line="400" w:lineRule="atLeast"/>
        <w:jc w:val="center"/>
        <w:rPr>
          <w:rFonts w:ascii="宋体" w:hAnsi="宋体" w:eastAsia="宋体" w:cs="宋体"/>
          <w:b/>
          <w:bCs/>
          <w:color w:val="auto"/>
          <w:sz w:val="36"/>
          <w:szCs w:val="36"/>
          <w:highlight w:val="none"/>
        </w:rPr>
      </w:pPr>
    </w:p>
    <w:p w14:paraId="0EA661E4">
      <w:pPr>
        <w:autoSpaceDE w:val="0"/>
        <w:autoSpaceDN w:val="0"/>
        <w:adjustRightInd w:val="0"/>
        <w:spacing w:line="400" w:lineRule="atLeast"/>
        <w:jc w:val="center"/>
        <w:rPr>
          <w:rFonts w:ascii="宋体" w:hAnsi="宋体" w:eastAsia="宋体" w:cs="宋体"/>
          <w:b/>
          <w:bCs/>
          <w:color w:val="auto"/>
          <w:sz w:val="36"/>
          <w:szCs w:val="36"/>
          <w:highlight w:val="none"/>
        </w:rPr>
      </w:pPr>
    </w:p>
    <w:p w14:paraId="562486EE">
      <w:pPr>
        <w:autoSpaceDE w:val="0"/>
        <w:autoSpaceDN w:val="0"/>
        <w:adjustRightInd w:val="0"/>
        <w:spacing w:line="400" w:lineRule="atLeast"/>
        <w:jc w:val="center"/>
        <w:rPr>
          <w:rFonts w:ascii="宋体" w:hAnsi="宋体" w:eastAsia="宋体" w:cs="宋体"/>
          <w:b/>
          <w:bCs/>
          <w:color w:val="auto"/>
          <w:sz w:val="36"/>
          <w:szCs w:val="36"/>
          <w:highlight w:val="none"/>
        </w:rPr>
      </w:pPr>
    </w:p>
    <w:p w14:paraId="4755837C">
      <w:pPr>
        <w:autoSpaceDE w:val="0"/>
        <w:autoSpaceDN w:val="0"/>
        <w:adjustRightInd w:val="0"/>
        <w:spacing w:line="400" w:lineRule="atLeast"/>
        <w:jc w:val="center"/>
        <w:rPr>
          <w:rFonts w:ascii="宋体" w:hAnsi="宋体" w:eastAsia="宋体" w:cs="宋体"/>
          <w:b/>
          <w:bCs/>
          <w:color w:val="auto"/>
          <w:sz w:val="36"/>
          <w:szCs w:val="36"/>
          <w:highlight w:val="none"/>
        </w:rPr>
      </w:pPr>
    </w:p>
    <w:p w14:paraId="4C837811">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766" w:name="_Toc18947_WPSOffice_Level2"/>
      <w:r>
        <w:rPr>
          <w:rFonts w:hint="eastAsia" w:ascii="宋体" w:hAnsi="宋体" w:eastAsia="宋体" w:cs="宋体"/>
          <w:b/>
          <w:bCs/>
          <w:color w:val="auto"/>
          <w:sz w:val="72"/>
          <w:szCs w:val="72"/>
          <w:highlight w:val="none"/>
          <w:lang w:val="zh-CN"/>
        </w:rPr>
        <w:t>评标工作大纲</w:t>
      </w:r>
      <w:bookmarkEnd w:id="766"/>
    </w:p>
    <w:p w14:paraId="51D10CE9">
      <w:pPr>
        <w:autoSpaceDE w:val="0"/>
        <w:autoSpaceDN w:val="0"/>
        <w:adjustRightInd w:val="0"/>
        <w:spacing w:line="400" w:lineRule="atLeast"/>
        <w:jc w:val="center"/>
        <w:rPr>
          <w:rFonts w:ascii="宋体" w:hAnsi="宋体" w:eastAsia="宋体" w:cs="宋体"/>
          <w:b/>
          <w:bCs/>
          <w:color w:val="auto"/>
          <w:sz w:val="36"/>
          <w:szCs w:val="36"/>
          <w:highlight w:val="none"/>
        </w:rPr>
      </w:pPr>
    </w:p>
    <w:p w14:paraId="3644A9B9">
      <w:pPr>
        <w:autoSpaceDE w:val="0"/>
        <w:autoSpaceDN w:val="0"/>
        <w:adjustRightInd w:val="0"/>
        <w:spacing w:line="400" w:lineRule="atLeast"/>
        <w:rPr>
          <w:rFonts w:ascii="宋体" w:hAnsi="宋体" w:eastAsia="宋体" w:cs="宋体"/>
          <w:b/>
          <w:bCs/>
          <w:color w:val="auto"/>
          <w:sz w:val="36"/>
          <w:szCs w:val="36"/>
          <w:highlight w:val="none"/>
        </w:rPr>
      </w:pPr>
    </w:p>
    <w:p w14:paraId="63F1F917">
      <w:pPr>
        <w:autoSpaceDE w:val="0"/>
        <w:autoSpaceDN w:val="0"/>
        <w:adjustRightInd w:val="0"/>
        <w:spacing w:line="400" w:lineRule="atLeast"/>
        <w:jc w:val="center"/>
        <w:rPr>
          <w:rFonts w:ascii="宋体" w:hAnsi="宋体" w:eastAsia="宋体" w:cs="宋体"/>
          <w:b/>
          <w:bCs/>
          <w:color w:val="auto"/>
          <w:sz w:val="36"/>
          <w:szCs w:val="36"/>
          <w:highlight w:val="none"/>
        </w:rPr>
      </w:pPr>
    </w:p>
    <w:p w14:paraId="42CA292B">
      <w:pPr>
        <w:autoSpaceDE w:val="0"/>
        <w:autoSpaceDN w:val="0"/>
        <w:adjustRightInd w:val="0"/>
        <w:spacing w:line="400" w:lineRule="atLeast"/>
        <w:jc w:val="center"/>
        <w:rPr>
          <w:rFonts w:ascii="宋体" w:hAnsi="宋体" w:eastAsia="宋体" w:cs="宋体"/>
          <w:b/>
          <w:bCs/>
          <w:color w:val="auto"/>
          <w:sz w:val="36"/>
          <w:szCs w:val="36"/>
          <w:highlight w:val="none"/>
        </w:rPr>
      </w:pPr>
    </w:p>
    <w:p w14:paraId="619975FA">
      <w:pPr>
        <w:autoSpaceDE w:val="0"/>
        <w:autoSpaceDN w:val="0"/>
        <w:adjustRightInd w:val="0"/>
        <w:spacing w:line="400" w:lineRule="atLeast"/>
        <w:jc w:val="center"/>
        <w:rPr>
          <w:rFonts w:ascii="宋体" w:hAnsi="宋体" w:eastAsia="宋体" w:cs="宋体"/>
          <w:b/>
          <w:bCs/>
          <w:color w:val="auto"/>
          <w:sz w:val="36"/>
          <w:szCs w:val="36"/>
          <w:highlight w:val="none"/>
        </w:rPr>
      </w:pPr>
    </w:p>
    <w:p w14:paraId="43178377">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广东有德招标采购有限公司</w:t>
      </w:r>
    </w:p>
    <w:p w14:paraId="0A872838">
      <w:pPr>
        <w:autoSpaceDE w:val="0"/>
        <w:autoSpaceDN w:val="0"/>
        <w:adjustRightInd w:val="0"/>
        <w:spacing w:line="400" w:lineRule="atLeast"/>
        <w:jc w:val="center"/>
        <w:rPr>
          <w:rFonts w:ascii="宋体" w:hAnsi="宋体" w:eastAsia="宋体" w:cs="宋体"/>
          <w:b/>
          <w:bCs/>
          <w:color w:val="auto"/>
          <w:sz w:val="36"/>
          <w:szCs w:val="36"/>
          <w:highlight w:val="none"/>
        </w:rPr>
      </w:pPr>
    </w:p>
    <w:p w14:paraId="6ED40CB0">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767" w:name="_Toc32395_WPSOffice_Level1"/>
      <w:r>
        <w:rPr>
          <w:rFonts w:hint="eastAsia" w:ascii="宋体" w:hAnsi="宋体" w:eastAsia="宋体" w:cs="宋体"/>
          <w:b/>
          <w:bCs/>
          <w:color w:val="auto"/>
          <w:sz w:val="36"/>
          <w:szCs w:val="36"/>
          <w:highlight w:val="none"/>
          <w:lang w:val="zh-CN"/>
        </w:rPr>
        <w:t>目录</w:t>
      </w:r>
      <w:bookmarkEnd w:id="767"/>
    </w:p>
    <w:p w14:paraId="1CD46EEE">
      <w:pPr>
        <w:autoSpaceDE w:val="0"/>
        <w:autoSpaceDN w:val="0"/>
        <w:adjustRightInd w:val="0"/>
        <w:spacing w:line="400" w:lineRule="atLeast"/>
        <w:jc w:val="center"/>
        <w:rPr>
          <w:rFonts w:ascii="宋体" w:hAnsi="宋体" w:eastAsia="宋体" w:cs="宋体"/>
          <w:color w:val="auto"/>
          <w:sz w:val="44"/>
          <w:szCs w:val="44"/>
          <w:highlight w:val="none"/>
        </w:rPr>
      </w:pPr>
    </w:p>
    <w:p w14:paraId="184A09A3">
      <w:pPr>
        <w:autoSpaceDE w:val="0"/>
        <w:autoSpaceDN w:val="0"/>
        <w:adjustRightInd w:val="0"/>
        <w:spacing w:line="360" w:lineRule="auto"/>
        <w:ind w:left="567" w:hanging="567"/>
        <w:rPr>
          <w:rFonts w:ascii="宋体" w:hAnsi="宋体" w:eastAsia="宋体" w:cs="宋体"/>
          <w:color w:val="auto"/>
          <w:szCs w:val="30"/>
          <w:highlight w:val="none"/>
        </w:rPr>
      </w:pPr>
      <w:bookmarkStart w:id="768"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768"/>
    </w:p>
    <w:p w14:paraId="38ED9E2D">
      <w:pPr>
        <w:autoSpaceDE w:val="0"/>
        <w:autoSpaceDN w:val="0"/>
        <w:adjustRightInd w:val="0"/>
        <w:spacing w:line="360" w:lineRule="auto"/>
        <w:ind w:left="567" w:hanging="567"/>
        <w:rPr>
          <w:rFonts w:ascii="宋体" w:hAnsi="宋体" w:eastAsia="宋体" w:cs="宋体"/>
          <w:color w:val="auto"/>
          <w:szCs w:val="30"/>
          <w:highlight w:val="none"/>
        </w:rPr>
      </w:pPr>
      <w:bookmarkStart w:id="769"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769"/>
    </w:p>
    <w:p w14:paraId="24F9A95E">
      <w:pPr>
        <w:autoSpaceDE w:val="0"/>
        <w:autoSpaceDN w:val="0"/>
        <w:adjustRightInd w:val="0"/>
        <w:spacing w:line="360" w:lineRule="auto"/>
        <w:ind w:left="567" w:hanging="567"/>
        <w:rPr>
          <w:rFonts w:ascii="宋体" w:hAnsi="宋体" w:eastAsia="宋体" w:cs="宋体"/>
          <w:color w:val="auto"/>
          <w:szCs w:val="30"/>
          <w:highlight w:val="none"/>
        </w:rPr>
      </w:pPr>
      <w:bookmarkStart w:id="770"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770"/>
    </w:p>
    <w:p w14:paraId="56E78FE2">
      <w:pPr>
        <w:autoSpaceDE w:val="0"/>
        <w:autoSpaceDN w:val="0"/>
        <w:adjustRightInd w:val="0"/>
        <w:spacing w:line="360" w:lineRule="auto"/>
        <w:ind w:left="567" w:hanging="567"/>
        <w:rPr>
          <w:rFonts w:ascii="宋体" w:hAnsi="宋体" w:eastAsia="宋体" w:cs="宋体"/>
          <w:color w:val="auto"/>
          <w:szCs w:val="30"/>
          <w:highlight w:val="none"/>
        </w:rPr>
      </w:pPr>
      <w:bookmarkStart w:id="771" w:name="_Toc1206_WPSOffice_Level1"/>
      <w:r>
        <w:rPr>
          <w:rFonts w:hint="eastAsia" w:ascii="宋体" w:hAnsi="宋体" w:eastAsia="宋体" w:cs="宋体"/>
          <w:color w:val="auto"/>
          <w:szCs w:val="30"/>
          <w:highlight w:val="none"/>
        </w:rPr>
        <w:t>四、 比较和评价</w:t>
      </w:r>
      <w:bookmarkEnd w:id="771"/>
    </w:p>
    <w:p w14:paraId="1A353CFA">
      <w:pPr>
        <w:autoSpaceDE w:val="0"/>
        <w:autoSpaceDN w:val="0"/>
        <w:adjustRightInd w:val="0"/>
        <w:spacing w:line="360" w:lineRule="auto"/>
        <w:ind w:left="567" w:hanging="567"/>
        <w:rPr>
          <w:rFonts w:ascii="宋体" w:hAnsi="宋体" w:eastAsia="宋体" w:cs="宋体"/>
          <w:color w:val="auto"/>
          <w:szCs w:val="30"/>
          <w:highlight w:val="none"/>
        </w:rPr>
      </w:pPr>
      <w:bookmarkStart w:id="772"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772"/>
    </w:p>
    <w:p w14:paraId="5882F7D6">
      <w:pPr>
        <w:autoSpaceDE w:val="0"/>
        <w:autoSpaceDN w:val="0"/>
        <w:adjustRightInd w:val="0"/>
        <w:spacing w:line="360" w:lineRule="auto"/>
        <w:ind w:left="567" w:hanging="567"/>
        <w:rPr>
          <w:rFonts w:ascii="宋体" w:hAnsi="宋体" w:eastAsia="宋体" w:cs="宋体"/>
          <w:color w:val="auto"/>
          <w:szCs w:val="30"/>
          <w:highlight w:val="none"/>
        </w:rPr>
      </w:pPr>
      <w:bookmarkStart w:id="773"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773"/>
    </w:p>
    <w:p w14:paraId="6197A900">
      <w:pPr>
        <w:autoSpaceDE w:val="0"/>
        <w:autoSpaceDN w:val="0"/>
        <w:adjustRightInd w:val="0"/>
        <w:spacing w:line="360" w:lineRule="auto"/>
        <w:ind w:left="567" w:hanging="567"/>
        <w:rPr>
          <w:rFonts w:ascii="宋体" w:hAnsi="宋体" w:eastAsia="宋体" w:cs="宋体"/>
          <w:color w:val="auto"/>
          <w:szCs w:val="30"/>
          <w:highlight w:val="none"/>
        </w:rPr>
      </w:pPr>
      <w:bookmarkStart w:id="774"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774"/>
    </w:p>
    <w:p w14:paraId="3B3C9E5D">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531CE272">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3ECB775E">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14:paraId="38D2B349">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775"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775"/>
    </w:p>
    <w:p w14:paraId="7CE22741">
      <w:pPr>
        <w:tabs>
          <w:tab w:val="left" w:pos="567"/>
          <w:tab w:val="left" w:pos="600"/>
        </w:tabs>
        <w:autoSpaceDE w:val="0"/>
        <w:autoSpaceDN w:val="0"/>
        <w:adjustRightInd w:val="0"/>
        <w:spacing w:line="360" w:lineRule="auto"/>
        <w:ind w:left="600" w:hanging="600"/>
        <w:outlineLvl w:val="0"/>
        <w:rPr>
          <w:rFonts w:ascii="宋体" w:hAnsi="宋体" w:eastAsia="宋体" w:cs="宋体"/>
          <w:b/>
          <w:bCs/>
          <w:color w:val="auto"/>
          <w:szCs w:val="24"/>
          <w:highlight w:val="none"/>
          <w:lang w:val="zh-CN"/>
        </w:rPr>
      </w:pPr>
      <w:bookmarkStart w:id="776" w:name="_Toc20249"/>
      <w:r>
        <w:rPr>
          <w:rFonts w:hint="eastAsia" w:ascii="宋体" w:hAnsi="宋体" w:eastAsia="宋体" w:cs="宋体"/>
          <w:b/>
          <w:bCs/>
          <w:color w:val="auto"/>
          <w:szCs w:val="24"/>
          <w:highlight w:val="none"/>
          <w:lang w:val="zh-CN"/>
        </w:rPr>
        <w:t>1、一般规定</w:t>
      </w:r>
      <w:bookmarkEnd w:id="776"/>
    </w:p>
    <w:p w14:paraId="75AD524D">
      <w:pPr>
        <w:autoSpaceDE w:val="0"/>
        <w:autoSpaceDN w:val="0"/>
        <w:adjustRightInd w:val="0"/>
        <w:spacing w:line="360" w:lineRule="auto"/>
        <w:ind w:left="567" w:hanging="567"/>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lang w:eastAsia="zh-CN"/>
        </w:rPr>
        <w:t>东莞市水务集团管网有限公司2025年保安服务采购项目</w:t>
      </w:r>
      <w:r>
        <w:rPr>
          <w:rFonts w:hint="eastAsia" w:ascii="宋体" w:hAnsi="宋体" w:eastAsia="宋体" w:cs="宋体"/>
          <w:color w:val="auto"/>
          <w:szCs w:val="21"/>
          <w:highlight w:val="none"/>
          <w:lang w:val="zh-CN"/>
        </w:rPr>
        <w:t>(招标编号：YDZB24DGQY0200</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14:paraId="53BC23AB">
      <w:pPr>
        <w:autoSpaceDE w:val="0"/>
        <w:autoSpaceDN w:val="0"/>
        <w:adjustRightInd w:val="0"/>
        <w:spacing w:line="360" w:lineRule="auto"/>
        <w:ind w:left="567" w:hanging="567"/>
        <w:outlineLvl w:val="1"/>
        <w:rPr>
          <w:rFonts w:ascii="宋体" w:hAnsi="宋体" w:eastAsia="宋体" w:cs="宋体"/>
          <w:color w:val="auto"/>
          <w:szCs w:val="24"/>
          <w:highlight w:val="none"/>
          <w:lang w:val="zh-CN"/>
        </w:rPr>
      </w:pPr>
      <w:bookmarkStart w:id="777" w:name="_Toc3324"/>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bookmarkEnd w:id="777"/>
    </w:p>
    <w:p w14:paraId="3FAE81AC">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w:t>
      </w:r>
      <w:r>
        <w:rPr>
          <w:rFonts w:hint="eastAsia" w:ascii="宋体" w:hAnsi="宋体" w:eastAsia="宋体" w:cs="宋体"/>
          <w:color w:val="auto"/>
          <w:kern w:val="0"/>
          <w:szCs w:val="32"/>
          <w:highlight w:val="none"/>
          <w:lang w:eastAsia="zh-CN"/>
        </w:rPr>
        <w:t>广东有德招标采购有限公司</w:t>
      </w:r>
      <w:r>
        <w:rPr>
          <w:rFonts w:hint="eastAsia" w:ascii="宋体" w:hAnsi="宋体" w:eastAsia="宋体" w:cs="宋体"/>
          <w:color w:val="auto"/>
          <w:kern w:val="0"/>
          <w:szCs w:val="32"/>
          <w:highlight w:val="none"/>
        </w:rPr>
        <w:t>）组</w:t>
      </w:r>
      <w:r>
        <w:rPr>
          <w:rFonts w:hint="eastAsia" w:ascii="宋体" w:hAnsi="宋体" w:eastAsia="宋体" w:cs="宋体"/>
          <w:color w:val="auto"/>
          <w:szCs w:val="24"/>
          <w:highlight w:val="none"/>
          <w:lang w:val="zh-CN"/>
        </w:rPr>
        <w:t>织评标工作，全过程接受招标人及相关部门的监督、管理和指导。</w:t>
      </w:r>
    </w:p>
    <w:p w14:paraId="0286AAAC">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14:paraId="32CE066A">
      <w:pPr>
        <w:numPr>
          <w:ilvl w:val="1"/>
          <w:numId w:val="9"/>
        </w:numPr>
        <w:autoSpaceDE w:val="0"/>
        <w:autoSpaceDN w:val="0"/>
        <w:adjustRightInd w:val="0"/>
        <w:spacing w:line="360" w:lineRule="auto"/>
        <w:ind w:left="565" w:hanging="564" w:hangingChars="269"/>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14:paraId="672F6736">
      <w:pPr>
        <w:autoSpaceDE w:val="0"/>
        <w:autoSpaceDN w:val="0"/>
        <w:adjustRightInd w:val="0"/>
        <w:spacing w:line="360" w:lineRule="auto"/>
        <w:rPr>
          <w:rFonts w:ascii="宋体" w:hAnsi="宋体" w:eastAsia="宋体" w:cs="宋体"/>
          <w:color w:val="auto"/>
          <w:sz w:val="24"/>
          <w:szCs w:val="24"/>
          <w:highlight w:val="none"/>
          <w:lang w:val="zh-CN"/>
        </w:rPr>
      </w:pPr>
    </w:p>
    <w:p w14:paraId="776BEC04">
      <w:pPr>
        <w:tabs>
          <w:tab w:val="left" w:pos="360"/>
          <w:tab w:val="left" w:pos="600"/>
        </w:tabs>
        <w:autoSpaceDE w:val="0"/>
        <w:autoSpaceDN w:val="0"/>
        <w:adjustRightInd w:val="0"/>
        <w:spacing w:line="360" w:lineRule="auto"/>
        <w:ind w:left="600" w:hanging="600"/>
        <w:outlineLvl w:val="0"/>
        <w:rPr>
          <w:rFonts w:ascii="宋体" w:hAnsi="宋体" w:eastAsia="宋体" w:cs="宋体"/>
          <w:b/>
          <w:bCs/>
          <w:color w:val="auto"/>
          <w:szCs w:val="24"/>
          <w:highlight w:val="none"/>
          <w:lang w:val="zh-CN"/>
        </w:rPr>
      </w:pPr>
      <w:bookmarkStart w:id="778" w:name="_Toc3757"/>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bookmarkEnd w:id="778"/>
    </w:p>
    <w:p w14:paraId="6F499E6B">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ascii="宋体" w:hAnsi="宋体" w:eastAsia="宋体" w:cs="宋体"/>
          <w:b/>
          <w:bCs/>
          <w:color w:val="auto"/>
          <w:kern w:val="0"/>
          <w:szCs w:val="24"/>
          <w:highlight w:val="none"/>
        </w:rPr>
        <w:t>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14:paraId="7E44DF9C">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14:paraId="1D008825">
      <w:pPr>
        <w:autoSpaceDE w:val="0"/>
        <w:autoSpaceDN w:val="0"/>
        <w:adjustRightInd w:val="0"/>
        <w:spacing w:line="360" w:lineRule="auto"/>
        <w:ind w:left="600" w:hanging="600"/>
        <w:outlineLvl w:val="1"/>
        <w:rPr>
          <w:rFonts w:ascii="宋体" w:hAnsi="宋体" w:eastAsia="宋体" w:cs="宋体"/>
          <w:color w:val="auto"/>
          <w:szCs w:val="24"/>
          <w:highlight w:val="none"/>
          <w:lang w:val="zh-CN"/>
        </w:rPr>
      </w:pPr>
      <w:bookmarkStart w:id="779" w:name="_Toc27642"/>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bookmarkEnd w:id="779"/>
    </w:p>
    <w:p w14:paraId="45321C81">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14:paraId="1EC01879">
      <w:pPr>
        <w:autoSpaceDE w:val="0"/>
        <w:autoSpaceDN w:val="0"/>
        <w:adjustRightInd w:val="0"/>
        <w:spacing w:line="360" w:lineRule="auto"/>
        <w:rPr>
          <w:rFonts w:ascii="宋体" w:hAnsi="宋体" w:eastAsia="宋体" w:cs="宋体"/>
          <w:color w:val="auto"/>
          <w:sz w:val="24"/>
          <w:szCs w:val="24"/>
          <w:highlight w:val="none"/>
          <w:lang w:val="zh-CN"/>
        </w:rPr>
      </w:pPr>
    </w:p>
    <w:p w14:paraId="73A71FF5">
      <w:pPr>
        <w:autoSpaceDE w:val="0"/>
        <w:autoSpaceDN w:val="0"/>
        <w:adjustRightInd w:val="0"/>
        <w:spacing w:line="360" w:lineRule="auto"/>
        <w:outlineLvl w:val="0"/>
        <w:rPr>
          <w:rFonts w:ascii="宋体" w:hAnsi="宋体" w:eastAsia="宋体" w:cs="宋体"/>
          <w:color w:val="auto"/>
          <w:sz w:val="24"/>
          <w:szCs w:val="24"/>
          <w:highlight w:val="none"/>
          <w:lang w:val="zh-CN"/>
        </w:rPr>
      </w:pPr>
      <w:bookmarkStart w:id="780" w:name="_Toc12193"/>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bookmarkEnd w:id="780"/>
    </w:p>
    <w:p w14:paraId="2743B651">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14:paraId="7AEDBE03">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14:paraId="6F735D86">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14:paraId="2E74D28B">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14:paraId="46748F2C">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14:paraId="4005771F">
      <w:pPr>
        <w:tabs>
          <w:tab w:val="left" w:pos="720"/>
        </w:tabs>
        <w:autoSpaceDE w:val="0"/>
        <w:autoSpaceDN w:val="0"/>
        <w:adjustRightInd w:val="0"/>
        <w:spacing w:line="360" w:lineRule="auto"/>
        <w:outlineLvl w:val="0"/>
        <w:rPr>
          <w:rFonts w:ascii="宋体" w:hAnsi="宋体" w:eastAsia="宋体" w:cs="宋体"/>
          <w:b/>
          <w:bCs/>
          <w:color w:val="auto"/>
          <w:szCs w:val="21"/>
          <w:highlight w:val="none"/>
          <w:lang w:val="zh-CN"/>
        </w:rPr>
      </w:pPr>
      <w:bookmarkStart w:id="781" w:name="_Toc2548"/>
      <w:r>
        <w:rPr>
          <w:rFonts w:hint="eastAsia" w:ascii="宋体" w:hAnsi="宋体" w:eastAsia="宋体" w:cs="宋体"/>
          <w:b/>
          <w:bCs/>
          <w:color w:val="auto"/>
          <w:szCs w:val="21"/>
          <w:highlight w:val="none"/>
          <w:lang w:val="zh-CN"/>
        </w:rPr>
        <w:t>4、评标委员会义务</w:t>
      </w:r>
      <w:bookmarkEnd w:id="781"/>
    </w:p>
    <w:p w14:paraId="53925BB0">
      <w:pPr>
        <w:autoSpaceDE w:val="0"/>
        <w:autoSpaceDN w:val="0"/>
        <w:adjustRightInd w:val="0"/>
        <w:spacing w:line="360" w:lineRule="auto"/>
        <w:jc w:val="left"/>
        <w:outlineLvl w:val="1"/>
        <w:rPr>
          <w:rFonts w:ascii="宋体" w:hAnsi="宋体" w:eastAsia="宋体" w:cs="宋体"/>
          <w:color w:val="auto"/>
          <w:kern w:val="0"/>
          <w:szCs w:val="24"/>
          <w:highlight w:val="none"/>
          <w:lang w:val="zh-CN"/>
        </w:rPr>
      </w:pPr>
      <w:bookmarkStart w:id="782" w:name="_Toc9043"/>
      <w:r>
        <w:rPr>
          <w:rFonts w:hint="eastAsia" w:ascii="宋体" w:hAnsi="宋体" w:eastAsia="宋体" w:cs="宋体"/>
          <w:color w:val="auto"/>
          <w:kern w:val="0"/>
          <w:szCs w:val="24"/>
          <w:highlight w:val="none"/>
          <w:lang w:val="zh-CN"/>
        </w:rPr>
        <w:t>4.1  遵纪守法，客观、公正、廉洁地履行职责；</w:t>
      </w:r>
      <w:bookmarkEnd w:id="782"/>
    </w:p>
    <w:p w14:paraId="34D89819">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14:paraId="6A206C76">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14:paraId="529DC503">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14:paraId="24790B32">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385B9B46">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14:paraId="76B3D1A4">
      <w:pPr>
        <w:tabs>
          <w:tab w:val="left" w:pos="720"/>
        </w:tabs>
        <w:autoSpaceDE w:val="0"/>
        <w:autoSpaceDN w:val="0"/>
        <w:adjustRightInd w:val="0"/>
        <w:spacing w:line="360" w:lineRule="auto"/>
        <w:rPr>
          <w:rFonts w:ascii="宋体" w:hAnsi="宋体" w:eastAsia="宋体" w:cs="宋体"/>
          <w:color w:val="auto"/>
          <w:sz w:val="24"/>
          <w:szCs w:val="24"/>
          <w:highlight w:val="none"/>
          <w:lang w:val="zh-CN"/>
        </w:rPr>
      </w:pPr>
    </w:p>
    <w:p w14:paraId="7F2055FF">
      <w:pPr>
        <w:tabs>
          <w:tab w:val="left" w:pos="1547"/>
        </w:tabs>
        <w:autoSpaceDE w:val="0"/>
        <w:autoSpaceDN w:val="0"/>
        <w:adjustRightInd w:val="0"/>
        <w:spacing w:line="360" w:lineRule="auto"/>
        <w:outlineLvl w:val="0"/>
        <w:rPr>
          <w:rFonts w:ascii="宋体" w:hAnsi="宋体" w:eastAsia="宋体" w:cs="Times New Roman"/>
          <w:b/>
          <w:color w:val="auto"/>
          <w:szCs w:val="24"/>
          <w:highlight w:val="none"/>
          <w:lang w:val="zh-CN"/>
        </w:rPr>
      </w:pPr>
      <w:bookmarkStart w:id="783" w:name="_Toc21920"/>
      <w:r>
        <w:rPr>
          <w:rFonts w:hint="eastAsia" w:ascii="宋体" w:hAnsi="宋体" w:eastAsia="宋体" w:cs="宋体"/>
          <w:b/>
          <w:bCs/>
          <w:color w:val="auto"/>
          <w:szCs w:val="21"/>
          <w:highlight w:val="none"/>
          <w:lang w:val="zh-CN"/>
        </w:rPr>
        <w:t>5、评审程序</w:t>
      </w:r>
      <w:bookmarkEnd w:id="783"/>
    </w:p>
    <w:p w14:paraId="6E36940E">
      <w:pPr>
        <w:autoSpaceDE w:val="0"/>
        <w:autoSpaceDN w:val="0"/>
        <w:adjustRightInd w:val="0"/>
        <w:spacing w:line="360" w:lineRule="auto"/>
        <w:ind w:left="567" w:hanging="567"/>
        <w:rPr>
          <w:rFonts w:ascii="宋体" w:hAnsi="宋体" w:eastAsia="宋体" w:cs="Times New Roman"/>
          <w:bCs/>
          <w:color w:val="auto"/>
          <w:szCs w:val="24"/>
          <w:lang w:val="zh-CN"/>
        </w:rPr>
      </w:pPr>
      <w:r>
        <w:rPr>
          <w:rFonts w:ascii="宋体" w:hAnsi="宋体" w:eastAsia="宋体" w:cs="Times New Roman"/>
          <w:color w:val="auto"/>
          <w:szCs w:val="24"/>
          <w:lang w:val="zh-CN"/>
        </w:rPr>
        <w:t>5.</w:t>
      </w:r>
      <w:r>
        <w:rPr>
          <w:rFonts w:hint="eastAsia" w:ascii="宋体" w:hAnsi="宋体" w:eastAsia="宋体" w:cs="Times New Roman"/>
          <w:color w:val="auto"/>
          <w:szCs w:val="24"/>
          <w:lang w:val="zh-CN"/>
        </w:rPr>
        <w:t>1</w:t>
      </w:r>
      <w:r>
        <w:rPr>
          <w:rFonts w:ascii="宋体" w:hAnsi="宋体" w:eastAsia="宋体" w:cs="Times New Roman"/>
          <w:color w:val="auto"/>
          <w:szCs w:val="24"/>
          <w:lang w:val="zh-CN"/>
        </w:rPr>
        <w:tab/>
      </w:r>
      <w:r>
        <w:rPr>
          <w:rFonts w:hint="eastAsia" w:ascii="宋体" w:hAnsi="宋体" w:eastAsia="宋体" w:cs="Times New Roman"/>
          <w:bCs/>
          <w:color w:val="auto"/>
          <w:szCs w:val="24"/>
          <w:lang w:val="zh-CN"/>
        </w:rPr>
        <w:t>评审首先由评标委员会对投标人的</w:t>
      </w:r>
      <w:r>
        <w:rPr>
          <w:rFonts w:hint="eastAsia" w:ascii="宋体" w:hAnsi="宋体" w:eastAsia="宋体" w:cs="Times New Roman"/>
          <w:color w:val="auto"/>
          <w:szCs w:val="24"/>
          <w:lang w:val="zh-CN"/>
        </w:rPr>
        <w:t>投标</w:t>
      </w:r>
      <w:r>
        <w:rPr>
          <w:rFonts w:hint="eastAsia" w:ascii="宋体" w:hAnsi="宋体" w:eastAsia="宋体" w:cs="Times New Roman"/>
          <w:bCs/>
          <w:color w:val="auto"/>
          <w:szCs w:val="24"/>
          <w:lang w:val="zh-CN"/>
        </w:rPr>
        <w:t>文件做初审，对未能通过初审的投标文件不再进入下一阶段评审。</w:t>
      </w:r>
    </w:p>
    <w:p w14:paraId="386753E4">
      <w:pPr>
        <w:autoSpaceDE w:val="0"/>
        <w:autoSpaceDN w:val="0"/>
        <w:adjustRightInd w:val="0"/>
        <w:spacing w:line="360" w:lineRule="auto"/>
        <w:ind w:left="567" w:hanging="567"/>
        <w:rPr>
          <w:rFonts w:ascii="宋体" w:hAnsi="宋体" w:eastAsia="宋体" w:cs="Times New Roman"/>
          <w:color w:val="auto"/>
          <w:szCs w:val="24"/>
          <w:lang w:val="zh-CN"/>
        </w:rPr>
      </w:pPr>
      <w:r>
        <w:rPr>
          <w:rFonts w:ascii="宋体" w:hAnsi="宋体" w:eastAsia="宋体" w:cs="Times New Roman"/>
          <w:color w:val="auto"/>
          <w:szCs w:val="24"/>
          <w:lang w:val="zh-CN"/>
        </w:rPr>
        <w:t>5.</w:t>
      </w:r>
      <w:r>
        <w:rPr>
          <w:rFonts w:hint="eastAsia" w:ascii="宋体" w:hAnsi="宋体" w:eastAsia="宋体" w:cs="Times New Roman"/>
          <w:color w:val="auto"/>
          <w:szCs w:val="24"/>
          <w:lang w:val="zh-CN"/>
        </w:rPr>
        <w:t>2</w:t>
      </w:r>
      <w:r>
        <w:rPr>
          <w:rFonts w:ascii="宋体" w:hAnsi="宋体" w:eastAsia="宋体" w:cs="Times New Roman"/>
          <w:color w:val="auto"/>
          <w:szCs w:val="24"/>
          <w:lang w:val="zh-CN"/>
        </w:rPr>
        <w:tab/>
      </w:r>
      <w:r>
        <w:rPr>
          <w:rFonts w:hint="eastAsia" w:ascii="宋体" w:hAnsi="宋体" w:eastAsia="宋体" w:cs="Times New Roman"/>
          <w:bCs/>
          <w:color w:val="auto"/>
          <w:szCs w:val="24"/>
          <w:lang w:val="zh-CN"/>
        </w:rPr>
        <w:t>评标</w:t>
      </w:r>
      <w:r>
        <w:rPr>
          <w:rFonts w:hint="eastAsia" w:ascii="宋体" w:hAnsi="宋体" w:eastAsia="宋体" w:cs="Arial"/>
          <w:color w:val="auto"/>
          <w:szCs w:val="24"/>
          <w:lang w:val="zh-CN"/>
        </w:rPr>
        <w:t>委员会</w:t>
      </w:r>
      <w:r>
        <w:rPr>
          <w:rFonts w:hint="eastAsia" w:ascii="宋体" w:hAnsi="宋体" w:eastAsia="宋体" w:cs="Times New Roman"/>
          <w:color w:val="auto"/>
          <w:szCs w:val="24"/>
          <w:lang w:val="zh-CN"/>
        </w:rPr>
        <w:t>对</w:t>
      </w:r>
      <w:r>
        <w:rPr>
          <w:rFonts w:hint="eastAsia" w:ascii="宋体" w:hAnsi="宋体" w:eastAsia="宋体" w:cs="Arial"/>
          <w:color w:val="auto"/>
          <w:szCs w:val="24"/>
          <w:lang w:val="zh-CN"/>
        </w:rPr>
        <w:t>通过初审的</w:t>
      </w:r>
      <w:r>
        <w:rPr>
          <w:rFonts w:hint="eastAsia" w:ascii="宋体" w:hAnsi="宋体" w:eastAsia="宋体" w:cs="Times New Roman"/>
          <w:color w:val="auto"/>
          <w:szCs w:val="24"/>
          <w:lang w:val="zh-CN"/>
        </w:rPr>
        <w:t>投标人的投标文件进行详细的比较和评价。如需要，进行必要的澄清工作。</w:t>
      </w:r>
    </w:p>
    <w:p w14:paraId="7306992F">
      <w:pPr>
        <w:autoSpaceDE w:val="0"/>
        <w:autoSpaceDN w:val="0"/>
        <w:adjustRightInd w:val="0"/>
        <w:spacing w:line="360" w:lineRule="auto"/>
        <w:ind w:left="567" w:hanging="567"/>
        <w:rPr>
          <w:rFonts w:ascii="宋体" w:hAnsi="宋体" w:eastAsia="宋体" w:cs="Times New Roman"/>
          <w:color w:val="auto"/>
          <w:szCs w:val="24"/>
          <w:lang w:val="zh-CN"/>
        </w:rPr>
      </w:pPr>
      <w:r>
        <w:rPr>
          <w:rFonts w:ascii="宋体" w:hAnsi="宋体" w:eastAsia="宋体" w:cs="Times New Roman"/>
          <w:color w:val="auto"/>
          <w:szCs w:val="24"/>
          <w:lang w:val="zh-CN"/>
        </w:rPr>
        <w:t>5.</w:t>
      </w:r>
      <w:r>
        <w:rPr>
          <w:rFonts w:hint="eastAsia" w:ascii="宋体" w:hAnsi="宋体" w:eastAsia="宋体" w:cs="Times New Roman"/>
          <w:color w:val="auto"/>
          <w:szCs w:val="24"/>
          <w:lang w:val="zh-CN"/>
        </w:rPr>
        <w:t>3  依据评分标准以及各项权重，各位评标委员会成员单独就每个投标人的商务状况、技术状况进行比较和评价，分别评出其商务得分和技术得分。</w:t>
      </w:r>
    </w:p>
    <w:p w14:paraId="2E17FC5F">
      <w:pPr>
        <w:autoSpaceDE w:val="0"/>
        <w:autoSpaceDN w:val="0"/>
        <w:adjustRightInd w:val="0"/>
        <w:spacing w:line="360" w:lineRule="auto"/>
        <w:ind w:left="567" w:hanging="567"/>
        <w:rPr>
          <w:rFonts w:ascii="宋体" w:hAnsi="宋体" w:eastAsia="宋体" w:cs="Times New Roman"/>
          <w:color w:val="auto"/>
          <w:szCs w:val="24"/>
          <w:lang w:val="zh-CN"/>
        </w:rPr>
      </w:pPr>
      <w:r>
        <w:rPr>
          <w:rFonts w:hint="eastAsia" w:ascii="宋体" w:hAnsi="宋体" w:eastAsia="宋体" w:cs="Times New Roman"/>
          <w:color w:val="auto"/>
          <w:szCs w:val="24"/>
          <w:lang w:val="zh-CN"/>
        </w:rPr>
        <w:t>5.4</w:t>
      </w:r>
      <w:r>
        <w:rPr>
          <w:rFonts w:ascii="宋体" w:hAnsi="宋体" w:eastAsia="宋体" w:cs="Times New Roman"/>
          <w:color w:val="auto"/>
          <w:szCs w:val="24"/>
          <w:lang w:val="zh-CN"/>
        </w:rPr>
        <w:tab/>
      </w:r>
      <w:r>
        <w:rPr>
          <w:rFonts w:hint="eastAsia" w:ascii="宋体" w:hAnsi="宋体" w:eastAsia="宋体" w:cs="Times New Roman"/>
          <w:color w:val="auto"/>
          <w:kern w:val="0"/>
          <w:szCs w:val="24"/>
          <w:lang w:val="zh-CN"/>
        </w:rPr>
        <w:t>对有效投标人的投标报价进行审查和价格评分。</w:t>
      </w:r>
    </w:p>
    <w:p w14:paraId="539FF8D8">
      <w:pPr>
        <w:autoSpaceDE w:val="0"/>
        <w:autoSpaceDN w:val="0"/>
        <w:adjustRightInd w:val="0"/>
        <w:spacing w:line="360" w:lineRule="auto"/>
        <w:ind w:left="567" w:hanging="567"/>
        <w:rPr>
          <w:rFonts w:ascii="宋体" w:hAnsi="宋体" w:eastAsia="宋体" w:cs="Times New Roman"/>
          <w:color w:val="auto"/>
          <w:kern w:val="0"/>
          <w:szCs w:val="24"/>
          <w:lang w:val="zh-CN"/>
        </w:rPr>
      </w:pPr>
      <w:r>
        <w:rPr>
          <w:rFonts w:hint="eastAsia" w:ascii="宋体" w:hAnsi="宋体" w:eastAsia="宋体" w:cs="Times New Roman"/>
          <w:color w:val="auto"/>
          <w:kern w:val="0"/>
          <w:szCs w:val="24"/>
          <w:lang w:val="zh-CN"/>
        </w:rPr>
        <w:t>5.5  将各</w:t>
      </w:r>
      <w:r>
        <w:rPr>
          <w:rFonts w:hint="eastAsia" w:ascii="宋体" w:hAnsi="宋体" w:eastAsia="宋体" w:cs="Times New Roman"/>
          <w:color w:val="auto"/>
          <w:szCs w:val="24"/>
          <w:lang w:val="zh-CN"/>
        </w:rPr>
        <w:t>评委对</w:t>
      </w:r>
      <w:r>
        <w:rPr>
          <w:rFonts w:hint="eastAsia" w:ascii="宋体" w:hAnsi="宋体" w:eastAsia="宋体" w:cs="Times New Roman"/>
          <w:color w:val="auto"/>
          <w:kern w:val="0"/>
          <w:szCs w:val="24"/>
          <w:lang w:val="zh-CN"/>
        </w:rPr>
        <w:t>投标人的技术打分的最终综合得分、商务打分的算术平均值和价格得分相加得出投标人的总分。</w:t>
      </w:r>
    </w:p>
    <w:p w14:paraId="5C2D0FCA">
      <w:pPr>
        <w:autoSpaceDE w:val="0"/>
        <w:autoSpaceDN w:val="0"/>
        <w:adjustRightInd w:val="0"/>
        <w:spacing w:line="360" w:lineRule="auto"/>
        <w:ind w:left="567" w:hanging="567"/>
        <w:rPr>
          <w:rFonts w:ascii="宋体" w:hAnsi="宋体" w:eastAsia="宋体" w:cs="Times New Roman"/>
          <w:color w:val="auto"/>
          <w:kern w:val="0"/>
          <w:szCs w:val="21"/>
        </w:rPr>
      </w:pPr>
      <w:r>
        <w:rPr>
          <w:rFonts w:hint="eastAsia" w:ascii="宋体" w:hAnsi="宋体" w:eastAsia="宋体" w:cs="Times New Roman"/>
          <w:bCs/>
          <w:color w:val="auto"/>
          <w:kern w:val="0"/>
          <w:szCs w:val="24"/>
        </w:rPr>
        <w:t xml:space="preserve">5.6  </w:t>
      </w:r>
      <w:r>
        <w:rPr>
          <w:rFonts w:hint="eastAsia" w:ascii="宋体" w:hAnsi="宋体" w:eastAsia="宋体" w:cs="Times New Roman"/>
          <w:color w:val="auto"/>
          <w:kern w:val="0"/>
          <w:szCs w:val="21"/>
        </w:rPr>
        <w:t>评标委员会将向招标人推荐评标最后综合得分最高的前二名投标人为中标候选人，并标明排列顺序。</w:t>
      </w:r>
    </w:p>
    <w:p w14:paraId="696EB116">
      <w:pPr>
        <w:autoSpaceDE w:val="0"/>
        <w:autoSpaceDN w:val="0"/>
        <w:adjustRightInd w:val="0"/>
        <w:spacing w:line="360" w:lineRule="auto"/>
        <w:ind w:left="525" w:hanging="525" w:hangingChars="250"/>
        <w:jc w:val="left"/>
        <w:rPr>
          <w:rFonts w:ascii="宋体" w:hAnsi="宋体" w:eastAsia="宋体" w:cs="Times New Roman"/>
          <w:color w:val="auto"/>
          <w:szCs w:val="24"/>
          <w:lang w:val="zh-CN"/>
        </w:rPr>
      </w:pPr>
      <w:r>
        <w:rPr>
          <w:rFonts w:hint="eastAsia" w:ascii="宋体" w:hAnsi="宋体" w:eastAsia="宋体" w:cs="Times New Roman"/>
          <w:color w:val="auto"/>
          <w:kern w:val="0"/>
          <w:szCs w:val="24"/>
          <w:lang w:val="zh-CN"/>
        </w:rPr>
        <w:t>5.</w:t>
      </w:r>
      <w:r>
        <w:rPr>
          <w:rFonts w:hint="eastAsia" w:ascii="宋体" w:hAnsi="宋体" w:eastAsia="宋体" w:cs="Times New Roman"/>
          <w:color w:val="auto"/>
          <w:szCs w:val="24"/>
          <w:lang w:val="zh-CN"/>
        </w:rPr>
        <w:t>7</w:t>
      </w:r>
      <w:r>
        <w:rPr>
          <w:rFonts w:ascii="宋体" w:hAnsi="宋体" w:eastAsia="宋体" w:cs="Times New Roman"/>
          <w:color w:val="auto"/>
          <w:szCs w:val="24"/>
          <w:lang w:val="zh-CN"/>
        </w:rPr>
        <w:tab/>
      </w:r>
      <w:r>
        <w:rPr>
          <w:rFonts w:hint="eastAsia" w:ascii="宋体" w:hAnsi="宋体" w:eastAsia="宋体" w:cs="Times New Roman"/>
          <w:color w:val="auto"/>
          <w:kern w:val="0"/>
          <w:szCs w:val="24"/>
          <w:lang w:val="zh-CN"/>
        </w:rPr>
        <w:t>评标委员会</w:t>
      </w:r>
      <w:r>
        <w:rPr>
          <w:rFonts w:hint="eastAsia" w:ascii="宋体" w:hAnsi="宋体" w:eastAsia="宋体" w:cs="Times New Roman"/>
          <w:color w:val="auto"/>
          <w:szCs w:val="24"/>
          <w:lang w:val="zh-CN"/>
        </w:rPr>
        <w:t>根据评审结果编写评标报告。</w:t>
      </w:r>
    </w:p>
    <w:p w14:paraId="54F56450">
      <w:pPr>
        <w:autoSpaceDE w:val="0"/>
        <w:autoSpaceDN w:val="0"/>
        <w:adjustRightInd w:val="0"/>
        <w:spacing w:line="360" w:lineRule="auto"/>
        <w:ind w:left="525" w:hanging="525" w:hangingChars="250"/>
        <w:jc w:val="left"/>
        <w:rPr>
          <w:rFonts w:ascii="宋体" w:hAnsi="宋体" w:eastAsia="宋体" w:cs="Times New Roman"/>
          <w:color w:val="auto"/>
          <w:szCs w:val="24"/>
          <w:lang w:val="zh-CN"/>
        </w:rPr>
      </w:pPr>
    </w:p>
    <w:p w14:paraId="3F47F95A">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p>
    <w:p w14:paraId="253B492D">
      <w:pPr>
        <w:tabs>
          <w:tab w:val="left" w:pos="1140"/>
        </w:tabs>
        <w:autoSpaceDE w:val="0"/>
        <w:autoSpaceDN w:val="0"/>
        <w:adjustRightInd w:val="0"/>
        <w:spacing w:line="360" w:lineRule="auto"/>
        <w:jc w:val="center"/>
        <w:outlineLvl w:val="2"/>
        <w:rPr>
          <w:rFonts w:ascii="宋体" w:hAnsi="宋体" w:eastAsia="宋体" w:cs="宋体"/>
          <w:b/>
          <w:bCs/>
          <w:color w:val="auto"/>
          <w:sz w:val="28"/>
          <w:szCs w:val="28"/>
          <w:highlight w:val="none"/>
        </w:rPr>
      </w:pPr>
      <w:bookmarkStart w:id="784" w:name="_Toc31609"/>
      <w:bookmarkStart w:id="785" w:name="_Toc19435_WPSOffice_Level1"/>
      <w:r>
        <w:rPr>
          <w:rFonts w:hint="eastAsia" w:ascii="宋体" w:hAnsi="宋体" w:eastAsia="宋体" w:cs="宋体"/>
          <w:b/>
          <w:bCs/>
          <w:color w:val="auto"/>
          <w:sz w:val="28"/>
          <w:szCs w:val="28"/>
          <w:highlight w:val="none"/>
          <w:lang w:val="zh-CN"/>
        </w:rPr>
        <w:t>二、投标文件的初审</w:t>
      </w:r>
      <w:bookmarkEnd w:id="784"/>
      <w:bookmarkEnd w:id="785"/>
    </w:p>
    <w:p w14:paraId="19310B89">
      <w:pPr>
        <w:autoSpaceDE w:val="0"/>
        <w:autoSpaceDN w:val="0"/>
        <w:adjustRightInd w:val="0"/>
        <w:spacing w:line="360" w:lineRule="auto"/>
        <w:outlineLvl w:val="0"/>
        <w:rPr>
          <w:rFonts w:ascii="宋体" w:hAnsi="宋体" w:eastAsia="宋体" w:cs="宋体"/>
          <w:b/>
          <w:color w:val="auto"/>
          <w:szCs w:val="24"/>
          <w:highlight w:val="none"/>
          <w:lang w:val="zh-CN"/>
        </w:rPr>
      </w:pPr>
      <w:bookmarkStart w:id="786" w:name="_Toc19728"/>
      <w:r>
        <w:rPr>
          <w:rFonts w:hint="eastAsia" w:ascii="宋体" w:hAnsi="宋体" w:eastAsia="宋体" w:cs="宋体"/>
          <w:b/>
          <w:color w:val="auto"/>
          <w:szCs w:val="24"/>
          <w:highlight w:val="none"/>
          <w:lang w:val="zh-CN"/>
        </w:rPr>
        <w:t>6、投标文件的初审分为资格性检查和符合性检查。</w:t>
      </w:r>
      <w:bookmarkEnd w:id="786"/>
    </w:p>
    <w:p w14:paraId="6B9E86FB">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39205840">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14:paraId="5E42A64D">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 或对该重大偏离的修改对提交实质性响应投标的其他投标人将不公平。</w:t>
      </w:r>
    </w:p>
    <w:p w14:paraId="274D7E33">
      <w:pPr>
        <w:autoSpaceDE w:val="0"/>
        <w:autoSpaceDN w:val="0"/>
        <w:adjustRightInd w:val="0"/>
        <w:spacing w:line="360" w:lineRule="auto"/>
        <w:ind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14:paraId="5F11691A">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lang w:val="en-US" w:eastAsia="zh-CN"/>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14:paraId="2473F31A">
      <w:pPr>
        <w:autoSpaceDE w:val="0"/>
        <w:autoSpaceDN w:val="0"/>
        <w:adjustRightInd w:val="0"/>
        <w:spacing w:line="360" w:lineRule="auto"/>
        <w:outlineLvl w:val="0"/>
        <w:rPr>
          <w:rFonts w:ascii="宋体" w:hAnsi="宋体" w:eastAsia="宋体" w:cs="宋体"/>
          <w:b/>
          <w:color w:val="auto"/>
          <w:szCs w:val="21"/>
          <w:highlight w:val="none"/>
          <w:lang w:val="zh-CN"/>
        </w:rPr>
      </w:pPr>
      <w:bookmarkStart w:id="787" w:name="_Toc15481"/>
      <w:r>
        <w:rPr>
          <w:rFonts w:hint="eastAsia" w:ascii="宋体" w:hAnsi="宋体" w:eastAsia="宋体" w:cs="宋体"/>
          <w:b/>
          <w:color w:val="auto"/>
          <w:szCs w:val="21"/>
          <w:highlight w:val="none"/>
          <w:lang w:val="zh-CN"/>
        </w:rPr>
        <w:t>7、投标文件出现下列情况之一的，被认定为无效投标：</w:t>
      </w:r>
      <w:bookmarkEnd w:id="787"/>
    </w:p>
    <w:p w14:paraId="3C33F56C">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w:t>
      </w:r>
      <w:r>
        <w:rPr>
          <w:rFonts w:ascii="宋体" w:hAnsi="宋体" w:eastAsia="宋体" w:cs="宋体"/>
          <w:b/>
          <w:color w:val="auto"/>
          <w:szCs w:val="21"/>
          <w:highlight w:val="none"/>
          <w:lang w:val="zh-CN"/>
        </w:rPr>
        <w:t xml:space="preserve">.1  </w:t>
      </w:r>
      <w:r>
        <w:rPr>
          <w:rFonts w:hint="eastAsia" w:ascii="宋体" w:hAnsi="宋体" w:eastAsia="宋体" w:cs="宋体"/>
          <w:b/>
          <w:bCs/>
          <w:color w:val="auto"/>
          <w:kern w:val="0"/>
          <w:szCs w:val="21"/>
          <w:highlight w:val="none"/>
        </w:rPr>
        <w:t>投标人未按招标文件要求交纳投标保证金的；</w:t>
      </w:r>
    </w:p>
    <w:p w14:paraId="6BD5B8F0">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7.2  </w:t>
      </w:r>
      <w:r>
        <w:rPr>
          <w:rFonts w:hint="eastAsia" w:ascii="宋体" w:eastAsia="宋体" w:cs="宋体"/>
          <w:b/>
          <w:color w:val="auto"/>
          <w:szCs w:val="21"/>
        </w:rPr>
        <w:t>投标文件中的投标报价高于</w:t>
      </w:r>
      <w:r>
        <w:rPr>
          <w:rFonts w:hint="eastAsia" w:ascii="宋体" w:eastAsia="宋体" w:cs="宋体"/>
          <w:b/>
          <w:color w:val="auto"/>
          <w:szCs w:val="21"/>
          <w:lang w:val="en-US" w:eastAsia="zh-CN"/>
        </w:rPr>
        <w:t>不含税</w:t>
      </w:r>
      <w:r>
        <w:rPr>
          <w:rFonts w:hint="eastAsia" w:ascii="宋体" w:eastAsia="宋体" w:cs="宋体"/>
          <w:b/>
          <w:color w:val="auto"/>
          <w:szCs w:val="21"/>
        </w:rPr>
        <w:t>预算综合单价的</w:t>
      </w:r>
      <w:r>
        <w:rPr>
          <w:rFonts w:hint="eastAsia" w:ascii="宋体" w:hAnsi="宋体" w:eastAsia="宋体" w:cs="宋体"/>
          <w:b/>
          <w:bCs/>
          <w:color w:val="auto"/>
          <w:kern w:val="0"/>
          <w:szCs w:val="21"/>
          <w:highlight w:val="none"/>
        </w:rPr>
        <w:t>；</w:t>
      </w:r>
    </w:p>
    <w:p w14:paraId="78F0CE5F">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14:paraId="2B095611">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14:paraId="14DA18B9">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14:paraId="67158A29">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7.6  投标文件未按照招标文件规定要求密封；投标文件无法定代表人或其授权代表签字（或盖私章），或签字人无法定代表人有效授权的；签字盖章不符合招标文件要求的； </w:t>
      </w:r>
    </w:p>
    <w:p w14:paraId="3479E9DB">
      <w:pPr>
        <w:spacing w:line="360" w:lineRule="auto"/>
        <w:ind w:left="527" w:hanging="527" w:hangingChars="250"/>
        <w:outlineLvl w:val="1"/>
        <w:rPr>
          <w:rFonts w:ascii="宋体" w:hAnsi="宋体" w:eastAsia="宋体" w:cs="宋体"/>
          <w:b/>
          <w:bCs/>
          <w:color w:val="auto"/>
          <w:kern w:val="0"/>
          <w:szCs w:val="21"/>
          <w:highlight w:val="none"/>
        </w:rPr>
      </w:pPr>
      <w:bookmarkStart w:id="788" w:name="_Toc24483"/>
      <w:r>
        <w:rPr>
          <w:rFonts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rPr>
        <w:t>7</w:t>
      </w:r>
      <w:r>
        <w:rPr>
          <w:rFonts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rPr>
        <w:t>投标有效期限不符合要求；</w:t>
      </w:r>
      <w:bookmarkEnd w:id="788"/>
    </w:p>
    <w:p w14:paraId="03AA5A99">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7.8  投标文件未对招标范围内的全部内容进行投标报价</w:t>
      </w:r>
      <w:r>
        <w:rPr>
          <w:rFonts w:hint="eastAsia" w:ascii="宋体" w:hAnsi="宋体" w:eastAsia="宋体" w:cs="Times New Roman"/>
          <w:b/>
          <w:color w:val="auto"/>
          <w:kern w:val="0"/>
          <w:szCs w:val="21"/>
          <w:highlight w:val="none"/>
        </w:rPr>
        <w:t>或投标方案不是唯一</w:t>
      </w:r>
      <w:r>
        <w:rPr>
          <w:rFonts w:hint="eastAsia" w:ascii="宋体" w:hAnsi="宋体" w:eastAsia="宋体" w:cs="宋体"/>
          <w:b/>
          <w:bCs/>
          <w:color w:val="auto"/>
          <w:kern w:val="0"/>
          <w:szCs w:val="21"/>
          <w:highlight w:val="none"/>
        </w:rPr>
        <w:t>；</w:t>
      </w:r>
    </w:p>
    <w:p w14:paraId="10A6D20E">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9</w:t>
      </w:r>
      <w:r>
        <w:rPr>
          <w:rFonts w:ascii="宋体" w:hAnsi="宋体" w:eastAsia="宋体" w:cs="Times New Roman"/>
          <w:b/>
          <w:color w:val="auto"/>
          <w:kern w:val="0"/>
          <w:szCs w:val="21"/>
          <w:highlight w:val="none"/>
        </w:rPr>
        <w:t xml:space="preserve">  未提供或虚假填写《合同条款偏离表》，或对《合同条款偏离表》有负偏离的；</w:t>
      </w:r>
    </w:p>
    <w:p w14:paraId="2B4F28E1">
      <w:pPr>
        <w:spacing w:line="360" w:lineRule="auto"/>
        <w:ind w:left="413" w:hanging="413" w:hangingChars="196"/>
        <w:outlineLvl w:val="1"/>
        <w:rPr>
          <w:rFonts w:ascii="宋体" w:hAnsi="宋体" w:eastAsia="宋体" w:cs="Times New Roman"/>
          <w:b/>
          <w:color w:val="auto"/>
          <w:kern w:val="0"/>
          <w:szCs w:val="21"/>
          <w:highlight w:val="none"/>
        </w:rPr>
      </w:pPr>
      <w:bookmarkStart w:id="789" w:name="_Toc2089"/>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10</w:t>
      </w:r>
      <w:r>
        <w:rPr>
          <w:rFonts w:ascii="宋体" w:hAnsi="宋体" w:eastAsia="宋体" w:cs="Times New Roman"/>
          <w:b/>
          <w:color w:val="auto"/>
          <w:kern w:val="0"/>
          <w:szCs w:val="21"/>
          <w:highlight w:val="none"/>
        </w:rPr>
        <w:t xml:space="preserve">  未填写或虚假填写《用户需求偏离表》的；</w:t>
      </w:r>
      <w:bookmarkEnd w:id="789"/>
    </w:p>
    <w:p w14:paraId="26FA0494">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11</w:t>
      </w:r>
      <w:r>
        <w:rPr>
          <w:rFonts w:ascii="宋体" w:hAnsi="宋体" w:eastAsia="宋体" w:cs="Times New Roman"/>
          <w:b/>
          <w:color w:val="auto"/>
          <w:kern w:val="0"/>
          <w:szCs w:val="21"/>
          <w:highlight w:val="none"/>
        </w:rPr>
        <w:t xml:space="preserve"> </w:t>
      </w:r>
      <w:r>
        <w:rPr>
          <w:rFonts w:hint="eastAsia" w:ascii="宋体" w:hAnsi="宋体" w:eastAsia="宋体" w:cs="Times New Roman"/>
          <w:b/>
          <w:color w:val="auto"/>
          <w:kern w:val="0"/>
          <w:szCs w:val="21"/>
          <w:highlight w:val="none"/>
          <w:lang w:val="en-US" w:eastAsia="zh-CN"/>
        </w:rPr>
        <w:t xml:space="preserve"> </w:t>
      </w:r>
      <w:r>
        <w:rPr>
          <w:rFonts w:ascii="宋体" w:hAnsi="宋体" w:eastAsia="宋体" w:cs="Times New Roman"/>
          <w:b/>
          <w:color w:val="auto"/>
          <w:kern w:val="0"/>
          <w:szCs w:val="21"/>
          <w:highlight w:val="none"/>
        </w:rPr>
        <w:t>未</w:t>
      </w:r>
      <w:r>
        <w:rPr>
          <w:rFonts w:hint="eastAsia" w:ascii="宋体" w:hAnsi="宋体" w:eastAsia="宋体" w:cs="Times New Roman"/>
          <w:b/>
          <w:color w:val="auto"/>
          <w:kern w:val="0"/>
          <w:szCs w:val="21"/>
          <w:highlight w:val="none"/>
        </w:rPr>
        <w:t>响应</w:t>
      </w:r>
      <w:r>
        <w:rPr>
          <w:rFonts w:ascii="宋体" w:hAnsi="宋体" w:eastAsia="宋体" w:cs="Times New Roman"/>
          <w:b/>
          <w:color w:val="auto"/>
          <w:kern w:val="0"/>
          <w:szCs w:val="21"/>
          <w:highlight w:val="none"/>
        </w:rPr>
        <w:t>招标文件提出的实质性要求和条件（标注★的条款）</w:t>
      </w:r>
      <w:r>
        <w:rPr>
          <w:rFonts w:hint="eastAsia" w:ascii="宋体" w:hAnsi="宋体" w:eastAsia="宋体" w:cs="Times New Roman"/>
          <w:b/>
          <w:color w:val="auto"/>
          <w:kern w:val="0"/>
          <w:szCs w:val="21"/>
          <w:highlight w:val="none"/>
        </w:rPr>
        <w:t>。</w:t>
      </w:r>
    </w:p>
    <w:p w14:paraId="69C4553D">
      <w:pPr>
        <w:autoSpaceDE w:val="0"/>
        <w:autoSpaceDN w:val="0"/>
        <w:adjustRightInd w:val="0"/>
        <w:spacing w:line="360" w:lineRule="auto"/>
        <w:ind w:left="315" w:hanging="315" w:hangingChars="150"/>
        <w:rPr>
          <w:rFonts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1DF1DE3F">
      <w:pPr>
        <w:spacing w:line="360" w:lineRule="auto"/>
        <w:ind w:left="480"/>
        <w:rPr>
          <w:rFonts w:ascii="宋体" w:hAnsi="宋体" w:eastAsia="宋体" w:cs="宋体"/>
          <w:b/>
          <w:color w:val="auto"/>
          <w:kern w:val="0"/>
          <w:szCs w:val="21"/>
          <w:highlight w:val="none"/>
        </w:rPr>
      </w:pPr>
    </w:p>
    <w:p w14:paraId="3CAB6856">
      <w:pPr>
        <w:tabs>
          <w:tab w:val="left" w:pos="1140"/>
        </w:tabs>
        <w:autoSpaceDE w:val="0"/>
        <w:autoSpaceDN w:val="0"/>
        <w:adjustRightInd w:val="0"/>
        <w:spacing w:line="360" w:lineRule="auto"/>
        <w:ind w:firstLine="3528" w:firstLineChars="1255"/>
        <w:jc w:val="left"/>
        <w:outlineLvl w:val="2"/>
        <w:rPr>
          <w:rFonts w:ascii="宋体" w:hAnsi="宋体" w:eastAsia="宋体" w:cs="宋体"/>
          <w:b/>
          <w:bCs/>
          <w:color w:val="auto"/>
          <w:sz w:val="28"/>
          <w:szCs w:val="28"/>
          <w:highlight w:val="none"/>
        </w:rPr>
      </w:pPr>
      <w:bookmarkStart w:id="790" w:name="_Toc4109_WPSOffice_Level1"/>
      <w:bookmarkStart w:id="791" w:name="_Toc26104"/>
      <w:r>
        <w:rPr>
          <w:rFonts w:hint="eastAsia" w:ascii="宋体" w:hAnsi="宋体" w:eastAsia="宋体" w:cs="宋体"/>
          <w:b/>
          <w:bCs/>
          <w:color w:val="auto"/>
          <w:sz w:val="28"/>
          <w:szCs w:val="28"/>
          <w:highlight w:val="none"/>
          <w:lang w:val="zh-CN"/>
        </w:rPr>
        <w:t>三、澄清有关问题</w:t>
      </w:r>
      <w:bookmarkEnd w:id="790"/>
      <w:bookmarkEnd w:id="791"/>
    </w:p>
    <w:p w14:paraId="0FE4CBDC">
      <w:pPr>
        <w:autoSpaceDE w:val="0"/>
        <w:autoSpaceDN w:val="0"/>
        <w:adjustRightInd w:val="0"/>
        <w:spacing w:line="360" w:lineRule="auto"/>
        <w:ind w:left="315" w:hanging="315" w:hangingChars="15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14:paraId="04DC5EC3">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14:paraId="14C28AA5">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78F603D6">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14:paraId="0D6DA4F8">
      <w:pPr>
        <w:spacing w:line="360" w:lineRule="auto"/>
        <w:ind w:left="424" w:hanging="424" w:hangingChars="202"/>
        <w:outlineLvl w:val="1"/>
        <w:rPr>
          <w:rFonts w:ascii="宋体" w:hAnsi="宋体" w:eastAsia="宋体" w:cs="宋体"/>
          <w:color w:val="auto"/>
          <w:kern w:val="0"/>
          <w:szCs w:val="21"/>
          <w:highlight w:val="none"/>
        </w:rPr>
      </w:pPr>
      <w:bookmarkStart w:id="792" w:name="_Toc24084"/>
      <w:r>
        <w:rPr>
          <w:rFonts w:hint="eastAsia" w:ascii="宋体" w:hAnsi="宋体" w:eastAsia="宋体" w:cs="宋体"/>
          <w:color w:val="auto"/>
          <w:kern w:val="0"/>
          <w:szCs w:val="21"/>
          <w:highlight w:val="none"/>
        </w:rPr>
        <w:t>9.4  投标文件报价计算错误的修正</w:t>
      </w:r>
      <w:bookmarkEnd w:id="792"/>
    </w:p>
    <w:p w14:paraId="46336BE4">
      <w:pPr>
        <w:autoSpaceDE/>
        <w:autoSpaceDN/>
        <w:adjustRightInd/>
        <w:spacing w:line="360" w:lineRule="auto"/>
        <w:ind w:left="567" w:hanging="567" w:hangingChars="270"/>
        <w:jc w:val="left"/>
        <w:rPr>
          <w:rFonts w:ascii="宋体" w:hAnsi="宋体" w:eastAsia="宋体" w:cs="Times New Roman"/>
          <w:color w:val="auto"/>
          <w:kern w:val="0"/>
          <w:sz w:val="24"/>
          <w:szCs w:val="24"/>
          <w:highlight w:val="none"/>
        </w:rPr>
      </w:pPr>
      <w:r>
        <w:rPr>
          <w:rFonts w:hint="eastAsia" w:ascii="宋体" w:hAnsi="宋体" w:eastAsia="宋体" w:cs="宋体"/>
          <w:color w:val="auto"/>
          <w:kern w:val="0"/>
          <w:szCs w:val="21"/>
          <w:highlight w:val="none"/>
        </w:rPr>
        <w:t>（1）评标委员会将对确定为实质上响应招标文件要求的投标文件进行校核，看其是否有计算或表达上的错误，修正错误的原则为：</w:t>
      </w:r>
      <w:r>
        <w:rPr>
          <w:rFonts w:hint="eastAsia" w:ascii="宋体" w:hAnsi="宋体" w:eastAsia="宋体" w:cs="宋体"/>
          <w:color w:val="auto"/>
          <w:kern w:val="0"/>
          <w:szCs w:val="21"/>
          <w:highlight w:val="none"/>
          <w:lang w:val="zh-CN"/>
        </w:rPr>
        <w:t>当以数字表示的金额与以文字表示的金额不一致时，以文字表示的金额为准；按前述修正原则进行修正至唯一值后的报价表经双方确认后，作为合同文件的组成部分。</w:t>
      </w:r>
    </w:p>
    <w:p w14:paraId="4C12AE7A">
      <w:pPr>
        <w:spacing w:line="360" w:lineRule="auto"/>
        <w:ind w:left="567" w:hanging="567" w:hangingChars="270"/>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5E7EBE9D">
      <w:pPr>
        <w:spacing w:line="360" w:lineRule="auto"/>
        <w:ind w:left="567" w:hanging="567" w:hangingChars="27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 w:val="0"/>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14:paraId="62E3F03F">
      <w:pPr>
        <w:autoSpaceDE w:val="0"/>
        <w:autoSpaceDN w:val="0"/>
        <w:adjustRightInd w:val="0"/>
        <w:spacing w:line="360" w:lineRule="auto"/>
        <w:jc w:val="center"/>
        <w:rPr>
          <w:rFonts w:ascii="宋体" w:hAnsi="宋体" w:eastAsia="宋体" w:cs="宋体"/>
          <w:b/>
          <w:bCs/>
          <w:color w:val="auto"/>
          <w:sz w:val="28"/>
          <w:szCs w:val="28"/>
          <w:highlight w:val="none"/>
          <w:lang w:val="zh-CN"/>
        </w:rPr>
      </w:pPr>
      <w:bookmarkStart w:id="793" w:name="_Toc8518_WPSOffice_Level1"/>
    </w:p>
    <w:p w14:paraId="0614472B">
      <w:pPr>
        <w:autoSpaceDE w:val="0"/>
        <w:autoSpaceDN w:val="0"/>
        <w:adjustRightInd w:val="0"/>
        <w:spacing w:line="360" w:lineRule="auto"/>
        <w:jc w:val="center"/>
        <w:outlineLvl w:val="2"/>
        <w:rPr>
          <w:rFonts w:ascii="宋体" w:hAnsi="宋体" w:eastAsia="宋体" w:cs="宋体"/>
          <w:b/>
          <w:bCs/>
          <w:color w:val="auto"/>
          <w:sz w:val="28"/>
          <w:szCs w:val="28"/>
          <w:highlight w:val="none"/>
        </w:rPr>
      </w:pPr>
      <w:bookmarkStart w:id="794" w:name="_Toc14870"/>
      <w:r>
        <w:rPr>
          <w:rFonts w:hint="eastAsia" w:ascii="宋体" w:hAnsi="宋体" w:eastAsia="宋体" w:cs="宋体"/>
          <w:b/>
          <w:bCs/>
          <w:color w:val="auto"/>
          <w:sz w:val="28"/>
          <w:szCs w:val="28"/>
          <w:highlight w:val="none"/>
          <w:lang w:val="zh-CN"/>
        </w:rPr>
        <w:t>四、比较和评价</w:t>
      </w:r>
      <w:bookmarkEnd w:id="793"/>
      <w:bookmarkEnd w:id="794"/>
    </w:p>
    <w:p w14:paraId="52C56CB1">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35E4AB70">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p>
    <w:p w14:paraId="28F369DB">
      <w:pPr>
        <w:tabs>
          <w:tab w:val="left" w:pos="1701"/>
        </w:tabs>
        <w:autoSpaceDE w:val="0"/>
        <w:autoSpaceDN w:val="0"/>
        <w:adjustRightInd w:val="0"/>
        <w:spacing w:line="360" w:lineRule="auto"/>
        <w:outlineLvl w:val="0"/>
        <w:rPr>
          <w:rFonts w:ascii="宋体" w:hAnsi="宋体" w:eastAsia="宋体" w:cs="宋体"/>
          <w:b/>
          <w:color w:val="auto"/>
          <w:szCs w:val="24"/>
          <w:highlight w:val="none"/>
          <w:lang w:val="zh-CN"/>
        </w:rPr>
      </w:pPr>
      <w:bookmarkStart w:id="795" w:name="_Toc11844"/>
      <w:r>
        <w:rPr>
          <w:rFonts w:hint="eastAsia" w:ascii="宋体" w:hAnsi="宋体" w:eastAsia="宋体" w:cs="宋体"/>
          <w:b/>
          <w:color w:val="auto"/>
          <w:szCs w:val="24"/>
          <w:highlight w:val="none"/>
          <w:lang w:val="zh-CN"/>
        </w:rPr>
        <w:t>11、评委打分办法</w:t>
      </w:r>
      <w:bookmarkEnd w:id="795"/>
    </w:p>
    <w:p w14:paraId="1177587D">
      <w:pPr>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.1 参加评分的评委应尽力体现客观、实事求是，避免学派偏见和个人偏好。</w:t>
      </w:r>
    </w:p>
    <w:p w14:paraId="6B0DFFA6">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.2 衡量、对比的依据，应以招标文件、投标文件、提供的正式试验数据、开标澄清中的文字为准，口头回答和收集的资料只作为参考。</w:t>
      </w:r>
    </w:p>
    <w:p w14:paraId="3FF259C7">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.3 评分主要是为比较各投标人的商务、技术</w:t>
      </w:r>
      <w:r>
        <w:rPr>
          <w:rFonts w:hint="eastAsia" w:ascii="宋体" w:hAnsi="宋体" w:eastAsia="宋体" w:cs="Times New Roman"/>
          <w:color w:val="auto"/>
          <w:szCs w:val="24"/>
          <w:highlight w:val="none"/>
          <w:lang w:val="en-US" w:eastAsia="zh-CN"/>
        </w:rPr>
        <w:t>和</w:t>
      </w:r>
      <w:r>
        <w:rPr>
          <w:rFonts w:hint="eastAsia" w:ascii="宋体" w:hAnsi="宋体" w:eastAsia="宋体" w:cs="Times New Roman"/>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14:paraId="2822199E">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评标委员会首先对商务标进行评审，按评标标准打分后，取所有评委评分的平均值得出该投标人的商务评分；</w:t>
      </w:r>
    </w:p>
    <w:p w14:paraId="35BBA2BE">
      <w:pPr>
        <w:autoSpaceDE w:val="0"/>
        <w:autoSpaceDN w:val="0"/>
        <w:adjustRightInd w:val="0"/>
        <w:spacing w:line="360" w:lineRule="auto"/>
        <w:ind w:left="565" w:leftChars="-1" w:hanging="567" w:hangingChars="270"/>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然后评标委员会对技术标进行评审，按评标标准打分后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auto"/>
          <w:sz w:val="21"/>
          <w:szCs w:val="21"/>
          <w:highlight w:val="none"/>
          <w:lang w:val="en-US" w:eastAsia="zh-CN"/>
        </w:rPr>
        <w:t>最终综合得分</w:t>
      </w:r>
      <w:r>
        <w:rPr>
          <w:rFonts w:hint="eastAsia" w:ascii="宋体" w:hAnsi="宋体" w:eastAsia="宋体" w:cs="宋体"/>
          <w:color w:val="auto"/>
          <w:sz w:val="21"/>
          <w:szCs w:val="21"/>
          <w:highlight w:val="none"/>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评分因素的评分低于权重分值60%的，应在评标报告中作出说明。</w:t>
      </w:r>
    </w:p>
    <w:p w14:paraId="7CA33EAF">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最后评标委员会对报价进行评审，按评标标准计算得出该投标人的报价评分。</w:t>
      </w:r>
    </w:p>
    <w:p w14:paraId="5A555996">
      <w:pPr>
        <w:tabs>
          <w:tab w:val="left" w:pos="600"/>
        </w:tabs>
        <w:autoSpaceDE w:val="0"/>
        <w:autoSpaceDN w:val="0"/>
        <w:adjustRightInd w:val="0"/>
        <w:spacing w:line="360" w:lineRule="auto"/>
        <w:outlineLvl w:val="1"/>
        <w:rPr>
          <w:rFonts w:ascii="宋体" w:hAnsi="宋体" w:eastAsia="宋体" w:cs="Times New Roman"/>
          <w:color w:val="auto"/>
          <w:szCs w:val="24"/>
          <w:highlight w:val="none"/>
          <w:lang w:val="zh-CN"/>
        </w:rPr>
      </w:pPr>
      <w:bookmarkStart w:id="796" w:name="_Toc31114"/>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.4 评标委员会打分采取记名形式。</w:t>
      </w:r>
      <w:bookmarkEnd w:id="796"/>
    </w:p>
    <w:p w14:paraId="6E62F2E6">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.5 各评委根据秘书组提供的打分表严格按照评标大纲内的评分标准独立自主打分，任何人不得要求评委统一打分或统一确定等次顺序。</w:t>
      </w:r>
    </w:p>
    <w:p w14:paraId="4D1A6640">
      <w:pPr>
        <w:autoSpaceDE w:val="0"/>
        <w:autoSpaceDN w:val="0"/>
        <w:adjustRightInd w:val="0"/>
        <w:spacing w:line="360" w:lineRule="auto"/>
        <w:ind w:left="426" w:hanging="426"/>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.6 对打分表中的每项条款，各评委应根据投标文件、澄清材料、招标文件要求，按满足的程度给投标人打分。</w:t>
      </w:r>
    </w:p>
    <w:p w14:paraId="45C1D8E9">
      <w:pPr>
        <w:tabs>
          <w:tab w:val="left" w:pos="600"/>
        </w:tabs>
        <w:autoSpaceDE w:val="0"/>
        <w:autoSpaceDN w:val="0"/>
        <w:adjustRightInd w:val="0"/>
        <w:spacing w:line="360" w:lineRule="auto"/>
        <w:outlineLvl w:val="1"/>
        <w:rPr>
          <w:rFonts w:ascii="宋体" w:hAnsi="宋体" w:eastAsia="宋体" w:cs="Times New Roman"/>
          <w:color w:val="auto"/>
          <w:szCs w:val="24"/>
          <w:highlight w:val="none"/>
          <w:lang w:val="zh-CN"/>
        </w:rPr>
      </w:pPr>
      <w:bookmarkStart w:id="797" w:name="_Toc7928"/>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.7 评分程序</w:t>
      </w:r>
      <w:bookmarkEnd w:id="797"/>
    </w:p>
    <w:p w14:paraId="498ABC16">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zh-CN"/>
        </w:rPr>
        <w:t>）就投标人的投标文件对照整理出商务、技术评标因素对比表、偏差表，并在经过校核的基础上逐项打分。</w:t>
      </w:r>
    </w:p>
    <w:p w14:paraId="16A8B7AB">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）各评委独立完成打分后，将统计好的评分表交给招标代理机构秘书组复核。</w:t>
      </w:r>
    </w:p>
    <w:p w14:paraId="6212C5AE">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）评分统计表中各投标人技术得分应为最终综合得分，商务和价格得分应为评委打分的算术平均值。</w:t>
      </w:r>
    </w:p>
    <w:p w14:paraId="0CB99AB2">
      <w:pPr>
        <w:autoSpaceDE w:val="0"/>
        <w:autoSpaceDN w:val="0"/>
        <w:adjustRightInd w:val="0"/>
        <w:spacing w:line="360" w:lineRule="auto"/>
        <w:rPr>
          <w:rFonts w:ascii="宋体" w:hAnsi="宋体" w:eastAsia="宋体" w:cs="宋体"/>
          <w:color w:val="auto"/>
          <w:szCs w:val="24"/>
          <w:highlight w:val="none"/>
          <w:lang w:val="zh-CN"/>
        </w:rPr>
      </w:pPr>
    </w:p>
    <w:p w14:paraId="253E4551">
      <w:pPr>
        <w:tabs>
          <w:tab w:val="left" w:pos="1701"/>
        </w:tabs>
        <w:autoSpaceDE w:val="0"/>
        <w:autoSpaceDN w:val="0"/>
        <w:adjustRightInd w:val="0"/>
        <w:spacing w:line="360" w:lineRule="auto"/>
        <w:outlineLvl w:val="0"/>
        <w:rPr>
          <w:rFonts w:ascii="宋体" w:hAnsi="宋体" w:eastAsia="宋体" w:cs="宋体"/>
          <w:b/>
          <w:color w:val="auto"/>
          <w:szCs w:val="24"/>
          <w:highlight w:val="none"/>
          <w:lang w:val="zh-CN"/>
        </w:rPr>
      </w:pPr>
      <w:bookmarkStart w:id="798" w:name="_Toc23773"/>
      <w:r>
        <w:rPr>
          <w:rFonts w:hint="eastAsia" w:ascii="宋体" w:hAnsi="宋体" w:eastAsia="宋体" w:cs="宋体"/>
          <w:b/>
          <w:color w:val="auto"/>
          <w:szCs w:val="24"/>
          <w:highlight w:val="none"/>
          <w:lang w:val="zh-CN"/>
        </w:rPr>
        <w:t>12、评分因素及分值</w:t>
      </w:r>
      <w:bookmarkEnd w:id="798"/>
    </w:p>
    <w:tbl>
      <w:tblPr>
        <w:tblStyle w:val="3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14:paraId="3BFE4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38924FBE">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028C4A73">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14:paraId="4D570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74D38065">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5173" w:type="dxa"/>
            <w:tcBorders>
              <w:top w:val="single" w:color="auto" w:sz="4" w:space="0"/>
              <w:left w:val="single" w:color="auto" w:sz="4" w:space="0"/>
              <w:bottom w:val="single" w:color="auto" w:sz="4" w:space="0"/>
              <w:right w:val="single" w:color="auto" w:sz="4" w:space="0"/>
            </w:tcBorders>
            <w:vAlign w:val="center"/>
          </w:tcPr>
          <w:p w14:paraId="0F190C37">
            <w:pPr>
              <w:spacing w:line="400" w:lineRule="exact"/>
              <w:jc w:val="center"/>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en-US" w:eastAsia="zh-CN"/>
              </w:rPr>
              <w:t>45</w:t>
            </w:r>
            <w:r>
              <w:rPr>
                <w:rFonts w:hint="eastAsia" w:ascii="宋体" w:hAnsi="宋体" w:eastAsia="宋体" w:cs="宋体"/>
                <w:bCs/>
                <w:color w:val="auto"/>
                <w:kern w:val="0"/>
                <w:sz w:val="22"/>
                <w:highlight w:val="none"/>
                <w:lang w:val="zh-CN"/>
              </w:rPr>
              <w:t>分</w:t>
            </w:r>
          </w:p>
        </w:tc>
      </w:tr>
      <w:tr w14:paraId="089027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2493DFF9">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5173" w:type="dxa"/>
            <w:tcBorders>
              <w:top w:val="single" w:color="auto" w:sz="4" w:space="0"/>
              <w:left w:val="single" w:color="auto" w:sz="4" w:space="0"/>
              <w:bottom w:val="single" w:color="auto" w:sz="4" w:space="0"/>
              <w:right w:val="single" w:color="auto" w:sz="4" w:space="0"/>
            </w:tcBorders>
            <w:vAlign w:val="center"/>
          </w:tcPr>
          <w:p w14:paraId="1C0A2BF1">
            <w:pPr>
              <w:spacing w:line="400" w:lineRule="exact"/>
              <w:jc w:val="center"/>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25分</w:t>
            </w:r>
          </w:p>
        </w:tc>
      </w:tr>
      <w:tr w14:paraId="73D479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7CDC981F">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3、价格</w:t>
            </w:r>
          </w:p>
        </w:tc>
        <w:tc>
          <w:tcPr>
            <w:tcW w:w="5173" w:type="dxa"/>
            <w:tcBorders>
              <w:top w:val="single" w:color="auto" w:sz="4" w:space="0"/>
              <w:left w:val="single" w:color="auto" w:sz="4" w:space="0"/>
              <w:bottom w:val="single" w:color="auto" w:sz="4" w:space="0"/>
              <w:right w:val="single" w:color="auto" w:sz="4" w:space="0"/>
            </w:tcBorders>
            <w:vAlign w:val="center"/>
          </w:tcPr>
          <w:p w14:paraId="2CB4E4D1">
            <w:pPr>
              <w:spacing w:line="400" w:lineRule="exact"/>
              <w:jc w:val="center"/>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en-US" w:eastAsia="zh-CN"/>
              </w:rPr>
              <w:t>30</w:t>
            </w:r>
            <w:r>
              <w:rPr>
                <w:rFonts w:hint="eastAsia" w:ascii="宋体" w:hAnsi="宋体" w:eastAsia="宋体" w:cs="宋体"/>
                <w:bCs/>
                <w:color w:val="auto"/>
                <w:kern w:val="0"/>
                <w:sz w:val="22"/>
                <w:highlight w:val="none"/>
                <w:lang w:val="zh-CN"/>
              </w:rPr>
              <w:t>分</w:t>
            </w:r>
          </w:p>
        </w:tc>
      </w:tr>
    </w:tbl>
    <w:p w14:paraId="1F8EAF0A">
      <w:pPr>
        <w:tabs>
          <w:tab w:val="left" w:pos="585"/>
        </w:tabs>
        <w:autoSpaceDE w:val="0"/>
        <w:autoSpaceDN w:val="0"/>
        <w:adjustRightInd w:val="0"/>
        <w:spacing w:line="360" w:lineRule="auto"/>
        <w:rPr>
          <w:rFonts w:ascii="宋体" w:hAnsi="宋体" w:eastAsia="宋体" w:cs="宋体"/>
          <w:b/>
          <w:color w:val="auto"/>
          <w:szCs w:val="21"/>
          <w:highlight w:val="none"/>
        </w:rPr>
      </w:pPr>
      <w:bookmarkStart w:id="799" w:name="_Toc18349_WPSOffice_Level2"/>
    </w:p>
    <w:p w14:paraId="60C8994E">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45</w:t>
      </w:r>
      <w:r>
        <w:rPr>
          <w:rFonts w:hint="eastAsia" w:ascii="宋体" w:hAnsi="宋体" w:eastAsia="宋体" w:cs="宋体"/>
          <w:b/>
          <w:color w:val="auto"/>
          <w:szCs w:val="21"/>
          <w:highlight w:val="none"/>
          <w:lang w:val="zh-CN"/>
        </w:rPr>
        <w:t>分</w:t>
      </w:r>
      <w:bookmarkEnd w:id="799"/>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134"/>
        <w:gridCol w:w="7655"/>
        <w:gridCol w:w="907"/>
      </w:tblGrid>
      <w:tr w14:paraId="6461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14:paraId="0EE46B9A">
            <w:pPr>
              <w:autoSpaceDE w:val="0"/>
              <w:autoSpaceDN w:val="0"/>
              <w:adjustRightInd w:val="0"/>
              <w:spacing w:line="400" w:lineRule="exact"/>
              <w:ind w:left="0" w:firstLine="0"/>
              <w:jc w:val="center"/>
              <w:rPr>
                <w:rFonts w:ascii="宋体" w:hAnsi="宋体" w:eastAsia="宋体" w:cs="宋体"/>
                <w:b/>
                <w:color w:val="auto"/>
                <w:kern w:val="0"/>
                <w:szCs w:val="21"/>
              </w:rPr>
            </w:pPr>
            <w:bookmarkStart w:id="800" w:name="_Toc11639_WPSOffice_Level2"/>
            <w:r>
              <w:rPr>
                <w:rFonts w:hint="eastAsia" w:ascii="宋体" w:hAnsi="宋体" w:eastAsia="宋体" w:cs="宋体"/>
                <w:b/>
                <w:color w:val="auto"/>
                <w:kern w:val="0"/>
                <w:szCs w:val="21"/>
              </w:rPr>
              <w:t>序号</w:t>
            </w:r>
          </w:p>
        </w:tc>
        <w:tc>
          <w:tcPr>
            <w:tcW w:w="547" w:type="pct"/>
            <w:tcBorders>
              <w:top w:val="single" w:color="auto" w:sz="4" w:space="0"/>
              <w:left w:val="single" w:color="auto" w:sz="4" w:space="0"/>
              <w:bottom w:val="single" w:color="auto" w:sz="4" w:space="0"/>
              <w:right w:val="single" w:color="auto" w:sz="4" w:space="0"/>
            </w:tcBorders>
            <w:vAlign w:val="center"/>
          </w:tcPr>
          <w:p w14:paraId="1E8CC40E">
            <w:pPr>
              <w:autoSpaceDE w:val="0"/>
              <w:autoSpaceDN w:val="0"/>
              <w:adjustRightInd w:val="0"/>
              <w:spacing w:line="400" w:lineRule="exact"/>
              <w:ind w:left="0" w:firstLine="0"/>
              <w:jc w:val="center"/>
              <w:rPr>
                <w:rFonts w:ascii="宋体" w:hAnsi="宋体" w:eastAsia="宋体" w:cs="宋体"/>
                <w:b/>
                <w:color w:val="auto"/>
                <w:kern w:val="0"/>
                <w:szCs w:val="21"/>
              </w:rPr>
            </w:pPr>
            <w:r>
              <w:rPr>
                <w:rFonts w:hint="eastAsia" w:ascii="宋体" w:hAnsi="宋体" w:eastAsia="宋体" w:cs="宋体"/>
                <w:b/>
                <w:color w:val="auto"/>
                <w:szCs w:val="21"/>
                <w:lang w:val="zh-CN"/>
              </w:rPr>
              <w:t>评审内容</w:t>
            </w:r>
          </w:p>
        </w:tc>
        <w:tc>
          <w:tcPr>
            <w:tcW w:w="3691" w:type="pct"/>
            <w:tcBorders>
              <w:top w:val="single" w:color="auto" w:sz="4" w:space="0"/>
              <w:left w:val="single" w:color="auto" w:sz="4" w:space="0"/>
              <w:bottom w:val="single" w:color="auto" w:sz="4" w:space="0"/>
              <w:right w:val="single" w:color="auto" w:sz="4" w:space="0"/>
            </w:tcBorders>
            <w:vAlign w:val="center"/>
          </w:tcPr>
          <w:p w14:paraId="6C5B3E8F">
            <w:pPr>
              <w:autoSpaceDE w:val="0"/>
              <w:autoSpaceDN w:val="0"/>
              <w:adjustRightInd w:val="0"/>
              <w:spacing w:line="400" w:lineRule="exact"/>
              <w:ind w:left="0" w:firstLine="0"/>
              <w:jc w:val="center"/>
              <w:rPr>
                <w:rFonts w:ascii="宋体" w:hAnsi="宋体" w:eastAsia="宋体" w:cs="宋体"/>
                <w:b/>
                <w:color w:val="auto"/>
                <w:kern w:val="0"/>
                <w:szCs w:val="21"/>
              </w:rPr>
            </w:pPr>
            <w:r>
              <w:rPr>
                <w:rFonts w:hint="eastAsia" w:ascii="宋体" w:hAnsi="宋体" w:eastAsia="宋体" w:cs="宋体"/>
                <w:b/>
                <w:color w:val="auto"/>
                <w:kern w:val="0"/>
                <w:szCs w:val="21"/>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14:paraId="26F5A412">
            <w:pPr>
              <w:autoSpaceDE w:val="0"/>
              <w:autoSpaceDN w:val="0"/>
              <w:adjustRightInd w:val="0"/>
              <w:spacing w:line="400" w:lineRule="exact"/>
              <w:ind w:left="0" w:firstLine="0"/>
              <w:jc w:val="center"/>
              <w:rPr>
                <w:rFonts w:ascii="宋体" w:hAnsi="宋体" w:eastAsia="宋体" w:cs="宋体"/>
                <w:b/>
                <w:color w:val="auto"/>
                <w:kern w:val="0"/>
                <w:szCs w:val="21"/>
              </w:rPr>
            </w:pPr>
            <w:r>
              <w:rPr>
                <w:rFonts w:hint="eastAsia" w:ascii="宋体" w:hAnsi="宋体" w:eastAsia="宋体" w:cs="宋体"/>
                <w:b/>
                <w:color w:val="auto"/>
                <w:kern w:val="0"/>
                <w:szCs w:val="21"/>
              </w:rPr>
              <w:t>满分值</w:t>
            </w:r>
          </w:p>
        </w:tc>
      </w:tr>
      <w:tr w14:paraId="4CEFE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1441A95B">
            <w:pPr>
              <w:spacing w:line="400" w:lineRule="exact"/>
              <w:jc w:val="center"/>
              <w:rPr>
                <w:rFonts w:ascii="宋体" w:hAnsi="宋体" w:eastAsia="宋体" w:cs="宋体"/>
                <w:color w:val="auto"/>
                <w:kern w:val="0"/>
                <w:szCs w:val="21"/>
              </w:rPr>
            </w:pPr>
            <w:r>
              <w:rPr>
                <w:rFonts w:ascii="宋体" w:hAnsi="宋体" w:eastAsia="宋体" w:cs="宋体"/>
                <w:color w:val="auto"/>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14:paraId="2362301C">
            <w:pPr>
              <w:spacing w:line="400" w:lineRule="exact"/>
              <w:jc w:val="center"/>
              <w:rPr>
                <w:rFonts w:ascii="宋体" w:hAnsi="宋体" w:eastAsia="宋体" w:cs="宋体"/>
                <w:bCs/>
                <w:color w:val="auto"/>
                <w:kern w:val="0"/>
                <w:sz w:val="24"/>
                <w:szCs w:val="21"/>
              </w:rPr>
            </w:pPr>
            <w:r>
              <w:rPr>
                <w:rFonts w:hint="eastAsia" w:ascii="宋体" w:hAnsi="宋体" w:eastAsia="宋体" w:cs="宋体"/>
                <w:color w:val="auto"/>
                <w:szCs w:val="21"/>
                <w:lang w:val="zh-CN"/>
              </w:rPr>
              <w:t>财务状况</w:t>
            </w:r>
          </w:p>
        </w:tc>
        <w:tc>
          <w:tcPr>
            <w:tcW w:w="7655" w:type="dxa"/>
            <w:tcBorders>
              <w:top w:val="single" w:color="auto" w:sz="4" w:space="0"/>
              <w:left w:val="single" w:color="auto" w:sz="4" w:space="0"/>
              <w:bottom w:val="single" w:color="auto" w:sz="4" w:space="0"/>
              <w:right w:val="single" w:color="auto" w:sz="4" w:space="0"/>
            </w:tcBorders>
            <w:vAlign w:val="center"/>
          </w:tcPr>
          <w:p w14:paraId="1F395A1A">
            <w:pPr>
              <w:spacing w:line="400" w:lineRule="exact"/>
              <w:ind w:left="36" w:leftChars="17" w:firstLine="283" w:firstLineChars="135"/>
              <w:rPr>
                <w:rFonts w:ascii="宋体" w:hAnsi="宋体" w:eastAsia="宋体" w:cs="宋体"/>
                <w:color w:val="auto"/>
                <w:szCs w:val="21"/>
              </w:rPr>
            </w:pPr>
            <w:r>
              <w:rPr>
                <w:rFonts w:hint="eastAsia" w:ascii="宋体" w:hAnsi="宋体" w:eastAsia="宋体" w:cs="宋体"/>
                <w:color w:val="auto"/>
                <w:szCs w:val="21"/>
              </w:rPr>
              <w:t>投标人</w:t>
            </w:r>
            <w:r>
              <w:rPr>
                <w:rFonts w:ascii="宋体" w:hAnsi="宋体" w:eastAsia="宋体" w:cs="宋体"/>
                <w:color w:val="auto"/>
                <w:szCs w:val="21"/>
              </w:rPr>
              <w:t>2021</w:t>
            </w:r>
            <w:r>
              <w:rPr>
                <w:rFonts w:hint="eastAsia" w:ascii="宋体" w:hAnsi="宋体" w:eastAsia="宋体" w:cs="宋体"/>
                <w:color w:val="auto"/>
                <w:szCs w:val="21"/>
              </w:rPr>
              <w:t>年</w:t>
            </w:r>
            <w:r>
              <w:rPr>
                <w:rFonts w:ascii="宋体" w:hAnsi="宋体" w:eastAsia="宋体" w:cs="宋体"/>
                <w:color w:val="auto"/>
                <w:szCs w:val="21"/>
              </w:rPr>
              <w:t>-2023</w:t>
            </w:r>
            <w:r>
              <w:rPr>
                <w:rFonts w:hint="eastAsia" w:ascii="宋体" w:hAnsi="宋体" w:eastAsia="宋体" w:cs="宋体"/>
                <w:color w:val="auto"/>
                <w:szCs w:val="21"/>
              </w:rPr>
              <w:t>年三个年度，每具有</w:t>
            </w:r>
            <w:r>
              <w:rPr>
                <w:rFonts w:ascii="宋体" w:hAnsi="宋体" w:eastAsia="宋体" w:cs="宋体"/>
                <w:color w:val="auto"/>
                <w:szCs w:val="21"/>
              </w:rPr>
              <w:t>1个年度</w:t>
            </w:r>
            <w:r>
              <w:rPr>
                <w:rFonts w:hint="eastAsia" w:ascii="宋体" w:hAnsi="宋体" w:eastAsia="宋体" w:cs="宋体"/>
                <w:color w:val="auto"/>
                <w:szCs w:val="21"/>
              </w:rPr>
              <w:t>盈利的得</w:t>
            </w:r>
            <w:r>
              <w:rPr>
                <w:rFonts w:ascii="宋体" w:hAnsi="宋体" w:eastAsia="宋体" w:cs="宋体"/>
                <w:color w:val="auto"/>
                <w:szCs w:val="21"/>
              </w:rPr>
              <w:t>0.5分，满分1.5分。</w:t>
            </w:r>
          </w:p>
          <w:p w14:paraId="2FF55905">
            <w:pPr>
              <w:spacing w:line="400" w:lineRule="exact"/>
              <w:ind w:left="36" w:leftChars="17" w:firstLine="285" w:firstLineChars="135"/>
              <w:rPr>
                <w:rFonts w:ascii="宋体" w:hAnsi="宋体" w:eastAsia="宋体" w:cs="宋体"/>
                <w:b/>
                <w:color w:val="auto"/>
                <w:kern w:val="0"/>
                <w:szCs w:val="21"/>
                <w:lang w:val="zh-CN"/>
              </w:rPr>
            </w:pPr>
            <w:r>
              <w:rPr>
                <w:rFonts w:hint="eastAsia" w:ascii="宋体" w:hAnsi="宋体" w:eastAsia="宋体" w:cs="宋体"/>
                <w:b/>
                <w:color w:val="auto"/>
                <w:kern w:val="0"/>
                <w:szCs w:val="21"/>
                <w:lang w:val="zh-CN"/>
              </w:rPr>
              <w:t>备注：盈利指净利润为正数（非零、非负数），投标人应提供</w:t>
            </w:r>
            <w:r>
              <w:rPr>
                <w:rFonts w:ascii="宋体" w:hAnsi="宋体" w:eastAsia="宋体" w:cs="宋体"/>
                <w:b/>
                <w:color w:val="auto"/>
                <w:kern w:val="0"/>
                <w:szCs w:val="21"/>
                <w:lang w:val="zh-CN"/>
              </w:rPr>
              <w:t>2021年、2022年、2023年三个年度的财务报表，净利润以对应年度经审计的财务报表为准，应提供经独立会计师事务所审计过的有效的财务报表复印件；未提供前述财务报表或财务报表未能反映净利润的，不得分。</w:t>
            </w:r>
          </w:p>
        </w:tc>
        <w:tc>
          <w:tcPr>
            <w:tcW w:w="907" w:type="dxa"/>
            <w:tcBorders>
              <w:top w:val="single" w:color="auto" w:sz="4" w:space="0"/>
              <w:left w:val="single" w:color="auto" w:sz="4" w:space="0"/>
              <w:bottom w:val="single" w:color="auto" w:sz="4" w:space="0"/>
              <w:right w:val="single" w:color="auto" w:sz="4" w:space="0"/>
            </w:tcBorders>
            <w:vAlign w:val="center"/>
          </w:tcPr>
          <w:p w14:paraId="205CC761">
            <w:pPr>
              <w:spacing w:line="400" w:lineRule="exact"/>
              <w:jc w:val="center"/>
              <w:rPr>
                <w:rFonts w:ascii="宋体" w:hAnsi="宋体" w:eastAsia="宋体" w:cs="宋体"/>
                <w:color w:val="auto"/>
                <w:kern w:val="0"/>
                <w:szCs w:val="21"/>
              </w:rPr>
            </w:pPr>
            <w:r>
              <w:rPr>
                <w:rFonts w:ascii="宋体" w:hAnsi="宋体" w:eastAsia="宋体" w:cs="宋体"/>
                <w:color w:val="auto"/>
                <w:szCs w:val="21"/>
              </w:rPr>
              <w:t>1.5分</w:t>
            </w:r>
          </w:p>
        </w:tc>
      </w:tr>
      <w:tr w14:paraId="79E67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084D2D21">
            <w:pPr>
              <w:spacing w:line="400" w:lineRule="exact"/>
              <w:jc w:val="center"/>
              <w:rPr>
                <w:rFonts w:ascii="宋体" w:hAnsi="宋体" w:eastAsia="宋体" w:cs="宋体"/>
                <w:color w:val="auto"/>
                <w:kern w:val="0"/>
                <w:szCs w:val="21"/>
              </w:rPr>
            </w:pPr>
            <w:r>
              <w:rPr>
                <w:rFonts w:ascii="宋体" w:hAnsi="宋体" w:eastAsia="宋体" w:cs="宋体"/>
                <w:color w:val="auto"/>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14:paraId="689D1831">
            <w:pPr>
              <w:spacing w:line="400" w:lineRule="exact"/>
              <w:jc w:val="center"/>
              <w:rPr>
                <w:rFonts w:ascii="宋体" w:hAnsi="宋体" w:eastAsia="宋体" w:cs="宋体"/>
                <w:color w:val="auto"/>
                <w:kern w:val="0"/>
                <w:szCs w:val="21"/>
                <w:lang w:val="zh-CN"/>
              </w:rPr>
            </w:pPr>
            <w:r>
              <w:rPr>
                <w:rFonts w:hint="eastAsia" w:ascii="宋体" w:hAnsi="宋体" w:eastAsia="宋体" w:cs="宋体"/>
                <w:color w:val="auto"/>
                <w:szCs w:val="21"/>
              </w:rPr>
              <w:t>标准化程度</w:t>
            </w:r>
          </w:p>
        </w:tc>
        <w:tc>
          <w:tcPr>
            <w:tcW w:w="7655" w:type="dxa"/>
            <w:tcBorders>
              <w:top w:val="single" w:color="auto" w:sz="4" w:space="0"/>
              <w:left w:val="single" w:color="auto" w:sz="4" w:space="0"/>
              <w:bottom w:val="single" w:color="auto" w:sz="4" w:space="0"/>
              <w:right w:val="single" w:color="auto" w:sz="4" w:space="0"/>
            </w:tcBorders>
            <w:vAlign w:val="center"/>
          </w:tcPr>
          <w:p w14:paraId="5274C848">
            <w:pPr>
              <w:spacing w:line="400" w:lineRule="exact"/>
              <w:ind w:left="36" w:leftChars="17" w:firstLine="283" w:firstLineChars="135"/>
              <w:rPr>
                <w:rFonts w:ascii="宋体" w:hAnsi="宋体" w:eastAsia="宋体" w:cs="宋体"/>
                <w:color w:val="auto"/>
                <w:szCs w:val="21"/>
              </w:rPr>
            </w:pPr>
            <w:r>
              <w:rPr>
                <w:rFonts w:hint="eastAsia" w:ascii="宋体" w:hAnsi="宋体" w:eastAsia="宋体" w:cs="宋体"/>
                <w:color w:val="auto"/>
                <w:szCs w:val="21"/>
              </w:rPr>
              <w:t>（</w:t>
            </w:r>
            <w:r>
              <w:rPr>
                <w:rFonts w:ascii="宋体" w:hAnsi="宋体" w:eastAsia="宋体" w:cs="宋体"/>
                <w:color w:val="auto"/>
                <w:szCs w:val="21"/>
              </w:rPr>
              <w:t>1）投标人具有有效期内的ISO9001质量管理体系认证证书</w:t>
            </w:r>
            <w:r>
              <w:rPr>
                <w:rFonts w:hint="eastAsia" w:ascii="宋体" w:hAnsi="宋体" w:eastAsia="宋体" w:cs="宋体"/>
                <w:color w:val="auto"/>
                <w:szCs w:val="21"/>
                <w:lang w:val="zh-CN"/>
              </w:rPr>
              <w:t>且认证范围包含保安服务</w:t>
            </w:r>
            <w:r>
              <w:rPr>
                <w:rFonts w:hint="eastAsia" w:ascii="宋体" w:hAnsi="宋体" w:eastAsia="宋体" w:cs="宋体"/>
                <w:color w:val="auto"/>
                <w:szCs w:val="21"/>
              </w:rPr>
              <w:t>得</w:t>
            </w:r>
            <w:r>
              <w:rPr>
                <w:rFonts w:ascii="宋体" w:hAnsi="宋体" w:eastAsia="宋体" w:cs="宋体"/>
                <w:color w:val="auto"/>
                <w:szCs w:val="21"/>
              </w:rPr>
              <w:t>0.5</w:t>
            </w:r>
            <w:r>
              <w:rPr>
                <w:rFonts w:hint="eastAsia" w:ascii="宋体" w:hAnsi="宋体" w:eastAsia="宋体" w:cs="宋体"/>
                <w:color w:val="auto"/>
                <w:szCs w:val="21"/>
              </w:rPr>
              <w:t>分。</w:t>
            </w:r>
          </w:p>
          <w:p w14:paraId="6DB8ECFD">
            <w:pPr>
              <w:spacing w:line="400" w:lineRule="exact"/>
              <w:ind w:left="36" w:leftChars="17" w:firstLine="283" w:firstLineChars="135"/>
              <w:rPr>
                <w:rFonts w:ascii="宋体" w:hAnsi="宋体" w:eastAsia="宋体" w:cs="宋体"/>
                <w:color w:val="auto"/>
                <w:szCs w:val="21"/>
              </w:rPr>
            </w:pPr>
            <w:r>
              <w:rPr>
                <w:rFonts w:hint="eastAsia" w:ascii="宋体" w:hAnsi="宋体" w:eastAsia="宋体" w:cs="宋体"/>
                <w:color w:val="auto"/>
                <w:szCs w:val="21"/>
              </w:rPr>
              <w:t>（</w:t>
            </w:r>
            <w:r>
              <w:rPr>
                <w:rFonts w:ascii="宋体" w:hAnsi="宋体" w:eastAsia="宋体" w:cs="宋体"/>
                <w:color w:val="auto"/>
                <w:szCs w:val="21"/>
              </w:rPr>
              <w:t>2）投标人具有有效期内的ISO14001环境管理体系认证证书</w:t>
            </w:r>
            <w:r>
              <w:rPr>
                <w:rFonts w:hint="eastAsia" w:ascii="宋体" w:hAnsi="宋体" w:eastAsia="宋体" w:cs="宋体"/>
                <w:color w:val="auto"/>
                <w:szCs w:val="21"/>
                <w:lang w:val="zh-CN"/>
              </w:rPr>
              <w:t>且认证范围包含保安服务</w:t>
            </w:r>
            <w:r>
              <w:rPr>
                <w:rFonts w:hint="eastAsia" w:ascii="宋体" w:hAnsi="宋体" w:eastAsia="宋体" w:cs="宋体"/>
                <w:color w:val="auto"/>
                <w:szCs w:val="21"/>
              </w:rPr>
              <w:t>得</w:t>
            </w:r>
            <w:r>
              <w:rPr>
                <w:rFonts w:ascii="宋体" w:hAnsi="宋体" w:eastAsia="宋体" w:cs="宋体"/>
                <w:color w:val="auto"/>
                <w:szCs w:val="21"/>
              </w:rPr>
              <w:t>0.5</w:t>
            </w:r>
            <w:r>
              <w:rPr>
                <w:rFonts w:hint="eastAsia" w:ascii="宋体" w:hAnsi="宋体" w:eastAsia="宋体" w:cs="宋体"/>
                <w:color w:val="auto"/>
                <w:szCs w:val="21"/>
              </w:rPr>
              <w:t>分。</w:t>
            </w:r>
          </w:p>
          <w:p w14:paraId="1E0E3006">
            <w:pPr>
              <w:spacing w:line="400" w:lineRule="exact"/>
              <w:ind w:left="36" w:leftChars="17" w:firstLine="283" w:firstLineChars="135"/>
              <w:rPr>
                <w:rFonts w:ascii="宋体" w:hAnsi="宋体" w:eastAsia="宋体" w:cs="宋体"/>
                <w:color w:val="auto"/>
                <w:szCs w:val="21"/>
              </w:rPr>
            </w:pPr>
            <w:r>
              <w:rPr>
                <w:rFonts w:hint="eastAsia" w:ascii="宋体" w:hAnsi="宋体" w:eastAsia="宋体" w:cs="宋体"/>
                <w:color w:val="auto"/>
                <w:szCs w:val="21"/>
              </w:rPr>
              <w:t>（</w:t>
            </w:r>
            <w:r>
              <w:rPr>
                <w:rFonts w:ascii="宋体" w:hAnsi="宋体" w:eastAsia="宋体" w:cs="宋体"/>
                <w:color w:val="auto"/>
                <w:szCs w:val="21"/>
              </w:rPr>
              <w:t>3）投标人具有有效期内的OHSAS18001（或GB/T45001-2020</w:t>
            </w:r>
            <w:r>
              <w:rPr>
                <w:rFonts w:hint="eastAsia" w:ascii="宋体" w:hAnsi="宋体" w:eastAsia="宋体" w:cs="宋体"/>
                <w:color w:val="auto"/>
                <w:szCs w:val="21"/>
              </w:rPr>
              <w:t>，或</w:t>
            </w:r>
            <w:r>
              <w:rPr>
                <w:rFonts w:ascii="宋体" w:hAnsi="宋体" w:eastAsia="宋体" w:cs="宋体"/>
                <w:color w:val="auto"/>
                <w:szCs w:val="21"/>
              </w:rPr>
              <w:t>ISO45001）职业健康安全管理体系认证证书</w:t>
            </w:r>
            <w:r>
              <w:rPr>
                <w:rFonts w:hint="eastAsia" w:ascii="宋体" w:hAnsi="宋体" w:eastAsia="宋体" w:cs="宋体"/>
                <w:color w:val="auto"/>
                <w:szCs w:val="21"/>
                <w:lang w:val="zh-CN"/>
              </w:rPr>
              <w:t>且认证范围包含保安服务</w:t>
            </w:r>
            <w:r>
              <w:rPr>
                <w:rFonts w:hint="eastAsia" w:ascii="宋体" w:hAnsi="宋体" w:eastAsia="宋体" w:cs="宋体"/>
                <w:color w:val="auto"/>
                <w:szCs w:val="21"/>
              </w:rPr>
              <w:t>得</w:t>
            </w:r>
            <w:r>
              <w:rPr>
                <w:rFonts w:ascii="宋体" w:hAnsi="宋体" w:eastAsia="宋体" w:cs="宋体"/>
                <w:color w:val="auto"/>
                <w:szCs w:val="21"/>
              </w:rPr>
              <w:t>0.5</w:t>
            </w:r>
            <w:r>
              <w:rPr>
                <w:rFonts w:hint="eastAsia" w:ascii="宋体" w:hAnsi="宋体" w:eastAsia="宋体" w:cs="宋体"/>
                <w:color w:val="auto"/>
                <w:szCs w:val="21"/>
              </w:rPr>
              <w:t>分。</w:t>
            </w:r>
          </w:p>
          <w:p w14:paraId="4595D4B4">
            <w:pPr>
              <w:spacing w:line="400" w:lineRule="exact"/>
              <w:ind w:left="36" w:leftChars="17" w:firstLine="285" w:firstLineChars="135"/>
              <w:rPr>
                <w:rFonts w:ascii="宋体" w:hAnsi="宋体" w:eastAsia="宋体" w:cs="宋体"/>
                <w:b/>
                <w:color w:val="auto"/>
                <w:kern w:val="0"/>
                <w:sz w:val="24"/>
                <w:szCs w:val="24"/>
              </w:rPr>
            </w:pPr>
            <w:r>
              <w:rPr>
                <w:rFonts w:hint="eastAsia" w:ascii="宋体" w:hAnsi="宋体" w:eastAsia="宋体" w:cs="宋体"/>
                <w:b/>
                <w:bCs/>
                <w:color w:val="auto"/>
                <w:szCs w:val="21"/>
              </w:rPr>
              <w:t>备注：投标人应提供上述有效证书复印件</w:t>
            </w:r>
            <w:r>
              <w:rPr>
                <w:rFonts w:hint="eastAsia" w:ascii="宋体" w:hAnsi="宋体" w:eastAsia="宋体" w:cs="宋体"/>
                <w:b/>
                <w:color w:val="auto"/>
                <w:szCs w:val="21"/>
              </w:rPr>
              <w:t>及能显示证书有效状态的全国认证认可信息公共服务平台（</w:t>
            </w:r>
            <w:r>
              <w:rPr>
                <w:rFonts w:ascii="宋体" w:hAnsi="宋体" w:eastAsia="宋体" w:cs="宋体"/>
                <w:b/>
                <w:color w:val="auto"/>
                <w:szCs w:val="21"/>
              </w:rPr>
              <w:t>http://cx.cnca.cn/）查询结果凭证{凭证界面需显示有“全国认证认可信息公共服务平台”或“认证证书（需显示网址cx.cnca.cn）”}</w:t>
            </w:r>
            <w:r>
              <w:rPr>
                <w:rFonts w:hint="eastAsia" w:ascii="宋体" w:hAnsi="宋体" w:eastAsia="宋体" w:cs="宋体"/>
                <w:b/>
                <w:bCs/>
                <w:color w:val="auto"/>
                <w:szCs w:val="21"/>
              </w:rPr>
              <w:t>，否则不得分。</w:t>
            </w:r>
          </w:p>
        </w:tc>
        <w:tc>
          <w:tcPr>
            <w:tcW w:w="907" w:type="dxa"/>
            <w:tcBorders>
              <w:top w:val="single" w:color="auto" w:sz="4" w:space="0"/>
              <w:left w:val="single" w:color="auto" w:sz="4" w:space="0"/>
              <w:bottom w:val="single" w:color="auto" w:sz="4" w:space="0"/>
              <w:right w:val="single" w:color="auto" w:sz="4" w:space="0"/>
            </w:tcBorders>
            <w:vAlign w:val="center"/>
          </w:tcPr>
          <w:p w14:paraId="67D37BD6">
            <w:pPr>
              <w:spacing w:line="400" w:lineRule="exact"/>
              <w:jc w:val="center"/>
              <w:rPr>
                <w:rFonts w:ascii="宋体" w:hAnsi="宋体" w:eastAsia="宋体" w:cs="宋体"/>
                <w:color w:val="auto"/>
                <w:kern w:val="0"/>
                <w:szCs w:val="21"/>
              </w:rPr>
            </w:pPr>
            <w:r>
              <w:rPr>
                <w:rFonts w:ascii="宋体" w:hAnsi="宋体" w:eastAsia="宋体" w:cs="宋体"/>
                <w:color w:val="auto"/>
                <w:szCs w:val="21"/>
              </w:rPr>
              <w:t>1.5分</w:t>
            </w:r>
          </w:p>
        </w:tc>
      </w:tr>
      <w:tr w14:paraId="7C48B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6F4593E4">
            <w:pPr>
              <w:spacing w:line="400" w:lineRule="exact"/>
              <w:jc w:val="center"/>
              <w:rPr>
                <w:rFonts w:ascii="宋体" w:hAnsi="宋体" w:eastAsia="宋体" w:cs="宋体"/>
                <w:color w:val="auto"/>
                <w:kern w:val="0"/>
                <w:szCs w:val="21"/>
              </w:rPr>
            </w:pPr>
            <w:bookmarkStart w:id="801" w:name="_Hlk104987354"/>
            <w:r>
              <w:rPr>
                <w:rFonts w:ascii="宋体" w:hAnsi="宋体" w:eastAsia="宋体" w:cs="宋体"/>
                <w:color w:val="auto"/>
                <w:szCs w:val="21"/>
              </w:rPr>
              <w:t>3</w:t>
            </w:r>
          </w:p>
        </w:tc>
        <w:tc>
          <w:tcPr>
            <w:tcW w:w="1134" w:type="dxa"/>
            <w:tcBorders>
              <w:top w:val="single" w:color="auto" w:sz="4" w:space="0"/>
              <w:left w:val="single" w:color="auto" w:sz="4" w:space="0"/>
              <w:bottom w:val="single" w:color="auto" w:sz="4" w:space="0"/>
              <w:right w:val="single" w:color="auto" w:sz="4" w:space="0"/>
            </w:tcBorders>
            <w:vAlign w:val="center"/>
          </w:tcPr>
          <w:p w14:paraId="0719EA9B">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rPr>
              <w:t>企业荣誉</w:t>
            </w:r>
          </w:p>
        </w:tc>
        <w:tc>
          <w:tcPr>
            <w:tcW w:w="7655" w:type="dxa"/>
            <w:tcBorders>
              <w:top w:val="single" w:color="auto" w:sz="4" w:space="0"/>
              <w:left w:val="single" w:color="auto" w:sz="4" w:space="0"/>
              <w:bottom w:val="single" w:color="auto" w:sz="4" w:space="0"/>
              <w:right w:val="single" w:color="auto" w:sz="4" w:space="0"/>
            </w:tcBorders>
            <w:vAlign w:val="center"/>
          </w:tcPr>
          <w:p w14:paraId="1524355F">
            <w:pPr>
              <w:spacing w:line="400" w:lineRule="exact"/>
              <w:ind w:left="36" w:leftChars="17" w:firstLine="283" w:firstLineChars="135"/>
              <w:rPr>
                <w:rFonts w:ascii="宋体" w:hAnsi="宋体" w:eastAsia="宋体" w:cs="宋体"/>
                <w:color w:val="auto"/>
                <w:szCs w:val="21"/>
              </w:rPr>
            </w:pPr>
            <w:r>
              <w:rPr>
                <w:rFonts w:hint="default" w:ascii="宋体" w:hAnsi="宋体" w:eastAsia="宋体" w:cs="宋体"/>
                <w:color w:val="auto"/>
                <w:szCs w:val="21"/>
              </w:rPr>
              <w:t>（</w:t>
            </w:r>
            <w:r>
              <w:rPr>
                <w:rFonts w:ascii="宋体" w:hAnsi="宋体" w:eastAsia="宋体" w:cs="宋体"/>
                <w:color w:val="auto"/>
                <w:szCs w:val="21"/>
              </w:rPr>
              <w:t>1）投标人202</w:t>
            </w:r>
            <w:r>
              <w:rPr>
                <w:rFonts w:hint="default" w:ascii="宋体" w:hAnsi="宋体" w:eastAsia="宋体" w:cs="宋体"/>
                <w:color w:val="auto"/>
                <w:szCs w:val="21"/>
                <w:lang w:val="en-US" w:eastAsia="zh-CN"/>
              </w:rPr>
              <w:t>2</w:t>
            </w:r>
            <w:r>
              <w:rPr>
                <w:rFonts w:hint="default" w:ascii="宋体" w:hAnsi="宋体" w:eastAsia="宋体" w:cs="宋体"/>
                <w:color w:val="auto"/>
                <w:szCs w:val="21"/>
              </w:rPr>
              <w:t>年以来获得过省级（或）以上的公安部门或保安协会颁发的保安类荣誉或表彰</w:t>
            </w:r>
            <w:r>
              <w:rPr>
                <w:rFonts w:ascii="宋体" w:hAnsi="宋体" w:eastAsia="宋体" w:cs="宋体"/>
                <w:color w:val="auto"/>
                <w:szCs w:val="21"/>
              </w:rPr>
              <w:t>，每个得1.5分；</w:t>
            </w:r>
          </w:p>
          <w:p w14:paraId="2BE84C79">
            <w:pPr>
              <w:spacing w:line="400" w:lineRule="exact"/>
              <w:ind w:left="36" w:leftChars="17" w:firstLine="283" w:firstLineChars="135"/>
              <w:rPr>
                <w:rFonts w:ascii="宋体" w:hAnsi="宋体" w:eastAsia="宋体" w:cs="宋体"/>
                <w:color w:val="auto"/>
                <w:szCs w:val="21"/>
              </w:rPr>
            </w:pPr>
            <w:r>
              <w:rPr>
                <w:rFonts w:hint="default" w:ascii="宋体" w:hAnsi="宋体" w:eastAsia="宋体" w:cs="宋体"/>
                <w:color w:val="auto"/>
                <w:szCs w:val="21"/>
              </w:rPr>
              <w:t>（</w:t>
            </w:r>
            <w:r>
              <w:rPr>
                <w:rFonts w:ascii="宋体" w:hAnsi="宋体" w:eastAsia="宋体" w:cs="宋体"/>
                <w:color w:val="auto"/>
                <w:szCs w:val="21"/>
              </w:rPr>
              <w:t>2）投标人202</w:t>
            </w:r>
            <w:r>
              <w:rPr>
                <w:rFonts w:hint="default" w:ascii="宋体" w:hAnsi="宋体" w:eastAsia="宋体" w:cs="宋体"/>
                <w:color w:val="auto"/>
                <w:szCs w:val="21"/>
                <w:lang w:val="en-US" w:eastAsia="zh-CN"/>
              </w:rPr>
              <w:t>2</w:t>
            </w:r>
            <w:r>
              <w:rPr>
                <w:rFonts w:hint="default" w:ascii="宋体" w:hAnsi="宋体" w:eastAsia="宋体" w:cs="宋体"/>
                <w:color w:val="auto"/>
                <w:szCs w:val="21"/>
              </w:rPr>
              <w:t>年以来获得过市级（含）以上</w:t>
            </w:r>
            <w:r>
              <w:rPr>
                <w:rFonts w:hint="default" w:ascii="宋体" w:hAnsi="宋体" w:eastAsia="宋体" w:cs="宋体"/>
                <w:color w:val="auto"/>
                <w:szCs w:val="21"/>
                <w:lang w:val="en-US" w:eastAsia="zh-CN"/>
              </w:rPr>
              <w:t>副</w:t>
            </w:r>
            <w:r>
              <w:rPr>
                <w:rFonts w:hint="default" w:ascii="宋体" w:hAnsi="宋体" w:eastAsia="宋体" w:cs="宋体"/>
                <w:color w:val="auto"/>
                <w:szCs w:val="21"/>
              </w:rPr>
              <w:t>省级（含）以下的公安部门或保安协会颁发的保安类荣誉或表彰</w:t>
            </w:r>
            <w:r>
              <w:rPr>
                <w:rFonts w:ascii="宋体" w:hAnsi="宋体" w:eastAsia="宋体" w:cs="宋体"/>
                <w:color w:val="auto"/>
                <w:szCs w:val="21"/>
              </w:rPr>
              <w:t>，每个得0.5分，本子项满分3分。</w:t>
            </w:r>
          </w:p>
          <w:p w14:paraId="7DE6D2D6">
            <w:pPr>
              <w:spacing w:line="400" w:lineRule="exact"/>
              <w:ind w:left="36" w:leftChars="17" w:firstLine="283" w:firstLineChars="135"/>
              <w:rPr>
                <w:rFonts w:ascii="宋体" w:hAnsi="宋体" w:eastAsia="宋体" w:cs="宋体"/>
                <w:color w:val="auto"/>
                <w:szCs w:val="21"/>
              </w:rPr>
            </w:pPr>
            <w:r>
              <w:rPr>
                <w:rFonts w:hint="default" w:ascii="宋体" w:hAnsi="宋体" w:eastAsia="宋体" w:cs="宋体"/>
                <w:color w:val="auto"/>
                <w:szCs w:val="21"/>
              </w:rPr>
              <w:t>本项最高得</w:t>
            </w:r>
            <w:r>
              <w:rPr>
                <w:rFonts w:ascii="宋体" w:hAnsi="宋体" w:eastAsia="宋体" w:cs="宋体"/>
                <w:color w:val="auto"/>
                <w:szCs w:val="21"/>
              </w:rPr>
              <w:t>6分。</w:t>
            </w:r>
          </w:p>
          <w:p w14:paraId="599C5971">
            <w:pPr>
              <w:spacing w:line="400" w:lineRule="exact"/>
              <w:ind w:left="36" w:leftChars="17" w:firstLine="285" w:firstLineChars="135"/>
              <w:rPr>
                <w:rFonts w:hint="default" w:ascii="宋体" w:hAnsi="宋体" w:eastAsia="宋体" w:cs="宋体"/>
                <w:b/>
                <w:color w:val="auto"/>
                <w:szCs w:val="21"/>
              </w:rPr>
            </w:pPr>
            <w:r>
              <w:rPr>
                <w:rFonts w:hint="default" w:ascii="宋体" w:hAnsi="宋体" w:eastAsia="宋体" w:cs="宋体"/>
                <w:b/>
                <w:color w:val="auto"/>
                <w:szCs w:val="21"/>
              </w:rPr>
              <w:t>备注：</w:t>
            </w:r>
          </w:p>
          <w:p w14:paraId="205BDD62">
            <w:pPr>
              <w:spacing w:line="400" w:lineRule="exact"/>
              <w:ind w:left="36" w:leftChars="17" w:firstLine="285" w:firstLineChars="135"/>
              <w:rPr>
                <w:rFonts w:hint="default" w:ascii="宋体" w:hAnsi="宋体" w:eastAsia="宋体" w:cs="宋体"/>
                <w:b/>
                <w:color w:val="auto"/>
                <w:szCs w:val="21"/>
              </w:rPr>
            </w:pPr>
            <w:r>
              <w:rPr>
                <w:rFonts w:hint="default" w:ascii="宋体" w:hAnsi="宋体" w:eastAsia="宋体" w:cs="宋体"/>
                <w:b/>
                <w:color w:val="auto"/>
                <w:szCs w:val="21"/>
              </w:rPr>
              <w:t>①须提供相关证明资料复印件</w:t>
            </w:r>
            <w:r>
              <w:rPr>
                <w:rFonts w:hint="default" w:ascii="宋体" w:hAnsi="宋体" w:eastAsia="宋体" w:cs="宋体"/>
                <w:b/>
                <w:bCs w:val="0"/>
                <w:color w:val="auto"/>
                <w:szCs w:val="21"/>
              </w:rPr>
              <w:t>，否则不得分</w:t>
            </w:r>
            <w:r>
              <w:rPr>
                <w:rFonts w:hint="default" w:ascii="宋体" w:hAnsi="宋体" w:eastAsia="宋体" w:cs="宋体"/>
                <w:b/>
                <w:color w:val="auto"/>
                <w:szCs w:val="21"/>
              </w:rPr>
              <w:t>。</w:t>
            </w:r>
          </w:p>
          <w:p w14:paraId="113991B2">
            <w:pPr>
              <w:tabs>
                <w:tab w:val="left" w:pos="134"/>
              </w:tabs>
              <w:spacing w:line="400" w:lineRule="exact"/>
              <w:ind w:left="36" w:leftChars="17" w:firstLine="285" w:firstLineChars="135"/>
              <w:rPr>
                <w:rFonts w:hint="default" w:ascii="宋体" w:hAnsi="宋体" w:eastAsia="宋体" w:cs="宋体"/>
                <w:b/>
                <w:color w:val="auto"/>
                <w:kern w:val="0"/>
                <w:szCs w:val="21"/>
                <w:lang w:val="en-US" w:eastAsia="zh-CN"/>
              </w:rPr>
            </w:pPr>
            <w:r>
              <w:rPr>
                <w:rFonts w:hint="eastAsia" w:ascii="宋体" w:hAnsi="宋体" w:eastAsia="宋体" w:cs="宋体"/>
                <w:b/>
                <w:color w:val="auto"/>
                <w:szCs w:val="21"/>
                <w:highlight w:val="none"/>
              </w:rPr>
              <w:t>②省级（或）以上</w:t>
            </w:r>
            <w:r>
              <w:rPr>
                <w:rFonts w:hint="eastAsia" w:ascii="宋体" w:hAnsi="宋体" w:eastAsia="宋体" w:cs="宋体"/>
                <w:b/>
                <w:color w:val="auto"/>
                <w:szCs w:val="21"/>
                <w:highlight w:val="none"/>
                <w:lang w:val="en-US" w:eastAsia="zh-CN"/>
              </w:rPr>
              <w:t>含直辖市、自治区、特别行政区。</w:t>
            </w:r>
          </w:p>
        </w:tc>
        <w:tc>
          <w:tcPr>
            <w:tcW w:w="907" w:type="dxa"/>
            <w:tcBorders>
              <w:top w:val="single" w:color="auto" w:sz="4" w:space="0"/>
              <w:left w:val="single" w:color="auto" w:sz="4" w:space="0"/>
              <w:bottom w:val="single" w:color="auto" w:sz="4" w:space="0"/>
              <w:right w:val="single" w:color="auto" w:sz="4" w:space="0"/>
            </w:tcBorders>
            <w:vAlign w:val="center"/>
          </w:tcPr>
          <w:p w14:paraId="05BA2F64">
            <w:pPr>
              <w:spacing w:line="400" w:lineRule="exact"/>
              <w:jc w:val="center"/>
              <w:rPr>
                <w:rFonts w:ascii="宋体" w:hAnsi="宋体" w:eastAsia="宋体" w:cs="宋体"/>
                <w:color w:val="auto"/>
                <w:szCs w:val="24"/>
              </w:rPr>
            </w:pPr>
            <w:r>
              <w:rPr>
                <w:rFonts w:ascii="宋体" w:hAnsi="宋体" w:eastAsia="宋体" w:cs="宋体"/>
                <w:color w:val="auto"/>
                <w:szCs w:val="21"/>
              </w:rPr>
              <w:t>6分</w:t>
            </w:r>
          </w:p>
        </w:tc>
      </w:tr>
      <w:tr w14:paraId="46F07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66B2BE07">
            <w:pPr>
              <w:spacing w:line="400" w:lineRule="exact"/>
              <w:jc w:val="center"/>
              <w:rPr>
                <w:rFonts w:ascii="宋体" w:hAnsi="宋体" w:eastAsia="宋体" w:cs="宋体"/>
                <w:color w:val="auto"/>
                <w:kern w:val="0"/>
                <w:szCs w:val="21"/>
              </w:rPr>
            </w:pPr>
            <w:r>
              <w:rPr>
                <w:rFonts w:ascii="宋体" w:hAnsi="宋体" w:eastAsia="宋体" w:cs="宋体"/>
                <w:color w:val="auto"/>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14:paraId="6013A280">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rPr>
              <w:t>业绩</w:t>
            </w:r>
          </w:p>
        </w:tc>
        <w:tc>
          <w:tcPr>
            <w:tcW w:w="7655" w:type="dxa"/>
            <w:tcBorders>
              <w:top w:val="single" w:color="auto" w:sz="4" w:space="0"/>
              <w:left w:val="single" w:color="auto" w:sz="4" w:space="0"/>
              <w:bottom w:val="single" w:color="auto" w:sz="4" w:space="0"/>
              <w:right w:val="single" w:color="auto" w:sz="4" w:space="0"/>
            </w:tcBorders>
            <w:vAlign w:val="center"/>
          </w:tcPr>
          <w:p w14:paraId="5C94C62E">
            <w:pPr>
              <w:spacing w:line="400" w:lineRule="exact"/>
              <w:ind w:left="36" w:leftChars="17" w:firstLine="283" w:firstLineChars="135"/>
              <w:rPr>
                <w:rFonts w:ascii="宋体" w:hAnsi="宋体" w:eastAsia="宋体" w:cs="宋体"/>
                <w:color w:val="auto"/>
                <w:szCs w:val="21"/>
              </w:rPr>
            </w:pPr>
            <w:r>
              <w:rPr>
                <w:rFonts w:hint="eastAsia" w:ascii="宋体" w:hAnsi="宋体" w:eastAsia="宋体" w:cs="宋体"/>
                <w:color w:val="auto"/>
                <w:szCs w:val="21"/>
              </w:rPr>
              <w:t>投标人</w:t>
            </w:r>
            <w:r>
              <w:rPr>
                <w:rFonts w:ascii="宋体" w:hAnsi="宋体" w:eastAsia="宋体" w:cs="宋体"/>
                <w:color w:val="auto"/>
                <w:szCs w:val="21"/>
              </w:rPr>
              <w:t>202</w:t>
            </w:r>
            <w:r>
              <w:rPr>
                <w:rFonts w:hint="eastAsia" w:ascii="宋体" w:hAnsi="宋体" w:eastAsia="宋体" w:cs="宋体"/>
                <w:color w:val="auto"/>
                <w:szCs w:val="21"/>
                <w:lang w:val="en-US" w:eastAsia="zh-CN"/>
              </w:rPr>
              <w:t>2</w:t>
            </w:r>
            <w:r>
              <w:rPr>
                <w:rFonts w:hint="eastAsia" w:ascii="宋体" w:hAnsi="宋体" w:eastAsia="宋体" w:cs="宋体"/>
                <w:color w:val="auto"/>
                <w:szCs w:val="21"/>
              </w:rPr>
              <w:t>年</w:t>
            </w:r>
            <w:r>
              <w:rPr>
                <w:rFonts w:ascii="宋体" w:hAnsi="宋体" w:eastAsia="宋体" w:cs="宋体"/>
                <w:color w:val="auto"/>
                <w:szCs w:val="21"/>
              </w:rPr>
              <w:t>1月1日以来</w:t>
            </w:r>
            <w:r>
              <w:rPr>
                <w:rFonts w:hint="eastAsia" w:ascii="宋体" w:hAnsi="宋体" w:eastAsia="宋体" w:cs="宋体"/>
                <w:color w:val="auto"/>
                <w:szCs w:val="21"/>
                <w:lang w:val="en-US" w:eastAsia="zh-CN"/>
              </w:rPr>
              <w:t>已完成的</w:t>
            </w:r>
            <w:r>
              <w:rPr>
                <w:rFonts w:ascii="宋体" w:hAnsi="宋体" w:eastAsia="宋体" w:cs="宋体"/>
                <w:color w:val="auto"/>
                <w:szCs w:val="21"/>
              </w:rPr>
              <w:t>保安服务项目业绩，按下列情况评分，业绩评审满分17分。</w:t>
            </w:r>
          </w:p>
          <w:p w14:paraId="48F5788D">
            <w:pPr>
              <w:spacing w:line="400" w:lineRule="exact"/>
              <w:ind w:left="36" w:leftChars="17" w:firstLine="283" w:firstLineChars="135"/>
              <w:rPr>
                <w:rFonts w:ascii="宋体" w:hAnsi="宋体" w:eastAsia="宋体" w:cs="宋体"/>
                <w:color w:val="auto"/>
                <w:szCs w:val="21"/>
              </w:rPr>
            </w:pPr>
            <w:r>
              <w:rPr>
                <w:rFonts w:hint="eastAsia" w:ascii="宋体" w:hAnsi="宋体" w:eastAsia="宋体" w:cs="宋体"/>
                <w:color w:val="auto"/>
                <w:szCs w:val="21"/>
              </w:rPr>
              <w:t>（</w:t>
            </w:r>
            <w:r>
              <w:rPr>
                <w:rFonts w:ascii="宋体" w:hAnsi="宋体" w:eastAsia="宋体" w:cs="宋体"/>
                <w:color w:val="auto"/>
                <w:szCs w:val="21"/>
              </w:rPr>
              <w:t>1）单项合同金额≥</w:t>
            </w:r>
            <w:r>
              <w:rPr>
                <w:rFonts w:hint="eastAsia" w:ascii="宋体" w:hAnsi="宋体" w:eastAsia="宋体" w:cs="宋体"/>
                <w:color w:val="auto"/>
                <w:szCs w:val="21"/>
                <w:lang w:val="en-US" w:eastAsia="zh-CN"/>
              </w:rPr>
              <w:t>60</w:t>
            </w:r>
            <w:r>
              <w:rPr>
                <w:rFonts w:ascii="宋体" w:hAnsi="宋体" w:eastAsia="宋体" w:cs="宋体"/>
                <w:color w:val="auto"/>
                <w:szCs w:val="21"/>
              </w:rPr>
              <w:t>万元的前述业绩，每项得3分。</w:t>
            </w:r>
          </w:p>
          <w:p w14:paraId="6F9D4454">
            <w:pPr>
              <w:spacing w:line="400" w:lineRule="exact"/>
              <w:ind w:left="36" w:leftChars="17" w:firstLine="283" w:firstLineChars="135"/>
              <w:rPr>
                <w:rFonts w:ascii="宋体" w:hAnsi="宋体" w:eastAsia="宋体" w:cs="宋体"/>
                <w:color w:val="auto"/>
                <w:szCs w:val="21"/>
              </w:rPr>
            </w:pPr>
            <w:r>
              <w:rPr>
                <w:rFonts w:hint="eastAsia" w:ascii="宋体" w:hAnsi="宋体" w:eastAsia="宋体" w:cs="宋体"/>
                <w:color w:val="auto"/>
                <w:szCs w:val="21"/>
              </w:rPr>
              <w:t>（</w:t>
            </w:r>
            <w:r>
              <w:rPr>
                <w:rFonts w:ascii="宋体" w:hAnsi="宋体" w:eastAsia="宋体" w:cs="宋体"/>
                <w:color w:val="auto"/>
                <w:szCs w:val="21"/>
              </w:rPr>
              <w:t>2）</w:t>
            </w:r>
            <w:r>
              <w:rPr>
                <w:rFonts w:hint="eastAsia" w:ascii="宋体" w:hAnsi="宋体" w:eastAsia="宋体" w:cs="宋体"/>
                <w:color w:val="auto"/>
                <w:szCs w:val="21"/>
                <w:lang w:val="en-US" w:eastAsia="zh-CN"/>
              </w:rPr>
              <w:t>30</w:t>
            </w:r>
            <w:r>
              <w:rPr>
                <w:rFonts w:ascii="宋体" w:hAnsi="宋体" w:eastAsia="宋体" w:cs="宋体"/>
                <w:color w:val="auto"/>
                <w:szCs w:val="21"/>
              </w:rPr>
              <w:t>万元≤单项合同金额＜</w:t>
            </w:r>
            <w:r>
              <w:rPr>
                <w:rFonts w:hint="eastAsia" w:ascii="宋体" w:hAnsi="宋体" w:eastAsia="宋体" w:cs="宋体"/>
                <w:color w:val="auto"/>
                <w:szCs w:val="21"/>
                <w:lang w:val="en-US" w:eastAsia="zh-CN"/>
              </w:rPr>
              <w:t>60</w:t>
            </w:r>
            <w:r>
              <w:rPr>
                <w:rFonts w:ascii="宋体" w:hAnsi="宋体" w:eastAsia="宋体" w:cs="宋体"/>
                <w:color w:val="auto"/>
                <w:szCs w:val="21"/>
              </w:rPr>
              <w:t>万元的前述业绩，每项得2分。</w:t>
            </w:r>
          </w:p>
          <w:p w14:paraId="1F5D0781">
            <w:pPr>
              <w:spacing w:line="400" w:lineRule="exact"/>
              <w:ind w:left="36" w:leftChars="17" w:firstLine="283" w:firstLineChars="135"/>
              <w:rPr>
                <w:rFonts w:ascii="宋体" w:hAnsi="宋体" w:eastAsia="宋体" w:cs="宋体"/>
                <w:color w:val="auto"/>
                <w:szCs w:val="21"/>
              </w:rPr>
            </w:pPr>
            <w:r>
              <w:rPr>
                <w:rFonts w:hint="eastAsia" w:ascii="宋体" w:hAnsi="宋体" w:eastAsia="宋体" w:cs="宋体"/>
                <w:color w:val="auto"/>
                <w:szCs w:val="21"/>
              </w:rPr>
              <w:t>（</w:t>
            </w:r>
            <w:r>
              <w:rPr>
                <w:rFonts w:ascii="宋体" w:hAnsi="宋体" w:eastAsia="宋体" w:cs="宋体"/>
                <w:color w:val="auto"/>
                <w:szCs w:val="21"/>
              </w:rPr>
              <w:t>3）10万元≤单项合同金额＜</w:t>
            </w:r>
            <w:r>
              <w:rPr>
                <w:rFonts w:hint="eastAsia" w:ascii="宋体" w:hAnsi="宋体" w:eastAsia="宋体" w:cs="宋体"/>
                <w:color w:val="auto"/>
                <w:szCs w:val="21"/>
                <w:lang w:val="en-US" w:eastAsia="zh-CN"/>
              </w:rPr>
              <w:t>3</w:t>
            </w:r>
            <w:r>
              <w:rPr>
                <w:rFonts w:ascii="宋体" w:hAnsi="宋体" w:eastAsia="宋体" w:cs="宋体"/>
                <w:color w:val="auto"/>
                <w:szCs w:val="21"/>
              </w:rPr>
              <w:t>0万元的前述业绩，每项得1分，</w:t>
            </w:r>
            <w:r>
              <w:rPr>
                <w:rFonts w:hint="eastAsia" w:ascii="宋体" w:hAnsi="宋体" w:eastAsia="宋体" w:cs="宋体"/>
                <w:b/>
                <w:color w:val="auto"/>
                <w:szCs w:val="21"/>
              </w:rPr>
              <w:t>本子项满分</w:t>
            </w:r>
            <w:r>
              <w:rPr>
                <w:rFonts w:ascii="宋体" w:hAnsi="宋体" w:eastAsia="宋体" w:cs="宋体"/>
                <w:b/>
                <w:color w:val="auto"/>
                <w:szCs w:val="21"/>
              </w:rPr>
              <w:t>6分</w:t>
            </w:r>
            <w:r>
              <w:rPr>
                <w:rFonts w:hint="eastAsia" w:ascii="宋体" w:hAnsi="宋体" w:eastAsia="宋体" w:cs="宋体"/>
                <w:color w:val="auto"/>
                <w:szCs w:val="21"/>
              </w:rPr>
              <w:t>。</w:t>
            </w:r>
          </w:p>
          <w:p w14:paraId="57E7981D">
            <w:pPr>
              <w:spacing w:line="400" w:lineRule="exact"/>
              <w:ind w:left="36" w:leftChars="17" w:firstLine="285" w:firstLineChars="135"/>
              <w:rPr>
                <w:rFonts w:ascii="宋体" w:hAnsi="宋体" w:eastAsia="宋体" w:cs="宋体"/>
                <w:b/>
                <w:color w:val="auto"/>
                <w:szCs w:val="21"/>
              </w:rPr>
            </w:pPr>
            <w:r>
              <w:rPr>
                <w:rFonts w:hint="eastAsia" w:ascii="宋体" w:hAnsi="宋体" w:eastAsia="宋体" w:cs="宋体"/>
                <w:b/>
                <w:color w:val="auto"/>
                <w:szCs w:val="21"/>
              </w:rPr>
              <w:t>备注：</w:t>
            </w:r>
          </w:p>
          <w:p w14:paraId="5F126788">
            <w:pPr>
              <w:spacing w:line="400" w:lineRule="exact"/>
              <w:ind w:left="36" w:leftChars="17" w:firstLine="285" w:firstLineChars="135"/>
              <w:rPr>
                <w:rFonts w:ascii="宋体" w:hAnsi="宋体" w:eastAsia="宋体" w:cs="宋体"/>
                <w:b/>
                <w:color w:val="auto"/>
                <w:szCs w:val="21"/>
              </w:rPr>
            </w:pPr>
            <w:r>
              <w:rPr>
                <w:rFonts w:hint="eastAsia" w:ascii="宋体" w:hAnsi="宋体" w:eastAsia="宋体" w:cs="宋体"/>
                <w:b/>
                <w:color w:val="auto"/>
                <w:szCs w:val="21"/>
              </w:rPr>
              <w:t>①业绩须</w:t>
            </w:r>
            <w:r>
              <w:rPr>
                <w:rFonts w:ascii="宋体" w:hAnsi="宋体" w:eastAsia="宋体" w:cs="宋体"/>
                <w:b/>
                <w:bCs/>
                <w:color w:val="auto"/>
                <w:szCs w:val="21"/>
              </w:rPr>
              <w:t>附合同复印件（合同服务提供方为投标人）及合同对应的服务购买方出具的能证明</w:t>
            </w:r>
            <w:r>
              <w:rPr>
                <w:rFonts w:hint="eastAsia" w:ascii="宋体" w:hAnsi="宋体" w:eastAsia="宋体" w:cs="宋体"/>
                <w:b/>
                <w:bCs/>
                <w:color w:val="auto"/>
                <w:szCs w:val="21"/>
              </w:rPr>
              <w:t>服务质量合格的验收证明或用户评价等证明文件的复印件（复印件能显示服务购买方公章），否则不得分；</w:t>
            </w:r>
          </w:p>
          <w:p w14:paraId="3C876978">
            <w:pPr>
              <w:snapToGrid w:val="0"/>
              <w:spacing w:line="400" w:lineRule="exact"/>
              <w:ind w:left="36" w:leftChars="17" w:firstLine="285" w:firstLineChars="135"/>
              <w:rPr>
                <w:rFonts w:ascii="宋体" w:hAnsi="宋体" w:eastAsia="宋体" w:cs="宋体"/>
                <w:b/>
                <w:bCs/>
                <w:color w:val="auto"/>
                <w:szCs w:val="21"/>
              </w:rPr>
            </w:pPr>
            <w:r>
              <w:rPr>
                <w:rFonts w:hint="eastAsia" w:ascii="宋体" w:hAnsi="宋体" w:eastAsia="宋体" w:cs="宋体"/>
                <w:b/>
                <w:color w:val="auto"/>
                <w:szCs w:val="21"/>
              </w:rPr>
              <w:t>②如果投标人提供含保安服务的物业管理等项目业绩，则根据保安服务部分所占合同金额按上述标准计分，如果在合同文件中不能明确体现保安服务部分所占的合同金额，</w:t>
            </w:r>
            <w:r>
              <w:rPr>
                <w:rFonts w:hint="eastAsia" w:ascii="宋体" w:hAnsi="宋体" w:eastAsia="宋体" w:cs="宋体"/>
                <w:b/>
                <w:color w:val="auto"/>
                <w:szCs w:val="21"/>
                <w:lang w:val="en-US" w:eastAsia="zh-CN"/>
              </w:rPr>
              <w:t>还</w:t>
            </w:r>
            <w:r>
              <w:rPr>
                <w:rFonts w:hint="eastAsia" w:ascii="宋体" w:hAnsi="宋体" w:eastAsia="宋体" w:cs="宋体"/>
                <w:b/>
                <w:bCs w:val="0"/>
                <w:color w:val="auto"/>
                <w:kern w:val="2"/>
                <w:sz w:val="21"/>
                <w:szCs w:val="21"/>
              </w:rPr>
              <w:t>需提供服务购买方出具的书面补充说明文件复印件作为辅助证明（复印件能显示服务购买方公章）</w:t>
            </w:r>
            <w:r>
              <w:rPr>
                <w:rFonts w:hint="eastAsia" w:ascii="宋体" w:hAnsi="宋体" w:eastAsia="宋体" w:cs="宋体"/>
                <w:b/>
                <w:color w:val="auto"/>
                <w:szCs w:val="21"/>
              </w:rPr>
              <w:t>，否则在评标时将不予考虑；</w:t>
            </w:r>
          </w:p>
          <w:p w14:paraId="65D6A02A">
            <w:pPr>
              <w:spacing w:line="400" w:lineRule="exact"/>
              <w:ind w:left="36" w:leftChars="17" w:firstLine="285" w:firstLineChars="135"/>
              <w:rPr>
                <w:rFonts w:ascii="宋体" w:hAnsi="宋体" w:eastAsia="宋体" w:cs="宋体"/>
                <w:b/>
                <w:color w:val="auto"/>
                <w:szCs w:val="21"/>
              </w:rPr>
            </w:pPr>
            <w:r>
              <w:rPr>
                <w:rFonts w:hint="eastAsia" w:ascii="宋体" w:hAnsi="宋体" w:eastAsia="宋体" w:cs="宋体"/>
                <w:b/>
                <w:color w:val="auto"/>
                <w:szCs w:val="21"/>
              </w:rPr>
              <w:t>③若合同及证明文件无法反映评分条件（合同签订日期为</w:t>
            </w:r>
            <w:r>
              <w:rPr>
                <w:rFonts w:ascii="宋体" w:hAnsi="宋体" w:eastAsia="宋体" w:cs="宋体"/>
                <w:b/>
                <w:color w:val="auto"/>
                <w:szCs w:val="21"/>
              </w:rPr>
              <w:t>202</w:t>
            </w:r>
            <w:r>
              <w:rPr>
                <w:rFonts w:hint="eastAsia" w:ascii="宋体" w:hAnsi="宋体" w:eastAsia="宋体" w:cs="宋体"/>
                <w:b/>
                <w:color w:val="auto"/>
                <w:szCs w:val="21"/>
                <w:lang w:val="en-US" w:eastAsia="zh-CN"/>
              </w:rPr>
              <w:t>2</w:t>
            </w:r>
            <w:r>
              <w:rPr>
                <w:rFonts w:hint="eastAsia" w:ascii="宋体" w:hAnsi="宋体" w:eastAsia="宋体" w:cs="宋体"/>
                <w:b/>
                <w:color w:val="auto"/>
                <w:szCs w:val="21"/>
              </w:rPr>
              <w:t>年</w:t>
            </w:r>
            <w:r>
              <w:rPr>
                <w:rFonts w:ascii="宋体" w:hAnsi="宋体" w:eastAsia="宋体" w:cs="宋体"/>
                <w:b/>
                <w:color w:val="auto"/>
                <w:szCs w:val="21"/>
              </w:rPr>
              <w:t>1月1日或以后、合同服务内容必须具有保安服务、合同金额）的，还需提供服务购买方出具的书面补充说明文件复印件作为辅助证明（复印件能显示服务购买方公章），否则不得分；</w:t>
            </w:r>
          </w:p>
          <w:p w14:paraId="5B6B2D6C">
            <w:pPr>
              <w:spacing w:line="400" w:lineRule="exact"/>
              <w:ind w:left="36" w:leftChars="17" w:firstLine="285" w:firstLineChars="135"/>
              <w:rPr>
                <w:rFonts w:ascii="宋体" w:hAnsi="宋体" w:eastAsia="宋体" w:cs="宋体"/>
                <w:b/>
                <w:color w:val="auto"/>
                <w:szCs w:val="21"/>
              </w:rPr>
            </w:pPr>
            <w:r>
              <w:rPr>
                <w:rFonts w:hint="eastAsia" w:ascii="宋体" w:hAnsi="宋体" w:eastAsia="宋体" w:cs="宋体"/>
                <w:b/>
                <w:color w:val="auto"/>
                <w:szCs w:val="21"/>
              </w:rPr>
              <w:t>④若业绩为框架式协议或资格入围无明确金额的合同，必须同时提供合同期限内已服务发票金额统计表和发票复印件；</w:t>
            </w:r>
          </w:p>
          <w:p w14:paraId="756C79F7">
            <w:pPr>
              <w:spacing w:line="400" w:lineRule="exact"/>
              <w:ind w:left="36" w:leftChars="17" w:firstLine="285" w:firstLineChars="135"/>
              <w:rPr>
                <w:rFonts w:ascii="宋体" w:hAnsi="宋体" w:eastAsia="宋体" w:cs="宋体"/>
                <w:b/>
                <w:color w:val="auto"/>
                <w:kern w:val="0"/>
                <w:szCs w:val="21"/>
              </w:rPr>
            </w:pPr>
            <w:r>
              <w:rPr>
                <w:rFonts w:hint="eastAsia" w:ascii="宋体" w:hAnsi="宋体" w:eastAsia="宋体" w:cs="宋体"/>
                <w:b/>
                <w:color w:val="auto"/>
                <w:szCs w:val="21"/>
              </w:rPr>
              <w:t>⑤未按上述要求提供证明材料的业绩，或所附材料无法证明填报项目属投标人完成的或符合本项评分要求的业绩，在评标时将不予考虑。</w:t>
            </w:r>
          </w:p>
        </w:tc>
        <w:tc>
          <w:tcPr>
            <w:tcW w:w="907" w:type="dxa"/>
            <w:tcBorders>
              <w:top w:val="single" w:color="auto" w:sz="4" w:space="0"/>
              <w:left w:val="single" w:color="auto" w:sz="4" w:space="0"/>
              <w:bottom w:val="single" w:color="auto" w:sz="4" w:space="0"/>
              <w:right w:val="single" w:color="auto" w:sz="4" w:space="0"/>
            </w:tcBorders>
            <w:vAlign w:val="center"/>
          </w:tcPr>
          <w:p w14:paraId="438D5B21">
            <w:pPr>
              <w:spacing w:line="400" w:lineRule="exact"/>
              <w:jc w:val="center"/>
              <w:rPr>
                <w:rFonts w:ascii="宋体" w:hAnsi="宋体" w:eastAsia="宋体" w:cs="宋体"/>
                <w:color w:val="auto"/>
                <w:szCs w:val="24"/>
              </w:rPr>
            </w:pPr>
            <w:r>
              <w:rPr>
                <w:rFonts w:ascii="宋体" w:hAnsi="宋体" w:eastAsia="宋体" w:cs="宋体"/>
                <w:color w:val="auto"/>
                <w:szCs w:val="21"/>
              </w:rPr>
              <w:t>17分</w:t>
            </w:r>
          </w:p>
        </w:tc>
      </w:tr>
      <w:tr w14:paraId="4C2D0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6580043A">
            <w:pPr>
              <w:spacing w:line="400" w:lineRule="exact"/>
              <w:jc w:val="center"/>
              <w:rPr>
                <w:rFonts w:ascii="宋体" w:hAnsi="宋体" w:eastAsia="宋体" w:cs="宋体"/>
                <w:color w:val="auto"/>
                <w:kern w:val="0"/>
                <w:szCs w:val="21"/>
              </w:rPr>
            </w:pPr>
            <w:r>
              <w:rPr>
                <w:rFonts w:ascii="宋体" w:hAnsi="宋体" w:eastAsia="宋体" w:cs="宋体"/>
                <w:color w:val="auto"/>
                <w:szCs w:val="21"/>
              </w:rPr>
              <w:t>5</w:t>
            </w:r>
          </w:p>
        </w:tc>
        <w:tc>
          <w:tcPr>
            <w:tcW w:w="1134" w:type="dxa"/>
            <w:tcBorders>
              <w:top w:val="single" w:color="auto" w:sz="4" w:space="0"/>
              <w:left w:val="single" w:color="auto" w:sz="4" w:space="0"/>
              <w:bottom w:val="single" w:color="auto" w:sz="4" w:space="0"/>
              <w:right w:val="single" w:color="auto" w:sz="4" w:space="0"/>
            </w:tcBorders>
            <w:vAlign w:val="center"/>
          </w:tcPr>
          <w:p w14:paraId="380CCAE9">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rPr>
              <w:t>投标人保安服务团队实力</w:t>
            </w:r>
          </w:p>
        </w:tc>
        <w:tc>
          <w:tcPr>
            <w:tcW w:w="7655" w:type="dxa"/>
            <w:tcBorders>
              <w:top w:val="single" w:color="auto" w:sz="4" w:space="0"/>
              <w:left w:val="single" w:color="auto" w:sz="4" w:space="0"/>
              <w:bottom w:val="single" w:color="auto" w:sz="4" w:space="0"/>
              <w:right w:val="single" w:color="auto" w:sz="4" w:space="0"/>
            </w:tcBorders>
            <w:vAlign w:val="center"/>
          </w:tcPr>
          <w:p w14:paraId="357BCB39">
            <w:pPr>
              <w:spacing w:line="400" w:lineRule="exact"/>
              <w:ind w:left="36" w:leftChars="17" w:right="-19" w:firstLine="283" w:firstLineChars="135"/>
              <w:rPr>
                <w:rFonts w:ascii="宋体" w:hAnsi="宋体" w:eastAsia="宋体" w:cs="宋体"/>
                <w:color w:val="auto"/>
                <w:szCs w:val="21"/>
              </w:rPr>
            </w:pPr>
            <w:r>
              <w:rPr>
                <w:rFonts w:hint="eastAsia" w:ascii="宋体" w:hAnsi="宋体" w:eastAsia="宋体" w:cs="宋体"/>
                <w:color w:val="auto"/>
                <w:szCs w:val="21"/>
              </w:rPr>
              <w:t>（</w:t>
            </w:r>
            <w:r>
              <w:rPr>
                <w:rFonts w:ascii="宋体" w:hAnsi="宋体" w:eastAsia="宋体" w:cs="宋体"/>
                <w:color w:val="auto"/>
                <w:szCs w:val="21"/>
              </w:rPr>
              <w:t>1）</w:t>
            </w:r>
            <w:r>
              <w:rPr>
                <w:rFonts w:hint="eastAsia" w:ascii="宋体" w:hAnsi="宋体" w:eastAsia="宋体" w:cs="宋体"/>
                <w:color w:val="auto"/>
                <w:szCs w:val="21"/>
              </w:rPr>
              <w:t>投标人保安服务团队中持有</w:t>
            </w:r>
            <w:r>
              <w:rPr>
                <w:rFonts w:hint="eastAsia" w:ascii="宋体" w:hAnsi="宋体" w:eastAsia="宋体" w:cs="宋体"/>
                <w:color w:val="auto"/>
                <w:szCs w:val="21"/>
                <w:lang w:val="en-US" w:eastAsia="zh-CN"/>
              </w:rPr>
              <w:t>由</w:t>
            </w:r>
            <w:r>
              <w:rPr>
                <w:rFonts w:hint="eastAsia" w:ascii="宋体" w:hAnsi="宋体" w:eastAsia="宋体" w:cs="宋体"/>
                <w:color w:val="auto"/>
                <w:szCs w:val="21"/>
              </w:rPr>
              <w:t>应急管理部消防救援局（或公安部消防局）颁发的消防设施操作员或</w:t>
            </w:r>
            <w:r>
              <w:rPr>
                <w:rFonts w:hint="eastAsia" w:ascii="宋体" w:hAnsi="宋体" w:eastAsia="宋体" w:cs="宋体"/>
                <w:color w:val="auto"/>
                <w:szCs w:val="21"/>
                <w:lang w:val="en-US" w:eastAsia="zh-CN"/>
              </w:rPr>
              <w:t>持有由</w:t>
            </w:r>
            <w:r>
              <w:rPr>
                <w:rFonts w:hint="eastAsia" w:ascii="宋体" w:hAnsi="宋体" w:eastAsia="宋体" w:cs="宋体"/>
                <w:color w:val="auto"/>
                <w:szCs w:val="21"/>
              </w:rPr>
              <w:t>人力资源和社会保障部门或公安部门颁发的建（构）筑物消防员证书的，每人得</w:t>
            </w:r>
            <w:r>
              <w:rPr>
                <w:rFonts w:hint="eastAsia" w:ascii="宋体" w:hAnsi="宋体" w:eastAsia="宋体" w:cs="宋体"/>
                <w:color w:val="auto"/>
                <w:szCs w:val="21"/>
                <w:lang w:val="en-US" w:eastAsia="zh-CN"/>
              </w:rPr>
              <w:t>1.5</w:t>
            </w:r>
            <w:r>
              <w:rPr>
                <w:rFonts w:ascii="宋体" w:hAnsi="宋体" w:eastAsia="宋体" w:cs="宋体"/>
                <w:color w:val="auto"/>
                <w:szCs w:val="21"/>
              </w:rPr>
              <w:t>分，</w:t>
            </w:r>
            <w:r>
              <w:rPr>
                <w:rFonts w:hint="eastAsia" w:ascii="宋体" w:hAnsi="宋体" w:eastAsia="宋体" w:cs="宋体"/>
                <w:b/>
                <w:color w:val="auto"/>
                <w:szCs w:val="21"/>
              </w:rPr>
              <w:t>本子项满分</w:t>
            </w:r>
            <w:r>
              <w:rPr>
                <w:rFonts w:hint="eastAsia" w:ascii="宋体" w:hAnsi="宋体" w:eastAsia="宋体" w:cs="宋体"/>
                <w:b/>
                <w:color w:val="auto"/>
                <w:szCs w:val="21"/>
                <w:lang w:val="en-US" w:eastAsia="zh-CN"/>
              </w:rPr>
              <w:t>6</w:t>
            </w:r>
            <w:r>
              <w:rPr>
                <w:rFonts w:ascii="宋体" w:hAnsi="宋体" w:eastAsia="宋体" w:cs="宋体"/>
                <w:b/>
                <w:color w:val="auto"/>
                <w:szCs w:val="21"/>
              </w:rPr>
              <w:t>分</w:t>
            </w:r>
            <w:r>
              <w:rPr>
                <w:rFonts w:hint="eastAsia" w:ascii="宋体" w:hAnsi="宋体" w:eastAsia="宋体" w:cs="宋体"/>
                <w:color w:val="auto"/>
                <w:szCs w:val="21"/>
              </w:rPr>
              <w:t>；</w:t>
            </w:r>
          </w:p>
          <w:p w14:paraId="0DDA6CC6">
            <w:pPr>
              <w:spacing w:line="400" w:lineRule="exact"/>
              <w:ind w:left="36" w:leftChars="17" w:right="-19" w:firstLine="283" w:firstLineChars="135"/>
              <w:rPr>
                <w:rFonts w:ascii="宋体" w:hAnsi="宋体" w:eastAsia="宋体" w:cs="宋体"/>
                <w:color w:val="auto"/>
                <w:szCs w:val="21"/>
              </w:rPr>
            </w:pPr>
            <w:r>
              <w:rPr>
                <w:rFonts w:hint="eastAsia" w:ascii="宋体" w:hAnsi="宋体" w:eastAsia="宋体" w:cs="宋体"/>
                <w:color w:val="auto"/>
                <w:szCs w:val="21"/>
              </w:rPr>
              <w:t>（</w:t>
            </w:r>
            <w:r>
              <w:rPr>
                <w:rFonts w:ascii="宋体" w:hAnsi="宋体" w:eastAsia="宋体" w:cs="宋体"/>
                <w:color w:val="auto"/>
                <w:szCs w:val="21"/>
              </w:rPr>
              <w:t>2）投标人的保安服务团队中持有</w:t>
            </w:r>
            <w:r>
              <w:rPr>
                <w:rFonts w:hint="eastAsia" w:ascii="宋体" w:hAnsi="宋体" w:eastAsia="宋体" w:cs="宋体"/>
                <w:color w:val="auto"/>
                <w:szCs w:val="21"/>
                <w:lang w:val="en-US" w:eastAsia="zh-CN"/>
              </w:rPr>
              <w:t>由</w:t>
            </w:r>
            <w:r>
              <w:rPr>
                <w:rFonts w:ascii="宋体" w:hAnsi="宋体" w:eastAsia="宋体" w:cs="宋体"/>
                <w:color w:val="auto"/>
                <w:szCs w:val="21"/>
              </w:rPr>
              <w:t>人力资源和社会保障部门颁发的保安员（二级/技师或以上）职业资格证书的，每人得</w:t>
            </w:r>
            <w:r>
              <w:rPr>
                <w:rFonts w:hint="eastAsia" w:ascii="宋体" w:hAnsi="宋体" w:eastAsia="宋体" w:cs="宋体"/>
                <w:color w:val="auto"/>
                <w:szCs w:val="21"/>
                <w:lang w:val="en-US" w:eastAsia="zh-CN"/>
              </w:rPr>
              <w:t>2</w:t>
            </w:r>
            <w:r>
              <w:rPr>
                <w:rFonts w:ascii="宋体" w:hAnsi="宋体" w:eastAsia="宋体" w:cs="宋体"/>
                <w:color w:val="auto"/>
                <w:szCs w:val="21"/>
              </w:rPr>
              <w:t>分，</w:t>
            </w:r>
            <w:r>
              <w:rPr>
                <w:rFonts w:hint="eastAsia" w:ascii="宋体" w:hAnsi="宋体" w:eastAsia="宋体" w:cs="宋体"/>
                <w:b/>
                <w:color w:val="auto"/>
                <w:szCs w:val="21"/>
              </w:rPr>
              <w:t>本子项满分</w:t>
            </w:r>
            <w:r>
              <w:rPr>
                <w:rFonts w:hint="eastAsia" w:ascii="宋体" w:hAnsi="宋体" w:eastAsia="宋体" w:cs="宋体"/>
                <w:b/>
                <w:color w:val="auto"/>
                <w:szCs w:val="21"/>
                <w:lang w:val="en-US" w:eastAsia="zh-CN"/>
              </w:rPr>
              <w:t>8</w:t>
            </w:r>
            <w:r>
              <w:rPr>
                <w:rFonts w:ascii="宋体" w:hAnsi="宋体" w:eastAsia="宋体" w:cs="宋体"/>
                <w:b/>
                <w:color w:val="auto"/>
                <w:szCs w:val="21"/>
              </w:rPr>
              <w:t>分</w:t>
            </w:r>
            <w:r>
              <w:rPr>
                <w:rFonts w:hint="eastAsia" w:ascii="宋体" w:hAnsi="宋体" w:eastAsia="宋体" w:cs="宋体"/>
                <w:color w:val="auto"/>
                <w:szCs w:val="21"/>
                <w:lang w:eastAsia="zh-CN"/>
              </w:rPr>
              <w:t>；</w:t>
            </w:r>
          </w:p>
          <w:p w14:paraId="2086FEA5">
            <w:pPr>
              <w:spacing w:line="400" w:lineRule="exact"/>
              <w:ind w:left="36" w:leftChars="17" w:right="-19" w:firstLine="283" w:firstLineChars="135"/>
              <w:rPr>
                <w:rFonts w:hint="eastAsia" w:ascii="宋体" w:hAnsi="宋体" w:cs="宋体" w:eastAsiaTheme="minorEastAsia"/>
                <w:color w:val="auto"/>
                <w:szCs w:val="21"/>
                <w:lang w:eastAsia="zh-CN"/>
              </w:rPr>
            </w:pPr>
            <w:r>
              <w:rPr>
                <w:rFonts w:hint="eastAsia" w:ascii="宋体" w:hAnsi="宋体" w:eastAsia="宋体" w:cs="宋体"/>
                <w:color w:val="auto"/>
                <w:szCs w:val="21"/>
              </w:rPr>
              <w:t>（</w:t>
            </w:r>
            <w:r>
              <w:rPr>
                <w:rFonts w:ascii="宋体" w:hAnsi="宋体" w:eastAsia="宋体" w:cs="宋体"/>
                <w:color w:val="auto"/>
                <w:szCs w:val="21"/>
              </w:rPr>
              <w:t>3）</w:t>
            </w:r>
            <w:r>
              <w:rPr>
                <w:rFonts w:hint="eastAsia" w:ascii="宋体" w:hAnsi="宋体" w:eastAsia="宋体" w:cs="宋体"/>
                <w:color w:val="auto"/>
                <w:szCs w:val="21"/>
              </w:rPr>
              <w:t>投标人的保安服务团队中持有军人退伍证书的，每人得</w:t>
            </w:r>
            <w:r>
              <w:rPr>
                <w:rFonts w:hint="eastAsia" w:ascii="宋体" w:hAnsi="宋体" w:eastAsia="宋体" w:cs="宋体"/>
                <w:color w:val="auto"/>
                <w:szCs w:val="21"/>
                <w:lang w:val="en-US" w:eastAsia="zh-CN"/>
              </w:rPr>
              <w:t>1</w:t>
            </w:r>
            <w:r>
              <w:rPr>
                <w:rFonts w:ascii="宋体" w:hAnsi="宋体" w:eastAsia="宋体" w:cs="宋体"/>
                <w:color w:val="auto"/>
                <w:szCs w:val="21"/>
              </w:rPr>
              <w:t>分，</w:t>
            </w:r>
            <w:r>
              <w:rPr>
                <w:rFonts w:hint="eastAsia" w:ascii="宋体" w:hAnsi="宋体" w:eastAsia="宋体" w:cs="宋体"/>
                <w:b/>
                <w:color w:val="auto"/>
                <w:szCs w:val="21"/>
              </w:rPr>
              <w:t>本子项满分</w:t>
            </w:r>
            <w:r>
              <w:rPr>
                <w:rFonts w:hint="eastAsia" w:ascii="宋体" w:hAnsi="宋体" w:eastAsia="宋体" w:cs="宋体"/>
                <w:b/>
                <w:color w:val="auto"/>
                <w:szCs w:val="21"/>
                <w:lang w:val="en-US" w:eastAsia="zh-CN"/>
              </w:rPr>
              <w:t>3</w:t>
            </w:r>
            <w:r>
              <w:rPr>
                <w:rFonts w:ascii="宋体" w:hAnsi="宋体" w:eastAsia="宋体" w:cs="宋体"/>
                <w:b/>
                <w:color w:val="auto"/>
                <w:szCs w:val="21"/>
              </w:rPr>
              <w:t>分</w:t>
            </w:r>
            <w:r>
              <w:rPr>
                <w:rFonts w:hint="eastAsia"/>
                <w:color w:val="auto"/>
                <w:lang w:eastAsia="zh-CN"/>
              </w:rPr>
              <w:t>。</w:t>
            </w:r>
          </w:p>
          <w:p w14:paraId="7E160021">
            <w:pPr>
              <w:spacing w:line="400" w:lineRule="exact"/>
              <w:ind w:left="36" w:leftChars="17" w:right="-19" w:firstLine="285" w:firstLineChars="135"/>
              <w:rPr>
                <w:rFonts w:ascii="宋体" w:hAnsi="宋体" w:eastAsia="宋体" w:cs="宋体"/>
                <w:b/>
                <w:color w:val="auto"/>
                <w:szCs w:val="21"/>
              </w:rPr>
            </w:pPr>
            <w:r>
              <w:rPr>
                <w:rFonts w:hint="eastAsia" w:ascii="宋体" w:hAnsi="宋体" w:eastAsia="宋体" w:cs="宋体"/>
                <w:b/>
                <w:color w:val="auto"/>
                <w:szCs w:val="21"/>
              </w:rPr>
              <w:t>备注：</w:t>
            </w:r>
          </w:p>
          <w:p w14:paraId="0F5AEA15">
            <w:pPr>
              <w:spacing w:line="400" w:lineRule="exact"/>
              <w:ind w:left="36" w:leftChars="17" w:right="-19" w:firstLine="285" w:firstLineChars="135"/>
              <w:rPr>
                <w:rFonts w:ascii="宋体" w:hAnsi="宋体" w:eastAsia="宋体" w:cs="宋体"/>
                <w:b/>
                <w:color w:val="auto"/>
                <w:szCs w:val="21"/>
              </w:rPr>
            </w:pPr>
            <w:r>
              <w:rPr>
                <w:rFonts w:hint="eastAsia" w:ascii="宋体" w:hAnsi="宋体" w:eastAsia="宋体" w:cs="宋体"/>
                <w:b/>
                <w:color w:val="auto"/>
                <w:szCs w:val="21"/>
              </w:rPr>
              <w:t>①同一人员只进行一人次专业加分，同一人员符合两项及以上评审内容的，按最高得分档次计算一次得分；</w:t>
            </w:r>
          </w:p>
          <w:p w14:paraId="7DF1A612">
            <w:pPr>
              <w:spacing w:line="400" w:lineRule="exact"/>
              <w:ind w:left="36" w:leftChars="17" w:right="-19" w:firstLine="285" w:firstLineChars="135"/>
              <w:rPr>
                <w:rFonts w:ascii="宋体" w:hAnsi="宋体" w:eastAsia="宋体" w:cs="宋体"/>
                <w:b/>
                <w:color w:val="auto"/>
                <w:szCs w:val="21"/>
              </w:rPr>
            </w:pPr>
            <w:r>
              <w:rPr>
                <w:rFonts w:hint="eastAsia" w:ascii="宋体" w:hAnsi="宋体" w:eastAsia="宋体" w:cs="宋体"/>
                <w:b/>
                <w:color w:val="auto"/>
                <w:szCs w:val="21"/>
              </w:rPr>
              <w:t>②须提供上述人员身份证、相关证书复印件，以及人力资源和社会保障部门（或税务部门）出具的投标人</w:t>
            </w:r>
            <w:r>
              <w:rPr>
                <w:rFonts w:ascii="宋体" w:hAnsi="宋体" w:eastAsia="宋体" w:cs="宋体"/>
                <w:b/>
                <w:color w:val="auto"/>
                <w:szCs w:val="21"/>
              </w:rPr>
              <w:t>2024</w:t>
            </w:r>
            <w:r>
              <w:rPr>
                <w:rFonts w:hint="eastAsia" w:ascii="宋体" w:hAnsi="宋体" w:eastAsia="宋体" w:cs="宋体"/>
                <w:b/>
                <w:color w:val="auto"/>
                <w:szCs w:val="21"/>
              </w:rPr>
              <w:t>年</w:t>
            </w:r>
            <w:r>
              <w:rPr>
                <w:rFonts w:hint="eastAsia" w:ascii="宋体" w:hAnsi="宋体" w:eastAsia="宋体" w:cs="宋体"/>
                <w:b/>
                <w:color w:val="auto"/>
                <w:szCs w:val="21"/>
                <w:lang w:val="en-US" w:eastAsia="zh-CN"/>
              </w:rPr>
              <w:t>7</w:t>
            </w:r>
            <w:r>
              <w:rPr>
                <w:rFonts w:hint="eastAsia" w:ascii="宋体" w:hAnsi="宋体" w:eastAsia="宋体" w:cs="宋体"/>
                <w:b/>
                <w:color w:val="auto"/>
                <w:szCs w:val="21"/>
              </w:rPr>
              <w:t>月至</w:t>
            </w:r>
            <w:r>
              <w:rPr>
                <w:rFonts w:ascii="宋体" w:hAnsi="宋体" w:eastAsia="宋体" w:cs="宋体"/>
                <w:b/>
                <w:color w:val="auto"/>
                <w:szCs w:val="21"/>
              </w:rPr>
              <w:t>2024</w:t>
            </w:r>
            <w:r>
              <w:rPr>
                <w:rFonts w:hint="eastAsia" w:ascii="宋体" w:hAnsi="宋体" w:eastAsia="宋体" w:cs="宋体"/>
                <w:b/>
                <w:color w:val="auto"/>
                <w:szCs w:val="21"/>
              </w:rPr>
              <w:t>年</w:t>
            </w:r>
            <w:r>
              <w:rPr>
                <w:rFonts w:hint="eastAsia" w:ascii="宋体" w:hAnsi="宋体" w:eastAsia="宋体" w:cs="宋体"/>
                <w:b/>
                <w:color w:val="auto"/>
                <w:szCs w:val="21"/>
                <w:lang w:val="en-US" w:eastAsia="zh-CN"/>
              </w:rPr>
              <w:t>12</w:t>
            </w:r>
            <w:r>
              <w:rPr>
                <w:rFonts w:hint="eastAsia" w:ascii="宋体" w:hAnsi="宋体" w:eastAsia="宋体" w:cs="宋体"/>
                <w:b/>
                <w:color w:val="auto"/>
                <w:szCs w:val="21"/>
              </w:rPr>
              <w:t>月连接六个月为其缴纳的社保证明复印件，否则不得分；</w:t>
            </w:r>
          </w:p>
          <w:p w14:paraId="5200A939">
            <w:pPr>
              <w:spacing w:line="400" w:lineRule="exact"/>
              <w:ind w:left="36" w:leftChars="17" w:right="-19" w:firstLine="285" w:firstLineChars="135"/>
              <w:rPr>
                <w:rFonts w:ascii="宋体" w:hAnsi="宋体" w:eastAsia="宋体" w:cs="宋体"/>
                <w:b/>
                <w:color w:val="auto"/>
                <w:kern w:val="0"/>
                <w:szCs w:val="21"/>
              </w:rPr>
            </w:pPr>
            <w:r>
              <w:rPr>
                <w:rFonts w:hint="eastAsia" w:ascii="宋体" w:hAnsi="宋体" w:eastAsia="宋体" w:cs="宋体"/>
                <w:b/>
                <w:color w:val="auto"/>
                <w:szCs w:val="21"/>
              </w:rPr>
              <w:t>③第（</w:t>
            </w:r>
            <w:r>
              <w:rPr>
                <w:rFonts w:ascii="宋体" w:hAnsi="宋体" w:eastAsia="宋体" w:cs="宋体"/>
                <w:b/>
                <w:color w:val="auto"/>
                <w:szCs w:val="21"/>
              </w:rPr>
              <w:t>1）、（2）项证书须提供全国联网查询网站（http://zscx.osta.org.cn/）的信息截图，否则不得分。</w:t>
            </w:r>
          </w:p>
        </w:tc>
        <w:tc>
          <w:tcPr>
            <w:tcW w:w="907" w:type="dxa"/>
            <w:tcBorders>
              <w:top w:val="single" w:color="auto" w:sz="4" w:space="0"/>
              <w:left w:val="single" w:color="auto" w:sz="4" w:space="0"/>
              <w:bottom w:val="single" w:color="auto" w:sz="4" w:space="0"/>
              <w:right w:val="single" w:color="auto" w:sz="4" w:space="0"/>
            </w:tcBorders>
            <w:vAlign w:val="center"/>
          </w:tcPr>
          <w:p w14:paraId="4D471EE9">
            <w:pPr>
              <w:spacing w:line="400" w:lineRule="exact"/>
              <w:jc w:val="center"/>
              <w:rPr>
                <w:rFonts w:ascii="宋体" w:hAnsi="宋体" w:eastAsia="宋体" w:cs="宋体"/>
                <w:color w:val="auto"/>
                <w:szCs w:val="24"/>
              </w:rPr>
            </w:pPr>
            <w:r>
              <w:rPr>
                <w:rFonts w:hint="eastAsia" w:ascii="宋体" w:hAnsi="宋体" w:eastAsia="宋体" w:cs="宋体"/>
                <w:color w:val="auto"/>
                <w:szCs w:val="21"/>
                <w:lang w:val="en-US" w:eastAsia="zh-CN"/>
              </w:rPr>
              <w:t>17</w:t>
            </w:r>
            <w:r>
              <w:rPr>
                <w:rFonts w:ascii="宋体" w:hAnsi="宋体" w:eastAsia="宋体" w:cs="宋体"/>
                <w:color w:val="auto"/>
                <w:szCs w:val="21"/>
              </w:rPr>
              <w:t>分</w:t>
            </w:r>
          </w:p>
        </w:tc>
      </w:tr>
      <w:tr w14:paraId="7484A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6AF596B2">
            <w:pPr>
              <w:spacing w:line="400" w:lineRule="exact"/>
              <w:jc w:val="center"/>
              <w:rPr>
                <w:rFonts w:ascii="宋体" w:hAnsi="宋体" w:eastAsia="宋体" w:cs="宋体"/>
                <w:color w:val="auto"/>
                <w:kern w:val="0"/>
                <w:szCs w:val="21"/>
              </w:rPr>
            </w:pPr>
            <w:r>
              <w:rPr>
                <w:rFonts w:ascii="宋体" w:hAnsi="宋体" w:eastAsia="宋体" w:cs="宋体"/>
                <w:color w:val="auto"/>
                <w:szCs w:val="21"/>
              </w:rPr>
              <w:t>6</w:t>
            </w:r>
          </w:p>
        </w:tc>
        <w:tc>
          <w:tcPr>
            <w:tcW w:w="1134" w:type="dxa"/>
            <w:tcBorders>
              <w:top w:val="single" w:color="auto" w:sz="4" w:space="0"/>
              <w:left w:val="single" w:color="auto" w:sz="4" w:space="0"/>
              <w:bottom w:val="single" w:color="auto" w:sz="4" w:space="0"/>
              <w:right w:val="single" w:color="auto" w:sz="4" w:space="0"/>
            </w:tcBorders>
            <w:vAlign w:val="center"/>
          </w:tcPr>
          <w:p w14:paraId="210D47A2">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rPr>
              <w:t>服务便利性</w:t>
            </w:r>
          </w:p>
        </w:tc>
        <w:tc>
          <w:tcPr>
            <w:tcW w:w="7655" w:type="dxa"/>
            <w:tcBorders>
              <w:top w:val="single" w:color="auto" w:sz="4" w:space="0"/>
              <w:left w:val="single" w:color="auto" w:sz="4" w:space="0"/>
              <w:bottom w:val="single" w:color="auto" w:sz="4" w:space="0"/>
              <w:right w:val="single" w:color="auto" w:sz="4" w:space="0"/>
            </w:tcBorders>
            <w:vAlign w:val="center"/>
          </w:tcPr>
          <w:p w14:paraId="449DBFB1">
            <w:pPr>
              <w:tabs>
                <w:tab w:val="left" w:pos="134"/>
              </w:tabs>
              <w:autoSpaceDE w:val="0"/>
              <w:autoSpaceDN w:val="0"/>
              <w:adjustRightInd w:val="0"/>
              <w:spacing w:line="400" w:lineRule="exact"/>
              <w:ind w:firstLine="218" w:firstLineChars="104"/>
              <w:rPr>
                <w:rFonts w:hint="eastAsia" w:ascii="宋体" w:hAnsi="宋体" w:eastAsia="宋体" w:cs="Times New Roman"/>
                <w:bCs/>
                <w:color w:val="auto"/>
                <w:kern w:val="0"/>
                <w:szCs w:val="21"/>
              </w:rPr>
            </w:pPr>
            <w:r>
              <w:rPr>
                <w:rFonts w:hint="eastAsia" w:ascii="宋体" w:hAnsi="宋体" w:eastAsia="宋体" w:cs="Times New Roman"/>
                <w:bCs/>
                <w:color w:val="auto"/>
                <w:kern w:val="0"/>
                <w:szCs w:val="21"/>
              </w:rPr>
              <w:t>根据投标人承诺的服务便利性响应时间进行评审：</w:t>
            </w:r>
          </w:p>
          <w:p w14:paraId="72CFB739">
            <w:pPr>
              <w:tabs>
                <w:tab w:val="left" w:pos="134"/>
              </w:tabs>
              <w:autoSpaceDE w:val="0"/>
              <w:autoSpaceDN w:val="0"/>
              <w:adjustRightInd w:val="0"/>
              <w:spacing w:line="400" w:lineRule="exact"/>
              <w:ind w:firstLine="218" w:firstLineChars="104"/>
              <w:rPr>
                <w:rFonts w:hint="eastAsia" w:ascii="宋体" w:hAnsi="宋体" w:eastAsia="宋体" w:cs="Times New Roman"/>
                <w:bCs/>
                <w:color w:val="auto"/>
                <w:kern w:val="0"/>
                <w:szCs w:val="21"/>
              </w:rPr>
            </w:pPr>
            <w:r>
              <w:rPr>
                <w:rFonts w:hint="eastAsia" w:ascii="宋体" w:hAnsi="宋体" w:eastAsia="宋体" w:cs="Times New Roman"/>
                <w:bCs/>
                <w:color w:val="auto"/>
                <w:kern w:val="0"/>
                <w:szCs w:val="21"/>
              </w:rPr>
              <w:t>（1）投标人承诺本项目管理人员接到招标人通知后1小时(含)内响应，2小时(含)内到达招标人指定地点的，得</w:t>
            </w:r>
            <w:r>
              <w:rPr>
                <w:rFonts w:hint="eastAsia" w:ascii="宋体" w:hAnsi="宋体" w:eastAsia="宋体" w:cs="Times New Roman"/>
                <w:bCs/>
                <w:color w:val="auto"/>
                <w:kern w:val="0"/>
                <w:szCs w:val="21"/>
                <w:lang w:val="en-US" w:eastAsia="zh-CN"/>
              </w:rPr>
              <w:t>2</w:t>
            </w:r>
            <w:r>
              <w:rPr>
                <w:rFonts w:hint="eastAsia" w:ascii="宋体" w:hAnsi="宋体" w:eastAsia="宋体" w:cs="Times New Roman"/>
                <w:bCs/>
                <w:color w:val="auto"/>
                <w:kern w:val="0"/>
                <w:szCs w:val="21"/>
              </w:rPr>
              <w:t>分；</w:t>
            </w:r>
          </w:p>
          <w:p w14:paraId="25B50251">
            <w:pPr>
              <w:tabs>
                <w:tab w:val="left" w:pos="134"/>
              </w:tabs>
              <w:autoSpaceDE w:val="0"/>
              <w:autoSpaceDN w:val="0"/>
              <w:adjustRightInd w:val="0"/>
              <w:spacing w:line="400" w:lineRule="exact"/>
              <w:ind w:firstLine="218" w:firstLineChars="104"/>
              <w:rPr>
                <w:rFonts w:hint="eastAsia" w:ascii="宋体" w:hAnsi="宋体" w:eastAsia="宋体" w:cs="Times New Roman"/>
                <w:bCs/>
                <w:color w:val="auto"/>
                <w:kern w:val="0"/>
                <w:szCs w:val="21"/>
              </w:rPr>
            </w:pPr>
            <w:r>
              <w:rPr>
                <w:rFonts w:hint="eastAsia" w:ascii="宋体" w:hAnsi="宋体" w:eastAsia="宋体" w:cs="Times New Roman"/>
                <w:bCs/>
                <w:color w:val="auto"/>
                <w:kern w:val="0"/>
                <w:szCs w:val="21"/>
              </w:rPr>
              <w:t>（2）投标人承诺本项目管理人员接到招标人通知后2小时(含)内响应，4小时(含)内到达招标人指定地点的，得</w:t>
            </w:r>
            <w:r>
              <w:rPr>
                <w:rFonts w:hint="eastAsia" w:ascii="宋体" w:hAnsi="宋体" w:eastAsia="宋体" w:cs="Times New Roman"/>
                <w:bCs/>
                <w:color w:val="auto"/>
                <w:kern w:val="0"/>
                <w:szCs w:val="21"/>
                <w:lang w:val="en-US" w:eastAsia="zh-CN"/>
              </w:rPr>
              <w:t>1</w:t>
            </w:r>
            <w:r>
              <w:rPr>
                <w:rFonts w:hint="eastAsia" w:ascii="宋体" w:hAnsi="宋体" w:eastAsia="宋体" w:cs="Times New Roman"/>
                <w:bCs/>
                <w:color w:val="auto"/>
                <w:kern w:val="0"/>
                <w:szCs w:val="21"/>
              </w:rPr>
              <w:t>分；</w:t>
            </w:r>
          </w:p>
          <w:p w14:paraId="2C26939A">
            <w:pPr>
              <w:tabs>
                <w:tab w:val="left" w:pos="134"/>
              </w:tabs>
              <w:autoSpaceDE w:val="0"/>
              <w:autoSpaceDN w:val="0"/>
              <w:adjustRightInd w:val="0"/>
              <w:spacing w:line="400" w:lineRule="exact"/>
              <w:ind w:firstLine="218" w:firstLineChars="104"/>
              <w:rPr>
                <w:rFonts w:hint="eastAsia" w:ascii="宋体" w:hAnsi="宋体" w:eastAsia="宋体" w:cs="Times New Roman"/>
                <w:bCs/>
                <w:color w:val="auto"/>
                <w:kern w:val="0"/>
                <w:szCs w:val="21"/>
              </w:rPr>
            </w:pPr>
            <w:r>
              <w:rPr>
                <w:rFonts w:hint="eastAsia" w:ascii="宋体" w:hAnsi="宋体" w:eastAsia="宋体" w:cs="Times New Roman"/>
                <w:bCs/>
                <w:color w:val="auto"/>
                <w:kern w:val="0"/>
                <w:szCs w:val="21"/>
              </w:rPr>
              <w:t>（3）投标人承诺本项目管理人员接到招标人通知后3</w:t>
            </w:r>
            <w:r>
              <w:rPr>
                <w:rFonts w:ascii="宋体" w:hAnsi="宋体" w:eastAsia="宋体" w:cs="Times New Roman"/>
                <w:bCs/>
                <w:color w:val="auto"/>
                <w:kern w:val="0"/>
                <w:szCs w:val="21"/>
              </w:rPr>
              <w:t>小时(含)内响应，</w:t>
            </w:r>
            <w:r>
              <w:rPr>
                <w:rFonts w:hint="eastAsia" w:ascii="宋体" w:hAnsi="宋体" w:eastAsia="宋体" w:cs="Times New Roman"/>
                <w:bCs/>
                <w:color w:val="auto"/>
                <w:kern w:val="0"/>
                <w:szCs w:val="21"/>
              </w:rPr>
              <w:t>8</w:t>
            </w:r>
            <w:r>
              <w:rPr>
                <w:rFonts w:ascii="宋体" w:hAnsi="宋体" w:eastAsia="宋体" w:cs="Times New Roman"/>
                <w:bCs/>
                <w:color w:val="auto"/>
                <w:kern w:val="0"/>
                <w:szCs w:val="21"/>
              </w:rPr>
              <w:t>小时(含)内到达招标人指定地点的</w:t>
            </w:r>
            <w:r>
              <w:rPr>
                <w:rFonts w:hint="eastAsia" w:ascii="宋体" w:hAnsi="宋体" w:eastAsia="宋体" w:cs="Times New Roman"/>
                <w:bCs/>
                <w:color w:val="auto"/>
                <w:kern w:val="0"/>
                <w:szCs w:val="21"/>
              </w:rPr>
              <w:t>，得</w:t>
            </w:r>
            <w:r>
              <w:rPr>
                <w:rFonts w:hint="eastAsia" w:ascii="宋体" w:hAnsi="宋体" w:eastAsia="宋体" w:cs="Times New Roman"/>
                <w:bCs/>
                <w:color w:val="auto"/>
                <w:kern w:val="0"/>
                <w:szCs w:val="21"/>
                <w:lang w:val="en-US" w:eastAsia="zh-CN"/>
              </w:rPr>
              <w:t>0.5</w:t>
            </w:r>
            <w:r>
              <w:rPr>
                <w:rFonts w:hint="eastAsia" w:ascii="宋体" w:hAnsi="宋体" w:eastAsia="宋体" w:cs="Times New Roman"/>
                <w:bCs/>
                <w:color w:val="auto"/>
                <w:kern w:val="0"/>
                <w:szCs w:val="21"/>
              </w:rPr>
              <w:t>分；</w:t>
            </w:r>
          </w:p>
          <w:p w14:paraId="5EF93AEF">
            <w:pPr>
              <w:tabs>
                <w:tab w:val="left" w:pos="134"/>
              </w:tabs>
              <w:autoSpaceDE w:val="0"/>
              <w:autoSpaceDN w:val="0"/>
              <w:adjustRightInd w:val="0"/>
              <w:spacing w:line="400" w:lineRule="exact"/>
              <w:ind w:firstLine="218" w:firstLineChars="104"/>
              <w:rPr>
                <w:rFonts w:hint="eastAsia" w:ascii="宋体" w:hAnsi="宋体" w:eastAsia="宋体" w:cs="Times New Roman"/>
                <w:bCs/>
                <w:color w:val="auto"/>
                <w:kern w:val="0"/>
                <w:szCs w:val="21"/>
              </w:rPr>
            </w:pPr>
            <w:r>
              <w:rPr>
                <w:rFonts w:hint="eastAsia" w:ascii="宋体" w:hAnsi="宋体" w:eastAsia="宋体" w:cs="Times New Roman"/>
                <w:bCs/>
                <w:color w:val="auto"/>
                <w:kern w:val="0"/>
                <w:szCs w:val="21"/>
              </w:rPr>
              <w:t>（4）其他情况不得分。</w:t>
            </w:r>
          </w:p>
          <w:p w14:paraId="190ACC2D">
            <w:pPr>
              <w:spacing w:line="400" w:lineRule="exact"/>
              <w:ind w:left="36" w:leftChars="17" w:firstLine="285" w:firstLineChars="135"/>
              <w:rPr>
                <w:rFonts w:ascii="宋体" w:hAnsi="宋体" w:eastAsia="宋体" w:cs="宋体"/>
                <w:b/>
                <w:color w:val="auto"/>
                <w:kern w:val="0"/>
                <w:szCs w:val="21"/>
              </w:rPr>
            </w:pPr>
            <w:r>
              <w:rPr>
                <w:rFonts w:hint="eastAsia" w:ascii="宋体" w:hAnsi="宋体" w:eastAsia="宋体" w:cs="Times New Roman"/>
                <w:b/>
                <w:color w:val="auto"/>
                <w:kern w:val="0"/>
                <w:szCs w:val="21"/>
              </w:rPr>
              <w:t>备注：根据《服务便利性响应时间承诺表》对应的内容进行评审。</w:t>
            </w:r>
          </w:p>
        </w:tc>
        <w:tc>
          <w:tcPr>
            <w:tcW w:w="907" w:type="dxa"/>
            <w:tcBorders>
              <w:top w:val="single" w:color="auto" w:sz="4" w:space="0"/>
              <w:left w:val="single" w:color="auto" w:sz="4" w:space="0"/>
              <w:bottom w:val="single" w:color="auto" w:sz="4" w:space="0"/>
              <w:right w:val="single" w:color="auto" w:sz="4" w:space="0"/>
            </w:tcBorders>
            <w:vAlign w:val="center"/>
          </w:tcPr>
          <w:p w14:paraId="40FE3577">
            <w:pPr>
              <w:spacing w:line="400" w:lineRule="exact"/>
              <w:jc w:val="center"/>
              <w:rPr>
                <w:rFonts w:ascii="宋体" w:hAnsi="宋体" w:eastAsia="宋体" w:cs="宋体"/>
                <w:color w:val="auto"/>
                <w:szCs w:val="24"/>
              </w:rPr>
            </w:pPr>
            <w:r>
              <w:rPr>
                <w:rFonts w:hint="default" w:ascii="宋体" w:hAnsi="宋体" w:eastAsia="宋体" w:cs="宋体"/>
                <w:color w:val="auto"/>
                <w:szCs w:val="21"/>
                <w:lang w:val="en-US"/>
              </w:rPr>
              <w:t>2</w:t>
            </w:r>
            <w:r>
              <w:rPr>
                <w:rFonts w:ascii="宋体" w:hAnsi="宋体" w:eastAsia="宋体" w:cs="宋体"/>
                <w:color w:val="auto"/>
                <w:szCs w:val="21"/>
              </w:rPr>
              <w:t>分</w:t>
            </w:r>
          </w:p>
        </w:tc>
      </w:tr>
      <w:bookmarkEnd w:id="801"/>
    </w:tbl>
    <w:p w14:paraId="6D9EAE6D">
      <w:pPr>
        <w:autoSpaceDE w:val="0"/>
        <w:autoSpaceDN w:val="0"/>
        <w:adjustRightInd w:val="0"/>
        <w:ind w:right="-26" w:firstLine="480"/>
        <w:jc w:val="center"/>
        <w:rPr>
          <w:rFonts w:ascii="宋体" w:hAnsi="宋体" w:eastAsia="宋体" w:cs="Times New Roman"/>
          <w:b/>
          <w:bCs/>
          <w:color w:val="auto"/>
          <w:kern w:val="0"/>
          <w:sz w:val="24"/>
          <w:szCs w:val="24"/>
          <w:highlight w:val="none"/>
        </w:rPr>
      </w:pPr>
    </w:p>
    <w:p w14:paraId="2FA47CC4">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Times New Roman"/>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eastAsia" w:ascii="宋体" w:hAnsi="宋体" w:eastAsia="宋体" w:cs="宋体"/>
          <w:b/>
          <w:color w:val="auto"/>
          <w:szCs w:val="21"/>
          <w:highlight w:val="none"/>
          <w:lang w:val="en-US" w:eastAsia="zh-CN"/>
        </w:rPr>
        <w:t>25</w:t>
      </w:r>
      <w:r>
        <w:rPr>
          <w:rFonts w:hint="eastAsia" w:ascii="宋体" w:hAnsi="宋体" w:eastAsia="宋体" w:cs="宋体"/>
          <w:b/>
          <w:color w:val="auto"/>
          <w:szCs w:val="21"/>
          <w:highlight w:val="none"/>
          <w:lang w:val="zh-CN"/>
        </w:rPr>
        <w:t>分</w:t>
      </w:r>
      <w:bookmarkEnd w:id="800"/>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133"/>
        <w:gridCol w:w="7657"/>
        <w:gridCol w:w="908"/>
      </w:tblGrid>
      <w:tr w14:paraId="134C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32495A8F">
            <w:pPr>
              <w:autoSpaceDE w:val="0"/>
              <w:autoSpaceDN w:val="0"/>
              <w:adjustRightInd w:val="0"/>
              <w:spacing w:line="400" w:lineRule="exact"/>
              <w:ind w:left="0" w:firstLine="0"/>
              <w:jc w:val="center"/>
              <w:rPr>
                <w:rFonts w:ascii="宋体" w:hAnsi="宋体" w:eastAsia="宋体" w:cs="宋体"/>
                <w:b/>
                <w:color w:val="auto"/>
                <w:kern w:val="0"/>
                <w:szCs w:val="21"/>
              </w:rPr>
            </w:pPr>
            <w:bookmarkStart w:id="802" w:name="_Hlk104987779"/>
            <w:r>
              <w:rPr>
                <w:rFonts w:hint="eastAsia" w:ascii="宋体" w:hAnsi="宋体" w:eastAsia="宋体" w:cs="宋体"/>
                <w:b/>
                <w:color w:val="auto"/>
                <w:kern w:val="0"/>
                <w:szCs w:val="21"/>
              </w:rPr>
              <w:t>序号</w:t>
            </w:r>
          </w:p>
        </w:tc>
        <w:tc>
          <w:tcPr>
            <w:tcW w:w="546" w:type="pct"/>
            <w:tcBorders>
              <w:top w:val="single" w:color="auto" w:sz="4" w:space="0"/>
              <w:left w:val="single" w:color="auto" w:sz="4" w:space="0"/>
              <w:bottom w:val="single" w:color="auto" w:sz="4" w:space="0"/>
              <w:right w:val="single" w:color="auto" w:sz="4" w:space="0"/>
            </w:tcBorders>
            <w:vAlign w:val="center"/>
          </w:tcPr>
          <w:p w14:paraId="6C33A699">
            <w:pPr>
              <w:autoSpaceDE w:val="0"/>
              <w:autoSpaceDN w:val="0"/>
              <w:adjustRightInd w:val="0"/>
              <w:spacing w:line="400" w:lineRule="exact"/>
              <w:ind w:left="0" w:firstLine="0"/>
              <w:jc w:val="center"/>
              <w:rPr>
                <w:rFonts w:ascii="宋体" w:hAnsi="宋体" w:eastAsia="宋体" w:cs="宋体"/>
                <w:b/>
                <w:color w:val="auto"/>
                <w:kern w:val="0"/>
                <w:szCs w:val="21"/>
              </w:rPr>
            </w:pPr>
            <w:r>
              <w:rPr>
                <w:rFonts w:hint="eastAsia" w:ascii="宋体" w:hAnsi="宋体" w:eastAsia="宋体" w:cs="宋体"/>
                <w:b/>
                <w:color w:val="auto"/>
                <w:szCs w:val="21"/>
                <w:lang w:val="zh-CN"/>
              </w:rPr>
              <w:t>评审内容</w:t>
            </w:r>
          </w:p>
        </w:tc>
        <w:tc>
          <w:tcPr>
            <w:tcW w:w="3690" w:type="pct"/>
            <w:tcBorders>
              <w:top w:val="single" w:color="auto" w:sz="4" w:space="0"/>
              <w:left w:val="single" w:color="auto" w:sz="4" w:space="0"/>
              <w:bottom w:val="single" w:color="auto" w:sz="4" w:space="0"/>
              <w:right w:val="single" w:color="auto" w:sz="4" w:space="0"/>
            </w:tcBorders>
            <w:vAlign w:val="center"/>
          </w:tcPr>
          <w:p w14:paraId="107A9681">
            <w:pPr>
              <w:autoSpaceDE w:val="0"/>
              <w:autoSpaceDN w:val="0"/>
              <w:adjustRightInd w:val="0"/>
              <w:spacing w:line="400" w:lineRule="exact"/>
              <w:ind w:left="0" w:firstLine="0"/>
              <w:jc w:val="center"/>
              <w:rPr>
                <w:rFonts w:ascii="宋体" w:hAnsi="宋体" w:eastAsia="宋体" w:cs="宋体"/>
                <w:b/>
                <w:color w:val="auto"/>
                <w:kern w:val="0"/>
                <w:szCs w:val="21"/>
              </w:rPr>
            </w:pPr>
            <w:r>
              <w:rPr>
                <w:rFonts w:hint="eastAsia" w:ascii="宋体" w:hAnsi="宋体" w:eastAsia="宋体" w:cs="宋体"/>
                <w:b/>
                <w:color w:val="auto"/>
                <w:kern w:val="0"/>
                <w:szCs w:val="21"/>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14:paraId="0080D760">
            <w:pPr>
              <w:autoSpaceDE w:val="0"/>
              <w:autoSpaceDN w:val="0"/>
              <w:adjustRightInd w:val="0"/>
              <w:spacing w:line="400" w:lineRule="exact"/>
              <w:ind w:left="0" w:firstLine="0"/>
              <w:jc w:val="center"/>
              <w:rPr>
                <w:rFonts w:ascii="宋体" w:hAnsi="宋体" w:eastAsia="宋体" w:cs="宋体"/>
                <w:b/>
                <w:color w:val="auto"/>
                <w:kern w:val="0"/>
                <w:szCs w:val="21"/>
              </w:rPr>
            </w:pPr>
            <w:r>
              <w:rPr>
                <w:rFonts w:hint="eastAsia" w:ascii="宋体" w:hAnsi="宋体" w:eastAsia="宋体" w:cs="宋体"/>
                <w:b/>
                <w:color w:val="auto"/>
                <w:kern w:val="0"/>
                <w:szCs w:val="21"/>
              </w:rPr>
              <w:t>满分值</w:t>
            </w:r>
          </w:p>
        </w:tc>
      </w:tr>
      <w:tr w14:paraId="5504E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4C24B62D">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rPr>
              <w:t>1</w:t>
            </w:r>
          </w:p>
        </w:tc>
        <w:tc>
          <w:tcPr>
            <w:tcW w:w="546" w:type="pct"/>
            <w:tcBorders>
              <w:top w:val="single" w:color="auto" w:sz="4" w:space="0"/>
              <w:left w:val="single" w:color="auto" w:sz="4" w:space="0"/>
              <w:bottom w:val="single" w:color="auto" w:sz="4" w:space="0"/>
              <w:right w:val="single" w:color="auto" w:sz="4" w:space="0"/>
            </w:tcBorders>
            <w:vAlign w:val="center"/>
          </w:tcPr>
          <w:p w14:paraId="0F3B5FF9">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lang w:val="zh-CN"/>
              </w:rPr>
              <w:t>用户需求的响应程度</w:t>
            </w:r>
          </w:p>
        </w:tc>
        <w:tc>
          <w:tcPr>
            <w:tcW w:w="3690" w:type="pct"/>
            <w:tcBorders>
              <w:top w:val="single" w:color="auto" w:sz="4" w:space="0"/>
              <w:left w:val="single" w:color="auto" w:sz="4" w:space="0"/>
              <w:bottom w:val="single" w:color="auto" w:sz="4" w:space="0"/>
              <w:right w:val="single" w:color="auto" w:sz="4" w:space="0"/>
            </w:tcBorders>
            <w:vAlign w:val="center"/>
          </w:tcPr>
          <w:p w14:paraId="3923C2D2">
            <w:pPr>
              <w:spacing w:line="400" w:lineRule="exact"/>
              <w:rPr>
                <w:rFonts w:ascii="宋体" w:hAnsi="宋体" w:eastAsia="宋体" w:cs="宋体"/>
                <w:color w:val="auto"/>
                <w:kern w:val="0"/>
                <w:szCs w:val="21"/>
              </w:rPr>
            </w:pPr>
            <w:r>
              <w:rPr>
                <w:rFonts w:hint="eastAsia" w:ascii="宋体" w:hAnsi="宋体" w:eastAsia="宋体" w:cs="宋体"/>
                <w:color w:val="auto"/>
                <w:szCs w:val="21"/>
                <w:lang w:val="zh-CN"/>
              </w:rPr>
              <w:t>对用户需求偏离表的偏离情况进行评审计分，完全满足用户需求书的要求得满分；每一处负偏离，扣2分；同时参照其投标文件中技术资料内容进行对比，每发现一处投标人填写为无偏离或正偏离，但评标委员会评审认定其为负偏离的，每处扣</w:t>
            </w:r>
            <w:r>
              <w:rPr>
                <w:rFonts w:hint="eastAsia" w:ascii="宋体" w:hAnsi="宋体" w:eastAsia="宋体" w:cs="宋体"/>
                <w:color w:val="auto"/>
                <w:szCs w:val="21"/>
              </w:rPr>
              <w:t>5</w:t>
            </w:r>
            <w:r>
              <w:rPr>
                <w:rFonts w:hint="eastAsia" w:ascii="宋体" w:hAnsi="宋体" w:eastAsia="宋体" w:cs="宋体"/>
                <w:color w:val="auto"/>
                <w:szCs w:val="21"/>
                <w:lang w:val="zh-CN"/>
              </w:rPr>
              <w:t>分；本项最低分为0分。</w:t>
            </w:r>
          </w:p>
        </w:tc>
        <w:tc>
          <w:tcPr>
            <w:tcW w:w="437" w:type="pct"/>
            <w:tcBorders>
              <w:top w:val="single" w:color="auto" w:sz="4" w:space="0"/>
              <w:left w:val="single" w:color="auto" w:sz="4" w:space="0"/>
              <w:bottom w:val="single" w:color="auto" w:sz="4" w:space="0"/>
              <w:right w:val="single" w:color="auto" w:sz="4" w:space="0"/>
            </w:tcBorders>
            <w:vAlign w:val="center"/>
          </w:tcPr>
          <w:p w14:paraId="59FF1BD4">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rPr>
              <w:t>5分</w:t>
            </w:r>
          </w:p>
        </w:tc>
      </w:tr>
      <w:tr w14:paraId="784E2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vMerge w:val="restart"/>
            <w:tcBorders>
              <w:top w:val="single" w:color="auto" w:sz="4" w:space="0"/>
              <w:left w:val="single" w:color="auto" w:sz="4" w:space="0"/>
              <w:bottom w:val="single" w:color="auto" w:sz="4" w:space="0"/>
              <w:right w:val="single" w:color="auto" w:sz="4" w:space="0"/>
            </w:tcBorders>
            <w:vAlign w:val="center"/>
          </w:tcPr>
          <w:p w14:paraId="041E705C">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rPr>
              <w:t>2</w:t>
            </w:r>
          </w:p>
        </w:tc>
        <w:tc>
          <w:tcPr>
            <w:tcW w:w="546" w:type="pct"/>
            <w:vMerge w:val="restart"/>
            <w:tcBorders>
              <w:top w:val="single" w:color="auto" w:sz="4" w:space="0"/>
              <w:left w:val="single" w:color="auto" w:sz="4" w:space="0"/>
              <w:bottom w:val="single" w:color="auto" w:sz="4" w:space="0"/>
              <w:right w:val="single" w:color="auto" w:sz="4" w:space="0"/>
            </w:tcBorders>
            <w:vAlign w:val="center"/>
          </w:tcPr>
          <w:p w14:paraId="782AFCEC">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rPr>
              <w:t>管理计划及实施方案</w:t>
            </w:r>
          </w:p>
        </w:tc>
        <w:tc>
          <w:tcPr>
            <w:tcW w:w="3690" w:type="pct"/>
            <w:tcBorders>
              <w:top w:val="single" w:color="auto" w:sz="4" w:space="0"/>
              <w:left w:val="single" w:color="auto" w:sz="4" w:space="0"/>
              <w:bottom w:val="single" w:color="auto" w:sz="4" w:space="0"/>
              <w:right w:val="single" w:color="auto" w:sz="4" w:space="0"/>
            </w:tcBorders>
            <w:vAlign w:val="center"/>
          </w:tcPr>
          <w:p w14:paraId="4ACA3B15">
            <w:pPr>
              <w:spacing w:line="400" w:lineRule="exact"/>
              <w:rPr>
                <w:rFonts w:ascii="宋体" w:hAnsi="宋体" w:eastAsia="宋体" w:cs="宋体"/>
                <w:color w:val="auto"/>
                <w:szCs w:val="21"/>
              </w:rPr>
            </w:pPr>
            <w:r>
              <w:rPr>
                <w:rFonts w:hint="eastAsia" w:ascii="宋体" w:hAnsi="宋体" w:eastAsia="宋体" w:cs="宋体"/>
                <w:b/>
                <w:bCs/>
                <w:color w:val="auto"/>
                <w:szCs w:val="21"/>
              </w:rPr>
              <w:t>（1）总体管理设想及策划，对方案是否满足本项目或优于本项目的要求进行评审</w:t>
            </w:r>
            <w:r>
              <w:rPr>
                <w:rFonts w:hint="eastAsia" w:ascii="宋体" w:hAnsi="宋体" w:eastAsia="宋体" w:cs="宋体"/>
                <w:b/>
                <w:bCs/>
                <w:color w:val="auto"/>
                <w:szCs w:val="21"/>
                <w:lang w:eastAsia="zh-CN"/>
              </w:rPr>
              <w:t>：</w:t>
            </w:r>
            <w:r>
              <w:rPr>
                <w:rFonts w:hint="eastAsia" w:ascii="宋体" w:hAnsi="宋体" w:eastAsia="宋体" w:cs="宋体"/>
                <w:color w:val="auto"/>
                <w:szCs w:val="21"/>
              </w:rPr>
              <w:t>优：管理计划符合实际、内容具体详细、合理可行，对项目实施的工作思路、方法清晰的</w:t>
            </w:r>
            <w:r>
              <w:rPr>
                <w:rFonts w:hint="eastAsia" w:ascii="宋体" w:hAnsi="宋体" w:eastAsia="宋体" w:cs="宋体"/>
                <w:color w:val="auto"/>
                <w:kern w:val="0"/>
                <w:szCs w:val="21"/>
              </w:rPr>
              <w:t>，得</w:t>
            </w:r>
            <w:r>
              <w:rPr>
                <w:rFonts w:hint="eastAsia" w:ascii="宋体" w:hAnsi="宋体" w:eastAsia="宋体" w:cs="宋体"/>
                <w:color w:val="auto"/>
                <w:szCs w:val="21"/>
              </w:rPr>
              <w:t>[3-2.5分]；</w:t>
            </w:r>
          </w:p>
          <w:p w14:paraId="4B497643">
            <w:pPr>
              <w:spacing w:line="400" w:lineRule="exact"/>
              <w:rPr>
                <w:rFonts w:ascii="宋体" w:hAnsi="宋体" w:eastAsia="宋体" w:cs="宋体"/>
                <w:color w:val="auto"/>
                <w:szCs w:val="21"/>
              </w:rPr>
            </w:pPr>
            <w:r>
              <w:rPr>
                <w:rFonts w:hint="eastAsia" w:ascii="宋体" w:hAnsi="宋体" w:eastAsia="宋体" w:cs="宋体"/>
                <w:color w:val="auto"/>
                <w:szCs w:val="21"/>
              </w:rPr>
              <w:t>良：管理计划比较符合实际、内容比较详细、比较合理可行，对项目实施的工作思路、方法比较清晰的，得（2.5-1.5分]；</w:t>
            </w:r>
          </w:p>
          <w:p w14:paraId="5C4AC147">
            <w:pPr>
              <w:spacing w:line="400" w:lineRule="exact"/>
              <w:rPr>
                <w:rFonts w:ascii="宋体" w:hAnsi="宋体" w:eastAsia="宋体" w:cs="宋体"/>
                <w:color w:val="auto"/>
                <w:szCs w:val="21"/>
              </w:rPr>
            </w:pPr>
            <w:r>
              <w:rPr>
                <w:rFonts w:hint="eastAsia" w:ascii="宋体" w:hAnsi="宋体" w:eastAsia="宋体" w:cs="宋体"/>
                <w:color w:val="auto"/>
                <w:szCs w:val="21"/>
              </w:rPr>
              <w:t>中：管理计划基本符合实际、内容基本详细、基本合理可行，对项目实施的工作思路、方法基本清晰的，得（1.5-0.5分]；</w:t>
            </w:r>
          </w:p>
          <w:p w14:paraId="703889F2">
            <w:pPr>
              <w:spacing w:line="400" w:lineRule="exact"/>
              <w:rPr>
                <w:rFonts w:ascii="宋体" w:hAnsi="宋体" w:eastAsia="宋体" w:cs="宋体"/>
                <w:color w:val="auto"/>
                <w:kern w:val="0"/>
                <w:szCs w:val="21"/>
              </w:rPr>
            </w:pPr>
            <w:r>
              <w:rPr>
                <w:rFonts w:hint="eastAsia" w:ascii="宋体" w:hAnsi="宋体" w:eastAsia="宋体" w:cs="宋体"/>
                <w:color w:val="auto"/>
                <w:szCs w:val="21"/>
              </w:rPr>
              <w:t>差：管理计划不符合实际、内容缺失、可行性差，对项目实施的工作思路、方法差的，得（0.5-0分]。</w:t>
            </w:r>
          </w:p>
        </w:tc>
        <w:tc>
          <w:tcPr>
            <w:tcW w:w="437" w:type="pct"/>
            <w:tcBorders>
              <w:top w:val="single" w:color="auto" w:sz="4" w:space="0"/>
              <w:left w:val="single" w:color="auto" w:sz="4" w:space="0"/>
              <w:bottom w:val="single" w:color="auto" w:sz="4" w:space="0"/>
              <w:right w:val="single" w:color="auto" w:sz="4" w:space="0"/>
            </w:tcBorders>
            <w:vAlign w:val="center"/>
          </w:tcPr>
          <w:p w14:paraId="363BE2DB">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分</w:t>
            </w:r>
          </w:p>
        </w:tc>
      </w:tr>
      <w:tr w14:paraId="60134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vMerge w:val="continue"/>
            <w:tcBorders>
              <w:top w:val="single" w:color="auto" w:sz="4" w:space="0"/>
              <w:left w:val="single" w:color="auto" w:sz="4" w:space="0"/>
              <w:bottom w:val="single" w:color="auto" w:sz="4" w:space="0"/>
              <w:right w:val="single" w:color="auto" w:sz="4" w:space="0"/>
            </w:tcBorders>
            <w:vAlign w:val="center"/>
          </w:tcPr>
          <w:p w14:paraId="02C52FF9">
            <w:pPr>
              <w:spacing w:line="400" w:lineRule="exact"/>
              <w:jc w:val="center"/>
              <w:rPr>
                <w:rFonts w:ascii="宋体" w:hAnsi="宋体" w:eastAsia="宋体" w:cs="宋体"/>
                <w:color w:val="auto"/>
                <w:kern w:val="0"/>
                <w:szCs w:val="21"/>
              </w:rPr>
            </w:pPr>
          </w:p>
        </w:tc>
        <w:tc>
          <w:tcPr>
            <w:tcW w:w="546" w:type="pct"/>
            <w:vMerge w:val="continue"/>
            <w:tcBorders>
              <w:top w:val="single" w:color="auto" w:sz="4" w:space="0"/>
              <w:left w:val="single" w:color="auto" w:sz="4" w:space="0"/>
              <w:bottom w:val="single" w:color="auto" w:sz="4" w:space="0"/>
              <w:right w:val="single" w:color="auto" w:sz="4" w:space="0"/>
            </w:tcBorders>
            <w:vAlign w:val="center"/>
          </w:tcPr>
          <w:p w14:paraId="1E66C62E">
            <w:pPr>
              <w:spacing w:line="400" w:lineRule="exact"/>
              <w:jc w:val="center"/>
              <w:rPr>
                <w:rFonts w:ascii="宋体" w:hAnsi="宋体" w:eastAsia="宋体" w:cs="宋体"/>
                <w:color w:val="auto"/>
                <w:kern w:val="0"/>
                <w:szCs w:val="21"/>
              </w:rPr>
            </w:pPr>
          </w:p>
        </w:tc>
        <w:tc>
          <w:tcPr>
            <w:tcW w:w="3690" w:type="pct"/>
            <w:tcBorders>
              <w:top w:val="single" w:color="auto" w:sz="4" w:space="0"/>
              <w:left w:val="single" w:color="auto" w:sz="4" w:space="0"/>
              <w:bottom w:val="single" w:color="auto" w:sz="4" w:space="0"/>
              <w:right w:val="single" w:color="auto" w:sz="4" w:space="0"/>
            </w:tcBorders>
            <w:vAlign w:val="center"/>
          </w:tcPr>
          <w:p w14:paraId="2E8D6786">
            <w:pPr>
              <w:spacing w:line="400" w:lineRule="exact"/>
              <w:rPr>
                <w:rFonts w:hint="eastAsia" w:ascii="宋体" w:hAnsi="宋体" w:eastAsia="宋体" w:cs="宋体"/>
                <w:b/>
                <w:bCs/>
                <w:color w:val="auto"/>
                <w:szCs w:val="21"/>
                <w:lang w:eastAsia="zh-CN"/>
              </w:rPr>
            </w:pPr>
            <w:r>
              <w:rPr>
                <w:rFonts w:hint="eastAsia" w:ascii="宋体" w:hAnsi="宋体" w:eastAsia="宋体" w:cs="宋体"/>
                <w:b/>
                <w:bCs/>
                <w:color w:val="auto"/>
                <w:szCs w:val="21"/>
              </w:rPr>
              <w:t>（2）对安保策略的重点，难点分析及解决方案的详细性和实效性进行评审</w:t>
            </w:r>
            <w:r>
              <w:rPr>
                <w:rFonts w:hint="eastAsia" w:ascii="宋体" w:hAnsi="宋体" w:eastAsia="宋体" w:cs="宋体"/>
                <w:b/>
                <w:bCs/>
                <w:color w:val="auto"/>
                <w:szCs w:val="21"/>
                <w:lang w:val="en-US" w:eastAsia="zh-CN"/>
              </w:rPr>
              <w:t>：</w:t>
            </w:r>
          </w:p>
          <w:p w14:paraId="01C93E19">
            <w:pPr>
              <w:spacing w:line="400" w:lineRule="exact"/>
              <w:rPr>
                <w:rFonts w:ascii="宋体" w:hAnsi="宋体" w:eastAsia="宋体" w:cs="宋体"/>
                <w:color w:val="auto"/>
                <w:szCs w:val="21"/>
              </w:rPr>
            </w:pPr>
            <w:r>
              <w:rPr>
                <w:rFonts w:hint="eastAsia" w:ascii="宋体" w:hAnsi="宋体" w:eastAsia="宋体" w:cs="宋体"/>
                <w:color w:val="auto"/>
                <w:szCs w:val="21"/>
              </w:rPr>
              <w:t>优：对安保策略重点难点的分析全面到位，针对重点难点所提供的解决方案详细、合理可行的，得[2-1.5分]；</w:t>
            </w:r>
          </w:p>
          <w:p w14:paraId="20600453">
            <w:pPr>
              <w:spacing w:line="400" w:lineRule="exact"/>
              <w:rPr>
                <w:rFonts w:ascii="宋体" w:hAnsi="宋体" w:eastAsia="宋体" w:cs="宋体"/>
                <w:color w:val="auto"/>
                <w:szCs w:val="21"/>
              </w:rPr>
            </w:pPr>
            <w:r>
              <w:rPr>
                <w:rFonts w:hint="eastAsia" w:ascii="宋体" w:hAnsi="宋体" w:eastAsia="宋体" w:cs="宋体"/>
                <w:color w:val="auto"/>
                <w:szCs w:val="21"/>
              </w:rPr>
              <w:t>良：对安保策略重点难点的分析比较完整，针对重点难点所提供的解决方案比较详细、较为合理可行的，得（1.5-1分]；</w:t>
            </w:r>
          </w:p>
          <w:p w14:paraId="1E92A352">
            <w:pPr>
              <w:spacing w:line="400" w:lineRule="exact"/>
              <w:rPr>
                <w:rFonts w:ascii="宋体" w:hAnsi="宋体" w:eastAsia="宋体" w:cs="宋体"/>
                <w:color w:val="auto"/>
                <w:szCs w:val="21"/>
              </w:rPr>
            </w:pPr>
            <w:r>
              <w:rPr>
                <w:rFonts w:hint="eastAsia" w:ascii="宋体" w:hAnsi="宋体" w:eastAsia="宋体" w:cs="宋体"/>
                <w:color w:val="auto"/>
                <w:szCs w:val="21"/>
              </w:rPr>
              <w:t>中：对安保策略重点难点的分析相对简单，针对重点难点所提供的解决方案内容一般、基本合理可行的，得（1-0.5分]；</w:t>
            </w:r>
          </w:p>
          <w:p w14:paraId="2D5082BE">
            <w:pPr>
              <w:spacing w:line="400" w:lineRule="exact"/>
              <w:rPr>
                <w:rFonts w:ascii="宋体" w:hAnsi="宋体" w:eastAsia="宋体" w:cs="宋体"/>
                <w:color w:val="auto"/>
                <w:kern w:val="0"/>
                <w:szCs w:val="21"/>
              </w:rPr>
            </w:pPr>
            <w:r>
              <w:rPr>
                <w:rFonts w:hint="eastAsia" w:ascii="宋体" w:hAnsi="宋体" w:eastAsia="宋体" w:cs="宋体"/>
                <w:color w:val="auto"/>
                <w:szCs w:val="21"/>
              </w:rPr>
              <w:t>差：对安保策略重点难点的分析不到位，针对重点难点所提供的解决方案不具体、合理性差的，得（0.5-0分]。</w:t>
            </w:r>
          </w:p>
        </w:tc>
        <w:tc>
          <w:tcPr>
            <w:tcW w:w="437" w:type="pct"/>
            <w:tcBorders>
              <w:top w:val="single" w:color="auto" w:sz="4" w:space="0"/>
              <w:left w:val="single" w:color="auto" w:sz="4" w:space="0"/>
              <w:bottom w:val="single" w:color="auto" w:sz="4" w:space="0"/>
              <w:right w:val="single" w:color="auto" w:sz="4" w:space="0"/>
            </w:tcBorders>
            <w:vAlign w:val="center"/>
          </w:tcPr>
          <w:p w14:paraId="6A46B67C">
            <w:pPr>
              <w:spacing w:line="400" w:lineRule="exact"/>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2分</w:t>
            </w:r>
          </w:p>
        </w:tc>
      </w:tr>
      <w:tr w14:paraId="004A5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417F654D">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rPr>
              <w:t>3</w:t>
            </w:r>
          </w:p>
        </w:tc>
        <w:tc>
          <w:tcPr>
            <w:tcW w:w="546" w:type="pct"/>
            <w:tcBorders>
              <w:top w:val="single" w:color="auto" w:sz="4" w:space="0"/>
              <w:left w:val="single" w:color="auto" w:sz="4" w:space="0"/>
              <w:bottom w:val="single" w:color="auto" w:sz="4" w:space="0"/>
              <w:right w:val="single" w:color="auto" w:sz="4" w:space="0"/>
            </w:tcBorders>
            <w:vAlign w:val="center"/>
          </w:tcPr>
          <w:p w14:paraId="6F106FE1">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rPr>
              <w:t>保安人员投入计划及保证措施</w:t>
            </w:r>
          </w:p>
        </w:tc>
        <w:tc>
          <w:tcPr>
            <w:tcW w:w="3690" w:type="pct"/>
            <w:tcBorders>
              <w:top w:val="single" w:color="auto" w:sz="4" w:space="0"/>
              <w:left w:val="single" w:color="auto" w:sz="4" w:space="0"/>
              <w:bottom w:val="single" w:color="auto" w:sz="4" w:space="0"/>
              <w:right w:val="single" w:color="auto" w:sz="4" w:space="0"/>
            </w:tcBorders>
            <w:vAlign w:val="center"/>
          </w:tcPr>
          <w:p w14:paraId="44FAD2D4">
            <w:pPr>
              <w:pStyle w:val="2"/>
              <w:spacing w:line="400" w:lineRule="exact"/>
              <w:ind w:right="-19"/>
              <w:jc w:val="left"/>
              <w:rPr>
                <w:rFonts w:hint="eastAsia" w:hAnsi="宋体" w:eastAsia="宋体" w:cs="宋体"/>
                <w:b/>
                <w:bCs w:val="0"/>
                <w:color w:val="auto"/>
                <w:sz w:val="21"/>
                <w:szCs w:val="21"/>
                <w:lang w:eastAsia="zh-CN"/>
              </w:rPr>
            </w:pPr>
            <w:r>
              <w:rPr>
                <w:rFonts w:hint="eastAsia" w:hAnsi="宋体" w:cs="宋体"/>
                <w:b/>
                <w:bCs w:val="0"/>
                <w:color w:val="auto"/>
                <w:sz w:val="21"/>
                <w:szCs w:val="21"/>
              </w:rPr>
              <w:t>对投标人后期运营项目拟定的保安人员动态投入计划是否满足招标人需求，保安人员来源渠道是否落实，投入保安人员（含保安队长）的质量达到或超过招标要求，以及前述投入方案的保证措施是否可靠进行评审</w:t>
            </w:r>
            <w:r>
              <w:rPr>
                <w:rFonts w:hint="eastAsia" w:hAnsi="宋体" w:cs="宋体"/>
                <w:b/>
                <w:bCs w:val="0"/>
                <w:color w:val="auto"/>
                <w:sz w:val="21"/>
                <w:szCs w:val="21"/>
                <w:lang w:eastAsia="zh-CN"/>
              </w:rPr>
              <w:t>：</w:t>
            </w:r>
          </w:p>
          <w:p w14:paraId="6576DD04">
            <w:pPr>
              <w:pStyle w:val="2"/>
              <w:spacing w:line="400" w:lineRule="exact"/>
              <w:ind w:right="-19"/>
              <w:jc w:val="left"/>
              <w:rPr>
                <w:rFonts w:hAnsi="宋体" w:cs="宋体"/>
                <w:b w:val="0"/>
                <w:color w:val="auto"/>
                <w:sz w:val="21"/>
                <w:szCs w:val="21"/>
              </w:rPr>
            </w:pPr>
            <w:r>
              <w:rPr>
                <w:rFonts w:hint="eastAsia" w:hAnsi="宋体" w:cs="宋体"/>
                <w:b w:val="0"/>
                <w:color w:val="auto"/>
                <w:sz w:val="21"/>
                <w:szCs w:val="21"/>
              </w:rPr>
              <w:t>优：拟定</w:t>
            </w:r>
            <w:r>
              <w:rPr>
                <w:rFonts w:hint="eastAsia" w:hAnsi="宋体" w:cs="宋体"/>
                <w:b w:val="0"/>
                <w:color w:val="auto"/>
                <w:sz w:val="21"/>
                <w:szCs w:val="21"/>
                <w:lang w:val="en-US"/>
              </w:rPr>
              <w:t>的</w:t>
            </w:r>
            <w:r>
              <w:rPr>
                <w:rFonts w:hint="eastAsia" w:hAnsi="宋体" w:cs="宋体"/>
                <w:b w:val="0"/>
                <w:color w:val="auto"/>
                <w:sz w:val="21"/>
                <w:szCs w:val="21"/>
              </w:rPr>
              <w:t>保安人员动态投入计划完全满足招标人需求，保安人员来源渠道</w:t>
            </w:r>
            <w:r>
              <w:rPr>
                <w:rFonts w:hint="eastAsia" w:hAnsi="宋体" w:cs="宋体"/>
                <w:b w:val="0"/>
                <w:color w:val="auto"/>
                <w:sz w:val="21"/>
                <w:szCs w:val="21"/>
                <w:lang w:val="en-US"/>
              </w:rPr>
              <w:t>已落实</w:t>
            </w:r>
            <w:r>
              <w:rPr>
                <w:rFonts w:hint="eastAsia" w:hAnsi="宋体" w:cs="宋体"/>
                <w:b w:val="0"/>
                <w:color w:val="auto"/>
                <w:sz w:val="21"/>
                <w:szCs w:val="21"/>
              </w:rPr>
              <w:t>，保安人员（含保安队长）的质量达到或超过招标要求以及前述投入方案的保证措施可靠性高</w:t>
            </w:r>
            <w:r>
              <w:rPr>
                <w:rFonts w:hint="eastAsia" w:hAnsi="宋体" w:cs="宋体"/>
                <w:b w:val="0"/>
                <w:color w:val="auto"/>
                <w:sz w:val="21"/>
                <w:szCs w:val="21"/>
                <w:lang w:val="en-US"/>
              </w:rPr>
              <w:t>的，得</w:t>
            </w:r>
            <w:r>
              <w:rPr>
                <w:rFonts w:hint="eastAsia" w:hAnsi="宋体" w:cs="宋体"/>
                <w:b w:val="0"/>
                <w:color w:val="auto"/>
                <w:sz w:val="21"/>
                <w:szCs w:val="21"/>
              </w:rPr>
              <w:t>[3-2.5分</w:t>
            </w:r>
            <w:r>
              <w:rPr>
                <w:rFonts w:hAnsi="宋体" w:cs="宋体"/>
                <w:b w:val="0"/>
                <w:color w:val="auto"/>
                <w:sz w:val="21"/>
                <w:szCs w:val="21"/>
              </w:rPr>
              <w:t>]</w:t>
            </w:r>
            <w:r>
              <w:rPr>
                <w:rFonts w:hint="eastAsia" w:hAnsi="宋体" w:cs="宋体"/>
                <w:b w:val="0"/>
                <w:color w:val="auto"/>
                <w:sz w:val="21"/>
                <w:szCs w:val="21"/>
              </w:rPr>
              <w:t>；</w:t>
            </w:r>
          </w:p>
          <w:p w14:paraId="1C09BFAB">
            <w:pPr>
              <w:pStyle w:val="2"/>
              <w:spacing w:line="400" w:lineRule="exact"/>
              <w:ind w:right="-19"/>
              <w:jc w:val="left"/>
              <w:rPr>
                <w:rFonts w:hAnsi="宋体" w:cs="宋体"/>
                <w:b w:val="0"/>
                <w:color w:val="auto"/>
                <w:sz w:val="21"/>
                <w:szCs w:val="21"/>
              </w:rPr>
            </w:pPr>
            <w:r>
              <w:rPr>
                <w:rFonts w:hint="eastAsia" w:hAnsi="宋体" w:cs="宋体"/>
                <w:b w:val="0"/>
                <w:color w:val="auto"/>
                <w:sz w:val="21"/>
                <w:szCs w:val="21"/>
              </w:rPr>
              <w:t>良：拟定的保安人员动态投入计划满足招标人需求，保安人员来源渠道已落实，保安人员（含保安队长）的质量达到或超过招标要求以及前述投入方案的保证措施可靠性较高</w:t>
            </w:r>
            <w:r>
              <w:rPr>
                <w:rFonts w:hint="eastAsia" w:hAnsi="宋体" w:cs="宋体"/>
                <w:b w:val="0"/>
                <w:color w:val="auto"/>
                <w:sz w:val="21"/>
                <w:szCs w:val="21"/>
                <w:lang w:val="en-US"/>
              </w:rPr>
              <w:t>的，得</w:t>
            </w:r>
            <w:r>
              <w:rPr>
                <w:rFonts w:hint="eastAsia" w:hAnsi="宋体" w:cs="宋体"/>
                <w:b w:val="0"/>
                <w:color w:val="auto"/>
                <w:sz w:val="21"/>
                <w:szCs w:val="21"/>
              </w:rPr>
              <w:t>（2.5-1.5分</w:t>
            </w:r>
            <w:r>
              <w:rPr>
                <w:rFonts w:hAnsi="宋体" w:cs="宋体"/>
                <w:b w:val="0"/>
                <w:color w:val="auto"/>
                <w:sz w:val="21"/>
                <w:szCs w:val="21"/>
              </w:rPr>
              <w:t>]</w:t>
            </w:r>
            <w:r>
              <w:rPr>
                <w:rFonts w:hint="eastAsia" w:hAnsi="宋体" w:cs="宋体"/>
                <w:b w:val="0"/>
                <w:color w:val="auto"/>
                <w:sz w:val="21"/>
                <w:szCs w:val="21"/>
              </w:rPr>
              <w:t>；</w:t>
            </w:r>
          </w:p>
          <w:p w14:paraId="3D0AB519">
            <w:pPr>
              <w:pStyle w:val="2"/>
              <w:spacing w:line="400" w:lineRule="exact"/>
              <w:ind w:right="-19"/>
              <w:jc w:val="left"/>
              <w:rPr>
                <w:rFonts w:hAnsi="宋体" w:cs="宋体"/>
                <w:b w:val="0"/>
                <w:color w:val="auto"/>
                <w:sz w:val="21"/>
                <w:szCs w:val="21"/>
              </w:rPr>
            </w:pPr>
            <w:r>
              <w:rPr>
                <w:rFonts w:hint="eastAsia" w:hAnsi="宋体" w:cs="宋体"/>
                <w:b w:val="0"/>
                <w:color w:val="auto"/>
                <w:sz w:val="21"/>
                <w:szCs w:val="21"/>
              </w:rPr>
              <w:t>中：拟定的保安人员动态投入计划基本满足招标人需求，保安人员来源渠道基本落实，保安人员（含保安队长）的质量达到或超过招标要求以及前述投入方案的保证措施可靠性</w:t>
            </w:r>
            <w:r>
              <w:rPr>
                <w:rFonts w:hint="eastAsia" w:hAnsi="宋体" w:cs="宋体"/>
                <w:b w:val="0"/>
                <w:color w:val="auto"/>
                <w:sz w:val="21"/>
                <w:szCs w:val="21"/>
                <w:lang w:val="en-US"/>
              </w:rPr>
              <w:t>一般的，得</w:t>
            </w:r>
            <w:r>
              <w:rPr>
                <w:rFonts w:hint="eastAsia" w:hAnsi="宋体" w:cs="宋体"/>
                <w:b w:val="0"/>
                <w:color w:val="auto"/>
                <w:sz w:val="21"/>
                <w:szCs w:val="21"/>
              </w:rPr>
              <w:t>（1.5-0.5分</w:t>
            </w:r>
            <w:r>
              <w:rPr>
                <w:rFonts w:hAnsi="宋体" w:cs="宋体"/>
                <w:b w:val="0"/>
                <w:color w:val="auto"/>
                <w:sz w:val="21"/>
                <w:szCs w:val="21"/>
              </w:rPr>
              <w:t>]</w:t>
            </w:r>
            <w:r>
              <w:rPr>
                <w:rFonts w:hint="eastAsia" w:hAnsi="宋体" w:cs="宋体"/>
                <w:b w:val="0"/>
                <w:color w:val="auto"/>
                <w:sz w:val="21"/>
                <w:szCs w:val="21"/>
              </w:rPr>
              <w:t>；</w:t>
            </w:r>
          </w:p>
          <w:p w14:paraId="57AEA545">
            <w:pPr>
              <w:pStyle w:val="2"/>
              <w:spacing w:line="400" w:lineRule="exact"/>
              <w:ind w:right="-19"/>
              <w:jc w:val="left"/>
              <w:rPr>
                <w:rFonts w:hAnsi="宋体" w:cs="宋体"/>
                <w:color w:val="auto"/>
                <w:kern w:val="0"/>
                <w:szCs w:val="21"/>
              </w:rPr>
            </w:pPr>
            <w:r>
              <w:rPr>
                <w:rFonts w:hint="eastAsia" w:hAnsi="宋体" w:cs="宋体"/>
                <w:b w:val="0"/>
                <w:color w:val="auto"/>
                <w:sz w:val="21"/>
                <w:szCs w:val="21"/>
              </w:rPr>
              <w:t>差：拟定的保安人员动态投入计划不满足招标人需求，保安人员来源渠道未落实，保安人员（含保安队长）的质量达到或超过招标要求，以及前述投入方案的保证措施可靠性</w:t>
            </w:r>
            <w:r>
              <w:rPr>
                <w:rFonts w:hint="eastAsia" w:hAnsi="宋体" w:cs="宋体"/>
                <w:b w:val="0"/>
                <w:color w:val="auto"/>
                <w:sz w:val="21"/>
                <w:szCs w:val="21"/>
                <w:lang w:val="en-US"/>
              </w:rPr>
              <w:t>差的，得</w:t>
            </w:r>
            <w:r>
              <w:rPr>
                <w:rFonts w:hint="eastAsia" w:hAnsi="宋体" w:cs="宋体"/>
                <w:b w:val="0"/>
                <w:color w:val="auto"/>
                <w:sz w:val="21"/>
                <w:szCs w:val="21"/>
              </w:rPr>
              <w:t>（0.5-0分]。</w:t>
            </w:r>
          </w:p>
        </w:tc>
        <w:tc>
          <w:tcPr>
            <w:tcW w:w="437" w:type="pct"/>
            <w:tcBorders>
              <w:top w:val="single" w:color="auto" w:sz="4" w:space="0"/>
              <w:left w:val="single" w:color="auto" w:sz="4" w:space="0"/>
              <w:bottom w:val="single" w:color="auto" w:sz="4" w:space="0"/>
              <w:right w:val="single" w:color="auto" w:sz="4" w:space="0"/>
            </w:tcBorders>
            <w:vAlign w:val="center"/>
          </w:tcPr>
          <w:p w14:paraId="6019CBC5">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rPr>
              <w:t>3分</w:t>
            </w:r>
          </w:p>
        </w:tc>
      </w:tr>
      <w:tr w14:paraId="5A7F5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370B1CF3">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rPr>
              <w:t>4</w:t>
            </w:r>
          </w:p>
        </w:tc>
        <w:tc>
          <w:tcPr>
            <w:tcW w:w="546" w:type="pct"/>
            <w:tcBorders>
              <w:top w:val="single" w:color="auto" w:sz="4" w:space="0"/>
              <w:left w:val="single" w:color="auto" w:sz="4" w:space="0"/>
              <w:bottom w:val="single" w:color="auto" w:sz="4" w:space="0"/>
              <w:right w:val="single" w:color="auto" w:sz="4" w:space="0"/>
            </w:tcBorders>
            <w:vAlign w:val="center"/>
          </w:tcPr>
          <w:p w14:paraId="1B3DE591">
            <w:pPr>
              <w:spacing w:line="400" w:lineRule="exact"/>
              <w:jc w:val="left"/>
              <w:rPr>
                <w:rFonts w:ascii="宋体" w:hAnsi="宋体" w:eastAsia="宋体" w:cs="宋体"/>
                <w:color w:val="auto"/>
                <w:szCs w:val="21"/>
              </w:rPr>
            </w:pPr>
            <w:r>
              <w:rPr>
                <w:rFonts w:hint="eastAsia" w:ascii="宋体" w:hAnsi="宋体" w:eastAsia="宋体" w:cs="宋体"/>
                <w:color w:val="auto"/>
                <w:szCs w:val="21"/>
              </w:rPr>
              <w:t>保安人员配套装备的承诺及保证措施</w:t>
            </w:r>
          </w:p>
        </w:tc>
        <w:tc>
          <w:tcPr>
            <w:tcW w:w="3690" w:type="pct"/>
            <w:tcBorders>
              <w:top w:val="single" w:color="auto" w:sz="4" w:space="0"/>
              <w:left w:val="single" w:color="auto" w:sz="4" w:space="0"/>
              <w:bottom w:val="single" w:color="auto" w:sz="4" w:space="0"/>
              <w:right w:val="single" w:color="auto" w:sz="4" w:space="0"/>
            </w:tcBorders>
            <w:vAlign w:val="center"/>
          </w:tcPr>
          <w:p w14:paraId="28C622D1">
            <w:pPr>
              <w:spacing w:line="400" w:lineRule="exact"/>
              <w:rPr>
                <w:rFonts w:hint="eastAsia" w:ascii="宋体" w:hAnsi="宋体" w:eastAsia="宋体" w:cs="宋体"/>
                <w:b/>
                <w:bCs/>
                <w:color w:val="auto"/>
                <w:szCs w:val="21"/>
                <w:lang w:eastAsia="zh-CN"/>
              </w:rPr>
            </w:pPr>
            <w:r>
              <w:rPr>
                <w:rFonts w:hint="eastAsia" w:ascii="宋体" w:hAnsi="宋体" w:eastAsia="宋体" w:cs="宋体"/>
                <w:b/>
                <w:bCs/>
                <w:color w:val="auto"/>
                <w:szCs w:val="21"/>
              </w:rPr>
              <w:t>根据投标人提供的保安人员配套装备的承诺，以及是否满足日常执勤需要；突发紧急情况下应急装备的配备承诺，及装备的种类、数量、先进性、日常管理，以及达到前述承诺的保证措施等进行评审</w:t>
            </w:r>
            <w:r>
              <w:rPr>
                <w:rFonts w:hint="eastAsia" w:ascii="宋体" w:hAnsi="宋体" w:eastAsia="宋体" w:cs="宋体"/>
                <w:b/>
                <w:bCs/>
                <w:color w:val="auto"/>
                <w:szCs w:val="21"/>
                <w:lang w:eastAsia="zh-CN"/>
              </w:rPr>
              <w:t>：</w:t>
            </w:r>
          </w:p>
          <w:p w14:paraId="543273EE">
            <w:pPr>
              <w:spacing w:line="400" w:lineRule="exact"/>
              <w:rPr>
                <w:rFonts w:ascii="宋体" w:hAnsi="宋体" w:eastAsia="宋体" w:cs="宋体"/>
                <w:color w:val="auto"/>
                <w:szCs w:val="21"/>
              </w:rPr>
            </w:pPr>
            <w:r>
              <w:rPr>
                <w:rFonts w:hint="eastAsia" w:ascii="宋体" w:hAnsi="宋体" w:eastAsia="宋体" w:cs="宋体"/>
                <w:color w:val="auto"/>
                <w:szCs w:val="21"/>
              </w:rPr>
              <w:t>优：保安人员配套装备的承诺满足日常执勤需要，保证措施内容详细、实施性强的，得[2-1.5分</w:t>
            </w:r>
            <w:r>
              <w:rPr>
                <w:rFonts w:ascii="宋体" w:hAnsi="宋体" w:eastAsia="宋体" w:cs="宋体"/>
                <w:color w:val="auto"/>
                <w:szCs w:val="21"/>
              </w:rPr>
              <w:t>]</w:t>
            </w:r>
            <w:r>
              <w:rPr>
                <w:rFonts w:hint="eastAsia" w:ascii="宋体" w:hAnsi="宋体" w:eastAsia="宋体" w:cs="宋体"/>
                <w:color w:val="auto"/>
                <w:szCs w:val="21"/>
              </w:rPr>
              <w:t>；</w:t>
            </w:r>
          </w:p>
          <w:p w14:paraId="2E9660A8">
            <w:pPr>
              <w:spacing w:line="400" w:lineRule="exact"/>
              <w:rPr>
                <w:rFonts w:ascii="宋体" w:hAnsi="宋体" w:eastAsia="宋体" w:cs="宋体"/>
                <w:color w:val="auto"/>
                <w:szCs w:val="21"/>
              </w:rPr>
            </w:pPr>
            <w:r>
              <w:rPr>
                <w:rFonts w:hint="eastAsia" w:ascii="宋体" w:hAnsi="宋体" w:eastAsia="宋体" w:cs="宋体"/>
                <w:color w:val="auto"/>
                <w:szCs w:val="21"/>
              </w:rPr>
              <w:t>良：保安人员配套装备的承诺比较满足日常执勤需要，保证措施内容较详细、基本可实施的，得（1.5-1分</w:t>
            </w:r>
            <w:r>
              <w:rPr>
                <w:rFonts w:ascii="宋体" w:hAnsi="宋体" w:eastAsia="宋体" w:cs="宋体"/>
                <w:color w:val="auto"/>
                <w:szCs w:val="21"/>
              </w:rPr>
              <w:t>]</w:t>
            </w:r>
            <w:r>
              <w:rPr>
                <w:rFonts w:hint="eastAsia" w:ascii="宋体" w:hAnsi="宋体" w:eastAsia="宋体" w:cs="宋体"/>
                <w:color w:val="auto"/>
                <w:szCs w:val="21"/>
              </w:rPr>
              <w:t>；</w:t>
            </w:r>
          </w:p>
          <w:p w14:paraId="5A06D5C9">
            <w:pPr>
              <w:spacing w:line="400" w:lineRule="exact"/>
              <w:rPr>
                <w:rFonts w:ascii="宋体" w:hAnsi="宋体" w:eastAsia="宋体" w:cs="宋体"/>
                <w:color w:val="auto"/>
                <w:szCs w:val="21"/>
              </w:rPr>
            </w:pPr>
            <w:r>
              <w:rPr>
                <w:rFonts w:hint="eastAsia" w:ascii="宋体" w:hAnsi="宋体" w:eastAsia="宋体" w:cs="宋体"/>
                <w:color w:val="auto"/>
                <w:szCs w:val="21"/>
              </w:rPr>
              <w:t>中：保安人员配套装备的承诺基本满足日常执勤需要，保证措施内容一般，较难实施的，得（1-0.5分</w:t>
            </w:r>
            <w:r>
              <w:rPr>
                <w:rFonts w:ascii="宋体" w:hAnsi="宋体" w:eastAsia="宋体" w:cs="宋体"/>
                <w:color w:val="auto"/>
                <w:szCs w:val="21"/>
              </w:rPr>
              <w:t>]</w:t>
            </w:r>
            <w:r>
              <w:rPr>
                <w:rFonts w:hint="eastAsia" w:ascii="宋体" w:hAnsi="宋体" w:eastAsia="宋体" w:cs="宋体"/>
                <w:color w:val="auto"/>
                <w:szCs w:val="21"/>
              </w:rPr>
              <w:t>；</w:t>
            </w:r>
          </w:p>
          <w:p w14:paraId="7F45FA14">
            <w:pPr>
              <w:spacing w:line="400" w:lineRule="exact"/>
              <w:rPr>
                <w:rFonts w:ascii="宋体" w:hAnsi="宋体" w:eastAsia="宋体" w:cs="宋体"/>
                <w:color w:val="auto"/>
                <w:szCs w:val="21"/>
              </w:rPr>
            </w:pPr>
            <w:r>
              <w:rPr>
                <w:rFonts w:hint="eastAsia" w:ascii="宋体" w:hAnsi="宋体" w:eastAsia="宋体" w:cs="宋体"/>
                <w:color w:val="auto"/>
                <w:szCs w:val="21"/>
              </w:rPr>
              <w:t>差：保安人员配套装备的承诺不满足日常执勤需要，保证措施详内容不具体，无实施可行性的，得（0.5-0分]。</w:t>
            </w:r>
          </w:p>
        </w:tc>
        <w:tc>
          <w:tcPr>
            <w:tcW w:w="437" w:type="pct"/>
            <w:tcBorders>
              <w:top w:val="single" w:color="auto" w:sz="4" w:space="0"/>
              <w:left w:val="single" w:color="auto" w:sz="4" w:space="0"/>
              <w:bottom w:val="single" w:color="auto" w:sz="4" w:space="0"/>
              <w:right w:val="single" w:color="auto" w:sz="4" w:space="0"/>
            </w:tcBorders>
            <w:vAlign w:val="center"/>
          </w:tcPr>
          <w:p w14:paraId="6BEA944E">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rPr>
              <w:t>2分</w:t>
            </w:r>
          </w:p>
        </w:tc>
      </w:tr>
      <w:tr w14:paraId="16AFF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43E6C77E">
            <w:pPr>
              <w:spacing w:line="400" w:lineRule="exact"/>
              <w:jc w:val="center"/>
              <w:rPr>
                <w:rFonts w:ascii="宋体" w:hAnsi="宋体" w:eastAsia="宋体" w:cs="宋体"/>
                <w:color w:val="auto"/>
                <w:szCs w:val="21"/>
              </w:rPr>
            </w:pPr>
            <w:r>
              <w:rPr>
                <w:rFonts w:hint="eastAsia" w:ascii="宋体" w:hAnsi="宋体" w:eastAsia="宋体" w:cs="宋体"/>
                <w:color w:val="auto"/>
                <w:szCs w:val="21"/>
              </w:rPr>
              <w:t>5</w:t>
            </w:r>
          </w:p>
        </w:tc>
        <w:tc>
          <w:tcPr>
            <w:tcW w:w="546" w:type="pct"/>
            <w:tcBorders>
              <w:top w:val="single" w:color="auto" w:sz="4" w:space="0"/>
              <w:left w:val="single" w:color="auto" w:sz="4" w:space="0"/>
              <w:bottom w:val="single" w:color="auto" w:sz="4" w:space="0"/>
              <w:right w:val="single" w:color="auto" w:sz="4" w:space="0"/>
            </w:tcBorders>
            <w:vAlign w:val="center"/>
          </w:tcPr>
          <w:p w14:paraId="3F00A3C8">
            <w:pPr>
              <w:spacing w:line="400" w:lineRule="exact"/>
              <w:jc w:val="center"/>
              <w:rPr>
                <w:rFonts w:ascii="宋体" w:hAnsi="宋体" w:eastAsia="宋体" w:cs="宋体"/>
                <w:color w:val="auto"/>
                <w:szCs w:val="21"/>
              </w:rPr>
            </w:pPr>
            <w:r>
              <w:rPr>
                <w:rFonts w:hint="eastAsia" w:ascii="宋体" w:hAnsi="宋体" w:eastAsia="宋体" w:cs="宋体"/>
                <w:color w:val="auto"/>
                <w:szCs w:val="21"/>
              </w:rPr>
              <w:t>应急处理预案</w:t>
            </w:r>
          </w:p>
        </w:tc>
        <w:tc>
          <w:tcPr>
            <w:tcW w:w="3690" w:type="pct"/>
            <w:tcBorders>
              <w:top w:val="single" w:color="auto" w:sz="4" w:space="0"/>
              <w:left w:val="single" w:color="auto" w:sz="4" w:space="0"/>
              <w:bottom w:val="single" w:color="auto" w:sz="4" w:space="0"/>
              <w:right w:val="single" w:color="auto" w:sz="4" w:space="0"/>
            </w:tcBorders>
            <w:vAlign w:val="center"/>
          </w:tcPr>
          <w:p w14:paraId="596DFD81">
            <w:pPr>
              <w:pStyle w:val="2"/>
              <w:spacing w:line="400" w:lineRule="exact"/>
              <w:ind w:right="-19"/>
              <w:jc w:val="left"/>
              <w:rPr>
                <w:rFonts w:hint="eastAsia" w:hAnsi="宋体" w:eastAsia="宋体" w:cs="宋体"/>
                <w:b/>
                <w:bCs w:val="0"/>
                <w:color w:val="auto"/>
                <w:sz w:val="21"/>
                <w:szCs w:val="21"/>
                <w:lang w:eastAsia="zh-CN"/>
              </w:rPr>
            </w:pPr>
            <w:r>
              <w:rPr>
                <w:rFonts w:hint="eastAsia" w:hAnsi="宋体" w:cs="宋体"/>
                <w:b/>
                <w:bCs w:val="0"/>
                <w:color w:val="auto"/>
                <w:sz w:val="21"/>
                <w:szCs w:val="21"/>
              </w:rPr>
              <w:t>对投标人针对重大节日、大型活动、自然灾害或其它可预见的突发事件的响应速度、周边保安服务支援点情况、应急支援人员调度方式等应急处理预案进行评审</w:t>
            </w:r>
            <w:r>
              <w:rPr>
                <w:rFonts w:hint="eastAsia" w:hAnsi="宋体" w:cs="宋体"/>
                <w:b/>
                <w:bCs w:val="0"/>
                <w:color w:val="auto"/>
                <w:sz w:val="21"/>
                <w:szCs w:val="21"/>
                <w:lang w:eastAsia="zh-CN"/>
              </w:rPr>
              <w:t>：</w:t>
            </w:r>
          </w:p>
          <w:p w14:paraId="6BA31933">
            <w:pPr>
              <w:pStyle w:val="2"/>
              <w:spacing w:line="400" w:lineRule="exact"/>
              <w:ind w:right="-19"/>
              <w:jc w:val="left"/>
              <w:rPr>
                <w:rFonts w:hAnsi="宋体" w:cs="宋体"/>
                <w:b w:val="0"/>
                <w:color w:val="auto"/>
                <w:sz w:val="21"/>
                <w:szCs w:val="21"/>
              </w:rPr>
            </w:pPr>
            <w:r>
              <w:rPr>
                <w:rFonts w:hint="eastAsia" w:hAnsi="宋体" w:cs="宋体"/>
                <w:b w:val="0"/>
                <w:color w:val="auto"/>
                <w:sz w:val="21"/>
                <w:szCs w:val="21"/>
              </w:rPr>
              <w:t>优：应急处理预案有全面的紧急情况分析，并能针对紧急情况出具科学合理的应对措施的，得[4-3分</w:t>
            </w:r>
            <w:r>
              <w:rPr>
                <w:rFonts w:hAnsi="宋体" w:cs="宋体"/>
                <w:b w:val="0"/>
                <w:color w:val="auto"/>
                <w:sz w:val="21"/>
                <w:szCs w:val="21"/>
              </w:rPr>
              <w:t>]</w:t>
            </w:r>
            <w:r>
              <w:rPr>
                <w:rFonts w:hint="eastAsia" w:hAnsi="宋体" w:cs="宋体"/>
                <w:b w:val="0"/>
                <w:color w:val="auto"/>
                <w:sz w:val="21"/>
                <w:szCs w:val="21"/>
              </w:rPr>
              <w:t>；</w:t>
            </w:r>
          </w:p>
          <w:p w14:paraId="6B0AA379">
            <w:pPr>
              <w:pStyle w:val="2"/>
              <w:spacing w:line="400" w:lineRule="exact"/>
              <w:ind w:right="-19"/>
              <w:jc w:val="left"/>
              <w:rPr>
                <w:rFonts w:hAnsi="宋体" w:cs="宋体"/>
                <w:b w:val="0"/>
                <w:color w:val="auto"/>
                <w:sz w:val="21"/>
                <w:szCs w:val="21"/>
              </w:rPr>
            </w:pPr>
            <w:r>
              <w:rPr>
                <w:rFonts w:hint="eastAsia" w:hAnsi="宋体" w:cs="宋体"/>
                <w:b w:val="0"/>
                <w:color w:val="auto"/>
                <w:sz w:val="21"/>
                <w:szCs w:val="21"/>
              </w:rPr>
              <w:t>良：应急处理预案</w:t>
            </w:r>
            <w:r>
              <w:rPr>
                <w:rFonts w:hint="eastAsia" w:hAnsi="宋体" w:cs="宋体"/>
                <w:b w:val="0"/>
                <w:color w:val="auto"/>
                <w:sz w:val="21"/>
                <w:szCs w:val="21"/>
                <w:lang w:val="en-US"/>
              </w:rPr>
              <w:t>有</w:t>
            </w:r>
            <w:r>
              <w:rPr>
                <w:rFonts w:hint="eastAsia" w:hAnsi="宋体" w:cs="宋体"/>
                <w:b w:val="0"/>
                <w:color w:val="auto"/>
                <w:sz w:val="21"/>
                <w:szCs w:val="21"/>
              </w:rPr>
              <w:t>较全面的紧急情况分析，并能针对紧急情况出具较为科学合理的应对措施的，得（3-2分</w:t>
            </w:r>
            <w:r>
              <w:rPr>
                <w:rFonts w:hAnsi="宋体" w:cs="宋体"/>
                <w:b w:val="0"/>
                <w:color w:val="auto"/>
                <w:sz w:val="21"/>
                <w:szCs w:val="21"/>
              </w:rPr>
              <w:t>]</w:t>
            </w:r>
            <w:r>
              <w:rPr>
                <w:rFonts w:hint="eastAsia" w:hAnsi="宋体" w:cs="宋体"/>
                <w:b w:val="0"/>
                <w:color w:val="auto"/>
                <w:sz w:val="21"/>
                <w:szCs w:val="21"/>
              </w:rPr>
              <w:t>；</w:t>
            </w:r>
          </w:p>
          <w:p w14:paraId="122E532B">
            <w:pPr>
              <w:pStyle w:val="2"/>
              <w:spacing w:line="400" w:lineRule="exact"/>
              <w:ind w:right="-19"/>
              <w:jc w:val="left"/>
              <w:rPr>
                <w:rFonts w:hAnsi="宋体" w:cs="宋体"/>
                <w:b w:val="0"/>
                <w:color w:val="auto"/>
                <w:sz w:val="21"/>
                <w:szCs w:val="21"/>
              </w:rPr>
            </w:pPr>
            <w:r>
              <w:rPr>
                <w:rFonts w:hint="eastAsia" w:hAnsi="宋体" w:cs="宋体"/>
                <w:b w:val="0"/>
                <w:color w:val="auto"/>
                <w:sz w:val="21"/>
                <w:szCs w:val="21"/>
              </w:rPr>
              <w:t>中：应急处理预案内容一般，并能针对紧急情况出具</w:t>
            </w:r>
            <w:r>
              <w:rPr>
                <w:rFonts w:hint="eastAsia" w:hAnsi="宋体" w:cs="宋体"/>
                <w:b w:val="0"/>
                <w:color w:val="auto"/>
                <w:sz w:val="21"/>
                <w:szCs w:val="21"/>
                <w:lang w:val="en-US"/>
              </w:rPr>
              <w:t>基本</w:t>
            </w:r>
            <w:r>
              <w:rPr>
                <w:rFonts w:hint="eastAsia" w:hAnsi="宋体" w:cs="宋体"/>
                <w:b w:val="0"/>
                <w:color w:val="auto"/>
                <w:sz w:val="21"/>
                <w:szCs w:val="21"/>
              </w:rPr>
              <w:t>的应对措施的，得（2-1分</w:t>
            </w:r>
            <w:r>
              <w:rPr>
                <w:rFonts w:hAnsi="宋体" w:cs="宋体"/>
                <w:b w:val="0"/>
                <w:color w:val="auto"/>
                <w:sz w:val="21"/>
                <w:szCs w:val="21"/>
              </w:rPr>
              <w:t>]</w:t>
            </w:r>
            <w:r>
              <w:rPr>
                <w:rFonts w:hint="eastAsia" w:hAnsi="宋体" w:cs="宋体"/>
                <w:b w:val="0"/>
                <w:color w:val="auto"/>
                <w:sz w:val="21"/>
                <w:szCs w:val="21"/>
              </w:rPr>
              <w:t>；</w:t>
            </w:r>
          </w:p>
          <w:p w14:paraId="216D0093">
            <w:pPr>
              <w:pStyle w:val="2"/>
              <w:spacing w:line="400" w:lineRule="exact"/>
              <w:ind w:right="-19"/>
              <w:jc w:val="left"/>
              <w:rPr>
                <w:rFonts w:hAnsi="宋体" w:cs="宋体"/>
                <w:color w:val="auto"/>
                <w:sz w:val="21"/>
                <w:szCs w:val="21"/>
              </w:rPr>
            </w:pPr>
            <w:r>
              <w:rPr>
                <w:rFonts w:hint="eastAsia" w:hAnsi="宋体" w:cs="宋体"/>
                <w:b w:val="0"/>
                <w:color w:val="auto"/>
                <w:sz w:val="21"/>
                <w:szCs w:val="21"/>
              </w:rPr>
              <w:t>差：应急处理预案内容不全面，针对紧急情况出具应对措施操作性差的，得（1-0分]。</w:t>
            </w:r>
          </w:p>
        </w:tc>
        <w:tc>
          <w:tcPr>
            <w:tcW w:w="437" w:type="pct"/>
            <w:tcBorders>
              <w:top w:val="single" w:color="auto" w:sz="4" w:space="0"/>
              <w:left w:val="single" w:color="auto" w:sz="4" w:space="0"/>
              <w:bottom w:val="single" w:color="auto" w:sz="4" w:space="0"/>
              <w:right w:val="single" w:color="auto" w:sz="4" w:space="0"/>
            </w:tcBorders>
            <w:vAlign w:val="center"/>
          </w:tcPr>
          <w:p w14:paraId="0374FE55">
            <w:pPr>
              <w:spacing w:line="400" w:lineRule="exact"/>
              <w:jc w:val="center"/>
              <w:rPr>
                <w:rFonts w:ascii="宋体" w:hAnsi="宋体" w:eastAsia="宋体" w:cs="宋体"/>
                <w:color w:val="auto"/>
                <w:szCs w:val="21"/>
              </w:rPr>
            </w:pPr>
            <w:r>
              <w:rPr>
                <w:rFonts w:hint="eastAsia" w:ascii="宋体" w:hAnsi="宋体" w:eastAsia="宋体" w:cs="宋体"/>
                <w:color w:val="auto"/>
                <w:szCs w:val="21"/>
              </w:rPr>
              <w:t>4分</w:t>
            </w:r>
          </w:p>
        </w:tc>
      </w:tr>
      <w:tr w14:paraId="1AC6D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0F06F49C">
            <w:pPr>
              <w:spacing w:line="400" w:lineRule="exact"/>
              <w:jc w:val="center"/>
              <w:rPr>
                <w:rFonts w:ascii="宋体" w:hAnsi="宋体" w:eastAsia="宋体" w:cs="宋体"/>
                <w:color w:val="auto"/>
                <w:szCs w:val="21"/>
              </w:rPr>
            </w:pPr>
            <w:r>
              <w:rPr>
                <w:rFonts w:hint="eastAsia" w:ascii="宋体" w:hAnsi="宋体" w:eastAsia="宋体" w:cs="宋体"/>
                <w:color w:val="auto"/>
                <w:szCs w:val="21"/>
              </w:rPr>
              <w:t>6</w:t>
            </w:r>
          </w:p>
        </w:tc>
        <w:tc>
          <w:tcPr>
            <w:tcW w:w="546" w:type="pct"/>
            <w:tcBorders>
              <w:top w:val="single" w:color="auto" w:sz="4" w:space="0"/>
              <w:left w:val="single" w:color="auto" w:sz="4" w:space="0"/>
              <w:bottom w:val="single" w:color="auto" w:sz="4" w:space="0"/>
              <w:right w:val="single" w:color="auto" w:sz="4" w:space="0"/>
            </w:tcBorders>
            <w:vAlign w:val="center"/>
          </w:tcPr>
          <w:p w14:paraId="2C44136E">
            <w:pPr>
              <w:spacing w:line="400" w:lineRule="exact"/>
              <w:jc w:val="center"/>
              <w:rPr>
                <w:rFonts w:ascii="宋体" w:hAnsi="宋体" w:eastAsia="宋体" w:cs="宋体"/>
                <w:color w:val="auto"/>
                <w:szCs w:val="21"/>
              </w:rPr>
            </w:pPr>
            <w:r>
              <w:rPr>
                <w:rFonts w:hint="eastAsia" w:ascii="宋体" w:hAnsi="宋体" w:eastAsia="宋体" w:cs="宋体"/>
                <w:color w:val="auto"/>
                <w:szCs w:val="21"/>
              </w:rPr>
              <w:t>培训方案</w:t>
            </w:r>
          </w:p>
        </w:tc>
        <w:tc>
          <w:tcPr>
            <w:tcW w:w="3690" w:type="pct"/>
            <w:tcBorders>
              <w:top w:val="single" w:color="auto" w:sz="4" w:space="0"/>
              <w:left w:val="single" w:color="auto" w:sz="4" w:space="0"/>
              <w:bottom w:val="single" w:color="auto" w:sz="4" w:space="0"/>
              <w:right w:val="single" w:color="auto" w:sz="4" w:space="0"/>
            </w:tcBorders>
            <w:vAlign w:val="center"/>
          </w:tcPr>
          <w:p w14:paraId="77250E26">
            <w:pPr>
              <w:spacing w:line="400" w:lineRule="exact"/>
              <w:ind w:right="-19"/>
              <w:rPr>
                <w:rFonts w:ascii="宋体" w:hAnsi="宋体" w:eastAsia="宋体" w:cs="宋体"/>
                <w:b/>
                <w:bCs w:val="0"/>
                <w:color w:val="auto"/>
                <w:szCs w:val="21"/>
                <w:lang w:val="zh-CN"/>
              </w:rPr>
            </w:pPr>
            <w:r>
              <w:rPr>
                <w:rFonts w:hint="eastAsia" w:ascii="宋体" w:hAnsi="宋体" w:eastAsia="宋体" w:cs="宋体"/>
                <w:b/>
                <w:bCs w:val="0"/>
                <w:color w:val="auto"/>
                <w:szCs w:val="21"/>
                <w:lang w:val="zh-CN"/>
              </w:rPr>
              <w:t>根据投标人培训目标、培训方式及培训计划内容的设定，拟投入的培训教练，场地规模等情况进行综合评分：</w:t>
            </w:r>
          </w:p>
          <w:p w14:paraId="09EC4FB4">
            <w:pPr>
              <w:spacing w:line="400" w:lineRule="exact"/>
              <w:ind w:right="-19"/>
              <w:rPr>
                <w:rFonts w:ascii="宋体" w:hAnsi="宋体" w:eastAsia="宋体" w:cs="宋体"/>
                <w:bCs/>
                <w:color w:val="auto"/>
                <w:szCs w:val="21"/>
                <w:lang w:val="zh-CN"/>
              </w:rPr>
            </w:pPr>
            <w:r>
              <w:rPr>
                <w:rFonts w:hint="default" w:ascii="宋体" w:hAnsi="宋体" w:eastAsia="宋体" w:cs="宋体"/>
                <w:bCs/>
                <w:color w:val="auto"/>
                <w:szCs w:val="21"/>
                <w:lang w:val="en-US"/>
              </w:rPr>
              <w:t>（1）</w:t>
            </w:r>
            <w:r>
              <w:rPr>
                <w:rFonts w:hint="eastAsia" w:ascii="宋体" w:hAnsi="宋体" w:eastAsia="宋体" w:cs="宋体"/>
                <w:bCs/>
                <w:color w:val="auto"/>
                <w:szCs w:val="21"/>
                <w:lang w:val="zh-CN"/>
              </w:rPr>
              <w:t>有详细明确的培训目标、培训方式及培训计划内容，培训教练充足且素质好，场地规模大的为优[4-3分</w:t>
            </w:r>
            <w:r>
              <w:rPr>
                <w:rFonts w:ascii="宋体" w:hAnsi="宋体" w:eastAsia="宋体" w:cs="宋体"/>
                <w:bCs/>
                <w:color w:val="auto"/>
                <w:szCs w:val="21"/>
                <w:lang w:val="zh-CN"/>
              </w:rPr>
              <w:t>]</w:t>
            </w:r>
            <w:r>
              <w:rPr>
                <w:rFonts w:hint="eastAsia" w:ascii="宋体" w:hAnsi="宋体" w:eastAsia="宋体" w:cs="宋体"/>
                <w:bCs/>
                <w:color w:val="auto"/>
                <w:szCs w:val="21"/>
                <w:lang w:val="zh-CN"/>
              </w:rPr>
              <w:t>；</w:t>
            </w:r>
          </w:p>
          <w:p w14:paraId="32478647">
            <w:pPr>
              <w:spacing w:line="400" w:lineRule="exact"/>
              <w:ind w:right="-19"/>
              <w:rPr>
                <w:rFonts w:ascii="宋体" w:hAnsi="宋体" w:eastAsia="宋体" w:cs="宋体"/>
                <w:bCs/>
                <w:color w:val="auto"/>
                <w:szCs w:val="21"/>
                <w:lang w:val="zh-CN"/>
              </w:rPr>
            </w:pPr>
            <w:r>
              <w:rPr>
                <w:rFonts w:hint="default" w:ascii="宋体" w:hAnsi="宋体" w:eastAsia="宋体" w:cs="宋体"/>
                <w:bCs/>
                <w:color w:val="auto"/>
                <w:szCs w:val="21"/>
                <w:lang w:val="en-US"/>
              </w:rPr>
              <w:t>（2）</w:t>
            </w:r>
            <w:r>
              <w:rPr>
                <w:rFonts w:hint="eastAsia" w:ascii="宋体" w:hAnsi="宋体" w:eastAsia="宋体" w:cs="宋体"/>
                <w:bCs/>
                <w:color w:val="auto"/>
                <w:szCs w:val="21"/>
                <w:lang w:val="zh-CN"/>
              </w:rPr>
              <w:t>有培训目标、培训方式及培训计划内容，配备了专业培训教练，场地规模完全满足日常培训需求的为良（3-2分</w:t>
            </w:r>
            <w:r>
              <w:rPr>
                <w:rFonts w:ascii="宋体" w:hAnsi="宋体" w:eastAsia="宋体" w:cs="宋体"/>
                <w:bCs/>
                <w:color w:val="auto"/>
                <w:szCs w:val="21"/>
                <w:lang w:val="zh-CN"/>
              </w:rPr>
              <w:t>]</w:t>
            </w:r>
            <w:r>
              <w:rPr>
                <w:rFonts w:hint="eastAsia" w:ascii="宋体" w:hAnsi="宋体" w:eastAsia="宋体" w:cs="宋体"/>
                <w:bCs/>
                <w:color w:val="auto"/>
                <w:szCs w:val="21"/>
                <w:lang w:val="zh-CN"/>
              </w:rPr>
              <w:t>；</w:t>
            </w:r>
          </w:p>
          <w:p w14:paraId="30A847DD">
            <w:pPr>
              <w:spacing w:line="400" w:lineRule="exact"/>
              <w:ind w:right="-19"/>
              <w:rPr>
                <w:rFonts w:ascii="宋体" w:hAnsi="宋体" w:eastAsia="宋体" w:cs="宋体"/>
                <w:bCs/>
                <w:color w:val="auto"/>
                <w:szCs w:val="21"/>
                <w:lang w:val="zh-CN"/>
              </w:rPr>
            </w:pPr>
            <w:r>
              <w:rPr>
                <w:rFonts w:hint="default" w:ascii="宋体" w:hAnsi="宋体" w:eastAsia="宋体" w:cs="宋体"/>
                <w:bCs/>
                <w:color w:val="auto"/>
                <w:szCs w:val="21"/>
                <w:lang w:val="en-US"/>
              </w:rPr>
              <w:t>（3）</w:t>
            </w:r>
            <w:r>
              <w:rPr>
                <w:rFonts w:hint="eastAsia" w:ascii="宋体" w:hAnsi="宋体" w:eastAsia="宋体" w:cs="宋体"/>
                <w:bCs/>
                <w:color w:val="auto"/>
                <w:szCs w:val="21"/>
                <w:lang w:val="zh-CN"/>
              </w:rPr>
              <w:t>有培训目标、培训方式及培训计划内容，但缺乏足够的专业培训教练，场地规模一般的为中（2-1分</w:t>
            </w:r>
            <w:r>
              <w:rPr>
                <w:rFonts w:ascii="宋体" w:hAnsi="宋体" w:eastAsia="宋体" w:cs="宋体"/>
                <w:bCs/>
                <w:color w:val="auto"/>
                <w:szCs w:val="21"/>
                <w:lang w:val="zh-CN"/>
              </w:rPr>
              <w:t>]</w:t>
            </w:r>
            <w:r>
              <w:rPr>
                <w:rFonts w:hint="eastAsia" w:ascii="宋体" w:hAnsi="宋体" w:eastAsia="宋体" w:cs="宋体"/>
                <w:bCs/>
                <w:color w:val="auto"/>
                <w:szCs w:val="21"/>
                <w:lang w:val="zh-CN"/>
              </w:rPr>
              <w:t>；</w:t>
            </w:r>
          </w:p>
          <w:p w14:paraId="0F85FDE3">
            <w:pPr>
              <w:spacing w:line="400" w:lineRule="exact"/>
              <w:ind w:right="-19"/>
              <w:rPr>
                <w:rFonts w:ascii="宋体" w:hAnsi="宋体" w:eastAsia="宋体" w:cs="宋体"/>
                <w:color w:val="auto"/>
                <w:szCs w:val="21"/>
              </w:rPr>
            </w:pPr>
            <w:r>
              <w:rPr>
                <w:rFonts w:hint="default" w:ascii="宋体" w:hAnsi="宋体" w:eastAsia="宋体" w:cs="宋体"/>
                <w:bCs/>
                <w:color w:val="auto"/>
                <w:szCs w:val="21"/>
                <w:lang w:val="en-US"/>
              </w:rPr>
              <w:t>（4）</w:t>
            </w:r>
            <w:r>
              <w:rPr>
                <w:rFonts w:hint="eastAsia" w:ascii="宋体" w:hAnsi="宋体" w:eastAsia="宋体" w:cs="宋体"/>
                <w:bCs/>
                <w:color w:val="auto"/>
                <w:szCs w:val="21"/>
                <w:lang w:val="zh-CN"/>
              </w:rPr>
              <w:t>培训目标、培训方式及培训计划内容不明确，缺乏专业培训教练，场地规模较小的为差（1-0分</w:t>
            </w:r>
            <w:r>
              <w:rPr>
                <w:rFonts w:ascii="宋体" w:hAnsi="宋体" w:eastAsia="宋体" w:cs="宋体"/>
                <w:bCs/>
                <w:color w:val="auto"/>
                <w:szCs w:val="21"/>
                <w:lang w:val="zh-CN"/>
              </w:rPr>
              <w:t>]</w:t>
            </w:r>
            <w:r>
              <w:rPr>
                <w:rFonts w:hint="eastAsia" w:ascii="宋体" w:hAnsi="宋体" w:eastAsia="宋体" w:cs="宋体"/>
                <w:color w:val="auto"/>
                <w:szCs w:val="21"/>
              </w:rPr>
              <w:t>。</w:t>
            </w:r>
          </w:p>
          <w:p w14:paraId="2B4797A2">
            <w:pPr>
              <w:spacing w:line="400" w:lineRule="exact"/>
              <w:ind w:left="97" w:right="-19" w:hanging="97"/>
              <w:rPr>
                <w:rFonts w:ascii="宋体" w:hAnsi="宋体" w:eastAsia="宋体" w:cs="宋体"/>
                <w:b/>
                <w:color w:val="auto"/>
                <w:szCs w:val="21"/>
              </w:rPr>
            </w:pPr>
            <w:r>
              <w:rPr>
                <w:rFonts w:hint="eastAsia" w:ascii="宋体" w:hAnsi="宋体" w:eastAsia="宋体" w:cs="宋体"/>
                <w:b/>
                <w:color w:val="auto"/>
                <w:szCs w:val="21"/>
              </w:rPr>
              <w:t>备注：</w:t>
            </w:r>
          </w:p>
          <w:p w14:paraId="7D193D79">
            <w:pPr>
              <w:spacing w:line="400" w:lineRule="exact"/>
              <w:ind w:right="-19" w:firstLine="0"/>
              <w:rPr>
                <w:rFonts w:ascii="宋体" w:hAnsi="宋体" w:eastAsia="宋体" w:cs="宋体"/>
                <w:b/>
                <w:color w:val="auto"/>
                <w:szCs w:val="21"/>
              </w:rPr>
            </w:pPr>
            <w:r>
              <w:rPr>
                <w:rFonts w:hint="eastAsia" w:ascii="宋体" w:hAnsi="宋体" w:eastAsia="宋体" w:cs="宋体"/>
                <w:b/>
                <w:color w:val="auto"/>
                <w:szCs w:val="21"/>
              </w:rPr>
              <w:t>①培训教练须提供人力资源和社会保障部门（或税务部门）出具的投标人2024年</w:t>
            </w:r>
            <w:r>
              <w:rPr>
                <w:rFonts w:hint="eastAsia" w:ascii="宋体" w:hAnsi="宋体" w:eastAsia="宋体" w:cs="宋体"/>
                <w:b/>
                <w:color w:val="auto"/>
                <w:szCs w:val="21"/>
                <w:lang w:val="en-US" w:eastAsia="zh-CN"/>
              </w:rPr>
              <w:t>7</w:t>
            </w:r>
            <w:r>
              <w:rPr>
                <w:rFonts w:hint="eastAsia" w:ascii="宋体" w:hAnsi="宋体" w:eastAsia="宋体" w:cs="宋体"/>
                <w:b/>
                <w:color w:val="auto"/>
                <w:szCs w:val="21"/>
              </w:rPr>
              <w:t>月至2024年</w:t>
            </w:r>
            <w:r>
              <w:rPr>
                <w:rFonts w:hint="eastAsia" w:ascii="宋体" w:hAnsi="宋体" w:eastAsia="宋体" w:cs="宋体"/>
                <w:b/>
                <w:color w:val="auto"/>
                <w:szCs w:val="21"/>
                <w:lang w:val="en-US" w:eastAsia="zh-CN"/>
              </w:rPr>
              <w:t>12</w:t>
            </w:r>
            <w:r>
              <w:rPr>
                <w:rFonts w:hint="eastAsia" w:ascii="宋体" w:hAnsi="宋体" w:eastAsia="宋体" w:cs="宋体"/>
                <w:b/>
                <w:color w:val="auto"/>
                <w:szCs w:val="21"/>
              </w:rPr>
              <w:t>月连接六个月为其缴纳的社保证明复印件。</w:t>
            </w:r>
          </w:p>
          <w:p w14:paraId="1960350A">
            <w:pPr>
              <w:pStyle w:val="2"/>
              <w:spacing w:line="400" w:lineRule="exact"/>
              <w:ind w:right="-19" w:firstLine="0"/>
              <w:jc w:val="left"/>
              <w:rPr>
                <w:rFonts w:hAnsi="宋体" w:cs="宋体"/>
                <w:color w:val="auto"/>
                <w:sz w:val="21"/>
                <w:szCs w:val="21"/>
              </w:rPr>
            </w:pPr>
            <w:r>
              <w:rPr>
                <w:rFonts w:hint="eastAsia" w:hAnsi="宋体" w:cs="宋体"/>
                <w:color w:val="auto"/>
                <w:sz w:val="21"/>
                <w:szCs w:val="21"/>
              </w:rPr>
              <w:t>②场地材料要求：</w:t>
            </w:r>
          </w:p>
          <w:p w14:paraId="002F6FEB">
            <w:pPr>
              <w:pStyle w:val="2"/>
              <w:spacing w:line="400" w:lineRule="exact"/>
              <w:ind w:right="-19" w:firstLine="0"/>
              <w:jc w:val="left"/>
              <w:rPr>
                <w:rFonts w:hAnsi="宋体" w:cs="宋体"/>
                <w:color w:val="auto"/>
                <w:sz w:val="21"/>
                <w:szCs w:val="21"/>
              </w:rPr>
            </w:pPr>
            <w:r>
              <w:rPr>
                <w:rFonts w:hAnsi="宋体" w:cs="宋体"/>
                <w:color w:val="auto"/>
                <w:sz w:val="21"/>
                <w:szCs w:val="21"/>
              </w:rPr>
              <w:t>a.</w:t>
            </w:r>
            <w:r>
              <w:rPr>
                <w:rFonts w:hint="eastAsia" w:hAnsi="宋体" w:cs="宋体"/>
                <w:color w:val="auto"/>
                <w:sz w:val="21"/>
                <w:szCs w:val="21"/>
              </w:rPr>
              <w:t>自有场地应提供投标人自有产权证明，或租赁场地应提供承租人为投标人的在有效期内的场地租赁合同；</w:t>
            </w:r>
          </w:p>
          <w:p w14:paraId="40A22755">
            <w:pPr>
              <w:pStyle w:val="2"/>
              <w:spacing w:line="400" w:lineRule="exact"/>
              <w:ind w:right="-19" w:firstLine="0"/>
              <w:jc w:val="left"/>
              <w:rPr>
                <w:rFonts w:hAnsi="宋体" w:cs="宋体"/>
                <w:color w:val="auto"/>
                <w:sz w:val="21"/>
                <w:szCs w:val="21"/>
              </w:rPr>
            </w:pPr>
            <w:r>
              <w:rPr>
                <w:rFonts w:hAnsi="宋体" w:cs="宋体"/>
                <w:color w:val="auto"/>
                <w:sz w:val="21"/>
                <w:szCs w:val="21"/>
              </w:rPr>
              <w:t>b.</w:t>
            </w:r>
            <w:r>
              <w:rPr>
                <w:rFonts w:hint="eastAsia" w:hAnsi="宋体" w:cs="宋体"/>
                <w:color w:val="auto"/>
                <w:sz w:val="21"/>
                <w:szCs w:val="21"/>
              </w:rPr>
              <w:t>提供拍摄时间为</w:t>
            </w:r>
            <w:r>
              <w:rPr>
                <w:rFonts w:hAnsi="宋体" w:cs="宋体"/>
                <w:color w:val="auto"/>
                <w:sz w:val="21"/>
                <w:szCs w:val="21"/>
              </w:rPr>
              <w:t>202</w:t>
            </w:r>
            <w:r>
              <w:rPr>
                <w:rFonts w:hint="eastAsia" w:hAnsi="宋体" w:cs="宋体"/>
                <w:color w:val="auto"/>
                <w:sz w:val="21"/>
                <w:szCs w:val="21"/>
                <w:lang w:val="en-US" w:eastAsia="zh-CN"/>
              </w:rPr>
              <w:t>4</w:t>
            </w:r>
            <w:r>
              <w:rPr>
                <w:rFonts w:hAnsi="宋体" w:cs="宋体"/>
                <w:color w:val="auto"/>
                <w:sz w:val="21"/>
                <w:szCs w:val="21"/>
              </w:rPr>
              <w:t>年</w:t>
            </w:r>
            <w:r>
              <w:rPr>
                <w:rFonts w:hint="eastAsia" w:hAnsi="宋体" w:cs="宋体"/>
                <w:color w:val="auto"/>
                <w:sz w:val="21"/>
                <w:szCs w:val="21"/>
                <w:lang w:val="en-US" w:eastAsia="zh-CN"/>
              </w:rPr>
              <w:t>8</w:t>
            </w:r>
            <w:r>
              <w:rPr>
                <w:rFonts w:hAnsi="宋体" w:cs="宋体"/>
                <w:color w:val="auto"/>
                <w:sz w:val="21"/>
                <w:szCs w:val="21"/>
              </w:rPr>
              <w:t>月1</w:t>
            </w:r>
            <w:r>
              <w:rPr>
                <w:rFonts w:hint="eastAsia" w:hAnsi="宋体" w:cs="宋体"/>
                <w:color w:val="auto"/>
                <w:sz w:val="21"/>
                <w:szCs w:val="21"/>
              </w:rPr>
              <w:t>日或以后的现场照片打印件</w:t>
            </w:r>
            <w:r>
              <w:rPr>
                <w:rFonts w:hAnsi="宋体" w:cs="宋体"/>
                <w:color w:val="auto"/>
                <w:sz w:val="21"/>
                <w:szCs w:val="21"/>
              </w:rPr>
              <w:t>/复印件（注：照片能清晰显示拍摄时间）。</w:t>
            </w:r>
          </w:p>
        </w:tc>
        <w:tc>
          <w:tcPr>
            <w:tcW w:w="437" w:type="pct"/>
            <w:tcBorders>
              <w:top w:val="single" w:color="auto" w:sz="4" w:space="0"/>
              <w:left w:val="single" w:color="auto" w:sz="4" w:space="0"/>
              <w:bottom w:val="single" w:color="auto" w:sz="4" w:space="0"/>
              <w:right w:val="single" w:color="auto" w:sz="4" w:space="0"/>
            </w:tcBorders>
            <w:vAlign w:val="center"/>
          </w:tcPr>
          <w:p w14:paraId="0941D42A">
            <w:pPr>
              <w:spacing w:line="400" w:lineRule="exact"/>
              <w:jc w:val="center"/>
              <w:rPr>
                <w:rFonts w:ascii="宋体" w:hAnsi="宋体" w:eastAsia="宋体" w:cs="宋体"/>
                <w:color w:val="auto"/>
                <w:szCs w:val="21"/>
              </w:rPr>
            </w:pPr>
            <w:r>
              <w:rPr>
                <w:rFonts w:ascii="宋体" w:hAnsi="宋体" w:eastAsia="宋体" w:cs="宋体"/>
                <w:color w:val="auto"/>
                <w:szCs w:val="21"/>
              </w:rPr>
              <w:t>4</w:t>
            </w:r>
            <w:r>
              <w:rPr>
                <w:rFonts w:hint="eastAsia" w:ascii="宋体" w:hAnsi="宋体" w:eastAsia="宋体" w:cs="宋体"/>
                <w:color w:val="auto"/>
                <w:szCs w:val="21"/>
              </w:rPr>
              <w:t>分</w:t>
            </w:r>
          </w:p>
        </w:tc>
      </w:tr>
      <w:tr w14:paraId="062F8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right w:val="single" w:color="auto" w:sz="4" w:space="0"/>
            </w:tcBorders>
            <w:vAlign w:val="center"/>
          </w:tcPr>
          <w:p w14:paraId="3515B6E5">
            <w:pPr>
              <w:spacing w:line="400" w:lineRule="exact"/>
              <w:jc w:val="center"/>
              <w:rPr>
                <w:rFonts w:ascii="宋体" w:hAnsi="宋体" w:eastAsia="宋体" w:cs="宋体"/>
                <w:color w:val="auto"/>
                <w:szCs w:val="21"/>
              </w:rPr>
            </w:pPr>
            <w:r>
              <w:rPr>
                <w:rFonts w:ascii="宋体" w:hAnsi="宋体" w:eastAsia="宋体" w:cs="宋体"/>
                <w:color w:val="auto"/>
                <w:szCs w:val="21"/>
              </w:rPr>
              <w:t>7</w:t>
            </w:r>
          </w:p>
        </w:tc>
        <w:tc>
          <w:tcPr>
            <w:tcW w:w="546" w:type="pct"/>
            <w:tcBorders>
              <w:top w:val="single" w:color="auto" w:sz="4" w:space="0"/>
              <w:left w:val="single" w:color="auto" w:sz="4" w:space="0"/>
              <w:right w:val="single" w:color="auto" w:sz="4" w:space="0"/>
            </w:tcBorders>
            <w:vAlign w:val="center"/>
          </w:tcPr>
          <w:p w14:paraId="6B00DA3D">
            <w:pPr>
              <w:spacing w:line="400" w:lineRule="exact"/>
              <w:jc w:val="center"/>
              <w:rPr>
                <w:rFonts w:ascii="宋体" w:hAnsi="宋体" w:eastAsia="宋体" w:cs="宋体"/>
                <w:color w:val="auto"/>
                <w:szCs w:val="21"/>
              </w:rPr>
            </w:pPr>
            <w:r>
              <w:rPr>
                <w:rFonts w:hint="eastAsia" w:ascii="宋体" w:hAnsi="宋体" w:eastAsia="宋体" w:cs="宋体"/>
                <w:color w:val="auto"/>
                <w:szCs w:val="21"/>
              </w:rPr>
              <w:t>管理规章制度</w:t>
            </w:r>
          </w:p>
        </w:tc>
        <w:tc>
          <w:tcPr>
            <w:tcW w:w="3690" w:type="pct"/>
            <w:tcBorders>
              <w:top w:val="single" w:color="auto" w:sz="4" w:space="0"/>
              <w:left w:val="single" w:color="auto" w:sz="4" w:space="0"/>
              <w:right w:val="single" w:color="auto" w:sz="4" w:space="0"/>
            </w:tcBorders>
            <w:vAlign w:val="center"/>
          </w:tcPr>
          <w:p w14:paraId="58093A7D">
            <w:pPr>
              <w:pStyle w:val="2"/>
              <w:spacing w:line="400" w:lineRule="exact"/>
              <w:ind w:right="-19"/>
              <w:jc w:val="left"/>
              <w:rPr>
                <w:rFonts w:hint="eastAsia" w:hAnsi="宋体" w:eastAsia="宋体" w:cs="宋体"/>
                <w:b/>
                <w:bCs w:val="0"/>
                <w:color w:val="auto"/>
                <w:sz w:val="21"/>
                <w:szCs w:val="21"/>
                <w:lang w:eastAsia="zh-CN"/>
              </w:rPr>
            </w:pPr>
            <w:r>
              <w:rPr>
                <w:rFonts w:hint="eastAsia" w:hAnsi="宋体" w:cs="宋体"/>
                <w:b/>
                <w:bCs w:val="0"/>
                <w:color w:val="auto"/>
                <w:sz w:val="21"/>
                <w:szCs w:val="21"/>
              </w:rPr>
              <w:t>根据投标人针对本项目编制的保安服务管理制度、岗位责任制度、保安人员管理制度准、管理人员考核制度等进行评审</w:t>
            </w:r>
            <w:r>
              <w:rPr>
                <w:rFonts w:hint="eastAsia" w:hAnsi="宋体" w:cs="宋体"/>
                <w:b/>
                <w:bCs w:val="0"/>
                <w:color w:val="auto"/>
                <w:sz w:val="21"/>
                <w:szCs w:val="21"/>
                <w:lang w:eastAsia="zh-CN"/>
              </w:rPr>
              <w:t>：</w:t>
            </w:r>
          </w:p>
          <w:p w14:paraId="7515ACDE">
            <w:pPr>
              <w:pStyle w:val="2"/>
              <w:spacing w:line="400" w:lineRule="exact"/>
              <w:ind w:right="-19"/>
              <w:jc w:val="left"/>
              <w:rPr>
                <w:rFonts w:hAnsi="宋体" w:cs="宋体"/>
                <w:b w:val="0"/>
                <w:color w:val="auto"/>
                <w:sz w:val="21"/>
                <w:szCs w:val="21"/>
              </w:rPr>
            </w:pPr>
            <w:r>
              <w:rPr>
                <w:rFonts w:hint="eastAsia" w:hAnsi="宋体" w:cs="宋体"/>
                <w:b w:val="0"/>
                <w:color w:val="auto"/>
                <w:sz w:val="21"/>
                <w:szCs w:val="21"/>
              </w:rPr>
              <w:t>优：具有完整、合理的保安服务管理制度、岗位责任制度、保安人员管理制度、管理人员考核制度等各项制度，描述详细全面的，得</w:t>
            </w:r>
            <w:r>
              <w:rPr>
                <w:rFonts w:hAnsi="宋体" w:cs="宋体"/>
                <w:b w:val="0"/>
                <w:color w:val="auto"/>
                <w:sz w:val="21"/>
                <w:szCs w:val="21"/>
              </w:rPr>
              <w:t>[2-1.5分]</w:t>
            </w:r>
            <w:r>
              <w:rPr>
                <w:rFonts w:hint="eastAsia" w:hAnsi="宋体" w:cs="宋体"/>
                <w:b w:val="0"/>
                <w:color w:val="auto"/>
                <w:sz w:val="21"/>
                <w:szCs w:val="21"/>
              </w:rPr>
              <w:t>；</w:t>
            </w:r>
          </w:p>
          <w:p w14:paraId="5B95AA39">
            <w:pPr>
              <w:pStyle w:val="2"/>
              <w:spacing w:line="400" w:lineRule="exact"/>
              <w:ind w:right="-19"/>
              <w:jc w:val="left"/>
              <w:rPr>
                <w:rFonts w:hAnsi="宋体" w:cs="宋体"/>
                <w:b w:val="0"/>
                <w:color w:val="auto"/>
                <w:sz w:val="21"/>
                <w:szCs w:val="21"/>
              </w:rPr>
            </w:pPr>
            <w:r>
              <w:rPr>
                <w:rFonts w:hint="eastAsia" w:hAnsi="宋体" w:cs="宋体"/>
                <w:b w:val="0"/>
                <w:color w:val="auto"/>
                <w:sz w:val="21"/>
                <w:szCs w:val="21"/>
              </w:rPr>
              <w:t>良：具有比较完整、合理的保安服务管理制度、岗位责任制度、保安人员管理制度、管理人员考核制度等各项制度，描述较为详细的，得（</w:t>
            </w:r>
            <w:r>
              <w:rPr>
                <w:rFonts w:hAnsi="宋体" w:cs="宋体"/>
                <w:b w:val="0"/>
                <w:color w:val="auto"/>
                <w:sz w:val="21"/>
                <w:szCs w:val="21"/>
              </w:rPr>
              <w:t>1.5-1分]</w:t>
            </w:r>
            <w:r>
              <w:rPr>
                <w:rFonts w:hint="eastAsia" w:hAnsi="宋体" w:cs="宋体"/>
                <w:b w:val="0"/>
                <w:color w:val="auto"/>
                <w:sz w:val="21"/>
                <w:szCs w:val="21"/>
              </w:rPr>
              <w:t>；</w:t>
            </w:r>
          </w:p>
          <w:p w14:paraId="17B02400">
            <w:pPr>
              <w:pStyle w:val="2"/>
              <w:spacing w:line="400" w:lineRule="exact"/>
              <w:ind w:right="-19"/>
              <w:jc w:val="left"/>
              <w:rPr>
                <w:rFonts w:hAnsi="宋体" w:cs="宋体"/>
                <w:b w:val="0"/>
                <w:color w:val="auto"/>
                <w:sz w:val="21"/>
                <w:szCs w:val="21"/>
              </w:rPr>
            </w:pPr>
            <w:r>
              <w:rPr>
                <w:rFonts w:hint="eastAsia" w:hAnsi="宋体" w:cs="宋体"/>
                <w:b w:val="0"/>
                <w:color w:val="auto"/>
                <w:sz w:val="21"/>
                <w:szCs w:val="21"/>
              </w:rPr>
              <w:t>中：保安服务管理制度、岗位责任制度、保安人员管理制度、管理人员考核制度等各项制度基本完整，描述比较合理的，得（</w:t>
            </w:r>
            <w:r>
              <w:rPr>
                <w:rFonts w:hAnsi="宋体" w:cs="宋体"/>
                <w:b w:val="0"/>
                <w:color w:val="auto"/>
                <w:sz w:val="21"/>
                <w:szCs w:val="21"/>
              </w:rPr>
              <w:t>1-0.5分]</w:t>
            </w:r>
            <w:r>
              <w:rPr>
                <w:rFonts w:hint="eastAsia" w:hAnsi="宋体" w:cs="宋体"/>
                <w:b w:val="0"/>
                <w:color w:val="auto"/>
                <w:sz w:val="21"/>
                <w:szCs w:val="21"/>
              </w:rPr>
              <w:t>；</w:t>
            </w:r>
          </w:p>
          <w:p w14:paraId="4069A04E">
            <w:pPr>
              <w:pStyle w:val="2"/>
              <w:spacing w:line="400" w:lineRule="exact"/>
              <w:ind w:right="-19"/>
              <w:jc w:val="left"/>
              <w:rPr>
                <w:rFonts w:hAnsi="宋体" w:cs="宋体"/>
                <w:color w:val="auto"/>
                <w:sz w:val="21"/>
                <w:szCs w:val="21"/>
              </w:rPr>
            </w:pPr>
            <w:r>
              <w:rPr>
                <w:rFonts w:hint="eastAsia" w:hAnsi="宋体" w:cs="宋体"/>
                <w:b w:val="0"/>
                <w:color w:val="auto"/>
                <w:sz w:val="21"/>
                <w:szCs w:val="21"/>
              </w:rPr>
              <w:t>差：保安服务管理制度、岗位责任制度、保安人员管理制度、管理人员考核制度等各项制度简单，描述简单的，得（</w:t>
            </w:r>
            <w:r>
              <w:rPr>
                <w:rFonts w:hAnsi="宋体" w:cs="宋体"/>
                <w:b w:val="0"/>
                <w:color w:val="auto"/>
                <w:sz w:val="21"/>
                <w:szCs w:val="21"/>
              </w:rPr>
              <w:t>0.5-0分]</w:t>
            </w:r>
            <w:r>
              <w:rPr>
                <w:rFonts w:hint="eastAsia" w:hAnsi="宋体" w:cs="宋体"/>
                <w:b w:val="0"/>
                <w:color w:val="auto"/>
                <w:sz w:val="21"/>
                <w:szCs w:val="21"/>
              </w:rPr>
              <w:t>。</w:t>
            </w:r>
          </w:p>
        </w:tc>
        <w:tc>
          <w:tcPr>
            <w:tcW w:w="437" w:type="pct"/>
            <w:tcBorders>
              <w:top w:val="single" w:color="auto" w:sz="4" w:space="0"/>
              <w:left w:val="single" w:color="auto" w:sz="4" w:space="0"/>
              <w:right w:val="single" w:color="auto" w:sz="4" w:space="0"/>
            </w:tcBorders>
            <w:vAlign w:val="center"/>
          </w:tcPr>
          <w:p w14:paraId="1B01BE4E">
            <w:pPr>
              <w:spacing w:line="400" w:lineRule="exact"/>
              <w:jc w:val="center"/>
              <w:rPr>
                <w:rFonts w:ascii="宋体" w:hAnsi="宋体" w:eastAsia="宋体" w:cs="宋体"/>
                <w:color w:val="auto"/>
                <w:szCs w:val="21"/>
              </w:rPr>
            </w:pPr>
            <w:r>
              <w:rPr>
                <w:rFonts w:ascii="宋体" w:hAnsi="宋体" w:eastAsia="宋体" w:cs="宋体"/>
                <w:color w:val="auto"/>
                <w:szCs w:val="21"/>
              </w:rPr>
              <w:t>2</w:t>
            </w:r>
            <w:r>
              <w:rPr>
                <w:rFonts w:hint="eastAsia" w:ascii="宋体" w:hAnsi="宋体" w:eastAsia="宋体" w:cs="宋体"/>
                <w:color w:val="auto"/>
                <w:szCs w:val="21"/>
              </w:rPr>
              <w:t>分</w:t>
            </w:r>
          </w:p>
        </w:tc>
      </w:tr>
      <w:bookmarkEnd w:id="802"/>
    </w:tbl>
    <w:p w14:paraId="497668E2">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4F6675CA">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w:t>
      </w:r>
      <w:r>
        <w:rPr>
          <w:rFonts w:ascii="宋体" w:hAnsi="宋体" w:eastAsia="宋体" w:cs="宋体"/>
          <w:color w:val="auto"/>
          <w:szCs w:val="24"/>
          <w:highlight w:val="none"/>
          <w:lang w:val="zh-CN"/>
        </w:rPr>
        <w:t>[”代表闭区间，“]”代表闭区间，如[0，1]代表该分数段范围为大于等</w:t>
      </w:r>
      <w:r>
        <w:rPr>
          <w:rFonts w:hint="eastAsia" w:ascii="宋体" w:hAnsi="宋体" w:eastAsia="宋体" w:cs="宋体"/>
          <w:color w:val="auto"/>
          <w:szCs w:val="24"/>
          <w:highlight w:val="none"/>
          <w:lang w:val="zh-CN"/>
        </w:rPr>
        <w:t>于</w:t>
      </w:r>
      <w:r>
        <w:rPr>
          <w:rFonts w:ascii="宋体" w:hAnsi="宋体" w:eastAsia="宋体" w:cs="宋体"/>
          <w:color w:val="auto"/>
          <w:szCs w:val="24"/>
          <w:highlight w:val="none"/>
          <w:lang w:val="zh-CN"/>
        </w:rPr>
        <w:t>0且小于等于1。表中“（”代表开区间，“]”代表闭区间，如（1，2]代表该分数段范</w:t>
      </w:r>
      <w:r>
        <w:rPr>
          <w:rFonts w:hint="eastAsia" w:ascii="宋体" w:hAnsi="宋体" w:eastAsia="宋体" w:cs="宋体"/>
          <w:color w:val="auto"/>
          <w:szCs w:val="24"/>
          <w:highlight w:val="none"/>
          <w:lang w:val="zh-CN"/>
        </w:rPr>
        <w:t>围为大于</w:t>
      </w:r>
      <w:r>
        <w:rPr>
          <w:rFonts w:ascii="宋体" w:hAnsi="宋体" w:eastAsia="宋体" w:cs="宋体"/>
          <w:color w:val="auto"/>
          <w:szCs w:val="24"/>
          <w:highlight w:val="none"/>
          <w:lang w:val="zh-CN"/>
        </w:rPr>
        <w:t>1且小于等于2。</w:t>
      </w:r>
    </w:p>
    <w:p w14:paraId="44D3481F">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ascii="宋体" w:hAnsi="宋体" w:eastAsia="宋体" w:cs="宋体"/>
          <w:color w:val="auto"/>
          <w:szCs w:val="24"/>
          <w:highlight w:val="none"/>
          <w:lang w:val="zh-CN"/>
        </w:rPr>
        <w:t>②分数出现小数点，保留小数点后2位，从小数点后第3位四</w:t>
      </w:r>
      <w:r>
        <w:rPr>
          <w:rFonts w:hint="eastAsia" w:ascii="宋体" w:hAnsi="宋体" w:eastAsia="宋体" w:cs="宋体"/>
          <w:color w:val="auto"/>
          <w:szCs w:val="24"/>
          <w:highlight w:val="none"/>
          <w:lang w:val="zh-CN"/>
        </w:rPr>
        <w:t>舍五入。</w:t>
      </w:r>
    </w:p>
    <w:p w14:paraId="0339D978">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③上述“评分项目”中按“优、良、中、差”区间评审的，若低于该项满分分值</w:t>
      </w:r>
      <w:r>
        <w:rPr>
          <w:rFonts w:ascii="宋体" w:hAnsi="宋体" w:eastAsia="宋体" w:cs="宋体"/>
          <w:b/>
          <w:color w:val="auto"/>
          <w:szCs w:val="24"/>
          <w:highlight w:val="none"/>
          <w:lang w:val="zh-CN"/>
        </w:rPr>
        <w:t>60%时，评标专家需详细填写该项低分的充分理由，例如：该项目内容存在违反国家有关标</w:t>
      </w:r>
      <w:r>
        <w:rPr>
          <w:rFonts w:hint="eastAsia" w:ascii="宋体" w:hAnsi="宋体" w:eastAsia="宋体" w:cs="宋体"/>
          <w:b/>
          <w:color w:val="auto"/>
          <w:szCs w:val="24"/>
          <w:highlight w:val="none"/>
          <w:lang w:val="zh-CN"/>
        </w:rPr>
        <w:t>准和规范或与项目实际不符等原则性问题。</w:t>
      </w:r>
    </w:p>
    <w:p w14:paraId="06791A00">
      <w:pPr>
        <w:autoSpaceDE w:val="0"/>
        <w:autoSpaceDN w:val="0"/>
        <w:adjustRightInd w:val="0"/>
        <w:spacing w:line="360" w:lineRule="auto"/>
        <w:ind w:left="420" w:leftChars="200" w:firstLine="422" w:firstLineChars="200"/>
        <w:rPr>
          <w:rFonts w:ascii="宋体" w:hAnsi="宋体" w:eastAsia="宋体" w:cs="宋体"/>
          <w:color w:val="auto"/>
          <w:kern w:val="0"/>
          <w:szCs w:val="21"/>
          <w:highlight w:val="none"/>
        </w:rPr>
      </w:pPr>
      <w:r>
        <w:rPr>
          <w:rFonts w:hint="eastAsia" w:ascii="宋体" w:hAnsi="宋体" w:eastAsia="宋体" w:cs="宋体"/>
          <w:b/>
          <w:color w:val="auto"/>
          <w:szCs w:val="24"/>
          <w:highlight w:val="none"/>
          <w:lang w:val="en-US" w:eastAsia="zh-CN"/>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lang w:val="en-US" w:eastAsia="zh-CN"/>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lang w:val="en-US" w:eastAsia="zh-CN"/>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lang w:val="en-US" w:eastAsia="zh-CN"/>
        </w:rPr>
        <w:t>确定该项的评分。</w:t>
      </w:r>
    </w:p>
    <w:p w14:paraId="0B827788">
      <w:pPr>
        <w:tabs>
          <w:tab w:val="left" w:pos="1701"/>
        </w:tabs>
        <w:autoSpaceDE w:val="0"/>
        <w:autoSpaceDN w:val="0"/>
        <w:adjustRightInd w:val="0"/>
        <w:spacing w:line="360" w:lineRule="auto"/>
        <w:outlineLvl w:val="1"/>
        <w:rPr>
          <w:rFonts w:ascii="宋体" w:hAnsi="宋体" w:eastAsia="宋体" w:cs="宋体"/>
          <w:b/>
          <w:color w:val="auto"/>
          <w:szCs w:val="24"/>
          <w:highlight w:val="none"/>
          <w:lang w:val="zh-CN"/>
        </w:rPr>
      </w:pPr>
      <w:bookmarkStart w:id="803" w:name="_Toc3282"/>
      <w:r>
        <w:rPr>
          <w:rFonts w:hint="eastAsia" w:ascii="宋体" w:hAnsi="宋体" w:eastAsia="宋体" w:cs="宋体"/>
          <w:b/>
          <w:color w:val="auto"/>
          <w:szCs w:val="24"/>
          <w:highlight w:val="none"/>
          <w:lang w:val="zh-CN"/>
        </w:rPr>
        <w:t>（3）价格评分方法</w:t>
      </w:r>
      <w:bookmarkEnd w:id="803"/>
    </w:p>
    <w:p w14:paraId="7915D5E1">
      <w:pPr>
        <w:spacing w:line="360" w:lineRule="auto"/>
        <w:ind w:left="480" w:firstLine="211" w:firstLineChars="100"/>
        <w:outlineLvl w:val="2"/>
        <w:rPr>
          <w:rFonts w:ascii="宋体" w:hAnsi="宋体" w:eastAsia="宋体" w:cs="宋体"/>
          <w:b/>
          <w:bCs/>
          <w:color w:val="auto"/>
          <w:kern w:val="0"/>
          <w:szCs w:val="21"/>
          <w:highlight w:val="none"/>
          <w:lang w:val="zh-CN"/>
        </w:rPr>
      </w:pPr>
      <w:bookmarkStart w:id="804" w:name="_Toc9085"/>
      <w:r>
        <w:rPr>
          <w:rFonts w:hint="eastAsia" w:ascii="宋体" w:hAnsi="宋体" w:eastAsia="宋体" w:cs="宋体"/>
          <w:b/>
          <w:bCs/>
          <w:color w:val="auto"/>
          <w:kern w:val="0"/>
          <w:szCs w:val="28"/>
          <w:highlight w:val="none"/>
          <w:lang w:val="zh-CN"/>
        </w:rPr>
        <w:t>1）经济文件的符合性审查</w:t>
      </w:r>
      <w:bookmarkEnd w:id="804"/>
      <w:r>
        <w:rPr>
          <w:rFonts w:hint="eastAsia" w:ascii="宋体" w:hAnsi="宋体" w:eastAsia="宋体" w:cs="宋体"/>
          <w:b/>
          <w:bCs/>
          <w:color w:val="auto"/>
          <w:kern w:val="0"/>
          <w:szCs w:val="28"/>
          <w:highlight w:val="none"/>
          <w:lang w:val="zh-CN"/>
        </w:rPr>
        <w:t xml:space="preserve"> </w:t>
      </w:r>
    </w:p>
    <w:p w14:paraId="6B5DEBD1">
      <w:pPr>
        <w:spacing w:line="360" w:lineRule="auto"/>
        <w:ind w:left="420" w:leftChars="200"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6B88F930">
      <w:pPr>
        <w:autoSpaceDE w:val="0"/>
        <w:autoSpaceDN w:val="0"/>
        <w:adjustRightInd w:val="0"/>
        <w:spacing w:line="360" w:lineRule="auto"/>
        <w:ind w:left="420" w:leftChars="200" w:firstLine="420" w:firstLineChars="200"/>
        <w:rPr>
          <w:rFonts w:hint="eastAsia"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14:paraId="3B1AC845">
      <w:pPr>
        <w:spacing w:line="360" w:lineRule="auto"/>
        <w:ind w:left="420" w:leftChars="200" w:firstLine="422" w:firstLineChars="200"/>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14:paraId="26C74237">
      <w:pPr>
        <w:spacing w:line="360" w:lineRule="auto"/>
        <w:ind w:left="420" w:leftChars="200" w:firstLine="420" w:firstLineChars="200"/>
        <w:rPr>
          <w:rFonts w:ascii="宋体" w:hAnsi="宋体" w:eastAsia="宋体" w:cs="宋体"/>
          <w:color w:val="auto"/>
          <w:kern w:val="0"/>
          <w:szCs w:val="21"/>
          <w:highlight w:val="none"/>
          <w:lang w:val="zh-CN"/>
        </w:rPr>
      </w:pPr>
    </w:p>
    <w:p w14:paraId="442B3F22">
      <w:pPr>
        <w:spacing w:line="360" w:lineRule="auto"/>
        <w:ind w:left="480" w:firstLine="211" w:firstLineChars="100"/>
        <w:outlineLvl w:val="2"/>
        <w:rPr>
          <w:rFonts w:ascii="宋体" w:hAnsi="宋体" w:eastAsia="宋体" w:cs="宋体"/>
          <w:b/>
          <w:bCs/>
          <w:color w:val="auto"/>
          <w:kern w:val="0"/>
          <w:szCs w:val="21"/>
          <w:highlight w:val="none"/>
        </w:rPr>
      </w:pPr>
      <w:bookmarkStart w:id="805" w:name="_Toc398"/>
      <w:r>
        <w:rPr>
          <w:rFonts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30</w:t>
      </w:r>
      <w:r>
        <w:rPr>
          <w:rFonts w:hint="eastAsia" w:ascii="宋体" w:hAnsi="宋体" w:eastAsia="宋体" w:cs="宋体"/>
          <w:b/>
          <w:bCs/>
          <w:color w:val="auto"/>
          <w:kern w:val="0"/>
          <w:szCs w:val="21"/>
          <w:highlight w:val="none"/>
          <w:lang w:val="zh-CN"/>
        </w:rPr>
        <w:t>分</w:t>
      </w:r>
      <w:bookmarkEnd w:id="805"/>
    </w:p>
    <w:p w14:paraId="52E398BC">
      <w:pPr>
        <w:autoSpaceDN w:val="0"/>
        <w:adjustRightInd w:val="0"/>
        <w:snapToGrid w:val="0"/>
        <w:spacing w:line="360" w:lineRule="auto"/>
        <w:ind w:left="420" w:leftChars="100" w:hanging="210" w:hangingChars="1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A、根据有效投标人的投标报价，最低价作为基准价（Y）。投标人报价（X）等于基准价的得满分</w:t>
      </w:r>
      <w:r>
        <w:rPr>
          <w:rFonts w:hint="eastAsia" w:ascii="宋体" w:hAnsi="宋体" w:eastAsia="宋体" w:cs="宋体"/>
          <w:color w:val="auto"/>
          <w:kern w:val="0"/>
          <w:szCs w:val="21"/>
          <w:highlight w:val="none"/>
          <w:lang w:val="en-US" w:eastAsia="zh-CN"/>
        </w:rPr>
        <w:t>30</w:t>
      </w:r>
      <w:r>
        <w:rPr>
          <w:rFonts w:hint="eastAsia" w:ascii="宋体" w:hAnsi="宋体" w:eastAsia="宋体" w:cs="宋体"/>
          <w:color w:val="auto"/>
          <w:kern w:val="0"/>
          <w:szCs w:val="21"/>
          <w:highlight w:val="none"/>
        </w:rPr>
        <w:t>分，其他投标人的价格得分统一按照下列公式计算：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    价格得分=(基准价／投标报价)×</w:t>
      </w:r>
      <w:r>
        <w:rPr>
          <w:rFonts w:hint="eastAsia" w:ascii="宋体" w:hAnsi="宋体" w:eastAsia="宋体" w:cs="宋体"/>
          <w:color w:val="auto"/>
          <w:kern w:val="0"/>
          <w:szCs w:val="21"/>
          <w:highlight w:val="none"/>
          <w:lang w:val="en-US" w:eastAsia="zh-CN"/>
        </w:rPr>
        <w:t>30</w:t>
      </w:r>
    </w:p>
    <w:p w14:paraId="5CCC88C1">
      <w:pPr>
        <w:autoSpaceDN w:val="0"/>
        <w:adjustRightInd w:val="0"/>
        <w:snapToGrid w:val="0"/>
        <w:spacing w:line="360" w:lineRule="auto"/>
        <w:ind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14:paraId="46677208">
      <w:pPr>
        <w:tabs>
          <w:tab w:val="left" w:pos="585"/>
        </w:tabs>
        <w:autoSpaceDE w:val="0"/>
        <w:autoSpaceDN w:val="0"/>
        <w:adjustRightInd w:val="0"/>
        <w:spacing w:line="400" w:lineRule="exact"/>
        <w:outlineLvl w:val="1"/>
        <w:rPr>
          <w:rFonts w:ascii="宋体" w:hAnsi="宋体" w:eastAsia="宋体" w:cs="宋体"/>
          <w:b/>
          <w:color w:val="auto"/>
          <w:szCs w:val="21"/>
          <w:highlight w:val="none"/>
          <w:lang w:val="zh-CN"/>
        </w:rPr>
      </w:pPr>
      <w:bookmarkStart w:id="806" w:name="_Toc16"/>
      <w:r>
        <w:rPr>
          <w:rFonts w:hint="eastAsia" w:ascii="宋体" w:hAnsi="宋体" w:eastAsia="宋体" w:cs="宋体"/>
          <w:b/>
          <w:color w:val="auto"/>
          <w:szCs w:val="21"/>
          <w:highlight w:val="none"/>
          <w:lang w:val="zh-CN"/>
        </w:rPr>
        <w:t>（4）综合得分</w:t>
      </w:r>
      <w:bookmarkEnd w:id="806"/>
    </w:p>
    <w:p w14:paraId="6643DA62">
      <w:pPr>
        <w:spacing w:line="400" w:lineRule="exact"/>
        <w:ind w:firstLine="848" w:firstLineChars="404"/>
        <w:rPr>
          <w:rFonts w:ascii="宋体" w:hAnsi="宋体" w:eastAsia="宋体" w:cs="宋体"/>
          <w:color w:val="auto"/>
          <w:kern w:val="0"/>
          <w:szCs w:val="28"/>
          <w:highlight w:val="none"/>
          <w:lang w:val="zh-CN"/>
        </w:rPr>
      </w:pPr>
      <w:bookmarkStart w:id="807" w:name="_Toc31624_WPSOffice_Level2"/>
      <w:r>
        <w:rPr>
          <w:rFonts w:hint="eastAsia" w:ascii="宋体" w:hAnsi="宋体" w:eastAsia="宋体" w:cs="宋体"/>
          <w:color w:val="auto"/>
          <w:kern w:val="0"/>
          <w:szCs w:val="28"/>
          <w:highlight w:val="none"/>
          <w:lang w:val="zh-CN"/>
        </w:rPr>
        <w:t>评标总得分=F1＋F2＋……+Fn</w:t>
      </w:r>
      <w:bookmarkEnd w:id="807"/>
    </w:p>
    <w:p w14:paraId="40DDB0A3">
      <w:pPr>
        <w:widowControl/>
        <w:autoSpaceDE w:val="0"/>
        <w:autoSpaceDN w:val="0"/>
        <w:adjustRightInd w:val="0"/>
        <w:spacing w:line="400" w:lineRule="exact"/>
        <w:ind w:firstLine="840" w:firstLineChars="400"/>
        <w:jc w:val="left"/>
        <w:rPr>
          <w:rFonts w:ascii="宋体" w:hAnsi="宋体" w:eastAsia="宋体" w:cs="宋体"/>
          <w:color w:val="auto"/>
          <w:kern w:val="0"/>
          <w:szCs w:val="21"/>
          <w:highlight w:val="none"/>
        </w:rPr>
      </w:pPr>
      <w:bookmarkStart w:id="808" w:name="_Toc13236_WPSOffice_Level2"/>
      <w:r>
        <w:rPr>
          <w:rFonts w:hint="eastAsia" w:ascii="宋体" w:hAnsi="宋体" w:eastAsia="宋体" w:cs="宋体"/>
          <w:color w:val="auto"/>
          <w:kern w:val="0"/>
          <w:szCs w:val="21"/>
          <w:highlight w:val="none"/>
        </w:rPr>
        <w:t>F1、F2、……Fn分别为各项评分因素的得分</w:t>
      </w:r>
      <w:bookmarkEnd w:id="808"/>
      <w:r>
        <w:rPr>
          <w:rFonts w:hint="eastAsia" w:ascii="宋体" w:hAnsi="宋体" w:eastAsia="宋体" w:cs="宋体"/>
          <w:color w:val="auto"/>
          <w:kern w:val="0"/>
          <w:szCs w:val="21"/>
          <w:highlight w:val="none"/>
        </w:rPr>
        <w:t>。</w:t>
      </w:r>
    </w:p>
    <w:p w14:paraId="75B30F48">
      <w:pPr>
        <w:autoSpaceDE w:val="0"/>
        <w:autoSpaceDN w:val="0"/>
        <w:adjustRightInd w:val="0"/>
        <w:spacing w:line="360" w:lineRule="auto"/>
        <w:ind w:left="564" w:leftChars="1" w:hanging="562" w:hangingChars="200"/>
        <w:rPr>
          <w:rFonts w:ascii="宋体" w:hAnsi="宋体" w:eastAsia="宋体" w:cs="宋体"/>
          <w:b/>
          <w:bCs/>
          <w:color w:val="auto"/>
          <w:sz w:val="28"/>
          <w:szCs w:val="28"/>
          <w:highlight w:val="none"/>
        </w:rPr>
      </w:pPr>
    </w:p>
    <w:p w14:paraId="0AACA6B2">
      <w:pPr>
        <w:autoSpaceDE w:val="0"/>
        <w:autoSpaceDN w:val="0"/>
        <w:adjustRightInd w:val="0"/>
        <w:spacing w:line="360" w:lineRule="auto"/>
        <w:jc w:val="center"/>
        <w:outlineLvl w:val="2"/>
        <w:rPr>
          <w:rFonts w:ascii="宋体" w:hAnsi="宋体" w:eastAsia="宋体" w:cs="宋体"/>
          <w:b/>
          <w:bCs/>
          <w:color w:val="auto"/>
          <w:sz w:val="28"/>
          <w:szCs w:val="28"/>
          <w:highlight w:val="none"/>
        </w:rPr>
      </w:pPr>
      <w:bookmarkStart w:id="809" w:name="_Toc32150"/>
      <w:bookmarkStart w:id="810" w:name="_Toc518_WPSOffice_Level1"/>
      <w:r>
        <w:rPr>
          <w:rFonts w:hint="eastAsia" w:ascii="宋体" w:hAnsi="宋体" w:eastAsia="宋体" w:cs="宋体"/>
          <w:b/>
          <w:bCs/>
          <w:color w:val="auto"/>
          <w:sz w:val="28"/>
          <w:szCs w:val="28"/>
          <w:highlight w:val="none"/>
          <w:lang w:val="zh-CN"/>
        </w:rPr>
        <w:t>五、推荐中标人</w:t>
      </w:r>
      <w:bookmarkEnd w:id="809"/>
      <w:bookmarkEnd w:id="810"/>
    </w:p>
    <w:p w14:paraId="660697D2">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4"/>
          <w:highlight w:val="none"/>
          <w:lang w:val="zh-CN"/>
        </w:rPr>
        <w:t>评标委员会按评审后得分由高到低顺序排列</w:t>
      </w:r>
      <w:r>
        <w:rPr>
          <w:rFonts w:hint="eastAsia" w:ascii="宋体" w:hAnsi="宋体" w:eastAsia="宋体" w:cs="Times New Roman"/>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14:paraId="7C02F7A1">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1"/>
          <w:highlight w:val="none"/>
        </w:rPr>
        <w:t>如果有两个或以上的投标人的最后综合得分相同，则在最后综合得分相同的投标人中按投标报价</w:t>
      </w:r>
      <w:r>
        <w:rPr>
          <w:rFonts w:hint="eastAsia" w:ascii="宋体" w:hAnsi="宋体" w:eastAsia="宋体" w:cs="Times New Roman"/>
          <w:color w:val="auto"/>
          <w:kern w:val="0"/>
          <w:szCs w:val="21"/>
          <w:highlight w:val="none"/>
          <w:lang w:val="zh-CN"/>
        </w:rPr>
        <w:t>由低到高顺序排出次序，报价低的排前，报价高的排后。</w:t>
      </w:r>
      <w:r>
        <w:rPr>
          <w:rFonts w:hint="eastAsia" w:ascii="宋体" w:hAnsi="宋体" w:eastAsia="宋体" w:cs="Times New Roman"/>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7C022827">
      <w:pPr>
        <w:widowControl/>
        <w:spacing w:line="360" w:lineRule="auto"/>
        <w:jc w:val="left"/>
        <w:rPr>
          <w:rFonts w:ascii="宋体" w:hAnsi="宋体" w:eastAsia="宋体" w:cs="宋体"/>
          <w:color w:val="auto"/>
          <w:kern w:val="0"/>
          <w:szCs w:val="21"/>
          <w:highlight w:val="none"/>
        </w:rPr>
      </w:pPr>
    </w:p>
    <w:p w14:paraId="6202B30E">
      <w:pPr>
        <w:autoSpaceDE w:val="0"/>
        <w:autoSpaceDN w:val="0"/>
        <w:adjustRightInd w:val="0"/>
        <w:spacing w:line="360" w:lineRule="auto"/>
        <w:ind w:left="185" w:leftChars="88" w:firstLine="3443" w:firstLineChars="1225"/>
        <w:outlineLvl w:val="2"/>
        <w:rPr>
          <w:rFonts w:ascii="宋体" w:hAnsi="宋体" w:eastAsia="宋体" w:cs="宋体"/>
          <w:b/>
          <w:bCs/>
          <w:color w:val="auto"/>
          <w:sz w:val="28"/>
          <w:szCs w:val="28"/>
          <w:highlight w:val="none"/>
          <w:lang w:val="zh-CN"/>
        </w:rPr>
      </w:pPr>
      <w:bookmarkStart w:id="811" w:name="_Toc22724_WPSOffice_Level1"/>
      <w:bookmarkStart w:id="812" w:name="_Toc4180"/>
      <w:r>
        <w:rPr>
          <w:rFonts w:hint="eastAsia" w:ascii="宋体" w:hAnsi="宋体" w:eastAsia="宋体" w:cs="宋体"/>
          <w:b/>
          <w:bCs/>
          <w:color w:val="auto"/>
          <w:sz w:val="28"/>
          <w:szCs w:val="28"/>
          <w:highlight w:val="none"/>
          <w:lang w:val="zh-CN"/>
        </w:rPr>
        <w:t>六、编写评标报告</w:t>
      </w:r>
      <w:bookmarkEnd w:id="811"/>
      <w:bookmarkEnd w:id="812"/>
    </w:p>
    <w:p w14:paraId="6871D337">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、评标委员会根据评审结果撰写评标报告。评标报告是评标委员会根据全体评标委员会成员签字的原始评审记录和评审结果编写的报告，其主要内容包括：</w:t>
      </w:r>
    </w:p>
    <w:p w14:paraId="1BB95B49">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14:paraId="001094FB">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w:t>
      </w:r>
      <w:r>
        <w:rPr>
          <w:rFonts w:hint="eastAsia" w:ascii="宋体" w:hAnsi="宋体" w:eastAsia="宋体" w:cs="宋体"/>
          <w:color w:val="auto"/>
          <w:kern w:val="0"/>
          <w:szCs w:val="24"/>
        </w:rPr>
        <w:t>递交投标文件</w:t>
      </w:r>
      <w:r>
        <w:rPr>
          <w:rFonts w:hint="eastAsia" w:ascii="宋体" w:hAnsi="宋体" w:eastAsia="宋体" w:cs="宋体"/>
          <w:color w:val="auto"/>
          <w:kern w:val="0"/>
          <w:szCs w:val="24"/>
          <w:lang w:val="zh-CN"/>
        </w:rPr>
        <w:t>的投标人名单</w:t>
      </w:r>
      <w:r>
        <w:rPr>
          <w:rFonts w:hint="eastAsia" w:ascii="宋体" w:hAnsi="宋体" w:eastAsia="宋体" w:cs="宋体"/>
          <w:color w:val="auto"/>
          <w:kern w:val="0"/>
          <w:szCs w:val="24"/>
          <w:highlight w:val="none"/>
          <w:lang w:val="zh-CN"/>
        </w:rPr>
        <w:t>和评标委员会成员名单；</w:t>
      </w:r>
    </w:p>
    <w:p w14:paraId="41A07C4E">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14:paraId="14762A8C">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14:paraId="2AC72955">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14:paraId="5FF6EFDA">
      <w:pPr>
        <w:autoSpaceDE w:val="0"/>
        <w:autoSpaceDN w:val="0"/>
        <w:adjustRightInd w:val="0"/>
        <w:spacing w:line="360" w:lineRule="auto"/>
        <w:jc w:val="left"/>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14:paraId="4307F438">
      <w:pPr>
        <w:autoSpaceDE w:val="0"/>
        <w:autoSpaceDN w:val="0"/>
        <w:adjustRightInd w:val="0"/>
        <w:spacing w:line="360" w:lineRule="auto"/>
        <w:jc w:val="center"/>
        <w:rPr>
          <w:rFonts w:ascii="宋体" w:hAnsi="宋体" w:eastAsia="宋体" w:cs="宋体"/>
          <w:b/>
          <w:bCs/>
          <w:color w:val="auto"/>
          <w:sz w:val="28"/>
          <w:szCs w:val="28"/>
          <w:highlight w:val="none"/>
          <w:lang w:val="zh-CN"/>
        </w:rPr>
      </w:pPr>
    </w:p>
    <w:p w14:paraId="06BB7F47">
      <w:pPr>
        <w:autoSpaceDE w:val="0"/>
        <w:autoSpaceDN w:val="0"/>
        <w:adjustRightInd w:val="0"/>
        <w:spacing w:line="360" w:lineRule="auto"/>
        <w:jc w:val="center"/>
        <w:outlineLvl w:val="2"/>
        <w:rPr>
          <w:rFonts w:ascii="宋体" w:hAnsi="宋体" w:eastAsia="宋体" w:cs="宋体"/>
          <w:b/>
          <w:bCs/>
          <w:color w:val="auto"/>
          <w:sz w:val="30"/>
          <w:szCs w:val="30"/>
          <w:highlight w:val="none"/>
          <w:lang w:val="zh-CN"/>
        </w:rPr>
      </w:pPr>
      <w:bookmarkStart w:id="813" w:name="_Toc23773_WPSOffice_Level1"/>
      <w:bookmarkStart w:id="814" w:name="_Toc4828"/>
      <w:r>
        <w:rPr>
          <w:rFonts w:hint="eastAsia" w:ascii="宋体" w:hAnsi="宋体" w:eastAsia="宋体" w:cs="宋体"/>
          <w:b/>
          <w:bCs/>
          <w:color w:val="auto"/>
          <w:sz w:val="28"/>
          <w:szCs w:val="28"/>
          <w:highlight w:val="none"/>
          <w:lang w:val="zh-CN"/>
        </w:rPr>
        <w:t>七、注意事项</w:t>
      </w:r>
      <w:bookmarkEnd w:id="813"/>
      <w:bookmarkEnd w:id="814"/>
    </w:p>
    <w:p w14:paraId="7CF9694C">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14:paraId="2C4A013B">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14:paraId="2D430B1D">
      <w:pPr>
        <w:autoSpaceDE w:val="0"/>
        <w:autoSpaceDN w:val="0"/>
        <w:adjustRightInd w:val="0"/>
        <w:spacing w:line="360" w:lineRule="auto"/>
        <w:ind w:left="436" w:leftChars="-59" w:hanging="560" w:hangingChars="267"/>
        <w:outlineLvl w:val="1"/>
        <w:rPr>
          <w:rFonts w:ascii="宋体" w:hAnsi="宋体" w:eastAsia="宋体" w:cs="宋体"/>
          <w:color w:val="auto"/>
          <w:szCs w:val="24"/>
          <w:highlight w:val="none"/>
          <w:lang w:val="zh-CN"/>
        </w:rPr>
      </w:pPr>
      <w:bookmarkStart w:id="815" w:name="_Toc1263"/>
      <w:r>
        <w:rPr>
          <w:rFonts w:hint="eastAsia" w:ascii="宋体" w:hAnsi="宋体" w:eastAsia="宋体" w:cs="宋体"/>
          <w:color w:val="auto"/>
          <w:szCs w:val="24"/>
          <w:highlight w:val="none"/>
          <w:lang w:val="zh-CN"/>
        </w:rPr>
        <w:t>（2）评审人员及工作人员不得在公共场合谈论有关评审内容；</w:t>
      </w:r>
      <w:bookmarkEnd w:id="815"/>
    </w:p>
    <w:p w14:paraId="1EBC5403">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317788DD">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lang w:val="en-US" w:eastAsia="zh-CN"/>
        </w:rPr>
        <w:t>如有需要举行</w:t>
      </w:r>
      <w:r>
        <w:rPr>
          <w:rFonts w:hint="eastAsia" w:ascii="宋体" w:hAnsi="宋体" w:eastAsia="宋体" w:cs="宋体"/>
          <w:color w:val="auto"/>
          <w:szCs w:val="24"/>
          <w:highlight w:val="none"/>
          <w:lang w:val="zh-CN"/>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6DDEE687">
      <w:pPr>
        <w:widowControl/>
        <w:jc w:val="left"/>
        <w:outlineLvl w:val="1"/>
        <w:rPr>
          <w:rFonts w:ascii="宋体" w:hAnsi="宋体" w:eastAsia="宋体" w:cs="Times New Roman"/>
          <w:b/>
          <w:bCs/>
          <w:color w:val="auto"/>
          <w:kern w:val="0"/>
          <w:szCs w:val="21"/>
          <w:highlight w:val="none"/>
        </w:rPr>
      </w:pPr>
      <w:bookmarkStart w:id="816" w:name="_Toc997"/>
      <w:r>
        <w:rPr>
          <w:rFonts w:hint="eastAsia" w:ascii="宋体" w:hAnsi="宋体" w:eastAsia="宋体" w:cs="宋体"/>
          <w:color w:val="auto"/>
          <w:szCs w:val="24"/>
          <w:highlight w:val="none"/>
          <w:lang w:val="zh-CN"/>
        </w:rPr>
        <w:t>（5）任何评审人员和工作人员不得对外公布评审的一切内容。</w:t>
      </w:r>
      <w:bookmarkEnd w:id="816"/>
    </w:p>
    <w:bookmarkEnd w:id="750"/>
    <w:bookmarkEnd w:id="762"/>
    <w:bookmarkEnd w:id="763"/>
    <w:bookmarkEnd w:id="764"/>
    <w:p w14:paraId="40D0411D">
      <w:pPr>
        <w:widowControl/>
        <w:jc w:val="left"/>
        <w:rPr>
          <w:rFonts w:ascii="宋体" w:hAnsi="宋体" w:eastAsia="宋体" w:cs="宋体"/>
          <w:color w:val="auto"/>
          <w:szCs w:val="24"/>
          <w:highlight w:val="none"/>
          <w:lang w:val="zh-CN"/>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Wingdings 2">
    <w:panose1 w:val="05020102010507070707"/>
    <w:charset w:val="02"/>
    <w:family w:val="roman"/>
    <w:pitch w:val="default"/>
    <w:sig w:usb0="00000000" w:usb1="00000000" w:usb2="00000000" w:usb3="00000000" w:csb0="80000000"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675C1">
    <w:pPr>
      <w:pStyle w:val="25"/>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BE622">
    <w:pPr>
      <w:pStyle w:val="25"/>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85DBD">
    <w:pPr>
      <w:pStyle w:val="25"/>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131C0">
    <w:pPr>
      <w:pStyle w:val="25"/>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77B0E">
    <w:pPr>
      <w:pStyle w:val="25"/>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14:paraId="452FA73D">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D82BB"/>
    <w:multiLevelType w:val="singleLevel"/>
    <w:tmpl w:val="93BD82BB"/>
    <w:lvl w:ilvl="0" w:tentative="0">
      <w:start w:val="3"/>
      <w:numFmt w:val="chineseCounting"/>
      <w:suff w:val="nothing"/>
      <w:lvlText w:val="%1、"/>
      <w:lvlJc w:val="left"/>
      <w:rPr>
        <w:rFonts w:hint="eastAsia"/>
      </w:rPr>
    </w:lvl>
  </w:abstractNum>
  <w:abstractNum w:abstractNumId="1">
    <w:nsid w:val="C3A9BCCE"/>
    <w:multiLevelType w:val="singleLevel"/>
    <w:tmpl w:val="C3A9BCCE"/>
    <w:lvl w:ilvl="0" w:tentative="0">
      <w:start w:val="1"/>
      <w:numFmt w:val="decimal"/>
      <w:suff w:val="nothing"/>
      <w:lvlText w:val="%1、"/>
      <w:lvlJc w:val="left"/>
    </w:lvl>
  </w:abstractNum>
  <w:abstractNum w:abstractNumId="2">
    <w:nsid w:val="D23AD52D"/>
    <w:multiLevelType w:val="singleLevel"/>
    <w:tmpl w:val="D23AD52D"/>
    <w:lvl w:ilvl="0" w:tentative="0">
      <w:start w:val="1"/>
      <w:numFmt w:val="decimal"/>
      <w:suff w:val="nothing"/>
      <w:lvlText w:val="（%1）"/>
      <w:lvlJc w:val="left"/>
    </w:lvl>
  </w:abstractNum>
  <w:abstractNum w:abstractNumId="3">
    <w:nsid w:val="FA7183A5"/>
    <w:multiLevelType w:val="singleLevel"/>
    <w:tmpl w:val="FA7183A5"/>
    <w:lvl w:ilvl="0" w:tentative="0">
      <w:start w:val="1"/>
      <w:numFmt w:val="decimal"/>
      <w:suff w:val="nothing"/>
      <w:lvlText w:val="（%1）"/>
      <w:lvlJc w:val="left"/>
    </w:lvl>
  </w:abstractNum>
  <w:abstractNum w:abstractNumId="4">
    <w:nsid w:val="240188B8"/>
    <w:multiLevelType w:val="multilevel"/>
    <w:tmpl w:val="240188B8"/>
    <w:lvl w:ilvl="0" w:tentative="0">
      <w:start w:val="1"/>
      <w:numFmt w:val="chineseCounting"/>
      <w:suff w:val="space"/>
      <w:lvlText w:val="第%1条"/>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2412D72E"/>
    <w:multiLevelType w:val="singleLevel"/>
    <w:tmpl w:val="2412D72E"/>
    <w:lvl w:ilvl="0" w:tentative="0">
      <w:start w:val="1"/>
      <w:numFmt w:val="chineseCounting"/>
      <w:suff w:val="nothing"/>
      <w:lvlText w:val="%1、"/>
      <w:lvlJc w:val="left"/>
      <w:rPr>
        <w:rFonts w:hint="eastAsia"/>
      </w:rPr>
    </w:lvl>
  </w:abstractNum>
  <w:abstractNum w:abstractNumId="6">
    <w:nsid w:val="2A8B98E5"/>
    <w:multiLevelType w:val="singleLevel"/>
    <w:tmpl w:val="2A8B98E5"/>
    <w:lvl w:ilvl="0" w:tentative="0">
      <w:start w:val="1"/>
      <w:numFmt w:val="decimal"/>
      <w:lvlText w:val="%1."/>
      <w:lvlJc w:val="left"/>
      <w:pPr>
        <w:tabs>
          <w:tab w:val="left" w:pos="312"/>
        </w:tabs>
      </w:pPr>
    </w:lvl>
  </w:abstractNum>
  <w:abstractNum w:abstractNumId="7">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8">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6"/>
  </w:num>
  <w:num w:numId="3">
    <w:abstractNumId w:val="1"/>
  </w:num>
  <w:num w:numId="4">
    <w:abstractNumId w:val="5"/>
  </w:num>
  <w:num w:numId="5">
    <w:abstractNumId w:val="0"/>
  </w:num>
  <w:num w:numId="6">
    <w:abstractNumId w:val="4"/>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yNWUzMTIwNTEyNTgyMWU1M2JjZDYyMjBmOWRkMTMifQ=="/>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2D42C49"/>
    <w:rsid w:val="03EF294B"/>
    <w:rsid w:val="04102EB1"/>
    <w:rsid w:val="058F7720"/>
    <w:rsid w:val="065F7326"/>
    <w:rsid w:val="06A75D00"/>
    <w:rsid w:val="079E3E7E"/>
    <w:rsid w:val="08094E05"/>
    <w:rsid w:val="0A51683A"/>
    <w:rsid w:val="0BE10587"/>
    <w:rsid w:val="0DCB6F7B"/>
    <w:rsid w:val="0F241091"/>
    <w:rsid w:val="10BC03C7"/>
    <w:rsid w:val="12C071BA"/>
    <w:rsid w:val="130F4A87"/>
    <w:rsid w:val="14237C67"/>
    <w:rsid w:val="15A13C38"/>
    <w:rsid w:val="16B60189"/>
    <w:rsid w:val="182745FA"/>
    <w:rsid w:val="194226C7"/>
    <w:rsid w:val="194438DA"/>
    <w:rsid w:val="1B0940FF"/>
    <w:rsid w:val="1C412617"/>
    <w:rsid w:val="1C782A98"/>
    <w:rsid w:val="207A1985"/>
    <w:rsid w:val="227B299A"/>
    <w:rsid w:val="22C62CF4"/>
    <w:rsid w:val="23353491"/>
    <w:rsid w:val="23A06120"/>
    <w:rsid w:val="25D04849"/>
    <w:rsid w:val="26DB6938"/>
    <w:rsid w:val="27D17500"/>
    <w:rsid w:val="286E02B3"/>
    <w:rsid w:val="289336ED"/>
    <w:rsid w:val="28AC24C6"/>
    <w:rsid w:val="28CD7B64"/>
    <w:rsid w:val="28DA73F5"/>
    <w:rsid w:val="29AE6B2F"/>
    <w:rsid w:val="29C47D95"/>
    <w:rsid w:val="2A9E4307"/>
    <w:rsid w:val="2CB55D1C"/>
    <w:rsid w:val="2CFC2BFE"/>
    <w:rsid w:val="30157DC4"/>
    <w:rsid w:val="30F3626F"/>
    <w:rsid w:val="314D028A"/>
    <w:rsid w:val="355530AA"/>
    <w:rsid w:val="364631D7"/>
    <w:rsid w:val="368928C2"/>
    <w:rsid w:val="37717817"/>
    <w:rsid w:val="37850378"/>
    <w:rsid w:val="38F00B77"/>
    <w:rsid w:val="392146B9"/>
    <w:rsid w:val="39D97717"/>
    <w:rsid w:val="3B1F29B6"/>
    <w:rsid w:val="3B4E34EA"/>
    <w:rsid w:val="3B55380A"/>
    <w:rsid w:val="3C5C1637"/>
    <w:rsid w:val="3C693505"/>
    <w:rsid w:val="3C7B70C7"/>
    <w:rsid w:val="3EAA48DB"/>
    <w:rsid w:val="3EC75930"/>
    <w:rsid w:val="3F5B255F"/>
    <w:rsid w:val="3F742C56"/>
    <w:rsid w:val="4010014E"/>
    <w:rsid w:val="40DC5A18"/>
    <w:rsid w:val="41406E31"/>
    <w:rsid w:val="425C092D"/>
    <w:rsid w:val="43B50E83"/>
    <w:rsid w:val="46ED7A5B"/>
    <w:rsid w:val="47EC3454"/>
    <w:rsid w:val="482C45B3"/>
    <w:rsid w:val="491B0C13"/>
    <w:rsid w:val="49A11F60"/>
    <w:rsid w:val="4A084BAC"/>
    <w:rsid w:val="4BC8467F"/>
    <w:rsid w:val="4CFE53E3"/>
    <w:rsid w:val="4E993F8A"/>
    <w:rsid w:val="4ECF6754"/>
    <w:rsid w:val="4F0A4599"/>
    <w:rsid w:val="4F9662AF"/>
    <w:rsid w:val="4FE63648"/>
    <w:rsid w:val="52116804"/>
    <w:rsid w:val="5212225F"/>
    <w:rsid w:val="53CE29C2"/>
    <w:rsid w:val="54F06565"/>
    <w:rsid w:val="551408A9"/>
    <w:rsid w:val="56B37004"/>
    <w:rsid w:val="576E6EB6"/>
    <w:rsid w:val="59633BAD"/>
    <w:rsid w:val="59FB128F"/>
    <w:rsid w:val="5BE12FA3"/>
    <w:rsid w:val="5C4D6613"/>
    <w:rsid w:val="5CFA7E8B"/>
    <w:rsid w:val="5D8866EC"/>
    <w:rsid w:val="5EBF421E"/>
    <w:rsid w:val="60E606FE"/>
    <w:rsid w:val="612475B8"/>
    <w:rsid w:val="617211B0"/>
    <w:rsid w:val="622F448A"/>
    <w:rsid w:val="62B13874"/>
    <w:rsid w:val="63672753"/>
    <w:rsid w:val="64E9765C"/>
    <w:rsid w:val="65E62E7A"/>
    <w:rsid w:val="66EC7F6C"/>
    <w:rsid w:val="67BB5990"/>
    <w:rsid w:val="684967F3"/>
    <w:rsid w:val="69F452BC"/>
    <w:rsid w:val="6A8F3072"/>
    <w:rsid w:val="6AA97472"/>
    <w:rsid w:val="6AAD178D"/>
    <w:rsid w:val="6AB73874"/>
    <w:rsid w:val="6B347655"/>
    <w:rsid w:val="6B696ACB"/>
    <w:rsid w:val="6CC649E7"/>
    <w:rsid w:val="6D8F0DF6"/>
    <w:rsid w:val="6DDA5CDD"/>
    <w:rsid w:val="6F5F71DE"/>
    <w:rsid w:val="6FC4095F"/>
    <w:rsid w:val="711A6DEF"/>
    <w:rsid w:val="71994C94"/>
    <w:rsid w:val="71D77C97"/>
    <w:rsid w:val="721623A4"/>
    <w:rsid w:val="73A66718"/>
    <w:rsid w:val="746B1342"/>
    <w:rsid w:val="751D3132"/>
    <w:rsid w:val="77281627"/>
    <w:rsid w:val="77DD4EB4"/>
    <w:rsid w:val="790D22C6"/>
    <w:rsid w:val="7D217612"/>
    <w:rsid w:val="7D630A43"/>
    <w:rsid w:val="7D645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9"/>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47"/>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5">
    <w:name w:val="heading 3"/>
    <w:basedOn w:val="1"/>
    <w:next w:val="1"/>
    <w:link w:val="143"/>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6">
    <w:name w:val="heading 4"/>
    <w:basedOn w:val="1"/>
    <w:next w:val="1"/>
    <w:link w:val="49"/>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7">
    <w:name w:val="heading 5"/>
    <w:basedOn w:val="1"/>
    <w:next w:val="1"/>
    <w:link w:val="131"/>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8">
    <w:name w:val="heading 6"/>
    <w:basedOn w:val="1"/>
    <w:next w:val="9"/>
    <w:link w:val="141"/>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0">
    <w:name w:val="heading 7"/>
    <w:basedOn w:val="1"/>
    <w:next w:val="9"/>
    <w:link w:val="52"/>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1">
    <w:name w:val="heading 8"/>
    <w:basedOn w:val="1"/>
    <w:next w:val="9"/>
    <w:link w:val="53"/>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2">
    <w:name w:val="heading 9"/>
    <w:basedOn w:val="1"/>
    <w:next w:val="9"/>
    <w:link w:val="54"/>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17"/>
    <w:qFormat/>
    <w:uiPriority w:val="99"/>
    <w:pPr>
      <w:autoSpaceDE w:val="0"/>
      <w:autoSpaceDN w:val="0"/>
      <w:adjustRightInd w:val="0"/>
      <w:ind w:right="-26"/>
      <w:jc w:val="center"/>
    </w:pPr>
    <w:rPr>
      <w:rFonts w:ascii="宋体" w:eastAsia="宋体"/>
      <w:b/>
      <w:bCs/>
      <w:sz w:val="84"/>
      <w:szCs w:val="84"/>
      <w:lang w:val="zh-CN"/>
    </w:rPr>
  </w:style>
  <w:style w:type="paragraph" w:customStyle="1" w:styleId="9">
    <w:name w:val="模板正文"/>
    <w:basedOn w:val="1"/>
    <w:link w:val="93"/>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3">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82"/>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15"/>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7">
    <w:name w:val="annotation text"/>
    <w:basedOn w:val="1"/>
    <w:link w:val="162"/>
    <w:unhideWhenUsed/>
    <w:qFormat/>
    <w:uiPriority w:val="99"/>
    <w:pPr>
      <w:jc w:val="left"/>
    </w:pPr>
  </w:style>
  <w:style w:type="paragraph" w:styleId="18">
    <w:name w:val="Body Text 3"/>
    <w:basedOn w:val="1"/>
    <w:link w:val="155"/>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9">
    <w:name w:val="Body Text Indent"/>
    <w:basedOn w:val="1"/>
    <w:link w:val="91"/>
    <w:qFormat/>
    <w:uiPriority w:val="0"/>
    <w:pPr>
      <w:ind w:left="567" w:leftChars="270"/>
    </w:pPr>
    <w:rPr>
      <w:rFonts w:ascii="Times New Roman" w:hAnsi="Times New Roman" w:eastAsia="宋体" w:cs="Times New Roman"/>
      <w:szCs w:val="20"/>
    </w:rPr>
  </w:style>
  <w:style w:type="paragraph" w:styleId="20">
    <w:name w:val="toc 3"/>
    <w:basedOn w:val="1"/>
    <w:next w:val="1"/>
    <w:unhideWhenUsed/>
    <w:qFormat/>
    <w:uiPriority w:val="39"/>
    <w:pPr>
      <w:tabs>
        <w:tab w:val="right" w:leader="dot" w:pos="10144"/>
      </w:tabs>
      <w:ind w:left="840" w:leftChars="400"/>
    </w:pPr>
  </w:style>
  <w:style w:type="paragraph" w:styleId="21">
    <w:name w:val="Plain Text"/>
    <w:basedOn w:val="1"/>
    <w:link w:val="99"/>
    <w:qFormat/>
    <w:uiPriority w:val="0"/>
    <w:rPr>
      <w:rFonts w:ascii="宋体" w:hAnsi="Courier New" w:eastAsia="宋体"/>
    </w:rPr>
  </w:style>
  <w:style w:type="paragraph" w:styleId="22">
    <w:name w:val="Date"/>
    <w:basedOn w:val="1"/>
    <w:next w:val="1"/>
    <w:link w:val="107"/>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3">
    <w:name w:val="Body Text Indent 2"/>
    <w:basedOn w:val="1"/>
    <w:link w:val="100"/>
    <w:qFormat/>
    <w:uiPriority w:val="0"/>
    <w:pPr>
      <w:tabs>
        <w:tab w:val="left" w:pos="8640"/>
      </w:tabs>
      <w:ind w:left="1260"/>
    </w:pPr>
    <w:rPr>
      <w:rFonts w:ascii="宋体" w:hAnsi="Times New Roman" w:eastAsia="宋体" w:cs="Times New Roman"/>
      <w:szCs w:val="20"/>
    </w:rPr>
  </w:style>
  <w:style w:type="paragraph" w:styleId="24">
    <w:name w:val="Balloon Text"/>
    <w:basedOn w:val="1"/>
    <w:link w:val="73"/>
    <w:qFormat/>
    <w:uiPriority w:val="0"/>
    <w:rPr>
      <w:rFonts w:ascii="Times New Roman" w:hAnsi="Times New Roman" w:eastAsia="宋体" w:cs="Times New Roman"/>
      <w:sz w:val="18"/>
      <w:szCs w:val="18"/>
    </w:rPr>
  </w:style>
  <w:style w:type="paragraph" w:styleId="25">
    <w:name w:val="footer"/>
    <w:basedOn w:val="1"/>
    <w:link w:val="77"/>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6">
    <w:name w:val="header"/>
    <w:basedOn w:val="1"/>
    <w:link w:val="119"/>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7">
    <w:name w:val="toc 1"/>
    <w:basedOn w:val="1"/>
    <w:next w:val="1"/>
    <w:unhideWhenUsed/>
    <w:qFormat/>
    <w:uiPriority w:val="39"/>
  </w:style>
  <w:style w:type="paragraph" w:styleId="28">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29">
    <w:name w:val="Body Text Indent 3"/>
    <w:basedOn w:val="1"/>
    <w:link w:val="153"/>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0">
    <w:name w:val="toc 2"/>
    <w:basedOn w:val="1"/>
    <w:next w:val="1"/>
    <w:semiHidden/>
    <w:unhideWhenUsed/>
    <w:qFormat/>
    <w:uiPriority w:val="39"/>
    <w:pPr>
      <w:ind w:left="420" w:leftChars="200"/>
    </w:pPr>
  </w:style>
  <w:style w:type="paragraph" w:styleId="31">
    <w:name w:val="Body Text 2"/>
    <w:basedOn w:val="1"/>
    <w:link w:val="142"/>
    <w:qFormat/>
    <w:uiPriority w:val="0"/>
    <w:pPr>
      <w:tabs>
        <w:tab w:val="left" w:pos="0"/>
      </w:tabs>
      <w:spacing w:line="400" w:lineRule="atLeast"/>
    </w:pPr>
    <w:rPr>
      <w:rFonts w:ascii="Arial" w:hAnsi="Arial" w:eastAsia="宋体" w:cs="Times New Roman"/>
      <w:color w:val="000000"/>
      <w:szCs w:val="24"/>
    </w:rPr>
  </w:style>
  <w:style w:type="paragraph" w:styleId="32">
    <w:name w:val="HTML Preformatted"/>
    <w:basedOn w:val="1"/>
    <w:link w:val="8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3">
    <w:name w:val="Normal (Web)"/>
    <w:basedOn w:val="1"/>
    <w:link w:val="92"/>
    <w:qFormat/>
    <w:uiPriority w:val="0"/>
    <w:pPr>
      <w:widowControl/>
      <w:spacing w:before="100" w:beforeAutospacing="1" w:after="100" w:afterAutospacing="1"/>
      <w:jc w:val="left"/>
    </w:pPr>
    <w:rPr>
      <w:rFonts w:ascii="宋体" w:hAnsi="宋体"/>
      <w:sz w:val="15"/>
      <w:szCs w:val="15"/>
    </w:rPr>
  </w:style>
  <w:style w:type="paragraph" w:styleId="34">
    <w:name w:val="Title"/>
    <w:basedOn w:val="1"/>
    <w:next w:val="1"/>
    <w:link w:val="57"/>
    <w:qFormat/>
    <w:uiPriority w:val="10"/>
    <w:pPr>
      <w:spacing w:before="120" w:after="60" w:line="300" w:lineRule="auto"/>
      <w:jc w:val="left"/>
      <w:outlineLvl w:val="0"/>
    </w:pPr>
    <w:rPr>
      <w:rFonts w:ascii="等线 Light" w:hAnsi="等线 Light" w:eastAsia="仿宋"/>
      <w:b/>
      <w:bCs/>
      <w:sz w:val="28"/>
      <w:szCs w:val="32"/>
    </w:rPr>
  </w:style>
  <w:style w:type="paragraph" w:styleId="35">
    <w:name w:val="annotation subject"/>
    <w:basedOn w:val="17"/>
    <w:next w:val="17"/>
    <w:link w:val="109"/>
    <w:qFormat/>
    <w:uiPriority w:val="99"/>
    <w:pPr>
      <w:autoSpaceDE w:val="0"/>
      <w:autoSpaceDN w:val="0"/>
      <w:adjustRightInd w:val="0"/>
    </w:pPr>
    <w:rPr>
      <w:rFonts w:ascii="宋体" w:hAnsi="Times New Roman" w:eastAsia="宋体" w:cs="Times New Roman"/>
      <w:b/>
      <w:bCs/>
      <w:kern w:val="0"/>
      <w:sz w:val="24"/>
      <w:szCs w:val="24"/>
    </w:rPr>
  </w:style>
  <w:style w:type="paragraph" w:styleId="36">
    <w:name w:val="Body Text First Indent"/>
    <w:basedOn w:val="2"/>
    <w:link w:val="200"/>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table" w:styleId="38">
    <w:name w:val="Table Grid"/>
    <w:basedOn w:val="3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FollowedHyperlink"/>
    <w:unhideWhenUsed/>
    <w:qFormat/>
    <w:uiPriority w:val="99"/>
    <w:rPr>
      <w:color w:val="954F72"/>
      <w:u w:val="single"/>
    </w:rPr>
  </w:style>
  <w:style w:type="character" w:styleId="42">
    <w:name w:val="Emphasis"/>
    <w:qFormat/>
    <w:uiPriority w:val="0"/>
    <w:rPr>
      <w:i/>
      <w:iCs/>
    </w:rPr>
  </w:style>
  <w:style w:type="character" w:styleId="43">
    <w:name w:val="Hyperlink"/>
    <w:qFormat/>
    <w:uiPriority w:val="99"/>
    <w:rPr>
      <w:rFonts w:hint="default" w:ascii="Arial" w:hAnsi="Arial" w:cs="Arial"/>
      <w:color w:val="000000"/>
      <w:sz w:val="20"/>
      <w:szCs w:val="20"/>
      <w:u w:val="none"/>
    </w:rPr>
  </w:style>
  <w:style w:type="character" w:styleId="44">
    <w:name w:val="annotation reference"/>
    <w:basedOn w:val="39"/>
    <w:qFormat/>
    <w:uiPriority w:val="99"/>
    <w:rPr>
      <w:sz w:val="21"/>
      <w:szCs w:val="21"/>
    </w:rPr>
  </w:style>
  <w:style w:type="paragraph" w:customStyle="1" w:styleId="45">
    <w:name w:val="首行缩进"/>
    <w:basedOn w:val="1"/>
    <w:qFormat/>
    <w:uiPriority w:val="0"/>
    <w:pPr>
      <w:ind w:firstLine="480" w:firstLineChars="200"/>
    </w:pPr>
    <w:rPr>
      <w:lang w:val="zh-CN"/>
    </w:rPr>
  </w:style>
  <w:style w:type="character" w:customStyle="1" w:styleId="46">
    <w:name w:val="标题 1 字符"/>
    <w:basedOn w:val="39"/>
    <w:qFormat/>
    <w:uiPriority w:val="0"/>
    <w:rPr>
      <w:b/>
      <w:bCs/>
      <w:kern w:val="44"/>
      <w:sz w:val="44"/>
      <w:szCs w:val="44"/>
    </w:rPr>
  </w:style>
  <w:style w:type="character" w:customStyle="1" w:styleId="47">
    <w:name w:val="标题 2 Char"/>
    <w:basedOn w:val="39"/>
    <w:link w:val="4"/>
    <w:qFormat/>
    <w:uiPriority w:val="0"/>
    <w:rPr>
      <w:rFonts w:ascii="宋体" w:hAnsi="Calibri" w:eastAsia="宋体" w:cs="Times New Roman"/>
      <w:kern w:val="0"/>
      <w:sz w:val="24"/>
      <w:szCs w:val="24"/>
    </w:rPr>
  </w:style>
  <w:style w:type="character" w:customStyle="1" w:styleId="48">
    <w:name w:val="标题 3 字符"/>
    <w:basedOn w:val="39"/>
    <w:qFormat/>
    <w:uiPriority w:val="0"/>
    <w:rPr>
      <w:b/>
      <w:bCs/>
      <w:sz w:val="32"/>
      <w:szCs w:val="32"/>
    </w:rPr>
  </w:style>
  <w:style w:type="character" w:customStyle="1" w:styleId="49">
    <w:name w:val="标题 4 Char1"/>
    <w:basedOn w:val="39"/>
    <w:link w:val="6"/>
    <w:qFormat/>
    <w:uiPriority w:val="9"/>
    <w:rPr>
      <w:rFonts w:ascii="Arial" w:hAnsi="Arial" w:eastAsia="黑体" w:cs="Times New Roman"/>
      <w:b/>
      <w:bCs/>
      <w:kern w:val="0"/>
      <w:sz w:val="28"/>
      <w:szCs w:val="28"/>
    </w:rPr>
  </w:style>
  <w:style w:type="character" w:customStyle="1" w:styleId="50">
    <w:name w:val="标题 5 字符"/>
    <w:basedOn w:val="39"/>
    <w:qFormat/>
    <w:uiPriority w:val="9"/>
    <w:rPr>
      <w:b/>
      <w:bCs/>
      <w:sz w:val="28"/>
      <w:szCs w:val="28"/>
    </w:rPr>
  </w:style>
  <w:style w:type="character" w:customStyle="1" w:styleId="51">
    <w:name w:val="标题 6 字符"/>
    <w:basedOn w:val="39"/>
    <w:qFormat/>
    <w:uiPriority w:val="0"/>
    <w:rPr>
      <w:rFonts w:asciiTheme="majorHAnsi" w:hAnsiTheme="majorHAnsi" w:eastAsiaTheme="majorEastAsia" w:cstheme="majorBidi"/>
      <w:b/>
      <w:bCs/>
      <w:sz w:val="24"/>
      <w:szCs w:val="24"/>
    </w:rPr>
  </w:style>
  <w:style w:type="character" w:customStyle="1" w:styleId="52">
    <w:name w:val="标题 7 Char"/>
    <w:basedOn w:val="39"/>
    <w:link w:val="10"/>
    <w:qFormat/>
    <w:uiPriority w:val="9"/>
    <w:rPr>
      <w:rFonts w:ascii="Times New Roman" w:hAnsi="Calibri" w:eastAsia="黑体" w:cs="Times New Roman"/>
      <w:b/>
      <w:bCs/>
      <w:kern w:val="0"/>
      <w:sz w:val="28"/>
      <w:szCs w:val="24"/>
    </w:rPr>
  </w:style>
  <w:style w:type="character" w:customStyle="1" w:styleId="53">
    <w:name w:val="标题 8 Char"/>
    <w:basedOn w:val="39"/>
    <w:link w:val="11"/>
    <w:qFormat/>
    <w:uiPriority w:val="9"/>
    <w:rPr>
      <w:rFonts w:ascii="Times New Roman" w:hAnsi="Calibri" w:eastAsia="黑体" w:cs="Times New Roman"/>
      <w:b/>
      <w:kern w:val="0"/>
      <w:sz w:val="28"/>
      <w:szCs w:val="24"/>
    </w:rPr>
  </w:style>
  <w:style w:type="character" w:customStyle="1" w:styleId="54">
    <w:name w:val="标题 9 Char"/>
    <w:basedOn w:val="39"/>
    <w:link w:val="12"/>
    <w:qFormat/>
    <w:uiPriority w:val="9"/>
    <w:rPr>
      <w:rFonts w:ascii="Times New Roman" w:hAnsi="Calibri" w:eastAsia="黑体" w:cs="Times New Roman"/>
      <w:b/>
      <w:kern w:val="0"/>
      <w:sz w:val="28"/>
      <w:szCs w:val="24"/>
    </w:rPr>
  </w:style>
  <w:style w:type="character" w:customStyle="1" w:styleId="55">
    <w:name w:val="正文文本缩进 字符"/>
    <w:qFormat/>
    <w:uiPriority w:val="0"/>
    <w:rPr>
      <w:rFonts w:ascii="Times New Roman" w:hAnsi="Times New Roman" w:eastAsia="宋体" w:cs="Times New Roman"/>
      <w:szCs w:val="20"/>
    </w:rPr>
  </w:style>
  <w:style w:type="character" w:customStyle="1" w:styleId="56">
    <w:name w:val="普通(网站) Char"/>
    <w:qFormat/>
    <w:locked/>
    <w:uiPriority w:val="0"/>
    <w:rPr>
      <w:rFonts w:ascii="宋体" w:hAnsi="宋体"/>
      <w:sz w:val="15"/>
      <w:szCs w:val="15"/>
    </w:rPr>
  </w:style>
  <w:style w:type="character" w:customStyle="1" w:styleId="57">
    <w:name w:val="标题 Char"/>
    <w:link w:val="34"/>
    <w:qFormat/>
    <w:uiPriority w:val="10"/>
    <w:rPr>
      <w:rFonts w:ascii="等线 Light" w:hAnsi="等线 Light" w:eastAsia="仿宋"/>
      <w:b/>
      <w:bCs/>
      <w:sz w:val="28"/>
      <w:szCs w:val="32"/>
    </w:rPr>
  </w:style>
  <w:style w:type="character" w:customStyle="1" w:styleId="58">
    <w:name w:val="日期 Char"/>
    <w:semiHidden/>
    <w:qFormat/>
    <w:uiPriority w:val="99"/>
    <w:rPr>
      <w:kern w:val="2"/>
      <w:sz w:val="21"/>
    </w:rPr>
  </w:style>
  <w:style w:type="character" w:customStyle="1" w:styleId="59">
    <w:name w:val="文档结构图 字符1"/>
    <w:semiHidden/>
    <w:qFormat/>
    <w:uiPriority w:val="99"/>
    <w:rPr>
      <w:rFonts w:ascii="Microsoft YaHei UI" w:hAnsi="Calibri" w:eastAsia="Microsoft YaHei UI" w:cs="Times New Roman"/>
      <w:kern w:val="0"/>
      <w:sz w:val="18"/>
      <w:szCs w:val="18"/>
    </w:rPr>
  </w:style>
  <w:style w:type="character" w:customStyle="1" w:styleId="60">
    <w:name w:val="批注文字 Char"/>
    <w:semiHidden/>
    <w:qFormat/>
    <w:uiPriority w:val="99"/>
    <w:rPr>
      <w:kern w:val="2"/>
      <w:sz w:val="21"/>
    </w:rPr>
  </w:style>
  <w:style w:type="character" w:customStyle="1" w:styleId="61">
    <w:name w:val="正文缩进2格 Char"/>
    <w:link w:val="62"/>
    <w:qFormat/>
    <w:uiPriority w:val="0"/>
    <w:rPr>
      <w:rFonts w:ascii="仿宋_GB2312" w:hAnsi="宋体" w:eastAsia="仿宋_GB2312"/>
      <w:sz w:val="31"/>
      <w:szCs w:val="28"/>
    </w:rPr>
  </w:style>
  <w:style w:type="paragraph" w:customStyle="1" w:styleId="62">
    <w:name w:val="正文缩进2格"/>
    <w:basedOn w:val="1"/>
    <w:link w:val="61"/>
    <w:qFormat/>
    <w:uiPriority w:val="0"/>
    <w:pPr>
      <w:spacing w:line="600" w:lineRule="exact"/>
      <w:ind w:firstLine="639" w:firstLineChars="206"/>
    </w:pPr>
    <w:rPr>
      <w:rFonts w:ascii="仿宋_GB2312" w:hAnsi="宋体" w:eastAsia="仿宋_GB2312"/>
      <w:sz w:val="31"/>
      <w:szCs w:val="28"/>
    </w:rPr>
  </w:style>
  <w:style w:type="character" w:customStyle="1" w:styleId="63">
    <w:name w:val="批注文字 字符"/>
    <w:semiHidden/>
    <w:qFormat/>
    <w:uiPriority w:val="99"/>
    <w:rPr>
      <w:rFonts w:ascii="Times New Roman" w:hAnsi="Times New Roman"/>
      <w:kern w:val="2"/>
      <w:sz w:val="24"/>
      <w:szCs w:val="24"/>
    </w:rPr>
  </w:style>
  <w:style w:type="character" w:customStyle="1" w:styleId="64">
    <w:name w:val="正文文本缩进 Char"/>
    <w:qFormat/>
    <w:uiPriority w:val="0"/>
    <w:rPr>
      <w:rFonts w:ascii="Times New Roman" w:hAnsi="Times New Roman" w:eastAsia="宋体" w:cs="Times New Roman"/>
      <w:szCs w:val="20"/>
      <w:lang w:val="en-US" w:eastAsia="zh-CN"/>
    </w:rPr>
  </w:style>
  <w:style w:type="character" w:customStyle="1" w:styleId="65">
    <w:name w:val="批注框文本 字符1"/>
    <w:semiHidden/>
    <w:qFormat/>
    <w:uiPriority w:val="99"/>
    <w:rPr>
      <w:rFonts w:ascii="宋体" w:hAnsi="Calibri" w:eastAsia="宋体" w:cs="Times New Roman"/>
      <w:kern w:val="0"/>
      <w:sz w:val="18"/>
      <w:szCs w:val="18"/>
    </w:rPr>
  </w:style>
  <w:style w:type="character" w:customStyle="1" w:styleId="66">
    <w:name w:val="List Paragraph Char"/>
    <w:link w:val="67"/>
    <w:qFormat/>
    <w:uiPriority w:val="34"/>
    <w:rPr>
      <w:rFonts w:ascii="Calibri" w:hAnsi="Calibri"/>
    </w:rPr>
  </w:style>
  <w:style w:type="paragraph" w:customStyle="1" w:styleId="67">
    <w:name w:val="列出段落1"/>
    <w:basedOn w:val="1"/>
    <w:link w:val="66"/>
    <w:qFormat/>
    <w:uiPriority w:val="34"/>
    <w:pPr>
      <w:ind w:firstLine="420" w:firstLineChars="200"/>
    </w:pPr>
    <w:rPr>
      <w:rFonts w:ascii="Calibri" w:hAnsi="Calibri"/>
    </w:rPr>
  </w:style>
  <w:style w:type="character" w:customStyle="1" w:styleId="68">
    <w:name w:val="标书正文 字符"/>
    <w:link w:val="69"/>
    <w:qFormat/>
    <w:uiPriority w:val="0"/>
    <w:rPr>
      <w:rFonts w:ascii="Calibri" w:hAnsi="Calibri" w:eastAsia="仿宋"/>
      <w:sz w:val="24"/>
      <w:szCs w:val="21"/>
    </w:rPr>
  </w:style>
  <w:style w:type="paragraph" w:customStyle="1" w:styleId="69">
    <w:name w:val="标书正文"/>
    <w:basedOn w:val="1"/>
    <w:link w:val="68"/>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0">
    <w:name w:val="正文文本 字符"/>
    <w:semiHidden/>
    <w:qFormat/>
    <w:uiPriority w:val="99"/>
    <w:rPr>
      <w:rFonts w:ascii="Times New Roman" w:hAnsi="Times New Roman"/>
      <w:kern w:val="2"/>
      <w:sz w:val="24"/>
      <w:szCs w:val="24"/>
    </w:rPr>
  </w:style>
  <w:style w:type="character" w:customStyle="1" w:styleId="71">
    <w:name w:val="页脚 Char"/>
    <w:qFormat/>
    <w:uiPriority w:val="0"/>
    <w:rPr>
      <w:kern w:val="2"/>
      <w:sz w:val="18"/>
      <w:szCs w:val="18"/>
    </w:rPr>
  </w:style>
  <w:style w:type="character" w:customStyle="1" w:styleId="72">
    <w:name w:val="neir1"/>
    <w:qFormat/>
    <w:uiPriority w:val="0"/>
    <w:rPr>
      <w:rFonts w:hint="default" w:ascii="ˎ̥" w:hAnsi="ˎ̥"/>
      <w:color w:val="333333"/>
      <w:sz w:val="21"/>
      <w:szCs w:val="21"/>
      <w:u w:val="none"/>
    </w:rPr>
  </w:style>
  <w:style w:type="character" w:customStyle="1" w:styleId="73">
    <w:name w:val="批注框文本 Char1"/>
    <w:link w:val="24"/>
    <w:qFormat/>
    <w:uiPriority w:val="0"/>
    <w:rPr>
      <w:rFonts w:ascii="Times New Roman" w:hAnsi="Times New Roman" w:eastAsia="宋体" w:cs="Times New Roman"/>
      <w:sz w:val="18"/>
      <w:szCs w:val="18"/>
    </w:rPr>
  </w:style>
  <w:style w:type="character" w:customStyle="1" w:styleId="74">
    <w:name w:val="正文文本 3 字符1"/>
    <w:semiHidden/>
    <w:qFormat/>
    <w:uiPriority w:val="99"/>
    <w:rPr>
      <w:rFonts w:ascii="宋体" w:hAnsi="Calibri" w:eastAsia="宋体" w:cs="Times New Roman"/>
      <w:kern w:val="0"/>
      <w:sz w:val="16"/>
      <w:szCs w:val="16"/>
    </w:rPr>
  </w:style>
  <w:style w:type="character" w:customStyle="1" w:styleId="75">
    <w:name w:val="正文文本 字符3"/>
    <w:semiHidden/>
    <w:qFormat/>
    <w:uiPriority w:val="99"/>
    <w:rPr>
      <w:rFonts w:ascii="宋体" w:hAnsi="Calibri" w:eastAsia="宋体" w:cs="Times New Roman"/>
      <w:kern w:val="0"/>
      <w:sz w:val="24"/>
      <w:szCs w:val="24"/>
    </w:rPr>
  </w:style>
  <w:style w:type="character" w:customStyle="1" w:styleId="76">
    <w:name w:val="日期 字符1"/>
    <w:semiHidden/>
    <w:qFormat/>
    <w:uiPriority w:val="99"/>
    <w:rPr>
      <w:rFonts w:ascii="宋体" w:hAnsi="Calibri" w:eastAsia="宋体" w:cs="Times New Roman"/>
      <w:kern w:val="0"/>
      <w:sz w:val="24"/>
      <w:szCs w:val="24"/>
    </w:rPr>
  </w:style>
  <w:style w:type="character" w:customStyle="1" w:styleId="77">
    <w:name w:val="页脚 Char2"/>
    <w:link w:val="25"/>
    <w:qFormat/>
    <w:uiPriority w:val="99"/>
    <w:rPr>
      <w:rFonts w:ascii="宋体" w:eastAsia="宋体"/>
      <w:sz w:val="18"/>
      <w:szCs w:val="18"/>
    </w:rPr>
  </w:style>
  <w:style w:type="character" w:customStyle="1" w:styleId="78">
    <w:name w:val="吉奥正文 Char"/>
    <w:link w:val="79"/>
    <w:qFormat/>
    <w:locked/>
    <w:uiPriority w:val="0"/>
    <w:rPr>
      <w:rFonts w:eastAsia="仿宋_GB2312"/>
      <w:sz w:val="28"/>
    </w:rPr>
  </w:style>
  <w:style w:type="paragraph" w:customStyle="1" w:styleId="79">
    <w:name w:val="吉奥正文"/>
    <w:basedOn w:val="1"/>
    <w:link w:val="78"/>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0">
    <w:name w:val="页脚 Char1"/>
    <w:qFormat/>
    <w:uiPriority w:val="99"/>
    <w:rPr>
      <w:rFonts w:ascii="宋体" w:hAnsi="Times New Roman" w:eastAsia="宋体" w:cs="Times New Roman"/>
      <w:kern w:val="0"/>
      <w:sz w:val="18"/>
      <w:szCs w:val="18"/>
    </w:rPr>
  </w:style>
  <w:style w:type="character" w:customStyle="1" w:styleId="81">
    <w:name w:val="标题 字符"/>
    <w:qFormat/>
    <w:uiPriority w:val="10"/>
    <w:rPr>
      <w:rFonts w:ascii="Cambria" w:hAnsi="Cambria" w:eastAsia="宋体" w:cs="Times New Roman"/>
      <w:b/>
      <w:bCs/>
      <w:kern w:val="0"/>
      <w:sz w:val="32"/>
      <w:szCs w:val="32"/>
      <w:lang w:val="en-US" w:eastAsia="zh-CN"/>
    </w:rPr>
  </w:style>
  <w:style w:type="character" w:customStyle="1" w:styleId="82">
    <w:name w:val="题注 Char"/>
    <w:link w:val="14"/>
    <w:qFormat/>
    <w:uiPriority w:val="0"/>
    <w:rPr>
      <w:rFonts w:ascii="Arial" w:hAnsi="Arial" w:eastAsia="黑体" w:cs="Arial"/>
    </w:rPr>
  </w:style>
  <w:style w:type="character" w:customStyle="1" w:styleId="83">
    <w:name w:val="批注文字 字符2"/>
    <w:qFormat/>
    <w:uiPriority w:val="99"/>
    <w:rPr>
      <w:rFonts w:ascii="宋体" w:hAnsi="Times New Roman" w:eastAsia="宋体" w:cs="Times New Roman"/>
      <w:kern w:val="0"/>
      <w:sz w:val="24"/>
      <w:szCs w:val="24"/>
    </w:rPr>
  </w:style>
  <w:style w:type="character" w:customStyle="1" w:styleId="84">
    <w:name w:val="批注主题 字符1"/>
    <w:semiHidden/>
    <w:qFormat/>
    <w:uiPriority w:val="99"/>
    <w:rPr>
      <w:rFonts w:ascii="宋体" w:hAnsi="Calibri" w:eastAsia="宋体" w:cs="Times New Roman"/>
      <w:b/>
      <w:bCs/>
      <w:kern w:val="0"/>
      <w:sz w:val="24"/>
      <w:szCs w:val="24"/>
    </w:rPr>
  </w:style>
  <w:style w:type="character" w:customStyle="1" w:styleId="85">
    <w:name w:val="HTML 预设格式 Char"/>
    <w:link w:val="32"/>
    <w:qFormat/>
    <w:uiPriority w:val="99"/>
    <w:rPr>
      <w:rFonts w:ascii="Arial" w:hAnsi="Arial" w:eastAsia="宋体" w:cs="Arial"/>
      <w:szCs w:val="21"/>
    </w:rPr>
  </w:style>
  <w:style w:type="character" w:customStyle="1" w:styleId="86">
    <w:name w:val="标题 3.1 Char"/>
    <w:link w:val="87"/>
    <w:qFormat/>
    <w:uiPriority w:val="0"/>
    <w:rPr>
      <w:rFonts w:ascii="宋体" w:hAnsi="宋体"/>
      <w:b/>
      <w:bCs/>
      <w:sz w:val="32"/>
      <w:szCs w:val="32"/>
    </w:rPr>
  </w:style>
  <w:style w:type="paragraph" w:customStyle="1" w:styleId="87">
    <w:name w:val="标题 3.1"/>
    <w:basedOn w:val="5"/>
    <w:link w:val="86"/>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8">
    <w:name w:val="HTML 预设格式 Char1"/>
    <w:semiHidden/>
    <w:qFormat/>
    <w:uiPriority w:val="99"/>
    <w:rPr>
      <w:rFonts w:ascii="Courier New" w:hAnsi="Courier New" w:eastAsia="宋体" w:cs="Courier New"/>
      <w:kern w:val="0"/>
      <w:sz w:val="20"/>
      <w:szCs w:val="20"/>
    </w:rPr>
  </w:style>
  <w:style w:type="character" w:customStyle="1" w:styleId="89">
    <w:name w:val="批注文字 字符1"/>
    <w:qFormat/>
    <w:uiPriority w:val="0"/>
    <w:rPr>
      <w:rFonts w:eastAsia="宋体"/>
      <w:kern w:val="2"/>
      <w:sz w:val="24"/>
      <w:szCs w:val="24"/>
      <w:lang w:val="en-US" w:eastAsia="zh-CN" w:bidi="ar-SA"/>
    </w:rPr>
  </w:style>
  <w:style w:type="character" w:customStyle="1" w:styleId="90">
    <w:name w:val="正文文本缩进 字符2"/>
    <w:semiHidden/>
    <w:qFormat/>
    <w:uiPriority w:val="99"/>
    <w:rPr>
      <w:rFonts w:ascii="宋体" w:hAnsi="Calibri" w:eastAsia="宋体" w:cs="Times New Roman"/>
      <w:kern w:val="0"/>
      <w:sz w:val="24"/>
      <w:szCs w:val="24"/>
    </w:rPr>
  </w:style>
  <w:style w:type="character" w:customStyle="1" w:styleId="91">
    <w:name w:val="正文文本缩进 Char1"/>
    <w:link w:val="19"/>
    <w:qFormat/>
    <w:uiPriority w:val="0"/>
    <w:rPr>
      <w:rFonts w:ascii="Times New Roman" w:hAnsi="Times New Roman" w:eastAsia="宋体" w:cs="Times New Roman"/>
      <w:szCs w:val="20"/>
    </w:rPr>
  </w:style>
  <w:style w:type="character" w:customStyle="1" w:styleId="92">
    <w:name w:val="普通(网站) Char1"/>
    <w:link w:val="33"/>
    <w:qFormat/>
    <w:locked/>
    <w:uiPriority w:val="0"/>
    <w:rPr>
      <w:rFonts w:ascii="宋体" w:hAnsi="宋体"/>
      <w:sz w:val="15"/>
      <w:szCs w:val="15"/>
    </w:rPr>
  </w:style>
  <w:style w:type="character" w:customStyle="1" w:styleId="93">
    <w:name w:val="模板正文 Char"/>
    <w:link w:val="9"/>
    <w:qFormat/>
    <w:uiPriority w:val="0"/>
    <w:rPr>
      <w:rFonts w:ascii="宋体" w:eastAsia="仿宋"/>
      <w:sz w:val="24"/>
      <w:szCs w:val="21"/>
    </w:rPr>
  </w:style>
  <w:style w:type="character" w:customStyle="1" w:styleId="94">
    <w:name w:val="批注主题 Char"/>
    <w:semiHidden/>
    <w:qFormat/>
    <w:uiPriority w:val="99"/>
    <w:rPr>
      <w:b/>
      <w:bCs/>
      <w:kern w:val="2"/>
      <w:sz w:val="21"/>
    </w:rPr>
  </w:style>
  <w:style w:type="character" w:customStyle="1" w:styleId="95">
    <w:name w:val="正文文本 Char1"/>
    <w:qFormat/>
    <w:uiPriority w:val="0"/>
    <w:rPr>
      <w:rFonts w:ascii="宋体" w:hAnsi="Times New Roman" w:eastAsia="宋体" w:cs="Times New Roman"/>
      <w:kern w:val="0"/>
      <w:sz w:val="24"/>
      <w:szCs w:val="24"/>
    </w:rPr>
  </w:style>
  <w:style w:type="character" w:customStyle="1" w:styleId="96">
    <w:name w:val="正文文本 字符1"/>
    <w:qFormat/>
    <w:uiPriority w:val="99"/>
    <w:rPr>
      <w:rFonts w:ascii="宋体" w:eastAsia="宋体"/>
      <w:b/>
      <w:bCs/>
      <w:sz w:val="84"/>
      <w:szCs w:val="84"/>
      <w:lang w:val="zh-CN"/>
    </w:rPr>
  </w:style>
  <w:style w:type="character" w:customStyle="1" w:styleId="97">
    <w:name w:val="标题 1 Char"/>
    <w:qFormat/>
    <w:uiPriority w:val="9"/>
    <w:rPr>
      <w:rFonts w:ascii="宋体" w:hAnsi="Times New Roman" w:eastAsia="宋体" w:cs="Times New Roman"/>
      <w:kern w:val="0"/>
      <w:sz w:val="24"/>
      <w:szCs w:val="24"/>
    </w:rPr>
  </w:style>
  <w:style w:type="character" w:customStyle="1" w:styleId="98">
    <w:name w:val="正文文本 Char2"/>
    <w:qFormat/>
    <w:uiPriority w:val="99"/>
    <w:rPr>
      <w:rFonts w:ascii="宋体" w:eastAsia="宋体"/>
      <w:b/>
      <w:bCs/>
      <w:sz w:val="84"/>
      <w:szCs w:val="84"/>
      <w:lang w:val="zh-CN"/>
    </w:rPr>
  </w:style>
  <w:style w:type="character" w:customStyle="1" w:styleId="99">
    <w:name w:val="纯文本 Char2"/>
    <w:link w:val="21"/>
    <w:qFormat/>
    <w:uiPriority w:val="0"/>
    <w:rPr>
      <w:rFonts w:ascii="宋体" w:hAnsi="Courier New" w:eastAsia="宋体"/>
    </w:rPr>
  </w:style>
  <w:style w:type="character" w:customStyle="1" w:styleId="100">
    <w:name w:val="正文文本缩进 2 Char"/>
    <w:link w:val="23"/>
    <w:qFormat/>
    <w:uiPriority w:val="0"/>
    <w:rPr>
      <w:rFonts w:ascii="宋体" w:hAnsi="Times New Roman" w:eastAsia="宋体" w:cs="Times New Roman"/>
      <w:szCs w:val="20"/>
    </w:rPr>
  </w:style>
  <w:style w:type="character" w:customStyle="1" w:styleId="101">
    <w:name w:val="HTML Markup"/>
    <w:qFormat/>
    <w:uiPriority w:val="0"/>
    <w:rPr>
      <w:vanish/>
      <w:color w:val="FF0000"/>
    </w:rPr>
  </w:style>
  <w:style w:type="character" w:customStyle="1" w:styleId="102">
    <w:name w:val="页眉 Char1"/>
    <w:qFormat/>
    <w:uiPriority w:val="0"/>
    <w:rPr>
      <w:rFonts w:ascii="宋体" w:hAnsi="Times New Roman" w:eastAsia="宋体" w:cs="Times New Roman"/>
      <w:kern w:val="0"/>
      <w:sz w:val="18"/>
      <w:szCs w:val="18"/>
    </w:rPr>
  </w:style>
  <w:style w:type="character" w:customStyle="1" w:styleId="103">
    <w:name w:val="font11"/>
    <w:qFormat/>
    <w:uiPriority w:val="0"/>
    <w:rPr>
      <w:rFonts w:hint="eastAsia" w:ascii="宋体" w:hAnsi="宋体" w:eastAsia="宋体" w:cs="宋体"/>
      <w:color w:val="FF0000"/>
      <w:sz w:val="22"/>
      <w:szCs w:val="22"/>
      <w:u w:val="none"/>
    </w:rPr>
  </w:style>
  <w:style w:type="character" w:customStyle="1" w:styleId="104">
    <w:name w:val="style61"/>
    <w:qFormat/>
    <w:uiPriority w:val="0"/>
    <w:rPr>
      <w:b/>
      <w:bCs/>
    </w:rPr>
  </w:style>
  <w:style w:type="character" w:customStyle="1" w:styleId="105">
    <w:name w:val="表头文字 Char"/>
    <w:link w:val="106"/>
    <w:qFormat/>
    <w:uiPriority w:val="0"/>
    <w:rPr>
      <w:rFonts w:eastAsia="仿宋_GB2312"/>
      <w:b/>
      <w:sz w:val="28"/>
      <w:szCs w:val="21"/>
    </w:rPr>
  </w:style>
  <w:style w:type="paragraph" w:customStyle="1" w:styleId="106">
    <w:name w:val="表头文字"/>
    <w:basedOn w:val="1"/>
    <w:link w:val="105"/>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7">
    <w:name w:val="日期 Char1"/>
    <w:link w:val="22"/>
    <w:qFormat/>
    <w:uiPriority w:val="99"/>
    <w:rPr>
      <w:rFonts w:ascii="宋体" w:hAnsi="Times New Roman" w:eastAsia="宋体" w:cs="Times New Roman"/>
      <w:b/>
      <w:bCs/>
      <w:szCs w:val="21"/>
      <w:lang w:val="zh-CN"/>
    </w:rPr>
  </w:style>
  <w:style w:type="character" w:customStyle="1" w:styleId="108">
    <w:name w:val="纯文本 Char1"/>
    <w:qFormat/>
    <w:uiPriority w:val="0"/>
    <w:rPr>
      <w:rFonts w:ascii="宋体" w:hAnsi="Courier New" w:eastAsia="宋体" w:cs="Courier New"/>
      <w:kern w:val="0"/>
      <w:szCs w:val="21"/>
    </w:rPr>
  </w:style>
  <w:style w:type="character" w:customStyle="1" w:styleId="109">
    <w:name w:val="批注主题 Char1"/>
    <w:link w:val="35"/>
    <w:qFormat/>
    <w:uiPriority w:val="99"/>
    <w:rPr>
      <w:rFonts w:ascii="宋体" w:hAnsi="Times New Roman" w:eastAsia="宋体" w:cs="Times New Roman"/>
      <w:b/>
      <w:bCs/>
      <w:kern w:val="0"/>
      <w:sz w:val="24"/>
      <w:szCs w:val="24"/>
    </w:rPr>
  </w:style>
  <w:style w:type="character" w:customStyle="1" w:styleId="110">
    <w:name w:val="纯文本 字符"/>
    <w:qFormat/>
    <w:uiPriority w:val="99"/>
    <w:rPr>
      <w:rFonts w:ascii="宋体" w:hAnsi="Courier New" w:eastAsia="宋体" w:cs="Times New Roman"/>
      <w:szCs w:val="20"/>
      <w:lang w:val="en-US" w:eastAsia="zh-CN"/>
    </w:rPr>
  </w:style>
  <w:style w:type="character" w:customStyle="1" w:styleId="111">
    <w:name w:val="font71"/>
    <w:qFormat/>
    <w:uiPriority w:val="0"/>
    <w:rPr>
      <w:rFonts w:hint="eastAsia" w:ascii="宋体" w:hAnsi="宋体" w:eastAsia="宋体" w:cs="宋体"/>
      <w:color w:val="FF0000"/>
      <w:sz w:val="18"/>
      <w:szCs w:val="18"/>
      <w:u w:val="none"/>
    </w:rPr>
  </w:style>
  <w:style w:type="character" w:customStyle="1" w:styleId="112">
    <w:name w:val="font21"/>
    <w:qFormat/>
    <w:uiPriority w:val="0"/>
    <w:rPr>
      <w:rFonts w:hint="eastAsia" w:ascii="宋体" w:hAnsi="宋体" w:eastAsia="宋体" w:cs="宋体"/>
      <w:b/>
      <w:color w:val="000000"/>
      <w:sz w:val="21"/>
      <w:szCs w:val="21"/>
      <w:u w:val="none"/>
    </w:rPr>
  </w:style>
  <w:style w:type="character" w:customStyle="1" w:styleId="113">
    <w:name w:val="纯文本 字符3"/>
    <w:semiHidden/>
    <w:qFormat/>
    <w:uiPriority w:val="99"/>
    <w:rPr>
      <w:rFonts w:ascii="等线" w:hAnsi="Courier New" w:cs="Courier New"/>
      <w:kern w:val="0"/>
      <w:sz w:val="24"/>
      <w:szCs w:val="24"/>
    </w:rPr>
  </w:style>
  <w:style w:type="character" w:customStyle="1" w:styleId="114">
    <w:name w:val="font31"/>
    <w:qFormat/>
    <w:uiPriority w:val="0"/>
    <w:rPr>
      <w:rFonts w:hint="eastAsia" w:ascii="宋体" w:hAnsi="宋体" w:eastAsia="宋体" w:cs="宋体"/>
      <w:color w:val="000000"/>
      <w:sz w:val="18"/>
      <w:szCs w:val="18"/>
      <w:u w:val="none"/>
    </w:rPr>
  </w:style>
  <w:style w:type="character" w:customStyle="1" w:styleId="115">
    <w:name w:val="文档结构图 Char"/>
    <w:link w:val="15"/>
    <w:semiHidden/>
    <w:qFormat/>
    <w:uiPriority w:val="99"/>
    <w:rPr>
      <w:rFonts w:ascii="宋体" w:hAnsi="Times New Roman" w:eastAsia="宋体" w:cs="Times New Roman"/>
      <w:kern w:val="0"/>
      <w:sz w:val="24"/>
      <w:szCs w:val="24"/>
      <w:shd w:val="clear" w:color="auto" w:fill="000080"/>
    </w:rPr>
  </w:style>
  <w:style w:type="character" w:customStyle="1" w:styleId="116">
    <w:name w:val="普通(网站) 字符1"/>
    <w:qFormat/>
    <w:locked/>
    <w:uiPriority w:val="0"/>
    <w:rPr>
      <w:rFonts w:ascii="宋体" w:hAnsi="宋体"/>
      <w:sz w:val="15"/>
      <w:szCs w:val="15"/>
    </w:rPr>
  </w:style>
  <w:style w:type="character" w:customStyle="1" w:styleId="117">
    <w:name w:val="正文文本 Char3"/>
    <w:link w:val="2"/>
    <w:qFormat/>
    <w:uiPriority w:val="99"/>
    <w:rPr>
      <w:rFonts w:ascii="宋体" w:eastAsia="宋体"/>
      <w:b/>
      <w:bCs/>
      <w:sz w:val="84"/>
      <w:szCs w:val="84"/>
      <w:lang w:val="zh-CN"/>
    </w:rPr>
  </w:style>
  <w:style w:type="character" w:customStyle="1" w:styleId="118">
    <w:name w:val="标题 5 Char"/>
    <w:semiHidden/>
    <w:qFormat/>
    <w:uiPriority w:val="9"/>
    <w:rPr>
      <w:b/>
      <w:bCs/>
      <w:kern w:val="2"/>
      <w:sz w:val="28"/>
      <w:szCs w:val="28"/>
    </w:rPr>
  </w:style>
  <w:style w:type="character" w:customStyle="1" w:styleId="119">
    <w:name w:val="页眉 Char2"/>
    <w:link w:val="26"/>
    <w:qFormat/>
    <w:uiPriority w:val="99"/>
    <w:rPr>
      <w:rFonts w:ascii="宋体" w:eastAsia="宋体"/>
      <w:sz w:val="18"/>
      <w:szCs w:val="18"/>
    </w:rPr>
  </w:style>
  <w:style w:type="character" w:customStyle="1" w:styleId="120">
    <w:name w:val="表格文字 Char"/>
    <w:link w:val="121"/>
    <w:qFormat/>
    <w:uiPriority w:val="0"/>
    <w:rPr>
      <w:rFonts w:eastAsia="仿宋_GB2312"/>
      <w:sz w:val="28"/>
      <w:szCs w:val="24"/>
    </w:rPr>
  </w:style>
  <w:style w:type="paragraph" w:customStyle="1" w:styleId="121">
    <w:name w:val="表格文字"/>
    <w:basedOn w:val="1"/>
    <w:link w:val="120"/>
    <w:qFormat/>
    <w:uiPriority w:val="0"/>
    <w:rPr>
      <w:rFonts w:eastAsia="仿宋_GB2312"/>
      <w:sz w:val="28"/>
      <w:szCs w:val="24"/>
    </w:rPr>
  </w:style>
  <w:style w:type="character" w:customStyle="1" w:styleId="122">
    <w:name w:val="标题 字符2"/>
    <w:qFormat/>
    <w:uiPriority w:val="10"/>
    <w:rPr>
      <w:rFonts w:ascii="等线 Light" w:hAnsi="等线 Light" w:eastAsia="等线 Light" w:cs="Times New Roman"/>
      <w:b/>
      <w:bCs/>
      <w:kern w:val="0"/>
      <w:sz w:val="32"/>
      <w:szCs w:val="32"/>
    </w:rPr>
  </w:style>
  <w:style w:type="character" w:customStyle="1" w:styleId="123">
    <w:name w:val="正文缩进2格 Char Char"/>
    <w:qFormat/>
    <w:uiPriority w:val="0"/>
    <w:rPr>
      <w:rFonts w:ascii="仿宋_GB2312" w:hAnsi="宋体" w:eastAsia="仿宋_GB2312"/>
      <w:kern w:val="2"/>
      <w:sz w:val="31"/>
      <w:szCs w:val="28"/>
      <w:lang w:val="en-US" w:eastAsia="zh-CN" w:bidi="ar-SA"/>
    </w:rPr>
  </w:style>
  <w:style w:type="character" w:customStyle="1" w:styleId="124">
    <w:name w:val="小 Char"/>
    <w:qFormat/>
    <w:uiPriority w:val="0"/>
    <w:rPr>
      <w:rFonts w:ascii="宋体" w:hAnsi="Courier New" w:eastAsia="宋体"/>
      <w:kern w:val="2"/>
      <w:sz w:val="21"/>
      <w:lang w:val="en-US" w:eastAsia="zh-CN" w:bidi="ar-SA"/>
    </w:rPr>
  </w:style>
  <w:style w:type="character" w:customStyle="1" w:styleId="125">
    <w:name w:val="themebody1"/>
    <w:qFormat/>
    <w:uiPriority w:val="0"/>
    <w:rPr>
      <w:color w:val="FFFFFF"/>
    </w:rPr>
  </w:style>
  <w:style w:type="character" w:customStyle="1" w:styleId="126">
    <w:name w:val="页脚 字符1"/>
    <w:semiHidden/>
    <w:qFormat/>
    <w:uiPriority w:val="99"/>
    <w:rPr>
      <w:rFonts w:ascii="宋体" w:hAnsi="Calibri" w:eastAsia="宋体" w:cs="Times New Roman"/>
      <w:kern w:val="0"/>
      <w:sz w:val="18"/>
      <w:szCs w:val="18"/>
    </w:rPr>
  </w:style>
  <w:style w:type="character" w:customStyle="1" w:styleId="127">
    <w:name w:val="列出段落 Char"/>
    <w:link w:val="128"/>
    <w:qFormat/>
    <w:uiPriority w:val="34"/>
    <w:rPr>
      <w:kern w:val="2"/>
      <w:sz w:val="21"/>
      <w:szCs w:val="22"/>
    </w:rPr>
  </w:style>
  <w:style w:type="paragraph" w:styleId="128">
    <w:name w:val="List Paragraph"/>
    <w:basedOn w:val="1"/>
    <w:link w:val="127"/>
    <w:qFormat/>
    <w:uiPriority w:val="34"/>
    <w:pPr>
      <w:ind w:firstLine="420" w:firstLineChars="200"/>
    </w:pPr>
  </w:style>
  <w:style w:type="character" w:customStyle="1" w:styleId="129">
    <w:name w:val="正文文本 Char"/>
    <w:qFormat/>
    <w:uiPriority w:val="99"/>
    <w:rPr>
      <w:rFonts w:ascii="宋体" w:eastAsia="宋体"/>
      <w:b/>
      <w:bCs/>
      <w:sz w:val="84"/>
      <w:szCs w:val="84"/>
      <w:lang w:val="zh-CN"/>
    </w:rPr>
  </w:style>
  <w:style w:type="character" w:customStyle="1" w:styleId="130">
    <w:name w:val="页眉 字符1"/>
    <w:semiHidden/>
    <w:qFormat/>
    <w:uiPriority w:val="99"/>
    <w:rPr>
      <w:rFonts w:ascii="宋体" w:hAnsi="Calibri" w:eastAsia="宋体" w:cs="Times New Roman"/>
      <w:kern w:val="0"/>
      <w:sz w:val="18"/>
      <w:szCs w:val="18"/>
    </w:rPr>
  </w:style>
  <w:style w:type="character" w:customStyle="1" w:styleId="131">
    <w:name w:val="标题 5 Char1"/>
    <w:link w:val="7"/>
    <w:qFormat/>
    <w:uiPriority w:val="9"/>
    <w:rPr>
      <w:rFonts w:ascii="宋体" w:hAnsi="Calibri" w:eastAsia="宋体" w:cs="Times New Roman"/>
      <w:b/>
      <w:bCs/>
      <w:kern w:val="0"/>
      <w:sz w:val="28"/>
      <w:szCs w:val="28"/>
    </w:rPr>
  </w:style>
  <w:style w:type="character" w:customStyle="1" w:styleId="132">
    <w:name w:val="keyfeatures1"/>
    <w:qFormat/>
    <w:uiPriority w:val="0"/>
    <w:rPr>
      <w:rFonts w:hint="default" w:ascii="Arial" w:hAnsi="Arial" w:cs="Arial"/>
      <w:color w:val="003366"/>
      <w:sz w:val="17"/>
      <w:szCs w:val="17"/>
      <w:u w:val="none"/>
    </w:rPr>
  </w:style>
  <w:style w:type="character" w:customStyle="1" w:styleId="133">
    <w:name w:val="题注 字符"/>
    <w:qFormat/>
    <w:uiPriority w:val="0"/>
    <w:rPr>
      <w:rFonts w:ascii="宋体" w:hAnsi="宋体" w:eastAsia="黑体" w:cs="Times New Roman"/>
      <w:b/>
      <w:szCs w:val="21"/>
    </w:rPr>
  </w:style>
  <w:style w:type="character" w:customStyle="1" w:styleId="134">
    <w:name w:val="标题 4 Char"/>
    <w:qFormat/>
    <w:uiPriority w:val="0"/>
    <w:rPr>
      <w:rFonts w:ascii="宋体" w:hAnsi="宋体" w:eastAsia="宋体"/>
      <w:b/>
      <w:kern w:val="2"/>
      <w:sz w:val="21"/>
      <w:szCs w:val="24"/>
      <w:lang w:val="en-US" w:eastAsia="zh-CN" w:bidi="ar-SA"/>
    </w:rPr>
  </w:style>
  <w:style w:type="character" w:customStyle="1" w:styleId="135">
    <w:name w:val="批注文字 字符3"/>
    <w:semiHidden/>
    <w:qFormat/>
    <w:uiPriority w:val="99"/>
    <w:rPr>
      <w:rFonts w:ascii="宋体" w:hAnsi="Calibri" w:eastAsia="宋体" w:cs="Times New Roman"/>
      <w:kern w:val="0"/>
      <w:sz w:val="24"/>
      <w:szCs w:val="24"/>
    </w:rPr>
  </w:style>
  <w:style w:type="character" w:customStyle="1" w:styleId="136">
    <w:name w:val="纯文本 字符1"/>
    <w:qFormat/>
    <w:uiPriority w:val="0"/>
    <w:rPr>
      <w:rFonts w:ascii="宋体" w:hAnsi="Courier New" w:eastAsia="宋体"/>
      <w:kern w:val="2"/>
      <w:sz w:val="21"/>
      <w:szCs w:val="24"/>
      <w:lang w:val="en-US" w:eastAsia="zh-CN" w:bidi="ar-SA"/>
    </w:rPr>
  </w:style>
  <w:style w:type="character" w:customStyle="1" w:styleId="137">
    <w:name w:val="列出段落 Char1"/>
    <w:qFormat/>
    <w:uiPriority w:val="34"/>
    <w:rPr>
      <w:rFonts w:ascii="宋体"/>
      <w:sz w:val="24"/>
      <w:szCs w:val="24"/>
    </w:rPr>
  </w:style>
  <w:style w:type="character" w:customStyle="1" w:styleId="138">
    <w:name w:val="彩色列表 - 着色 1 字符"/>
    <w:link w:val="139"/>
    <w:qFormat/>
    <w:uiPriority w:val="0"/>
    <w:rPr>
      <w:rFonts w:ascii="Calibri" w:hAnsi="Calibri"/>
    </w:rPr>
  </w:style>
  <w:style w:type="paragraph" w:customStyle="1" w:styleId="139">
    <w:name w:val="彩色列表 - 着色 11"/>
    <w:basedOn w:val="1"/>
    <w:link w:val="138"/>
    <w:qFormat/>
    <w:uiPriority w:val="0"/>
    <w:pPr>
      <w:ind w:firstLine="420" w:firstLineChars="200"/>
    </w:pPr>
    <w:rPr>
      <w:rFonts w:ascii="Calibri" w:hAnsi="Calibri"/>
    </w:rPr>
  </w:style>
  <w:style w:type="character" w:customStyle="1" w:styleId="140">
    <w:name w:val="纯文本 Char"/>
    <w:qFormat/>
    <w:uiPriority w:val="0"/>
    <w:rPr>
      <w:rFonts w:ascii="宋体" w:hAnsi="Courier New" w:eastAsia="宋体" w:cs="Times New Roman"/>
      <w:szCs w:val="20"/>
    </w:rPr>
  </w:style>
  <w:style w:type="character" w:customStyle="1" w:styleId="141">
    <w:name w:val="标题 6 Char"/>
    <w:link w:val="8"/>
    <w:qFormat/>
    <w:uiPriority w:val="9"/>
    <w:rPr>
      <w:rFonts w:ascii="Times New Roman" w:hAnsi="Calibri" w:eastAsia="黑体" w:cs="Times New Roman"/>
      <w:b/>
      <w:bCs/>
      <w:kern w:val="0"/>
      <w:sz w:val="28"/>
      <w:szCs w:val="24"/>
    </w:rPr>
  </w:style>
  <w:style w:type="character" w:customStyle="1" w:styleId="142">
    <w:name w:val="正文文本 2 Char"/>
    <w:link w:val="31"/>
    <w:qFormat/>
    <w:uiPriority w:val="0"/>
    <w:rPr>
      <w:rFonts w:ascii="Arial" w:hAnsi="Arial" w:eastAsia="宋体" w:cs="Times New Roman"/>
      <w:color w:val="000000"/>
      <w:szCs w:val="24"/>
    </w:rPr>
  </w:style>
  <w:style w:type="character" w:customStyle="1" w:styleId="143">
    <w:name w:val="标题 3 Char"/>
    <w:link w:val="5"/>
    <w:qFormat/>
    <w:uiPriority w:val="0"/>
    <w:rPr>
      <w:rFonts w:ascii="宋体" w:hAnsi="Calibri" w:eastAsia="宋体" w:cs="Times New Roman"/>
      <w:kern w:val="0"/>
      <w:sz w:val="24"/>
      <w:szCs w:val="24"/>
    </w:rPr>
  </w:style>
  <w:style w:type="character" w:customStyle="1" w:styleId="144">
    <w:name w:val="正文文本缩进 2 字符1"/>
    <w:semiHidden/>
    <w:qFormat/>
    <w:uiPriority w:val="99"/>
    <w:rPr>
      <w:rFonts w:ascii="宋体" w:hAnsi="Calibri" w:eastAsia="宋体" w:cs="Times New Roman"/>
      <w:kern w:val="0"/>
      <w:sz w:val="24"/>
      <w:szCs w:val="24"/>
    </w:rPr>
  </w:style>
  <w:style w:type="character" w:customStyle="1" w:styleId="145">
    <w:name w:val="正文文本缩进 3 字符1"/>
    <w:semiHidden/>
    <w:qFormat/>
    <w:uiPriority w:val="99"/>
    <w:rPr>
      <w:rFonts w:ascii="宋体" w:hAnsi="Calibri" w:eastAsia="宋体" w:cs="Times New Roman"/>
      <w:kern w:val="0"/>
      <w:sz w:val="16"/>
      <w:szCs w:val="16"/>
    </w:rPr>
  </w:style>
  <w:style w:type="character" w:customStyle="1" w:styleId="146">
    <w:name w:val="正文文本 2 字符1"/>
    <w:semiHidden/>
    <w:qFormat/>
    <w:uiPriority w:val="99"/>
    <w:rPr>
      <w:rFonts w:ascii="宋体" w:hAnsi="Calibri" w:eastAsia="宋体" w:cs="Times New Roman"/>
      <w:kern w:val="0"/>
      <w:sz w:val="24"/>
      <w:szCs w:val="24"/>
    </w:rPr>
  </w:style>
  <w:style w:type="character" w:customStyle="1" w:styleId="147">
    <w:name w:val="eschoolnr"/>
    <w:qFormat/>
    <w:uiPriority w:val="0"/>
    <w:rPr>
      <w:sz w:val="23"/>
      <w:szCs w:val="23"/>
    </w:rPr>
  </w:style>
  <w:style w:type="character" w:customStyle="1" w:styleId="148">
    <w:name w:val="访问过的超链接1"/>
    <w:qFormat/>
    <w:uiPriority w:val="0"/>
    <w:rPr>
      <w:rFonts w:ascii="Arial" w:hAnsi="Arial" w:cs="Arial"/>
      <w:color w:val="000000"/>
      <w:sz w:val="20"/>
      <w:szCs w:val="20"/>
      <w:u w:val="none"/>
    </w:rPr>
  </w:style>
  <w:style w:type="character" w:customStyle="1" w:styleId="149">
    <w:name w:val="标题 1 Char1"/>
    <w:link w:val="3"/>
    <w:qFormat/>
    <w:uiPriority w:val="0"/>
    <w:rPr>
      <w:rFonts w:ascii="宋体" w:hAnsi="Calibri" w:eastAsia="宋体" w:cs="Times New Roman"/>
      <w:kern w:val="0"/>
      <w:sz w:val="24"/>
      <w:szCs w:val="24"/>
    </w:rPr>
  </w:style>
  <w:style w:type="character" w:customStyle="1" w:styleId="150">
    <w:name w:val="批注文字 Char1"/>
    <w:qFormat/>
    <w:uiPriority w:val="0"/>
    <w:rPr>
      <w:kern w:val="2"/>
      <w:sz w:val="21"/>
      <w:szCs w:val="24"/>
    </w:rPr>
  </w:style>
  <w:style w:type="character" w:customStyle="1" w:styleId="151">
    <w:name w:val="批注框文本 Char"/>
    <w:semiHidden/>
    <w:qFormat/>
    <w:uiPriority w:val="99"/>
    <w:rPr>
      <w:kern w:val="2"/>
      <w:sz w:val="18"/>
      <w:szCs w:val="18"/>
    </w:rPr>
  </w:style>
  <w:style w:type="character" w:customStyle="1" w:styleId="152">
    <w:name w:val="DAS正文 Char"/>
    <w:qFormat/>
    <w:uiPriority w:val="0"/>
    <w:rPr>
      <w:rFonts w:ascii="Verdana" w:hAnsi="Verdana" w:eastAsia="宋体"/>
      <w:kern w:val="2"/>
      <w:sz w:val="21"/>
      <w:szCs w:val="21"/>
      <w:lang w:val="en-US" w:eastAsia="zh-CN" w:bidi="ar-SA"/>
    </w:rPr>
  </w:style>
  <w:style w:type="character" w:customStyle="1" w:styleId="153">
    <w:name w:val="正文文本缩进 3 Char"/>
    <w:link w:val="29"/>
    <w:qFormat/>
    <w:uiPriority w:val="0"/>
    <w:rPr>
      <w:rFonts w:ascii="宋体" w:hAnsi="Times New Roman" w:eastAsia="宋体" w:cs="Times New Roman"/>
      <w:kern w:val="0"/>
      <w:sz w:val="24"/>
      <w:szCs w:val="24"/>
    </w:rPr>
  </w:style>
  <w:style w:type="character" w:customStyle="1" w:styleId="154">
    <w:name w:val="页眉 Char"/>
    <w:qFormat/>
    <w:uiPriority w:val="99"/>
    <w:rPr>
      <w:kern w:val="2"/>
      <w:sz w:val="18"/>
      <w:szCs w:val="18"/>
    </w:rPr>
  </w:style>
  <w:style w:type="character" w:customStyle="1" w:styleId="155">
    <w:name w:val="正文文本 3 Char"/>
    <w:link w:val="18"/>
    <w:qFormat/>
    <w:uiPriority w:val="0"/>
    <w:rPr>
      <w:rFonts w:ascii="宋体" w:hAnsi="Times New Roman" w:eastAsia="宋体" w:cs="Times New Roman"/>
      <w:b/>
      <w:bCs/>
      <w:color w:val="3366FF"/>
      <w:sz w:val="52"/>
      <w:szCs w:val="52"/>
      <w:lang w:val="zh-CN"/>
    </w:rPr>
  </w:style>
  <w:style w:type="character" w:customStyle="1" w:styleId="156">
    <w:name w:val="HTML 预设格式 字符1"/>
    <w:semiHidden/>
    <w:qFormat/>
    <w:uiPriority w:val="99"/>
    <w:rPr>
      <w:rFonts w:ascii="Courier New" w:hAnsi="Courier New" w:eastAsia="宋体" w:cs="Courier New"/>
      <w:kern w:val="0"/>
      <w:sz w:val="20"/>
      <w:szCs w:val="20"/>
    </w:rPr>
  </w:style>
  <w:style w:type="character" w:customStyle="1" w:styleId="157">
    <w:name w:val="彩色列表 - 强调文字颜色 1 Char"/>
    <w:link w:val="158"/>
    <w:qFormat/>
    <w:uiPriority w:val="0"/>
    <w:rPr>
      <w:rFonts w:ascii="宋体"/>
      <w:sz w:val="24"/>
      <w:szCs w:val="24"/>
    </w:rPr>
  </w:style>
  <w:style w:type="paragraph" w:customStyle="1" w:styleId="158">
    <w:name w:val="彩色列表 - 强调文字颜色 11"/>
    <w:basedOn w:val="1"/>
    <w:link w:val="157"/>
    <w:qFormat/>
    <w:uiPriority w:val="0"/>
    <w:pPr>
      <w:autoSpaceDE w:val="0"/>
      <w:autoSpaceDN w:val="0"/>
      <w:adjustRightInd w:val="0"/>
      <w:ind w:firstLine="420" w:firstLineChars="200"/>
      <w:jc w:val="left"/>
    </w:pPr>
    <w:rPr>
      <w:rFonts w:ascii="宋体"/>
      <w:sz w:val="24"/>
      <w:szCs w:val="24"/>
    </w:rPr>
  </w:style>
  <w:style w:type="character" w:customStyle="1" w:styleId="159">
    <w:name w:val="普通(网站) 字符"/>
    <w:qFormat/>
    <w:locked/>
    <w:uiPriority w:val="99"/>
    <w:rPr>
      <w:rFonts w:ascii="宋体" w:hAnsi="宋体" w:eastAsia="宋体" w:cs="Times New Roman"/>
      <w:kern w:val="0"/>
      <w:sz w:val="15"/>
      <w:szCs w:val="15"/>
      <w:lang w:val="en-US" w:eastAsia="zh-CN"/>
    </w:rPr>
  </w:style>
  <w:style w:type="paragraph" w:customStyle="1" w:styleId="160">
    <w:name w:val="_Style 123"/>
    <w:basedOn w:val="1"/>
    <w:next w:val="128"/>
    <w:qFormat/>
    <w:uiPriority w:val="34"/>
    <w:pPr>
      <w:spacing w:line="360" w:lineRule="auto"/>
      <w:ind w:firstLine="420" w:firstLineChars="200"/>
    </w:pPr>
    <w:rPr>
      <w:rFonts w:ascii="Calibri" w:hAnsi="Calibri" w:eastAsia="宋体" w:cs="Times New Roman"/>
    </w:rPr>
  </w:style>
  <w:style w:type="character" w:customStyle="1" w:styleId="161">
    <w:name w:val="纯文本 字符4"/>
    <w:basedOn w:val="39"/>
    <w:semiHidden/>
    <w:qFormat/>
    <w:uiPriority w:val="99"/>
    <w:rPr>
      <w:rFonts w:hAnsi="Courier New" w:cs="Courier New" w:asciiTheme="minorEastAsia"/>
    </w:rPr>
  </w:style>
  <w:style w:type="character" w:customStyle="1" w:styleId="162">
    <w:name w:val="批注文字 Char2"/>
    <w:basedOn w:val="39"/>
    <w:link w:val="17"/>
    <w:semiHidden/>
    <w:qFormat/>
    <w:uiPriority w:val="99"/>
  </w:style>
  <w:style w:type="character" w:customStyle="1" w:styleId="163">
    <w:name w:val="批注主题 字符2"/>
    <w:basedOn w:val="162"/>
    <w:semiHidden/>
    <w:qFormat/>
    <w:uiPriority w:val="99"/>
    <w:rPr>
      <w:b/>
      <w:bCs/>
    </w:rPr>
  </w:style>
  <w:style w:type="character" w:customStyle="1" w:styleId="164">
    <w:name w:val="标题 字符3"/>
    <w:basedOn w:val="39"/>
    <w:qFormat/>
    <w:uiPriority w:val="10"/>
    <w:rPr>
      <w:rFonts w:asciiTheme="majorHAnsi" w:hAnsiTheme="majorHAnsi" w:eastAsiaTheme="majorEastAsia" w:cstheme="majorBidi"/>
      <w:b/>
      <w:bCs/>
      <w:sz w:val="32"/>
      <w:szCs w:val="32"/>
    </w:rPr>
  </w:style>
  <w:style w:type="character" w:customStyle="1" w:styleId="165">
    <w:name w:val="正文文本缩进 字符3"/>
    <w:basedOn w:val="39"/>
    <w:semiHidden/>
    <w:qFormat/>
    <w:uiPriority w:val="99"/>
  </w:style>
  <w:style w:type="character" w:customStyle="1" w:styleId="166">
    <w:name w:val="正文文本 字符4"/>
    <w:basedOn w:val="39"/>
    <w:semiHidden/>
    <w:qFormat/>
    <w:uiPriority w:val="99"/>
  </w:style>
  <w:style w:type="character" w:customStyle="1" w:styleId="167">
    <w:name w:val="正文文本缩进 3 字符2"/>
    <w:basedOn w:val="39"/>
    <w:semiHidden/>
    <w:qFormat/>
    <w:uiPriority w:val="99"/>
    <w:rPr>
      <w:sz w:val="16"/>
      <w:szCs w:val="16"/>
    </w:rPr>
  </w:style>
  <w:style w:type="character" w:customStyle="1" w:styleId="168">
    <w:name w:val="页眉 字符2"/>
    <w:basedOn w:val="39"/>
    <w:semiHidden/>
    <w:qFormat/>
    <w:uiPriority w:val="99"/>
    <w:rPr>
      <w:sz w:val="18"/>
      <w:szCs w:val="18"/>
    </w:rPr>
  </w:style>
  <w:style w:type="character" w:customStyle="1" w:styleId="169">
    <w:name w:val="批注框文本 字符2"/>
    <w:basedOn w:val="39"/>
    <w:semiHidden/>
    <w:qFormat/>
    <w:uiPriority w:val="99"/>
    <w:rPr>
      <w:sz w:val="18"/>
      <w:szCs w:val="18"/>
    </w:rPr>
  </w:style>
  <w:style w:type="character" w:customStyle="1" w:styleId="170">
    <w:name w:val="HTML 预设格式 字符2"/>
    <w:basedOn w:val="39"/>
    <w:semiHidden/>
    <w:qFormat/>
    <w:uiPriority w:val="99"/>
    <w:rPr>
      <w:rFonts w:ascii="Courier New" w:hAnsi="Courier New" w:cs="Courier New"/>
      <w:sz w:val="20"/>
      <w:szCs w:val="20"/>
    </w:rPr>
  </w:style>
  <w:style w:type="character" w:customStyle="1" w:styleId="171">
    <w:name w:val="页脚 字符2"/>
    <w:basedOn w:val="39"/>
    <w:semiHidden/>
    <w:qFormat/>
    <w:uiPriority w:val="99"/>
    <w:rPr>
      <w:sz w:val="18"/>
      <w:szCs w:val="18"/>
    </w:rPr>
  </w:style>
  <w:style w:type="character" w:customStyle="1" w:styleId="172">
    <w:name w:val="正文文本缩进 2 字符2"/>
    <w:basedOn w:val="39"/>
    <w:semiHidden/>
    <w:qFormat/>
    <w:uiPriority w:val="99"/>
  </w:style>
  <w:style w:type="character" w:customStyle="1" w:styleId="173">
    <w:name w:val="正文文本 3 字符2"/>
    <w:basedOn w:val="39"/>
    <w:semiHidden/>
    <w:qFormat/>
    <w:uiPriority w:val="99"/>
    <w:rPr>
      <w:sz w:val="16"/>
      <w:szCs w:val="16"/>
    </w:rPr>
  </w:style>
  <w:style w:type="character" w:customStyle="1" w:styleId="174">
    <w:name w:val="正文文本 2 字符2"/>
    <w:basedOn w:val="39"/>
    <w:semiHidden/>
    <w:qFormat/>
    <w:uiPriority w:val="99"/>
  </w:style>
  <w:style w:type="paragraph" w:customStyle="1" w:styleId="175">
    <w:name w:val="WPSOffice手动目录 3"/>
    <w:qFormat/>
    <w:uiPriority w:val="0"/>
    <w:pPr>
      <w:ind w:left="400" w:leftChars="400"/>
    </w:pPr>
    <w:rPr>
      <w:rFonts w:ascii="Calibri" w:hAnsi="Calibri" w:eastAsia="宋体" w:cs="Times New Roman"/>
      <w:lang w:val="en-US" w:eastAsia="zh-CN" w:bidi="ar-SA"/>
    </w:rPr>
  </w:style>
  <w:style w:type="paragraph" w:customStyle="1" w:styleId="176">
    <w:name w:val="列表段落1"/>
    <w:basedOn w:val="1"/>
    <w:qFormat/>
    <w:uiPriority w:val="0"/>
    <w:pPr>
      <w:ind w:firstLine="420" w:firstLineChars="200"/>
    </w:pPr>
    <w:rPr>
      <w:rFonts w:ascii="Times New Roman" w:hAnsi="Times New Roman" w:eastAsia="宋体" w:cs="Times New Roman"/>
      <w:szCs w:val="20"/>
    </w:rPr>
  </w:style>
  <w:style w:type="character" w:customStyle="1" w:styleId="177">
    <w:name w:val="文档结构图 字符2"/>
    <w:basedOn w:val="39"/>
    <w:semiHidden/>
    <w:qFormat/>
    <w:uiPriority w:val="99"/>
    <w:rPr>
      <w:rFonts w:ascii="Microsoft YaHei UI" w:eastAsia="Microsoft YaHei UI"/>
      <w:sz w:val="18"/>
      <w:szCs w:val="18"/>
    </w:rPr>
  </w:style>
  <w:style w:type="character" w:customStyle="1" w:styleId="178">
    <w:name w:val="日期 字符2"/>
    <w:basedOn w:val="39"/>
    <w:semiHidden/>
    <w:qFormat/>
    <w:uiPriority w:val="99"/>
  </w:style>
  <w:style w:type="paragraph" w:customStyle="1" w:styleId="179">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0">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1">
    <w:name w:val="修订1"/>
    <w:semiHidden/>
    <w:qFormat/>
    <w:uiPriority w:val="99"/>
    <w:rPr>
      <w:rFonts w:ascii="宋体" w:hAnsi="Calibri" w:eastAsia="宋体" w:cs="Times New Roman"/>
      <w:sz w:val="24"/>
      <w:szCs w:val="24"/>
      <w:lang w:val="en-US" w:eastAsia="zh-CN" w:bidi="ar-SA"/>
    </w:rPr>
  </w:style>
  <w:style w:type="paragraph" w:customStyle="1" w:styleId="182">
    <w:name w:val="图/图注"/>
    <w:basedOn w:val="9"/>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4">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5">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6">
    <w:name w:val="p0"/>
    <w:basedOn w:val="1"/>
    <w:qFormat/>
    <w:uiPriority w:val="0"/>
    <w:pPr>
      <w:widowControl/>
    </w:pPr>
    <w:rPr>
      <w:rFonts w:ascii="Times New Roman" w:hAnsi="Calibri" w:eastAsia="宋体" w:cs="Times New Roman"/>
      <w:kern w:val="0"/>
      <w:szCs w:val="20"/>
    </w:rPr>
  </w:style>
  <w:style w:type="paragraph" w:customStyle="1" w:styleId="187">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89">
    <w:name w:val="网格表 32"/>
    <w:basedOn w:val="3"/>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0">
    <w:name w:val="WPSOffice手动目录 1"/>
    <w:qFormat/>
    <w:uiPriority w:val="0"/>
    <w:rPr>
      <w:rFonts w:ascii="Calibri" w:hAnsi="Calibri" w:eastAsia="宋体" w:cs="Times New Roman"/>
      <w:lang w:val="en-US" w:eastAsia="zh-CN" w:bidi="ar-SA"/>
    </w:rPr>
  </w:style>
  <w:style w:type="paragraph" w:customStyle="1" w:styleId="191">
    <w:name w:val="_Style 69"/>
    <w:basedOn w:val="1"/>
    <w:next w:val="128"/>
    <w:qFormat/>
    <w:uiPriority w:val="34"/>
    <w:pPr>
      <w:spacing w:line="360" w:lineRule="auto"/>
      <w:ind w:firstLine="420" w:firstLineChars="200"/>
    </w:pPr>
    <w:rPr>
      <w:rFonts w:ascii="Calibri" w:hAnsi="Calibri" w:eastAsia="宋体" w:cs="Times New Roman"/>
    </w:rPr>
  </w:style>
  <w:style w:type="paragraph" w:customStyle="1" w:styleId="192">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3">
    <w:name w:val="保留正文"/>
    <w:basedOn w:val="2"/>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4">
    <w:name w:val="彩色底纹 - 着色 11"/>
    <w:semiHidden/>
    <w:qFormat/>
    <w:uiPriority w:val="99"/>
    <w:rPr>
      <w:rFonts w:ascii="宋体" w:hAnsi="Calibri" w:eastAsia="宋体" w:cs="Times New Roman"/>
      <w:sz w:val="24"/>
      <w:szCs w:val="24"/>
      <w:lang w:val="en-US" w:eastAsia="zh-CN" w:bidi="ar-SA"/>
    </w:rPr>
  </w:style>
  <w:style w:type="paragraph" w:customStyle="1" w:styleId="195">
    <w:name w:val="WPSOffice手动目录 2"/>
    <w:qFormat/>
    <w:uiPriority w:val="0"/>
    <w:pPr>
      <w:ind w:left="200" w:leftChars="200"/>
    </w:pPr>
    <w:rPr>
      <w:rFonts w:ascii="Calibri" w:hAnsi="Calibri" w:eastAsia="宋体" w:cs="Times New Roman"/>
      <w:lang w:val="en-US" w:eastAsia="zh-CN" w:bidi="ar-SA"/>
    </w:rPr>
  </w:style>
  <w:style w:type="paragraph" w:customStyle="1" w:styleId="196">
    <w:name w:val="网格表 31"/>
    <w:basedOn w:val="3"/>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7">
    <w:name w:val="表格文字居中"/>
    <w:basedOn w:val="121"/>
    <w:qFormat/>
    <w:uiPriority w:val="0"/>
    <w:pPr>
      <w:jc w:val="center"/>
    </w:pPr>
    <w:rPr>
      <w:rFonts w:cs="宋体"/>
      <w:szCs w:val="20"/>
    </w:rPr>
  </w:style>
  <w:style w:type="paragraph" w:customStyle="1" w:styleId="198">
    <w:name w:val="正文缩进4格"/>
    <w:basedOn w:val="62"/>
    <w:qFormat/>
    <w:uiPriority w:val="0"/>
    <w:pPr>
      <w:spacing w:line="360" w:lineRule="auto"/>
      <w:ind w:left="964" w:leftChars="314" w:hanging="210" w:hangingChars="100"/>
    </w:pPr>
    <w:rPr>
      <w:rFonts w:ascii="宋体" w:eastAsia="宋体"/>
      <w:sz w:val="21"/>
      <w:szCs w:val="21"/>
      <w:lang w:val="zh-CN"/>
    </w:rPr>
  </w:style>
  <w:style w:type="paragraph" w:customStyle="1" w:styleId="199">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0">
    <w:name w:val="正文首行缩进 Char"/>
    <w:basedOn w:val="117"/>
    <w:link w:val="36"/>
    <w:semiHidden/>
    <w:qFormat/>
    <w:uiPriority w:val="99"/>
    <w:rPr>
      <w:rFonts w:ascii="宋体" w:eastAsia="宋体"/>
      <w:b w:val="0"/>
      <w:bCs w:val="0"/>
      <w:sz w:val="84"/>
      <w:szCs w:val="84"/>
      <w:lang w:val="zh-CN"/>
    </w:rPr>
  </w:style>
  <w:style w:type="paragraph" w:customStyle="1" w:styleId="201">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2">
    <w:name w:val="文档正文"/>
    <w:basedOn w:val="1"/>
    <w:qFormat/>
    <w:uiPriority w:val="0"/>
    <w:pPr>
      <w:spacing w:line="360" w:lineRule="auto"/>
    </w:pPr>
    <w:rPr>
      <w:rFonts w:cs="Arial"/>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124</Pages>
  <Words>23995</Words>
  <Characters>25105</Characters>
  <Lines>314</Lines>
  <Paragraphs>88</Paragraphs>
  <TotalTime>0</TotalTime>
  <ScaleCrop>false</ScaleCrop>
  <LinksUpToDate>false</LinksUpToDate>
  <CharactersWithSpaces>25674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郑翠婷</cp:lastModifiedBy>
  <dcterms:modified xsi:type="dcterms:W3CDTF">2025-03-13T05:23:52Z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A4246257EF8E4D5F8CA5BCF2605AB0F5_13</vt:lpwstr>
  </property>
  <property fmtid="{D5CDD505-2E9C-101B-9397-08002B2CF9AE}" pid="4" name="KSOTemplateDocerSaveRecord">
    <vt:lpwstr>eyJoZGlkIjoiYjM3MDlmZjc5NjhlNzcxODhhNDYyMDVhNmE1MTU0NzgiLCJ1c2VySWQiOiI0MzczNTY5ODQifQ==</vt:lpwstr>
  </property>
</Properties>
</file>