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2E536">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6524DA03">
      <w:pPr>
        <w:autoSpaceDE w:val="0"/>
        <w:autoSpaceDN w:val="0"/>
        <w:adjustRightInd w:val="0"/>
        <w:spacing w:line="276" w:lineRule="auto"/>
        <w:ind w:left="357" w:leftChars="170" w:right="-23" w:rightChars="-11"/>
        <w:jc w:val="center"/>
        <w:outlineLvl w:val="9"/>
        <w:rPr>
          <w:rFonts w:ascii="宋体" w:hAnsi="宋体" w:eastAsia="宋体" w:cs="宋体"/>
          <w:b/>
          <w:bCs/>
          <w:color w:val="auto"/>
          <w:kern w:val="0"/>
          <w:sz w:val="60"/>
          <w:szCs w:val="60"/>
          <w:highlight w:val="none"/>
          <w:lang w:val="zh-CN"/>
        </w:rPr>
      </w:pPr>
      <w:bookmarkStart w:id="0" w:name="_Toc12052"/>
      <w:r>
        <w:rPr>
          <w:rFonts w:hint="eastAsia" w:ascii="宋体" w:hAnsi="宋体" w:eastAsia="宋体" w:cs="宋体"/>
          <w:b/>
          <w:bCs/>
          <w:color w:val="auto"/>
          <w:kern w:val="0"/>
          <w:sz w:val="60"/>
          <w:szCs w:val="60"/>
          <w:highlight w:val="none"/>
          <w:lang w:val="zh-CN"/>
        </w:rPr>
        <w:t>东莞市涉水收费统一征收平台2025年度运维服务项目</w:t>
      </w:r>
      <w:bookmarkEnd w:id="0"/>
    </w:p>
    <w:p w14:paraId="63EDFD18">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7FC65B30">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34D0ADA1">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1BEFEC50">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5370BDF7">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338FBDB5">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41CB4F24">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6EB9DA2D">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5DD6A791">
      <w:pPr>
        <w:autoSpaceDE w:val="0"/>
        <w:autoSpaceDN w:val="0"/>
        <w:adjustRightInd w:val="0"/>
        <w:spacing w:line="480" w:lineRule="auto"/>
        <w:ind w:left="1842" w:leftChars="877" w:firstLine="19" w:firstLineChars="6"/>
        <w:jc w:val="left"/>
        <w:outlineLvl w:val="9"/>
        <w:rPr>
          <w:rFonts w:ascii="宋体" w:hAnsi="宋体" w:eastAsia="宋体" w:cs="Times New Roman"/>
          <w:b/>
          <w:bCs/>
          <w:color w:val="auto"/>
          <w:sz w:val="32"/>
          <w:szCs w:val="32"/>
          <w:highlight w:val="none"/>
          <w:lang w:val="zh-CN"/>
        </w:rPr>
      </w:pPr>
      <w:bookmarkStart w:id="1" w:name="_Toc652"/>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w:t>
      </w:r>
      <w:r>
        <w:rPr>
          <w:rFonts w:ascii="宋体" w:hAnsi="宋体" w:eastAsia="宋体" w:cs="Times New Roman"/>
          <w:b/>
          <w:bCs/>
          <w:color w:val="auto"/>
          <w:sz w:val="32"/>
          <w:szCs w:val="32"/>
          <w:highlight w:val="none"/>
          <w:lang w:val="zh-CN"/>
        </w:rPr>
        <w:t>YDZB24DGQY0208</w:t>
      </w:r>
      <w:bookmarkEnd w:id="1"/>
    </w:p>
    <w:p w14:paraId="472780B4">
      <w:pPr>
        <w:autoSpaceDE w:val="0"/>
        <w:autoSpaceDN w:val="0"/>
        <w:adjustRightInd w:val="0"/>
        <w:spacing w:line="480" w:lineRule="auto"/>
        <w:ind w:left="1842" w:leftChars="877" w:firstLine="19" w:firstLineChars="6"/>
        <w:jc w:val="left"/>
        <w:outlineLvl w:val="9"/>
        <w:rPr>
          <w:rFonts w:ascii="宋体" w:hAnsi="宋体" w:eastAsia="宋体" w:cs="Times New Roman"/>
          <w:b/>
          <w:bCs/>
          <w:color w:val="auto"/>
          <w:sz w:val="32"/>
          <w:szCs w:val="32"/>
          <w:highlight w:val="none"/>
          <w:lang w:val="zh-CN"/>
        </w:rPr>
      </w:pPr>
      <w:bookmarkStart w:id="2" w:name="_Toc28702"/>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w:t>
      </w:r>
      <w:bookmarkEnd w:id="2"/>
      <w:r>
        <w:rPr>
          <w:rFonts w:hint="eastAsia" w:ascii="宋体" w:hAnsi="宋体" w:eastAsia="宋体" w:cs="Times New Roman"/>
          <w:b/>
          <w:bCs/>
          <w:color w:val="auto"/>
          <w:sz w:val="32"/>
          <w:szCs w:val="32"/>
          <w:highlight w:val="none"/>
          <w:lang w:val="zh-CN"/>
        </w:rPr>
        <w:t>东莞市水务集团有限公司</w:t>
      </w:r>
    </w:p>
    <w:p w14:paraId="3D6DF64F">
      <w:pPr>
        <w:autoSpaceDE w:val="0"/>
        <w:autoSpaceDN w:val="0"/>
        <w:adjustRightInd w:val="0"/>
        <w:spacing w:line="480" w:lineRule="auto"/>
        <w:ind w:left="1842" w:leftChars="877" w:firstLine="19" w:firstLineChars="6"/>
        <w:jc w:val="left"/>
        <w:outlineLvl w:val="9"/>
        <w:rPr>
          <w:rFonts w:ascii="宋体" w:hAnsi="宋体" w:eastAsia="宋体" w:cs="Times New Roman"/>
          <w:b/>
          <w:bCs/>
          <w:color w:val="auto"/>
          <w:sz w:val="32"/>
          <w:szCs w:val="32"/>
          <w:highlight w:val="none"/>
          <w:lang w:val="zh-CN"/>
        </w:rPr>
      </w:pPr>
      <w:bookmarkStart w:id="3" w:name="_Toc31082"/>
      <w:r>
        <w:rPr>
          <w:rFonts w:hint="eastAsia" w:ascii="宋体" w:hAnsi="宋体" w:eastAsia="宋体" w:cs="Times New Roman"/>
          <w:b/>
          <w:bCs/>
          <w:color w:val="auto"/>
          <w:sz w:val="32"/>
          <w:szCs w:val="32"/>
          <w:highlight w:val="none"/>
          <w:lang w:val="zh-CN"/>
        </w:rPr>
        <w:t>招标代理机构：</w:t>
      </w:r>
      <w:r>
        <w:rPr>
          <w:rFonts w:hint="eastAsia" w:ascii="宋体" w:hAnsi="宋体" w:eastAsia="宋体" w:cs="宋体"/>
          <w:b/>
          <w:bCs/>
          <w:color w:val="auto"/>
          <w:sz w:val="32"/>
          <w:szCs w:val="32"/>
          <w:highlight w:val="none"/>
          <w:lang w:val="zh-CN"/>
        </w:rPr>
        <w:t>广东有德招标采购有限公司</w:t>
      </w:r>
      <w:bookmarkEnd w:id="3"/>
    </w:p>
    <w:p w14:paraId="2798D285">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78310304">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70FF275C">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zh-CN"/>
        </w:rPr>
        <w:t xml:space="preserve">年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 xml:space="preserve">月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日</w:t>
      </w:r>
    </w:p>
    <w:p w14:paraId="235E0C6B">
      <w:pPr>
        <w:keepNext w:val="0"/>
        <w:keepLines w:val="0"/>
        <w:pageBreakBefore/>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color w:val="auto"/>
        </w:rPr>
      </w:pPr>
      <w:r>
        <w:rPr>
          <w:rFonts w:ascii="宋体" w:hAnsi="宋体" w:eastAsia="宋体"/>
          <w:color w:val="auto"/>
          <w:sz w:val="21"/>
        </w:rPr>
        <w:t>目录</w:t>
      </w:r>
    </w:p>
    <w:p w14:paraId="1C25378A">
      <w:pPr>
        <w:pStyle w:val="29"/>
        <w:tabs>
          <w:tab w:val="right" w:leader="dot" w:pos="10154"/>
        </w:tabs>
        <w:rPr>
          <w:color w:val="auto"/>
        </w:rPr>
      </w:pPr>
      <w:r>
        <w:rPr>
          <w:color w:val="auto"/>
        </w:rPr>
        <w:fldChar w:fldCharType="begin"/>
      </w:r>
      <w:r>
        <w:rPr>
          <w:color w:val="auto"/>
        </w:rPr>
        <w:instrText xml:space="preserve">TOC \o "1-3" \h \u </w:instrText>
      </w:r>
      <w:r>
        <w:rPr>
          <w:color w:val="auto"/>
        </w:rPr>
        <w:fldChar w:fldCharType="separate"/>
      </w:r>
    </w:p>
    <w:p w14:paraId="2C4AA241">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_Toc2477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第</w:t>
      </w:r>
      <w:r>
        <w:rPr>
          <w:rFonts w:hint="eastAsia" w:ascii="宋体" w:hAnsi="宋体" w:eastAsia="宋体" w:cs="宋体"/>
          <w:b/>
          <w:bCs/>
          <w:color w:val="auto"/>
          <w:kern w:val="44"/>
          <w:szCs w:val="32"/>
          <w:highlight w:val="none"/>
          <w:lang w:val="en-US" w:eastAsia="zh-CN"/>
        </w:rPr>
        <w:t>一</w:t>
      </w:r>
      <w:r>
        <w:rPr>
          <w:rFonts w:hint="eastAsia" w:ascii="宋体" w:hAnsi="宋体" w:eastAsia="宋体" w:cs="宋体"/>
          <w:b/>
          <w:bCs/>
          <w:color w:val="auto"/>
          <w:kern w:val="44"/>
          <w:szCs w:val="32"/>
          <w:highlight w:val="none"/>
          <w:lang w:val="zh-CN"/>
        </w:rPr>
        <w:t>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en-US" w:eastAsia="zh-CN"/>
        </w:rPr>
        <w:t>招标公告</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_Toc2477 \h </w:instrText>
      </w:r>
      <w:r>
        <w:rPr>
          <w:rFonts w:hint="eastAsia" w:ascii="宋体" w:hAnsi="宋体" w:eastAsia="宋体" w:cs="宋体"/>
          <w:b/>
          <w:bCs/>
          <w:color w:val="auto"/>
        </w:rPr>
        <w:fldChar w:fldCharType="separate"/>
      </w:r>
      <w:r>
        <w:rPr>
          <w:rFonts w:hint="eastAsia" w:ascii="宋体" w:hAnsi="宋体" w:eastAsia="宋体" w:cs="宋体"/>
          <w:b/>
          <w:bCs/>
          <w:color w:val="auto"/>
        </w:rPr>
        <w:t>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4B9AFDF">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_Toc32163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第二篇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zh-CN"/>
        </w:rPr>
        <w:t>投标人须知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_Toc32163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38CA91E0">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9" w:firstLineChars="104"/>
        <w:textAlignment w:val="auto"/>
        <w:rPr>
          <w:rFonts w:hint="eastAsia" w:ascii="宋体" w:hAnsi="宋体" w:eastAsia="宋体" w:cs="宋体"/>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_Toc21852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21"/>
          <w:highlight w:val="none"/>
          <w:lang w:val="zh-CN"/>
        </w:rPr>
        <w:t>一、总则</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_Toc21852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485D04EB">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_Toc29397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_Toc29397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03D1DB1">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_Toc23530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_Toc23530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9E94FC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_Toc3545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_Toc3545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876EDF5">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_Toc23411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_Toc23411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E54FC99">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9" w:firstLineChars="104"/>
        <w:textAlignment w:val="auto"/>
        <w:rPr>
          <w:rFonts w:hint="eastAsia" w:ascii="宋体" w:hAnsi="宋体" w:eastAsia="宋体" w:cs="宋体"/>
          <w:b/>
          <w:bCs/>
          <w:color w:val="auto"/>
          <w:kern w:val="44"/>
          <w:szCs w:val="21"/>
          <w:highlight w:val="none"/>
          <w:lang w:val="zh-CN"/>
        </w:rPr>
      </w:pP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HYPERLINK \l _Toc10408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二、招标文件</w:t>
      </w:r>
      <w:r>
        <w:rPr>
          <w:rFonts w:hint="eastAsia" w:ascii="宋体" w:hAnsi="宋体" w:eastAsia="宋体" w:cs="宋体"/>
          <w:b/>
          <w:bCs/>
          <w:color w:val="auto"/>
          <w:kern w:val="44"/>
          <w:szCs w:val="21"/>
          <w:highlight w:val="none"/>
          <w:lang w:val="zh-CN"/>
        </w:rPr>
        <w:tab/>
      </w: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PAGEREF _Toc10408 \h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7</w:t>
      </w:r>
      <w:r>
        <w:rPr>
          <w:rFonts w:hint="eastAsia" w:ascii="宋体" w:hAnsi="宋体" w:eastAsia="宋体" w:cs="宋体"/>
          <w:b/>
          <w:bCs/>
          <w:color w:val="auto"/>
          <w:kern w:val="44"/>
          <w:szCs w:val="21"/>
          <w:highlight w:val="none"/>
          <w:lang w:val="zh-CN"/>
        </w:rPr>
        <w:fldChar w:fldCharType="end"/>
      </w:r>
      <w:r>
        <w:rPr>
          <w:rFonts w:hint="eastAsia" w:ascii="宋体" w:hAnsi="宋体" w:eastAsia="宋体" w:cs="宋体"/>
          <w:b/>
          <w:bCs/>
          <w:color w:val="auto"/>
          <w:kern w:val="44"/>
          <w:szCs w:val="21"/>
          <w:highlight w:val="none"/>
          <w:lang w:val="zh-CN"/>
        </w:rPr>
        <w:fldChar w:fldCharType="end"/>
      </w:r>
    </w:p>
    <w:p w14:paraId="64E3DE34">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_Toc10267 </w:instrText>
      </w:r>
      <w:r>
        <w:rPr>
          <w:rFonts w:hint="eastAsia" w:ascii="宋体" w:hAnsi="宋体" w:eastAsia="宋体" w:cs="宋体"/>
          <w:color w:val="auto"/>
        </w:rPr>
        <w:fldChar w:fldCharType="separate"/>
      </w:r>
      <w:r>
        <w:rPr>
          <w:rFonts w:hint="eastAsia" w:ascii="宋体" w:hAnsi="宋体" w:eastAsia="宋体" w:cs="宋体"/>
          <w:color w:val="auto"/>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_Toc10267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639CCD5">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_Toc8575 </w:instrText>
      </w:r>
      <w:r>
        <w:rPr>
          <w:rFonts w:hint="eastAsia" w:ascii="宋体" w:hAnsi="宋体" w:eastAsia="宋体" w:cs="宋体"/>
          <w:color w:val="auto"/>
        </w:rPr>
        <w:fldChar w:fldCharType="separate"/>
      </w:r>
      <w:r>
        <w:rPr>
          <w:rFonts w:hint="eastAsia" w:ascii="宋体" w:hAnsi="宋体" w:eastAsia="宋体" w:cs="宋体"/>
          <w:color w:val="auto"/>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_Toc8575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57B6C28">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_Toc8128 </w:instrText>
      </w:r>
      <w:r>
        <w:rPr>
          <w:rFonts w:hint="eastAsia" w:ascii="宋体" w:hAnsi="宋体" w:eastAsia="宋体" w:cs="宋体"/>
          <w:color w:val="auto"/>
        </w:rPr>
        <w:fldChar w:fldCharType="separate"/>
      </w:r>
      <w:r>
        <w:rPr>
          <w:rFonts w:hint="eastAsia" w:ascii="宋体" w:hAnsi="宋体" w:eastAsia="宋体" w:cs="宋体"/>
          <w:color w:val="auto"/>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_Toc8128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584426B">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HYPERLINK \l _Toc10898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三、投标文件的编制</w:t>
      </w:r>
      <w:r>
        <w:rPr>
          <w:rFonts w:hint="eastAsia" w:ascii="宋体" w:hAnsi="宋体" w:eastAsia="宋体" w:cs="宋体"/>
          <w:b/>
          <w:bCs/>
          <w:color w:val="auto"/>
          <w:kern w:val="44"/>
          <w:szCs w:val="21"/>
          <w:highlight w:val="none"/>
          <w:lang w:val="zh-CN"/>
        </w:rPr>
        <w:tab/>
      </w: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PAGEREF _Toc10898 \h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9</w:t>
      </w:r>
      <w:r>
        <w:rPr>
          <w:rFonts w:hint="eastAsia" w:ascii="宋体" w:hAnsi="宋体" w:eastAsia="宋体" w:cs="宋体"/>
          <w:b/>
          <w:bCs/>
          <w:color w:val="auto"/>
          <w:kern w:val="44"/>
          <w:szCs w:val="21"/>
          <w:highlight w:val="none"/>
          <w:lang w:val="zh-CN"/>
        </w:rPr>
        <w:fldChar w:fldCharType="end"/>
      </w:r>
      <w:r>
        <w:rPr>
          <w:rFonts w:hint="eastAsia" w:ascii="宋体" w:hAnsi="宋体" w:eastAsia="宋体" w:cs="宋体"/>
          <w:b/>
          <w:bCs/>
          <w:color w:val="auto"/>
          <w:kern w:val="44"/>
          <w:szCs w:val="21"/>
          <w:highlight w:val="none"/>
          <w:lang w:val="zh-CN"/>
        </w:rPr>
        <w:fldChar w:fldCharType="end"/>
      </w:r>
    </w:p>
    <w:p w14:paraId="46A1DAC6">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_Toc1419 </w:instrText>
      </w:r>
      <w:r>
        <w:rPr>
          <w:rFonts w:hint="eastAsia" w:ascii="宋体" w:hAnsi="宋体" w:eastAsia="宋体" w:cs="宋体"/>
          <w:color w:val="auto"/>
        </w:rPr>
        <w:fldChar w:fldCharType="separate"/>
      </w:r>
      <w:r>
        <w:rPr>
          <w:rFonts w:hint="eastAsia" w:ascii="宋体" w:hAnsi="宋体" w:eastAsia="宋体" w:cs="宋体"/>
          <w:color w:val="auto"/>
          <w:lang w:val="zh-CN"/>
        </w:rPr>
        <w:t>8 投标使用的文字及度量衡单位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_Toc1419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C3C3FE1">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_Toc7617 </w:instrText>
      </w:r>
      <w:r>
        <w:rPr>
          <w:rFonts w:hint="eastAsia" w:ascii="宋体" w:hAnsi="宋体" w:eastAsia="宋体" w:cs="宋体"/>
          <w:color w:val="auto"/>
        </w:rPr>
        <w:fldChar w:fldCharType="separate"/>
      </w:r>
      <w:r>
        <w:rPr>
          <w:rFonts w:hint="eastAsia" w:ascii="宋体" w:hAnsi="宋体" w:eastAsia="宋体" w:cs="宋体"/>
          <w:color w:val="auto"/>
          <w:lang w:val="zh-CN"/>
        </w:rPr>
        <w:t>9 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_Toc7617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7E8B3C4">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_Toc13475 </w:instrText>
      </w:r>
      <w:r>
        <w:rPr>
          <w:rFonts w:hint="eastAsia" w:ascii="宋体" w:hAnsi="宋体" w:eastAsia="宋体" w:cs="宋体"/>
          <w:color w:val="auto"/>
        </w:rPr>
        <w:fldChar w:fldCharType="separate"/>
      </w:r>
      <w:r>
        <w:rPr>
          <w:rFonts w:hint="eastAsia" w:ascii="宋体" w:hAnsi="宋体" w:eastAsia="宋体" w:cs="宋体"/>
          <w:color w:val="auto"/>
          <w:lang w:val="zh-CN"/>
        </w:rPr>
        <w:t>10 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_Toc13475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E5E0258">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_Toc4340 </w:instrText>
      </w:r>
      <w:r>
        <w:rPr>
          <w:rFonts w:hint="eastAsia" w:ascii="宋体" w:hAnsi="宋体" w:eastAsia="宋体" w:cs="宋体"/>
          <w:color w:val="auto"/>
        </w:rPr>
        <w:fldChar w:fldCharType="separate"/>
      </w:r>
      <w:r>
        <w:rPr>
          <w:rFonts w:hint="eastAsia" w:ascii="宋体" w:hAnsi="宋体" w:eastAsia="宋体" w:cs="宋体"/>
          <w:color w:val="auto"/>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_Toc4340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DC37264">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_Toc14290 </w:instrText>
      </w:r>
      <w:r>
        <w:rPr>
          <w:rFonts w:hint="eastAsia" w:ascii="宋体" w:hAnsi="宋体" w:eastAsia="宋体" w:cs="宋体"/>
          <w:color w:val="auto"/>
        </w:rPr>
        <w:fldChar w:fldCharType="separate"/>
      </w:r>
      <w:r>
        <w:rPr>
          <w:rFonts w:hint="eastAsia" w:ascii="宋体" w:hAnsi="宋体" w:eastAsia="宋体" w:cs="宋体"/>
          <w:color w:val="auto"/>
          <w:lang w:val="zh-CN"/>
        </w:rPr>
        <w:t>12 投标报价货币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_Toc14290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F06A32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_Toc6390 </w:instrText>
      </w:r>
      <w:r>
        <w:rPr>
          <w:rFonts w:hint="eastAsia" w:ascii="宋体" w:hAnsi="宋体" w:eastAsia="宋体" w:cs="宋体"/>
          <w:color w:val="auto"/>
        </w:rPr>
        <w:fldChar w:fldCharType="separate"/>
      </w:r>
      <w:r>
        <w:rPr>
          <w:rFonts w:hint="eastAsia" w:ascii="宋体" w:hAnsi="宋体" w:eastAsia="宋体" w:cs="宋体"/>
          <w:color w:val="auto"/>
          <w:lang w:val="zh-CN"/>
        </w:rPr>
        <w:t>13 证明投标人的合格性和资格的声明文件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_Toc6390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F2F771E">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_Toc627 </w:instrText>
      </w:r>
      <w:r>
        <w:rPr>
          <w:rFonts w:hint="eastAsia" w:ascii="宋体" w:hAnsi="宋体" w:eastAsia="宋体" w:cs="宋体"/>
          <w:color w:val="auto"/>
        </w:rPr>
        <w:fldChar w:fldCharType="separate"/>
      </w:r>
      <w:r>
        <w:rPr>
          <w:rFonts w:hint="eastAsia" w:ascii="宋体" w:hAnsi="宋体" w:eastAsia="宋体" w:cs="宋体"/>
          <w:color w:val="auto"/>
          <w:lang w:val="zh-CN"/>
        </w:rPr>
        <w:t>14 证明服务的合格性并符合招标文件规定的声明文件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_Toc627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F9081F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_Toc21015 </w:instrText>
      </w:r>
      <w:r>
        <w:rPr>
          <w:rFonts w:hint="eastAsia" w:ascii="宋体" w:hAnsi="宋体" w:eastAsia="宋体" w:cs="宋体"/>
          <w:color w:val="auto"/>
        </w:rPr>
        <w:fldChar w:fldCharType="separate"/>
      </w:r>
      <w:r>
        <w:rPr>
          <w:rFonts w:hint="eastAsia" w:ascii="宋体" w:hAnsi="宋体" w:eastAsia="宋体" w:cs="宋体"/>
          <w:color w:val="auto"/>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_Toc21015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56A35E4">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_Toc31146 </w:instrText>
      </w:r>
      <w:r>
        <w:rPr>
          <w:rFonts w:hint="eastAsia" w:ascii="宋体" w:hAnsi="宋体" w:eastAsia="宋体" w:cs="宋体"/>
          <w:color w:val="auto"/>
        </w:rPr>
        <w:fldChar w:fldCharType="separate"/>
      </w:r>
      <w:r>
        <w:rPr>
          <w:rFonts w:hint="eastAsia" w:ascii="宋体" w:hAnsi="宋体" w:eastAsia="宋体" w:cs="宋体"/>
          <w:color w:val="auto"/>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_Toc31146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43C5CA6">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_Toc22856 </w:instrText>
      </w:r>
      <w:r>
        <w:rPr>
          <w:rFonts w:hint="eastAsia" w:ascii="宋体" w:hAnsi="宋体" w:eastAsia="宋体" w:cs="宋体"/>
          <w:color w:val="auto"/>
        </w:rPr>
        <w:fldChar w:fldCharType="separate"/>
      </w:r>
      <w:r>
        <w:rPr>
          <w:rFonts w:hint="eastAsia" w:ascii="宋体" w:hAnsi="宋体" w:eastAsia="宋体" w:cs="宋体"/>
          <w:color w:val="auto"/>
          <w:lang w:val="zh-CN"/>
        </w:rPr>
        <w:t>17 投标文件的式样和签署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_Toc22856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ACF06AA">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9" w:firstLineChars="104"/>
        <w:textAlignment w:val="auto"/>
        <w:rPr>
          <w:rFonts w:hint="eastAsia" w:ascii="宋体" w:hAnsi="宋体" w:eastAsia="宋体" w:cs="宋体"/>
          <w:b/>
          <w:bCs/>
          <w:color w:val="auto"/>
          <w:kern w:val="44"/>
          <w:szCs w:val="21"/>
          <w:highlight w:val="none"/>
          <w:lang w:val="zh-CN"/>
        </w:rPr>
      </w:pP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HYPERLINK \l _Toc202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四、投标文件的递交</w:t>
      </w:r>
      <w:r>
        <w:rPr>
          <w:rFonts w:hint="eastAsia" w:ascii="宋体" w:hAnsi="宋体" w:eastAsia="宋体" w:cs="宋体"/>
          <w:b/>
          <w:bCs/>
          <w:color w:val="auto"/>
          <w:kern w:val="44"/>
          <w:szCs w:val="21"/>
          <w:highlight w:val="none"/>
          <w:lang w:val="zh-CN"/>
        </w:rPr>
        <w:tab/>
      </w: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PAGEREF _Toc202 \h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14</w:t>
      </w:r>
      <w:r>
        <w:rPr>
          <w:rFonts w:hint="eastAsia" w:ascii="宋体" w:hAnsi="宋体" w:eastAsia="宋体" w:cs="宋体"/>
          <w:b/>
          <w:bCs/>
          <w:color w:val="auto"/>
          <w:kern w:val="44"/>
          <w:szCs w:val="21"/>
          <w:highlight w:val="none"/>
          <w:lang w:val="zh-CN"/>
        </w:rPr>
        <w:fldChar w:fldCharType="end"/>
      </w:r>
      <w:r>
        <w:rPr>
          <w:rFonts w:hint="eastAsia" w:ascii="宋体" w:hAnsi="宋体" w:eastAsia="宋体" w:cs="宋体"/>
          <w:b/>
          <w:bCs/>
          <w:color w:val="auto"/>
          <w:kern w:val="44"/>
          <w:szCs w:val="21"/>
          <w:highlight w:val="none"/>
          <w:lang w:val="zh-CN"/>
        </w:rPr>
        <w:fldChar w:fldCharType="end"/>
      </w:r>
    </w:p>
    <w:p w14:paraId="34EF301C">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_Toc20647 </w:instrText>
      </w:r>
      <w:r>
        <w:rPr>
          <w:rFonts w:hint="eastAsia" w:ascii="宋体" w:hAnsi="宋体" w:eastAsia="宋体" w:cs="宋体"/>
          <w:color w:val="auto"/>
        </w:rPr>
        <w:fldChar w:fldCharType="separate"/>
      </w:r>
      <w:r>
        <w:rPr>
          <w:rFonts w:hint="eastAsia" w:ascii="宋体" w:hAnsi="宋体" w:eastAsia="宋体" w:cs="宋体"/>
          <w:color w:val="auto"/>
          <w:lang w:val="zh-CN"/>
        </w:rPr>
        <w:t>18 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_Toc20647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D78857E">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_Toc15993 </w:instrText>
      </w:r>
      <w:r>
        <w:rPr>
          <w:rFonts w:hint="eastAsia" w:ascii="宋体" w:hAnsi="宋体" w:eastAsia="宋体" w:cs="宋体"/>
          <w:color w:val="auto"/>
        </w:rPr>
        <w:fldChar w:fldCharType="separate"/>
      </w:r>
      <w:r>
        <w:rPr>
          <w:rFonts w:hint="eastAsia" w:ascii="宋体" w:hAnsi="宋体" w:eastAsia="宋体" w:cs="宋体"/>
          <w:color w:val="auto"/>
          <w:lang w:val="zh-CN"/>
        </w:rPr>
        <w:t>19 递交投标文件的截止日期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_Toc15993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DD8CA1F">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_Toc16262 </w:instrText>
      </w:r>
      <w:r>
        <w:rPr>
          <w:rFonts w:hint="eastAsia" w:ascii="宋体" w:hAnsi="宋体" w:eastAsia="宋体" w:cs="宋体"/>
          <w:color w:val="auto"/>
        </w:rPr>
        <w:fldChar w:fldCharType="separate"/>
      </w:r>
      <w:r>
        <w:rPr>
          <w:rFonts w:hint="eastAsia" w:ascii="宋体" w:hAnsi="宋体" w:eastAsia="宋体" w:cs="宋体"/>
          <w:color w:val="auto"/>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_Toc16262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0BDB3BD">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_Toc24805 </w:instrText>
      </w:r>
      <w:r>
        <w:rPr>
          <w:rFonts w:hint="eastAsia" w:ascii="宋体" w:hAnsi="宋体" w:eastAsia="宋体" w:cs="宋体"/>
          <w:color w:val="auto"/>
        </w:rPr>
        <w:fldChar w:fldCharType="separate"/>
      </w:r>
      <w:r>
        <w:rPr>
          <w:rFonts w:hint="eastAsia" w:ascii="宋体" w:hAnsi="宋体" w:eastAsia="宋体" w:cs="宋体"/>
          <w:color w:val="auto"/>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_Toc24805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69F5322">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9" w:firstLineChars="104"/>
        <w:textAlignment w:val="auto"/>
        <w:rPr>
          <w:rFonts w:hint="eastAsia" w:ascii="宋体" w:hAnsi="宋体" w:eastAsia="宋体" w:cs="宋体"/>
          <w:b/>
          <w:bCs/>
          <w:color w:val="auto"/>
          <w:kern w:val="44"/>
          <w:szCs w:val="21"/>
          <w:highlight w:val="none"/>
          <w:lang w:val="zh-CN"/>
        </w:rPr>
      </w:pP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HYPERLINK \l _Toc25488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五、开标与评标</w:t>
      </w:r>
      <w:r>
        <w:rPr>
          <w:rFonts w:hint="eastAsia" w:ascii="宋体" w:hAnsi="宋体" w:eastAsia="宋体" w:cs="宋体"/>
          <w:b/>
          <w:bCs/>
          <w:color w:val="auto"/>
          <w:kern w:val="44"/>
          <w:szCs w:val="21"/>
          <w:highlight w:val="none"/>
          <w:lang w:val="zh-CN"/>
        </w:rPr>
        <w:tab/>
      </w: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PAGEREF _Toc25488 \h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15</w:t>
      </w:r>
      <w:r>
        <w:rPr>
          <w:rFonts w:hint="eastAsia" w:ascii="宋体" w:hAnsi="宋体" w:eastAsia="宋体" w:cs="宋体"/>
          <w:b/>
          <w:bCs/>
          <w:color w:val="auto"/>
          <w:kern w:val="44"/>
          <w:szCs w:val="21"/>
          <w:highlight w:val="none"/>
          <w:lang w:val="zh-CN"/>
        </w:rPr>
        <w:fldChar w:fldCharType="end"/>
      </w:r>
      <w:r>
        <w:rPr>
          <w:rFonts w:hint="eastAsia" w:ascii="宋体" w:hAnsi="宋体" w:eastAsia="宋体" w:cs="宋体"/>
          <w:b/>
          <w:bCs/>
          <w:color w:val="auto"/>
          <w:kern w:val="44"/>
          <w:szCs w:val="21"/>
          <w:highlight w:val="none"/>
          <w:lang w:val="zh-CN"/>
        </w:rPr>
        <w:fldChar w:fldCharType="end"/>
      </w:r>
    </w:p>
    <w:p w14:paraId="70E9773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_Toc10184 </w:instrText>
      </w:r>
      <w:r>
        <w:rPr>
          <w:rFonts w:hint="eastAsia" w:ascii="宋体" w:hAnsi="宋体" w:eastAsia="宋体" w:cs="宋体"/>
          <w:color w:val="auto"/>
        </w:rPr>
        <w:fldChar w:fldCharType="separate"/>
      </w:r>
      <w:r>
        <w:rPr>
          <w:rFonts w:hint="eastAsia" w:ascii="宋体" w:hAnsi="宋体" w:eastAsia="宋体" w:cs="宋体"/>
          <w:color w:val="auto"/>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_Toc10184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4E37773">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_Toc14788 </w:instrText>
      </w:r>
      <w:r>
        <w:rPr>
          <w:rFonts w:hint="eastAsia" w:ascii="宋体" w:hAnsi="宋体" w:eastAsia="宋体" w:cs="宋体"/>
          <w:color w:val="auto"/>
        </w:rPr>
        <w:fldChar w:fldCharType="separate"/>
      </w:r>
      <w:r>
        <w:rPr>
          <w:rFonts w:hint="eastAsia" w:ascii="宋体" w:hAnsi="宋体" w:eastAsia="宋体" w:cs="宋体"/>
          <w:color w:val="auto"/>
          <w:lang w:val="zh-CN"/>
        </w:rPr>
        <w:t xml:space="preserve">23 </w:t>
      </w:r>
      <w:r>
        <w:rPr>
          <w:rFonts w:hint="eastAsia" w:ascii="宋体" w:hAnsi="宋体" w:eastAsia="宋体" w:cs="宋体"/>
          <w:color w:val="auto"/>
        </w:rPr>
        <w:t>评标过程的保密性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_Toc14788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EC8F37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_Toc11287 </w:instrText>
      </w:r>
      <w:r>
        <w:rPr>
          <w:rFonts w:hint="eastAsia" w:ascii="宋体" w:hAnsi="宋体" w:eastAsia="宋体" w:cs="宋体"/>
          <w:color w:val="auto"/>
        </w:rPr>
        <w:fldChar w:fldCharType="separate"/>
      </w:r>
      <w:r>
        <w:rPr>
          <w:rFonts w:hint="eastAsia" w:ascii="宋体" w:hAnsi="宋体" w:eastAsia="宋体" w:cs="宋体"/>
          <w:color w:val="auto"/>
          <w:lang w:val="zh-CN"/>
        </w:rPr>
        <w:t>24 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_Toc11287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1F795F0">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_Toc20412 </w:instrText>
      </w:r>
      <w:r>
        <w:rPr>
          <w:rFonts w:hint="eastAsia" w:ascii="宋体" w:hAnsi="宋体" w:eastAsia="宋体" w:cs="宋体"/>
          <w:color w:val="auto"/>
        </w:rPr>
        <w:fldChar w:fldCharType="separate"/>
      </w:r>
      <w:r>
        <w:rPr>
          <w:rFonts w:hint="eastAsia" w:ascii="宋体" w:hAnsi="宋体" w:eastAsia="宋体" w:cs="宋体"/>
          <w:color w:val="auto"/>
          <w:lang w:val="zh-CN"/>
        </w:rPr>
        <w:t>25 投标文件的初审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_Toc20412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3625726">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_Toc23203 </w:instrText>
      </w:r>
      <w:r>
        <w:rPr>
          <w:rFonts w:hint="eastAsia" w:ascii="宋体" w:hAnsi="宋体" w:eastAsia="宋体" w:cs="宋体"/>
          <w:color w:val="auto"/>
        </w:rPr>
        <w:fldChar w:fldCharType="separate"/>
      </w:r>
      <w:r>
        <w:rPr>
          <w:rFonts w:hint="eastAsia" w:ascii="宋体" w:hAnsi="宋体" w:eastAsia="宋体" w:cs="宋体"/>
          <w:color w:val="auto"/>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_Toc23203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25F7618">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_Toc26456 </w:instrText>
      </w:r>
      <w:r>
        <w:rPr>
          <w:rFonts w:hint="eastAsia" w:ascii="宋体" w:hAnsi="宋体" w:eastAsia="宋体" w:cs="宋体"/>
          <w:color w:val="auto"/>
        </w:rPr>
        <w:fldChar w:fldCharType="separate"/>
      </w:r>
      <w:r>
        <w:rPr>
          <w:rFonts w:hint="eastAsia" w:ascii="宋体" w:hAnsi="宋体" w:eastAsia="宋体" w:cs="宋体"/>
          <w:color w:val="auto"/>
          <w:lang w:val="zh-CN"/>
        </w:rPr>
        <w:t>27 对投标文件的比较和评价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_Toc26456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DF7ED15">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_Toc19497 </w:instrText>
      </w:r>
      <w:r>
        <w:rPr>
          <w:rFonts w:hint="eastAsia" w:ascii="宋体" w:hAnsi="宋体" w:eastAsia="宋体" w:cs="宋体"/>
          <w:color w:val="auto"/>
        </w:rPr>
        <w:fldChar w:fldCharType="separate"/>
      </w:r>
      <w:r>
        <w:rPr>
          <w:rFonts w:hint="eastAsia" w:ascii="宋体" w:hAnsi="宋体" w:eastAsia="宋体" w:cs="宋体"/>
          <w:color w:val="auto"/>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_Toc19497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F687B3E">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_Toc22922 </w:instrText>
      </w:r>
      <w:r>
        <w:rPr>
          <w:rFonts w:hint="eastAsia" w:ascii="宋体" w:hAnsi="宋体" w:eastAsia="宋体" w:cs="宋体"/>
          <w:color w:val="auto"/>
        </w:rPr>
        <w:fldChar w:fldCharType="separate"/>
      </w:r>
      <w:r>
        <w:rPr>
          <w:rFonts w:hint="eastAsia" w:ascii="宋体" w:hAnsi="宋体" w:eastAsia="宋体" w:cs="宋体"/>
          <w:color w:val="auto"/>
          <w:lang w:val="zh-CN"/>
        </w:rPr>
        <w:t>2</w:t>
      </w:r>
      <w:r>
        <w:rPr>
          <w:rFonts w:hint="eastAsia" w:ascii="宋体" w:hAnsi="宋体" w:eastAsia="宋体" w:cs="宋体"/>
          <w:color w:val="auto"/>
        </w:rPr>
        <w:t xml:space="preserve">9 </w:t>
      </w:r>
      <w:r>
        <w:rPr>
          <w:rFonts w:hint="eastAsia" w:ascii="宋体" w:hAnsi="宋体" w:eastAsia="宋体" w:cs="宋体"/>
          <w:color w:val="auto"/>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_Toc22922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333AFFB">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_Toc7580 </w:instrText>
      </w:r>
      <w:r>
        <w:rPr>
          <w:rFonts w:hint="eastAsia" w:ascii="宋体" w:hAnsi="宋体" w:eastAsia="宋体" w:cs="宋体"/>
          <w:color w:val="auto"/>
        </w:rPr>
        <w:fldChar w:fldCharType="separate"/>
      </w:r>
      <w:r>
        <w:rPr>
          <w:rFonts w:hint="eastAsia" w:ascii="宋体" w:hAnsi="宋体" w:eastAsia="宋体" w:cs="宋体"/>
          <w:color w:val="auto"/>
        </w:rPr>
        <w:t>30</w:t>
      </w:r>
      <w:r>
        <w:rPr>
          <w:rFonts w:hint="eastAsia" w:ascii="宋体" w:hAnsi="宋体" w:eastAsia="宋体" w:cs="宋体"/>
          <w:color w:val="auto"/>
          <w:lang w:val="zh-CN"/>
        </w:rPr>
        <w:t xml:space="preserve"> 真实性审查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_Toc7580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7F10A07">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_Toc2012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lang w:val="zh-CN"/>
        </w:rPr>
        <w:t xml:space="preserve"> 评标委员会和招标人接受或拒绝任何投标或所有投标的权利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_Toc2012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AAFB32E">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9" w:firstLineChars="104"/>
        <w:textAlignment w:val="auto"/>
        <w:rPr>
          <w:rFonts w:hint="eastAsia" w:ascii="宋体" w:hAnsi="宋体" w:eastAsia="宋体" w:cs="宋体"/>
          <w:b/>
          <w:bCs/>
          <w:color w:val="auto"/>
          <w:kern w:val="44"/>
          <w:szCs w:val="21"/>
          <w:highlight w:val="none"/>
          <w:lang w:val="zh-CN"/>
        </w:rPr>
      </w:pP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HYPERLINK \l _Toc22463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六、授予合同</w:t>
      </w:r>
      <w:r>
        <w:rPr>
          <w:rFonts w:hint="eastAsia" w:ascii="宋体" w:hAnsi="宋体" w:eastAsia="宋体" w:cs="宋体"/>
          <w:b/>
          <w:bCs/>
          <w:color w:val="auto"/>
          <w:kern w:val="44"/>
          <w:szCs w:val="21"/>
          <w:highlight w:val="none"/>
          <w:lang w:val="zh-CN"/>
        </w:rPr>
        <w:tab/>
      </w:r>
      <w:r>
        <w:rPr>
          <w:rFonts w:hint="eastAsia" w:ascii="宋体" w:hAnsi="宋体" w:eastAsia="宋体" w:cs="宋体"/>
          <w:b/>
          <w:bCs/>
          <w:color w:val="auto"/>
          <w:kern w:val="44"/>
          <w:szCs w:val="21"/>
          <w:highlight w:val="none"/>
          <w:lang w:val="zh-CN"/>
        </w:rPr>
        <w:fldChar w:fldCharType="begin"/>
      </w:r>
      <w:r>
        <w:rPr>
          <w:rFonts w:hint="eastAsia" w:ascii="宋体" w:hAnsi="宋体" w:eastAsia="宋体" w:cs="宋体"/>
          <w:b/>
          <w:bCs/>
          <w:color w:val="auto"/>
          <w:kern w:val="44"/>
          <w:szCs w:val="21"/>
          <w:highlight w:val="none"/>
          <w:lang w:val="zh-CN"/>
        </w:rPr>
        <w:instrText xml:space="preserve"> PAGEREF _Toc22463 \h </w:instrText>
      </w:r>
      <w:r>
        <w:rPr>
          <w:rFonts w:hint="eastAsia" w:ascii="宋体" w:hAnsi="宋体" w:eastAsia="宋体" w:cs="宋体"/>
          <w:b/>
          <w:bCs/>
          <w:color w:val="auto"/>
          <w:kern w:val="44"/>
          <w:szCs w:val="21"/>
          <w:highlight w:val="none"/>
          <w:lang w:val="zh-CN"/>
        </w:rPr>
        <w:fldChar w:fldCharType="separate"/>
      </w:r>
      <w:r>
        <w:rPr>
          <w:rFonts w:hint="eastAsia" w:ascii="宋体" w:hAnsi="宋体" w:eastAsia="宋体" w:cs="宋体"/>
          <w:b/>
          <w:bCs/>
          <w:color w:val="auto"/>
          <w:kern w:val="44"/>
          <w:szCs w:val="21"/>
          <w:highlight w:val="none"/>
          <w:lang w:val="zh-CN"/>
        </w:rPr>
        <w:t>19</w:t>
      </w:r>
      <w:r>
        <w:rPr>
          <w:rFonts w:hint="eastAsia" w:ascii="宋体" w:hAnsi="宋体" w:eastAsia="宋体" w:cs="宋体"/>
          <w:b/>
          <w:bCs/>
          <w:color w:val="auto"/>
          <w:kern w:val="44"/>
          <w:szCs w:val="21"/>
          <w:highlight w:val="none"/>
          <w:lang w:val="zh-CN"/>
        </w:rPr>
        <w:fldChar w:fldCharType="end"/>
      </w:r>
      <w:r>
        <w:rPr>
          <w:rFonts w:hint="eastAsia" w:ascii="宋体" w:hAnsi="宋体" w:eastAsia="宋体" w:cs="宋体"/>
          <w:b/>
          <w:bCs/>
          <w:color w:val="auto"/>
          <w:kern w:val="44"/>
          <w:szCs w:val="21"/>
          <w:highlight w:val="none"/>
          <w:lang w:val="zh-CN"/>
        </w:rPr>
        <w:fldChar w:fldCharType="end"/>
      </w:r>
    </w:p>
    <w:p w14:paraId="1B78FED0">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_Toc5140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lang w:val="zh-CN"/>
        </w:rPr>
        <w:t xml:space="preserve"> 授予合同的准则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_Toc5140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8B2C740">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_Toc7240 </w:instrText>
      </w:r>
      <w:r>
        <w:rPr>
          <w:rFonts w:hint="eastAsia" w:ascii="宋体" w:hAnsi="宋体" w:eastAsia="宋体" w:cs="宋体"/>
          <w:color w:val="auto"/>
        </w:rPr>
        <w:fldChar w:fldCharType="separate"/>
      </w:r>
      <w:r>
        <w:rPr>
          <w:rFonts w:hint="eastAsia" w:ascii="宋体" w:hAnsi="宋体" w:eastAsia="宋体" w:cs="宋体"/>
          <w:color w:val="auto"/>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_Toc7240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4B79BAD">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_Toc18561 </w:instrText>
      </w:r>
      <w:r>
        <w:rPr>
          <w:rFonts w:hint="eastAsia" w:ascii="宋体" w:hAnsi="宋体" w:eastAsia="宋体" w:cs="宋体"/>
          <w:color w:val="auto"/>
        </w:rPr>
        <w:fldChar w:fldCharType="separate"/>
      </w:r>
      <w:r>
        <w:rPr>
          <w:rFonts w:hint="eastAsia" w:ascii="宋体" w:hAnsi="宋体" w:eastAsia="宋体" w:cs="宋体"/>
          <w:color w:val="auto"/>
        </w:rPr>
        <w:t>34</w:t>
      </w:r>
      <w:r>
        <w:rPr>
          <w:rFonts w:hint="eastAsia" w:ascii="宋体" w:hAnsi="宋体" w:eastAsia="宋体" w:cs="宋体"/>
          <w:color w:val="auto"/>
          <w:lang w:val="zh-CN"/>
        </w:rPr>
        <w:t xml:space="preserve"> 签署合同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_Toc18561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BB4F0D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_Toc16397 </w:instrText>
      </w:r>
      <w:r>
        <w:rPr>
          <w:rFonts w:hint="eastAsia" w:ascii="宋体" w:hAnsi="宋体" w:eastAsia="宋体" w:cs="宋体"/>
          <w:color w:val="auto"/>
        </w:rPr>
        <w:fldChar w:fldCharType="separate"/>
      </w:r>
      <w:r>
        <w:rPr>
          <w:rFonts w:hint="eastAsia" w:ascii="宋体" w:hAnsi="宋体" w:eastAsia="宋体" w:cs="宋体"/>
          <w:color w:val="auto"/>
        </w:rPr>
        <w:t xml:space="preserve">35 </w:t>
      </w:r>
      <w:r>
        <w:rPr>
          <w:rFonts w:hint="eastAsia" w:ascii="宋体" w:hAnsi="宋体" w:eastAsia="宋体" w:cs="宋体"/>
          <w:color w:val="auto"/>
          <w:lang w:val="zh-CN"/>
        </w:rPr>
        <w:t>履约担保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_Toc16397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A1147E0">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_Toc17082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lang w:val="zh-CN"/>
        </w:rPr>
        <w:t xml:space="preserve"> 在合同履行中变更采购范围的权利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_Toc17082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E57C07E">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_Toc4597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_Toc4597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63A7FD0">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_Toc14774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_Toc14774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4308B2B">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_Toc32696 </w:instrText>
      </w:r>
      <w:r>
        <w:rPr>
          <w:rFonts w:hint="eastAsia" w:ascii="宋体" w:hAnsi="宋体" w:eastAsia="宋体" w:cs="宋体"/>
          <w:color w:val="auto"/>
        </w:rPr>
        <w:fldChar w:fldCharType="separate"/>
      </w:r>
      <w:r>
        <w:rPr>
          <w:rFonts w:hint="eastAsia" w:ascii="宋体" w:hAnsi="宋体" w:eastAsia="宋体" w:cs="宋体"/>
          <w:color w:val="auto"/>
        </w:rPr>
        <w:t>39 招标相关补充约定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_Toc32696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FD7C5A2">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_Toc6231 </w:instrText>
      </w:r>
      <w:r>
        <w:rPr>
          <w:rFonts w:hint="eastAsia" w:ascii="宋体" w:hAnsi="宋体" w:eastAsia="宋体" w:cs="宋体"/>
          <w:color w:val="auto"/>
        </w:rPr>
        <w:fldChar w:fldCharType="separate"/>
      </w:r>
      <w:r>
        <w:rPr>
          <w:rFonts w:hint="eastAsia" w:ascii="宋体" w:hAnsi="宋体" w:eastAsia="宋体" w:cs="宋体"/>
          <w:color w:val="auto"/>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_Toc6231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3100CB6">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_Toc31926 </w:instrText>
      </w:r>
      <w:r>
        <w:rPr>
          <w:rFonts w:hint="eastAsia" w:ascii="宋体" w:hAnsi="宋体" w:eastAsia="宋体" w:cs="宋体"/>
          <w:b/>
          <w:bCs/>
          <w:color w:val="auto"/>
        </w:rPr>
        <w:fldChar w:fldCharType="separate"/>
      </w:r>
      <w:r>
        <w:rPr>
          <w:rFonts w:hint="eastAsia" w:ascii="宋体" w:hAnsi="宋体" w:eastAsia="宋体" w:cs="宋体"/>
          <w:b/>
          <w:bCs/>
          <w:color w:val="auto"/>
          <w:lang w:val="zh-CN"/>
        </w:rPr>
        <w:t>第三篇 用户需求书</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_Toc31926 \h </w:instrText>
      </w:r>
      <w:r>
        <w:rPr>
          <w:rFonts w:hint="eastAsia" w:ascii="宋体" w:hAnsi="宋体" w:eastAsia="宋体" w:cs="宋体"/>
          <w:b/>
          <w:bCs/>
          <w:color w:val="auto"/>
        </w:rPr>
        <w:fldChar w:fldCharType="separate"/>
      </w:r>
      <w:r>
        <w:rPr>
          <w:rFonts w:hint="eastAsia" w:ascii="宋体" w:hAnsi="宋体" w:eastAsia="宋体" w:cs="宋体"/>
          <w:b/>
          <w:bCs/>
          <w:color w:val="auto"/>
        </w:rPr>
        <w:t>23</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28E3117A">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_Toc14926 </w:instrText>
      </w:r>
      <w:r>
        <w:rPr>
          <w:rFonts w:hint="eastAsia" w:ascii="宋体" w:hAnsi="宋体" w:eastAsia="宋体" w:cs="宋体"/>
          <w:b/>
          <w:bCs/>
          <w:color w:val="auto"/>
        </w:rPr>
        <w:fldChar w:fldCharType="separate"/>
      </w:r>
      <w:r>
        <w:rPr>
          <w:rFonts w:hint="eastAsia" w:ascii="宋体" w:hAnsi="宋体" w:eastAsia="宋体" w:cs="宋体"/>
          <w:b/>
          <w:bCs/>
          <w:color w:val="auto"/>
          <w:lang w:val="zh-CN"/>
        </w:rPr>
        <w:t>第四篇 合同条款格式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_Toc14926 \h </w:instrText>
      </w:r>
      <w:r>
        <w:rPr>
          <w:rFonts w:hint="eastAsia" w:ascii="宋体" w:hAnsi="宋体" w:eastAsia="宋体" w:cs="宋体"/>
          <w:b/>
          <w:bCs/>
          <w:color w:val="auto"/>
        </w:rPr>
        <w:fldChar w:fldCharType="separate"/>
      </w:r>
      <w:r>
        <w:rPr>
          <w:rFonts w:hint="eastAsia" w:ascii="宋体" w:hAnsi="宋体" w:eastAsia="宋体" w:cs="宋体"/>
          <w:b/>
          <w:bCs/>
          <w:color w:val="auto"/>
        </w:rPr>
        <w:t>43</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1C694CC">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_Toc8475 </w:instrText>
      </w:r>
      <w:r>
        <w:rPr>
          <w:rFonts w:hint="eastAsia" w:ascii="宋体" w:hAnsi="宋体" w:eastAsia="宋体" w:cs="宋体"/>
          <w:b/>
          <w:bCs/>
          <w:color w:val="auto"/>
        </w:rPr>
        <w:fldChar w:fldCharType="separate"/>
      </w:r>
      <w:r>
        <w:rPr>
          <w:rFonts w:hint="eastAsia" w:ascii="宋体" w:hAnsi="宋体" w:eastAsia="宋体" w:cs="宋体"/>
          <w:b/>
          <w:bCs/>
          <w:color w:val="auto"/>
          <w:lang w:val="zh-CN"/>
        </w:rPr>
        <w:t>第五篇 相关保函格式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_Toc8475 \h </w:instrText>
      </w:r>
      <w:r>
        <w:rPr>
          <w:rFonts w:hint="eastAsia" w:ascii="宋体" w:hAnsi="宋体" w:eastAsia="宋体" w:cs="宋体"/>
          <w:b/>
          <w:bCs/>
          <w:color w:val="auto"/>
        </w:rPr>
        <w:fldChar w:fldCharType="separate"/>
      </w:r>
      <w:r>
        <w:rPr>
          <w:rFonts w:hint="eastAsia" w:ascii="宋体" w:hAnsi="宋体" w:eastAsia="宋体" w:cs="宋体"/>
          <w:b/>
          <w:bCs/>
          <w:color w:val="auto"/>
        </w:rPr>
        <w:t>56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5E359FD">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_Toc1630 </w:instrText>
      </w:r>
      <w:r>
        <w:rPr>
          <w:rFonts w:hint="eastAsia" w:ascii="宋体" w:hAnsi="宋体" w:eastAsia="宋体" w:cs="宋体"/>
          <w:b/>
          <w:bCs/>
          <w:color w:val="auto"/>
        </w:rPr>
        <w:fldChar w:fldCharType="separate"/>
      </w:r>
      <w:r>
        <w:rPr>
          <w:rFonts w:hint="eastAsia" w:ascii="宋体" w:hAnsi="宋体" w:eastAsia="宋体" w:cs="宋体"/>
          <w:b/>
          <w:bCs/>
          <w:color w:val="auto"/>
          <w:lang w:val="zh-CN"/>
        </w:rPr>
        <w:t>第六篇 投标文件格式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_Toc1630 \h </w:instrText>
      </w:r>
      <w:r>
        <w:rPr>
          <w:rFonts w:hint="eastAsia" w:ascii="宋体" w:hAnsi="宋体" w:eastAsia="宋体" w:cs="宋体"/>
          <w:b/>
          <w:bCs/>
          <w:color w:val="auto"/>
        </w:rPr>
        <w:fldChar w:fldCharType="separate"/>
      </w:r>
      <w:r>
        <w:rPr>
          <w:rFonts w:hint="eastAsia" w:ascii="宋体" w:hAnsi="宋体" w:eastAsia="宋体" w:cs="宋体"/>
          <w:b/>
          <w:bCs/>
          <w:color w:val="auto"/>
        </w:rPr>
        <w:t>59</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3758B6EB">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_Toc14148 </w:instrText>
      </w:r>
      <w:r>
        <w:rPr>
          <w:rFonts w:hint="eastAsia" w:ascii="宋体" w:hAnsi="宋体" w:eastAsia="宋体" w:cs="宋体"/>
          <w:b/>
          <w:bCs/>
          <w:color w:val="auto"/>
        </w:rPr>
        <w:fldChar w:fldCharType="separate"/>
      </w:r>
      <w:r>
        <w:rPr>
          <w:rFonts w:hint="eastAsia" w:ascii="宋体" w:hAnsi="宋体" w:eastAsia="宋体" w:cs="宋体"/>
          <w:b/>
          <w:bCs/>
          <w:color w:val="auto"/>
          <w:lang w:val="zh-CN"/>
        </w:rPr>
        <w:t>附件一：评标工作大纲</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_Toc14148 \h </w:instrText>
      </w:r>
      <w:r>
        <w:rPr>
          <w:rFonts w:hint="eastAsia" w:ascii="宋体" w:hAnsi="宋体" w:eastAsia="宋体" w:cs="宋体"/>
          <w:b/>
          <w:bCs/>
          <w:color w:val="auto"/>
        </w:rPr>
        <w:fldChar w:fldCharType="separate"/>
      </w:r>
      <w:r>
        <w:rPr>
          <w:rFonts w:hint="eastAsia" w:ascii="宋体" w:hAnsi="宋体" w:eastAsia="宋体" w:cs="宋体"/>
          <w:b/>
          <w:bCs/>
          <w:color w:val="auto"/>
        </w:rPr>
        <w:t>96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18962C1D">
      <w:pPr>
        <w:rPr>
          <w:color w:val="auto"/>
        </w:rPr>
      </w:pPr>
      <w:r>
        <w:rPr>
          <w:color w:val="auto"/>
        </w:rPr>
        <w:fldChar w:fldCharType="end"/>
      </w:r>
    </w:p>
    <w:p w14:paraId="20F3213C">
      <w:pPr>
        <w:pageBreakBefore w:val="0"/>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rPr>
      </w:pPr>
      <w:bookmarkStart w:id="4" w:name="_Toc2477"/>
    </w:p>
    <w:p w14:paraId="7F561E22">
      <w:pPr>
        <w:pageBreakBefore w:val="0"/>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rPr>
      </w:pPr>
    </w:p>
    <w:p w14:paraId="14A7A67F">
      <w:pPr>
        <w:pageBreakBefore w:val="0"/>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rPr>
      </w:pPr>
    </w:p>
    <w:p w14:paraId="11D5025D">
      <w:pPr>
        <w:pageBreakBefore w:val="0"/>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4"/>
    </w:p>
    <w:p w14:paraId="625C67CA">
      <w:pPr>
        <w:rPr>
          <w:color w:val="auto"/>
        </w:rPr>
      </w:pPr>
    </w:p>
    <w:p w14:paraId="4424500B">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东莞市水务集团有限公司</w:t>
      </w:r>
      <w:r>
        <w:rPr>
          <w:rFonts w:ascii="宋体" w:hAnsi="宋体" w:eastAsia="宋体" w:cs="Times New Roman"/>
          <w:color w:val="auto"/>
          <w:szCs w:val="21"/>
          <w:highlight w:val="none"/>
          <w:lang w:val="zh-CN"/>
        </w:rPr>
        <w:t>（以下简称“招标人”）的委托，对</w:t>
      </w:r>
      <w:bookmarkStart w:id="5" w:name="_Hlk41903390"/>
      <w:r>
        <w:rPr>
          <w:rFonts w:hint="eastAsia" w:ascii="宋体" w:hAnsi="宋体" w:eastAsia="宋体" w:cs="Times New Roman"/>
          <w:color w:val="auto"/>
          <w:kern w:val="0"/>
          <w:szCs w:val="21"/>
          <w:highlight w:val="none"/>
          <w:lang w:eastAsia="zh-CN"/>
        </w:rPr>
        <w:t>东莞市涉水收费统一征收平台2025年度运维服务项目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YDZB24DGQY0208</w:t>
      </w:r>
      <w:r>
        <w:rPr>
          <w:rFonts w:ascii="宋体" w:hAnsi="宋体" w:eastAsia="宋体" w:cs="Times New Roman"/>
          <w:color w:val="auto"/>
          <w:szCs w:val="21"/>
          <w:highlight w:val="none"/>
          <w:lang w:val="zh-CN"/>
        </w:rPr>
        <w:t>)</w:t>
      </w:r>
      <w:bookmarkEnd w:id="5"/>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28D55A8B">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2DF414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Times New Roman"/>
          <w:color w:val="auto"/>
          <w:szCs w:val="21"/>
          <w:highlight w:val="none"/>
          <w:u w:val="single"/>
          <w:lang w:val="zh-CN" w:eastAsia="zh-CN"/>
        </w:rPr>
        <w:t>东莞市涉水收费统一征收平台2025年度运维服务</w:t>
      </w:r>
      <w:r>
        <w:rPr>
          <w:rFonts w:hint="eastAsia" w:ascii="宋体" w:hAnsi="宋体" w:eastAsia="宋体" w:cs="Times New Roman"/>
          <w:color w:val="auto"/>
          <w:szCs w:val="21"/>
          <w:highlight w:val="none"/>
          <w:lang w:val="zh-CN"/>
        </w:rPr>
        <w:t>（具体内容详见：第三篇用户需求书）。</w:t>
      </w:r>
    </w:p>
    <w:p w14:paraId="3125F374">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32AD70B8">
      <w:pPr>
        <w:numPr>
          <w:ilvl w:val="0"/>
          <w:numId w:val="1"/>
        </w:numPr>
        <w:autoSpaceDE w:val="0"/>
        <w:autoSpaceDN w:val="0"/>
        <w:adjustRightInd w:val="0"/>
        <w:snapToGrid w:val="0"/>
        <w:spacing w:line="360" w:lineRule="auto"/>
        <w:ind w:right="-34"/>
        <w:jc w:val="left"/>
        <w:outlineLvl w:val="9"/>
        <w:rPr>
          <w:rFonts w:ascii="宋体" w:hAnsi="宋体" w:eastAsia="宋体" w:cs="Times New Roman"/>
          <w:b/>
          <w:color w:val="auto"/>
          <w:szCs w:val="21"/>
          <w:highlight w:val="none"/>
          <w:lang w:val="zh-CN"/>
        </w:rPr>
      </w:pPr>
      <w:bookmarkStart w:id="6" w:name="_Toc11742"/>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6"/>
    </w:p>
    <w:p w14:paraId="2524A1FB">
      <w:pPr>
        <w:pStyle w:val="160"/>
        <w:spacing w:line="360" w:lineRule="auto"/>
        <w:ind w:left="422" w:leftChars="0"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15814FEB">
      <w:pPr>
        <w:pStyle w:val="160"/>
        <w:spacing w:line="360" w:lineRule="auto"/>
        <w:ind w:left="422" w:leftChars="0" w:right="-29" w:rightChars="-14" w:hanging="422" w:hangingChars="200"/>
        <w:jc w:val="both"/>
        <w:rPr>
          <w:rFonts w:hint="eastAsia" w:hAnsi="宋体" w:eastAsia="宋体"/>
          <w:b/>
          <w:color w:val="auto"/>
          <w:sz w:val="21"/>
          <w:szCs w:val="21"/>
          <w:highlight w:val="none"/>
          <w:lang w:val="en-US" w:eastAsia="zh-CN"/>
        </w:rPr>
      </w:pPr>
      <w:bookmarkStart w:id="7" w:name="_Toc25819"/>
      <w:r>
        <w:rPr>
          <w:rFonts w:hint="eastAsia" w:hAnsi="宋体" w:eastAsia="宋体"/>
          <w:b/>
          <w:color w:val="auto"/>
          <w:sz w:val="21"/>
          <w:szCs w:val="21"/>
          <w:highlight w:val="none"/>
          <w:lang w:val="zh-CN"/>
        </w:rPr>
        <w:t>2.2 投标人</w:t>
      </w:r>
      <w:r>
        <w:rPr>
          <w:rFonts w:hint="eastAsia" w:hAnsi="宋体" w:eastAsia="宋体"/>
          <w:b/>
          <w:color w:val="auto"/>
          <w:sz w:val="21"/>
          <w:szCs w:val="21"/>
          <w:highlight w:val="none"/>
          <w:lang w:val="en-US" w:eastAsia="zh-CN"/>
        </w:rPr>
        <w:t>2018</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w:t>
      </w:r>
      <w:r>
        <w:rPr>
          <w:rFonts w:hint="eastAsia" w:hAnsi="宋体" w:eastAsia="宋体"/>
          <w:b/>
          <w:color w:val="auto"/>
          <w:sz w:val="21"/>
          <w:szCs w:val="21"/>
          <w:highlight w:val="none"/>
          <w:lang w:val="en-US" w:eastAsia="zh-CN"/>
        </w:rPr>
        <w:t>信息系统维护项目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2018</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14:paraId="0BE7A427">
      <w:pPr>
        <w:pStyle w:val="160"/>
        <w:spacing w:line="360" w:lineRule="auto"/>
        <w:ind w:right="-29" w:rightChars="-14" w:firstLine="0" w:firstLineChars="0"/>
        <w:jc w:val="both"/>
        <w:outlineLvl w:val="9"/>
        <w:rPr>
          <w:rFonts w:hint="eastAsia" w:hAnsi="宋体" w:eastAsia="宋体"/>
          <w:b/>
          <w:color w:val="auto"/>
          <w:sz w:val="21"/>
          <w:szCs w:val="21"/>
          <w:highlight w:val="none"/>
          <w:lang w:val="zh-CN"/>
        </w:rPr>
      </w:pPr>
      <w:bookmarkStart w:id="8" w:name="_Toc30223"/>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7"/>
      <w:bookmarkEnd w:id="8"/>
    </w:p>
    <w:p w14:paraId="3B804C0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6F6849F">
      <w:pPr>
        <w:pStyle w:val="178"/>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获取招标文</w:t>
      </w:r>
      <w:r>
        <w:rPr>
          <w:rFonts w:hint="eastAsia" w:ascii="宋体" w:hAnsi="宋体" w:eastAsia="宋体" w:cs="宋体"/>
          <w:color w:val="auto"/>
          <w:sz w:val="21"/>
          <w:szCs w:val="21"/>
          <w:highlight w:val="none"/>
        </w:rPr>
        <w:t>件</w:t>
      </w:r>
      <w:r>
        <w:rPr>
          <w:rFonts w:hint="eastAsia" w:ascii="宋体" w:hAnsi="宋体" w:eastAsia="宋体" w:cs="宋体"/>
          <w:color w:val="auto"/>
          <w:szCs w:val="21"/>
          <w:highlight w:val="none"/>
          <w:lang w:val="zh-CN"/>
        </w:rPr>
        <w:t>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r>
        <w:rPr>
          <w:rFonts w:hint="eastAsia" w:ascii="宋体" w:hAnsi="宋体" w:cs="宋体"/>
          <w:color w:val="auto"/>
          <w:sz w:val="21"/>
          <w:szCs w:val="21"/>
          <w:highlight w:val="none"/>
          <w:lang w:eastAsia="zh-CN"/>
        </w:rPr>
        <w:t>。</w:t>
      </w:r>
    </w:p>
    <w:p w14:paraId="4484C7BF">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8C1404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59E67340">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12EA7AAA">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lang w:val="zh-CN"/>
        </w:rPr>
      </w:pPr>
      <w:bookmarkStart w:id="9" w:name="_Toc9246"/>
      <w:r>
        <w:rPr>
          <w:rFonts w:ascii="宋体" w:hAnsi="宋体" w:eastAsia="宋体" w:cs="Times New Roman"/>
          <w:color w:val="auto"/>
          <w:szCs w:val="21"/>
          <w:highlight w:val="none"/>
          <w:lang w:val="zh-CN"/>
        </w:rPr>
        <w:t>投标、开标时间及地点：</w:t>
      </w:r>
      <w:bookmarkEnd w:id="9"/>
    </w:p>
    <w:p w14:paraId="3F53B4D7">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cs="宋体"/>
          <w:color w:val="auto"/>
          <w:sz w:val="21"/>
          <w:szCs w:val="21"/>
          <w:highlight w:val="none"/>
          <w:u w:val="single"/>
          <w:lang w:val="en-US" w:eastAsia="zh-CN"/>
        </w:rPr>
        <w:t>2025</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日</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Times New Roman"/>
          <w:bCs/>
          <w:color w:val="auto"/>
          <w:kern w:val="0"/>
          <w:szCs w:val="21"/>
          <w:highlight w:val="none"/>
        </w:rPr>
        <w:t>；</w:t>
      </w:r>
    </w:p>
    <w:p w14:paraId="39B236B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cs="宋体"/>
          <w:color w:val="auto"/>
          <w:sz w:val="21"/>
          <w:szCs w:val="21"/>
          <w:highlight w:val="none"/>
          <w:u w:val="single"/>
          <w:lang w:val="en-US" w:eastAsia="zh-CN"/>
        </w:rPr>
        <w:t>2025</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rPr>
        <w:t>日</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lang w:val="zh-CN"/>
        </w:rPr>
        <w:t xml:space="preserve"> </w:t>
      </w:r>
      <w:bookmarkStart w:id="818" w:name="_GoBack"/>
      <w:bookmarkEnd w:id="818"/>
      <w:r>
        <w:rPr>
          <w:rFonts w:hint="eastAsia" w:ascii="宋体" w:hAnsi="宋体" w:eastAsia="宋体" w:cs="Times New Roman"/>
          <w:bCs/>
          <w:color w:val="auto"/>
          <w:kern w:val="0"/>
          <w:szCs w:val="21"/>
          <w:highlight w:val="none"/>
        </w:rPr>
        <w:t>；</w:t>
      </w:r>
    </w:p>
    <w:p w14:paraId="5BC6569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宋体"/>
          <w:color w:val="auto"/>
          <w:kern w:val="0"/>
          <w:szCs w:val="21"/>
          <w:highlight w:val="none"/>
          <w:u w:val="single"/>
        </w:rPr>
        <w:t>东莞市东城街道新源路海德琥珀台6栋170</w:t>
      </w:r>
      <w:r>
        <w:rPr>
          <w:rFonts w:hint="eastAsia" w:ascii="宋体" w:hAnsi="宋体" w:eastAsia="宋体" w:cs="宋体"/>
          <w:color w:val="auto"/>
          <w:kern w:val="0"/>
          <w:szCs w:val="21"/>
          <w:highlight w:val="none"/>
          <w:u w:val="single"/>
          <w:lang w:val="en-US" w:eastAsia="zh-CN"/>
        </w:rPr>
        <w:t>室</w:t>
      </w:r>
      <w:r>
        <w:rPr>
          <w:rFonts w:hint="eastAsia" w:ascii="宋体" w:hAnsi="宋体" w:eastAsia="宋体" w:cs="Times New Roman"/>
          <w:color w:val="auto"/>
          <w:kern w:val="0"/>
          <w:szCs w:val="21"/>
          <w:highlight w:val="none"/>
        </w:rPr>
        <w:t>。</w:t>
      </w:r>
    </w:p>
    <w:p w14:paraId="6656A3E8">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7A72CAC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30E33E70">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08068220">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宋体"/>
          <w:color w:val="auto"/>
          <w:szCs w:val="21"/>
          <w:highlight w:val="none"/>
          <w:lang w:val="zh-CN"/>
        </w:rPr>
        <w:t>www.youde.net</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1963A27F">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14:paraId="1E115ECD">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rPr>
      </w:pPr>
      <w:bookmarkStart w:id="10" w:name="_Toc22330"/>
      <w:r>
        <w:rPr>
          <w:rFonts w:ascii="宋体" w:hAnsi="宋体" w:eastAsia="宋体" w:cs="Times New Roman"/>
          <w:bCs/>
          <w:color w:val="auto"/>
          <w:szCs w:val="21"/>
          <w:highlight w:val="none"/>
          <w:lang w:val="zh-CN"/>
        </w:rPr>
        <w:t>招标人联系方式</w:t>
      </w:r>
      <w:bookmarkEnd w:id="10"/>
    </w:p>
    <w:p w14:paraId="7D679FC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东莞市水务集团有限公司</w:t>
      </w:r>
    </w:p>
    <w:p w14:paraId="326D014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东莞市东城街道育华路</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号</w:t>
      </w:r>
    </w:p>
    <w:p w14:paraId="29B32D33">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袁沛荣</w:t>
      </w:r>
    </w:p>
    <w:p w14:paraId="4958D89E">
      <w:pPr>
        <w:widowControl/>
        <w:autoSpaceDE w:val="0"/>
        <w:autoSpaceDN w:val="0"/>
        <w:adjustRightInd w:val="0"/>
        <w:spacing w:line="360" w:lineRule="auto"/>
        <w:ind w:right="-31" w:rightChars="-15" w:firstLine="424" w:firstLineChars="202"/>
        <w:jc w:val="left"/>
        <w:textAlignment w:val="bottom"/>
        <w:rPr>
          <w:rFonts w:hint="default" w:ascii="宋体" w:hAnsi="宋体" w:eastAsia="等线" w:cs="Times New Roman"/>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val="en-US" w:eastAsia="zh-CN"/>
        </w:rPr>
        <w:t>0769-</w:t>
      </w:r>
      <w:r>
        <w:rPr>
          <w:rFonts w:hint="eastAsia" w:ascii="宋体" w:hAnsi="宋体" w:eastAsia="宋体" w:cs="宋体"/>
          <w:color w:val="auto"/>
          <w:lang w:val="en-US" w:eastAsia="zh-CN"/>
        </w:rPr>
        <w:t>22689090</w:t>
      </w:r>
    </w:p>
    <w:p w14:paraId="65BB9805">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6276232D">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rPr>
      </w:pPr>
      <w:bookmarkStart w:id="11" w:name="_Toc21116"/>
      <w:r>
        <w:rPr>
          <w:rFonts w:ascii="宋体" w:hAnsi="宋体" w:eastAsia="宋体" w:cs="Times New Roman"/>
          <w:color w:val="auto"/>
          <w:szCs w:val="21"/>
          <w:highlight w:val="none"/>
        </w:rPr>
        <w:t>招标代理机构</w:t>
      </w:r>
      <w:r>
        <w:rPr>
          <w:rFonts w:hint="eastAsia" w:ascii="宋体" w:hAnsi="宋体" w:eastAsia="宋体" w:cs="宋体"/>
          <w:i w:val="0"/>
          <w:iCs w:val="0"/>
          <w:caps w:val="0"/>
          <w:color w:val="auto"/>
          <w:spacing w:val="0"/>
          <w:sz w:val="21"/>
          <w:szCs w:val="21"/>
        </w:rPr>
        <w:t>及异议受理</w:t>
      </w:r>
      <w:r>
        <w:rPr>
          <w:rFonts w:ascii="宋体" w:hAnsi="宋体" w:eastAsia="宋体" w:cs="Times New Roman"/>
          <w:color w:val="auto"/>
          <w:szCs w:val="21"/>
          <w:highlight w:val="none"/>
        </w:rPr>
        <w:t>联系方式</w:t>
      </w:r>
      <w:bookmarkEnd w:id="11"/>
    </w:p>
    <w:p w14:paraId="785A73C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2" w:name="_Toc486167661"/>
      <w:bookmarkStart w:id="13" w:name="_Toc450662847"/>
      <w:bookmarkStart w:id="14" w:name="_Toc31764_WPSOffice_Level1"/>
      <w:r>
        <w:rPr>
          <w:rFonts w:hint="eastAsia" w:ascii="宋体" w:hAnsi="宋体" w:eastAsia="宋体" w:cs="宋体"/>
          <w:color w:val="auto"/>
          <w:kern w:val="0"/>
          <w:szCs w:val="21"/>
          <w:highlight w:val="none"/>
        </w:rPr>
        <w:t>招标代理机构：广东有德招标采购有限公司</w:t>
      </w:r>
    </w:p>
    <w:p w14:paraId="13A2108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6C54208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599817F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rPr>
        <w:t>0769-23362836</w:t>
      </w:r>
      <w:r>
        <w:rPr>
          <w:rFonts w:hint="eastAsia" w:ascii="宋体" w:hAnsi="宋体" w:eastAsia="宋体" w:cs="宋体"/>
          <w:color w:val="auto"/>
          <w:szCs w:val="21"/>
          <w:lang w:val="en-US" w:eastAsia="zh-CN"/>
        </w:rPr>
        <w:t>-8019</w:t>
      </w:r>
    </w:p>
    <w:p w14:paraId="54801C62">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ascii="宋体" w:hAnsi="宋体" w:eastAsia="宋体" w:cs="宋体"/>
          <w:b/>
          <w:bCs/>
          <w:color w:val="auto"/>
          <w:kern w:val="44"/>
          <w:sz w:val="32"/>
          <w:szCs w:val="32"/>
          <w:highlight w:val="none"/>
        </w:rPr>
      </w:pPr>
      <w:bookmarkStart w:id="15" w:name="_Toc32163"/>
      <w:bookmarkStart w:id="16" w:name="_Toc142508311"/>
      <w:bookmarkStart w:id="17" w:name="_Toc15111"/>
      <w:bookmarkStart w:id="18" w:name="_Toc1821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p>
    <w:p w14:paraId="630F504C">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9" w:name="_Toc486167662"/>
      <w:bookmarkStart w:id="20" w:name="_Toc9555"/>
      <w:bookmarkStart w:id="21" w:name="_Toc140596871"/>
      <w:bookmarkStart w:id="22" w:name="_Toc24479"/>
      <w:bookmarkStart w:id="23" w:name="_Toc21852"/>
      <w:bookmarkStart w:id="24" w:name="_Toc142508312"/>
      <w:bookmarkStart w:id="25" w:name="_Toc15366_WPSOffice_Level2"/>
      <w:bookmarkStart w:id="26" w:name="_Toc450662848"/>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bookmarkEnd w:id="26"/>
    </w:p>
    <w:p w14:paraId="6782251E">
      <w:pPr>
        <w:tabs>
          <w:tab w:val="left" w:pos="567"/>
        </w:tabs>
        <w:autoSpaceDE w:val="0"/>
        <w:autoSpaceDN w:val="0"/>
        <w:adjustRightInd w:val="0"/>
        <w:spacing w:line="360" w:lineRule="auto"/>
        <w:ind w:left="357" w:leftChars="-100" w:hanging="567"/>
        <w:jc w:val="left"/>
        <w:outlineLvl w:val="9"/>
        <w:rPr>
          <w:rFonts w:ascii="宋体" w:hAnsi="宋体" w:eastAsia="宋体" w:cs="宋体"/>
          <w:color w:val="auto"/>
          <w:szCs w:val="21"/>
          <w:highlight w:val="none"/>
          <w:lang w:val="zh-CN"/>
        </w:rPr>
      </w:pPr>
      <w:bookmarkStart w:id="27" w:name="_Toc29397"/>
      <w:bookmarkStart w:id="28" w:name="_Toc486167663"/>
      <w:bookmarkStart w:id="29" w:name="_Toc23333"/>
      <w:bookmarkStart w:id="30" w:name="_Toc450662849"/>
      <w:bookmarkStart w:id="31" w:name="_Toc142508313"/>
      <w:bookmarkStart w:id="32" w:name="_Toc9608"/>
      <w:bookmarkStart w:id="33" w:name="_Toc21710_WPSOffice_Level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7"/>
      <w:bookmarkEnd w:id="28"/>
      <w:bookmarkEnd w:id="29"/>
      <w:bookmarkEnd w:id="30"/>
      <w:bookmarkEnd w:id="31"/>
      <w:bookmarkEnd w:id="32"/>
      <w:bookmarkEnd w:id="33"/>
    </w:p>
    <w:p w14:paraId="0DA813A5">
      <w:pPr>
        <w:autoSpaceDE w:val="0"/>
        <w:autoSpaceDN w:val="0"/>
        <w:adjustRightInd w:val="0"/>
        <w:jc w:val="left"/>
        <w:rPr>
          <w:rFonts w:ascii="宋体" w:hAnsi="宋体" w:eastAsia="宋体" w:cs="宋体"/>
          <w:color w:val="auto"/>
          <w:kern w:val="0"/>
          <w:sz w:val="24"/>
          <w:szCs w:val="24"/>
          <w:highlight w:val="none"/>
        </w:rPr>
      </w:pPr>
    </w:p>
    <w:p w14:paraId="5CC2B9CB">
      <w:pPr>
        <w:tabs>
          <w:tab w:val="left" w:pos="570"/>
        </w:tabs>
        <w:autoSpaceDE w:val="0"/>
        <w:autoSpaceDN w:val="0"/>
        <w:adjustRightInd w:val="0"/>
        <w:spacing w:line="360" w:lineRule="auto"/>
        <w:ind w:left="357" w:leftChars="-100" w:hanging="567"/>
        <w:jc w:val="left"/>
        <w:outlineLvl w:val="9"/>
        <w:rPr>
          <w:rFonts w:ascii="宋体" w:hAnsi="宋体" w:eastAsia="宋体" w:cs="宋体"/>
          <w:b/>
          <w:color w:val="auto"/>
          <w:szCs w:val="21"/>
          <w:highlight w:val="none"/>
          <w:lang w:val="zh-CN"/>
        </w:rPr>
      </w:pPr>
      <w:bookmarkStart w:id="34" w:name="_Toc32244"/>
      <w:bookmarkStart w:id="35" w:name="_Toc23530"/>
      <w:bookmarkStart w:id="36" w:name="_Toc80_WPSOffice_Level3"/>
      <w:bookmarkStart w:id="37" w:name="_Toc486167664"/>
      <w:bookmarkStart w:id="38" w:name="_Toc18557"/>
      <w:bookmarkStart w:id="39" w:name="_Toc142508314"/>
      <w:bookmarkStart w:id="40"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4"/>
      <w:bookmarkEnd w:id="35"/>
      <w:bookmarkEnd w:id="36"/>
      <w:bookmarkEnd w:id="37"/>
      <w:bookmarkEnd w:id="38"/>
      <w:bookmarkEnd w:id="39"/>
      <w:bookmarkEnd w:id="40"/>
    </w:p>
    <w:p w14:paraId="41F7E76E">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51F866C6">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0EBF8FBB">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9C43FB4">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5643CC3C">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23BBEBC">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9EE8562">
      <w:pPr>
        <w:tabs>
          <w:tab w:val="left" w:pos="570"/>
        </w:tabs>
        <w:autoSpaceDE w:val="0"/>
        <w:autoSpaceDN w:val="0"/>
        <w:adjustRightInd w:val="0"/>
        <w:spacing w:line="360" w:lineRule="auto"/>
        <w:ind w:left="357" w:leftChars="-100" w:hanging="567"/>
        <w:jc w:val="left"/>
        <w:outlineLvl w:val="9"/>
        <w:rPr>
          <w:rFonts w:hint="eastAsia" w:ascii="宋体" w:hAnsi="宋体" w:eastAsia="宋体" w:cs="宋体"/>
          <w:b/>
          <w:color w:val="auto"/>
          <w:szCs w:val="21"/>
          <w:highlight w:val="none"/>
          <w:lang w:val="en-US" w:eastAsia="zh-CN"/>
        </w:rPr>
      </w:pPr>
      <w:bookmarkStart w:id="41" w:name="_Toc142508315"/>
      <w:bookmarkStart w:id="42" w:name="_Toc23847_WPSOffice_Level3"/>
      <w:bookmarkStart w:id="43" w:name="_Toc11689"/>
      <w:bookmarkStart w:id="44" w:name="_Toc19774"/>
      <w:bookmarkStart w:id="45" w:name="_Toc3545"/>
      <w:bookmarkStart w:id="46" w:name="_Toc486167665"/>
      <w:bookmarkStart w:id="47"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1"/>
      <w:bookmarkEnd w:id="42"/>
      <w:r>
        <w:rPr>
          <w:rFonts w:hint="eastAsia" w:ascii="宋体" w:hAnsi="宋体" w:eastAsia="宋体" w:cs="宋体"/>
          <w:b/>
          <w:color w:val="auto"/>
          <w:szCs w:val="21"/>
          <w:highlight w:val="none"/>
          <w:lang w:val="en-US" w:eastAsia="zh-CN"/>
        </w:rPr>
        <w:t>服务</w:t>
      </w:r>
      <w:bookmarkEnd w:id="43"/>
      <w:bookmarkEnd w:id="44"/>
      <w:bookmarkEnd w:id="45"/>
    </w:p>
    <w:p w14:paraId="1A76AFF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5AF7968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533708063"/>
      <w:bookmarkStart w:id="49" w:name="_Toc1977663"/>
      <w:r>
        <w:rPr>
          <w:rFonts w:hint="eastAsia" w:ascii="宋体" w:hAnsi="宋体" w:eastAsia="宋体" w:cs="宋体"/>
          <w:color w:val="auto"/>
          <w:szCs w:val="21"/>
          <w:highlight w:val="none"/>
          <w:lang w:val="zh-CN"/>
        </w:rPr>
        <w:t xml:space="preserve">3.2  </w:t>
      </w:r>
      <w:bookmarkEnd w:id="48"/>
      <w:bookmarkEnd w:id="49"/>
      <w:bookmarkStart w:id="50" w:name="_Toc533708065"/>
      <w:bookmarkStart w:id="51"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50"/>
      <w:bookmarkEnd w:id="51"/>
    </w:p>
    <w:p w14:paraId="37F0D14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533708066"/>
      <w:bookmarkStart w:id="53"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2"/>
      <w:bookmarkEnd w:id="53"/>
      <w:bookmarkStart w:id="54" w:name="_Toc1977667"/>
      <w:bookmarkStart w:id="55"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4"/>
      <w:bookmarkEnd w:id="55"/>
    </w:p>
    <w:p w14:paraId="62554E7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68"/>
      <w:bookmarkStart w:id="57"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6"/>
      <w:bookmarkEnd w:id="57"/>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7117A601">
      <w:pPr>
        <w:autoSpaceDE w:val="0"/>
        <w:autoSpaceDN w:val="0"/>
        <w:adjustRightInd w:val="0"/>
        <w:spacing w:line="360" w:lineRule="auto"/>
        <w:jc w:val="left"/>
        <w:rPr>
          <w:rFonts w:ascii="宋体" w:hAnsi="宋体" w:eastAsia="宋体" w:cs="宋体"/>
          <w:color w:val="auto"/>
          <w:szCs w:val="21"/>
          <w:highlight w:val="none"/>
          <w:lang w:val="zh-CN"/>
        </w:rPr>
      </w:pPr>
    </w:p>
    <w:p w14:paraId="4B22F87F">
      <w:pPr>
        <w:tabs>
          <w:tab w:val="left" w:pos="570"/>
        </w:tabs>
        <w:autoSpaceDE w:val="0"/>
        <w:autoSpaceDN w:val="0"/>
        <w:adjustRightInd w:val="0"/>
        <w:spacing w:line="360" w:lineRule="auto"/>
        <w:ind w:left="357" w:leftChars="-100" w:hanging="567"/>
        <w:jc w:val="left"/>
        <w:outlineLvl w:val="9"/>
        <w:rPr>
          <w:rFonts w:ascii="宋体" w:hAnsi="宋体" w:eastAsia="宋体" w:cs="宋体"/>
          <w:color w:val="auto"/>
          <w:szCs w:val="21"/>
          <w:highlight w:val="none"/>
          <w:lang w:val="zh-CN"/>
        </w:rPr>
      </w:pPr>
      <w:bookmarkStart w:id="58" w:name="_Toc9658_WPSOffice_Level3"/>
      <w:bookmarkStart w:id="59" w:name="_Toc142508316"/>
      <w:bookmarkStart w:id="60" w:name="_Toc23411"/>
      <w:bookmarkStart w:id="61" w:name="_Toc11533"/>
      <w:bookmarkStart w:id="62" w:name="_Toc340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8"/>
      <w:bookmarkEnd w:id="59"/>
      <w:bookmarkEnd w:id="60"/>
      <w:bookmarkEnd w:id="61"/>
      <w:bookmarkEnd w:id="62"/>
    </w:p>
    <w:p w14:paraId="602DC406">
      <w:pPr>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bookmarkStart w:id="63" w:name="_Toc1955"/>
      <w:bookmarkStart w:id="64" w:name="_Toc1977670"/>
      <w:bookmarkStart w:id="65" w:name="_Toc533708070"/>
      <w:r>
        <w:rPr>
          <w:rFonts w:hint="eastAsia" w:ascii="宋体" w:hAnsi="宋体" w:eastAsia="宋体" w:cs="宋体"/>
          <w:color w:val="auto"/>
          <w:szCs w:val="21"/>
          <w:highlight w:val="none"/>
          <w:lang w:val="zh-CN"/>
        </w:rPr>
        <w:t>4.1  投标费用</w:t>
      </w:r>
      <w:bookmarkEnd w:id="63"/>
      <w:bookmarkEnd w:id="64"/>
      <w:bookmarkEnd w:id="65"/>
    </w:p>
    <w:p w14:paraId="08AF2DF3">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6" w:name="_Toc533708072"/>
      <w:bookmarkStart w:id="67"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6"/>
      <w:bookmarkEnd w:id="67"/>
    </w:p>
    <w:p w14:paraId="743D9800">
      <w:pPr>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bookmarkStart w:id="68" w:name="_Toc533708073"/>
      <w:bookmarkStart w:id="69" w:name="_Toc1977673"/>
      <w:bookmarkStart w:id="70" w:name="_Toc18058"/>
      <w:r>
        <w:rPr>
          <w:rFonts w:hint="eastAsia" w:ascii="宋体" w:hAnsi="宋体" w:eastAsia="宋体" w:cs="宋体"/>
          <w:color w:val="auto"/>
          <w:szCs w:val="21"/>
          <w:highlight w:val="none"/>
          <w:lang w:val="zh-CN"/>
        </w:rPr>
        <w:t>4.2  踏勘现场</w:t>
      </w:r>
      <w:bookmarkEnd w:id="68"/>
      <w:bookmarkEnd w:id="69"/>
      <w:bookmarkEnd w:id="70"/>
    </w:p>
    <w:p w14:paraId="54B4A57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1" w:name="_Toc533708076"/>
      <w:bookmarkStart w:id="72"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00656CD6">
      <w:pPr>
        <w:autoSpaceDE w:val="0"/>
        <w:autoSpaceDN w:val="0"/>
        <w:adjustRightInd w:val="0"/>
        <w:spacing w:line="360" w:lineRule="auto"/>
        <w:ind w:left="300" w:leftChars="-59" w:hanging="424" w:hangingChars="202"/>
        <w:jc w:val="left"/>
        <w:outlineLvl w:val="9"/>
        <w:rPr>
          <w:rFonts w:ascii="宋体" w:hAnsi="宋体" w:eastAsia="宋体" w:cs="Times New Roman"/>
          <w:color w:val="auto"/>
          <w:kern w:val="0"/>
          <w:szCs w:val="21"/>
          <w:highlight w:val="none"/>
        </w:rPr>
      </w:pPr>
      <w:bookmarkStart w:id="73" w:name="_Toc30753"/>
      <w:r>
        <w:rPr>
          <w:rFonts w:hint="eastAsia" w:ascii="宋体" w:hAnsi="宋体" w:eastAsia="宋体" w:cs="Times New Roman"/>
          <w:color w:val="auto"/>
          <w:kern w:val="0"/>
          <w:szCs w:val="21"/>
          <w:highlight w:val="none"/>
        </w:rPr>
        <w:t>（2）潜在投标人应承担踏勘现场自身所发生的费用。</w:t>
      </w:r>
      <w:bookmarkEnd w:id="73"/>
    </w:p>
    <w:p w14:paraId="6C10B362">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03E33FC6">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BCCC7F2">
      <w:pPr>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bookmarkStart w:id="74" w:name="_Toc11878"/>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6"/>
      <w:bookmarkEnd w:id="47"/>
      <w:bookmarkEnd w:id="71"/>
      <w:bookmarkEnd w:id="72"/>
      <w:bookmarkEnd w:id="74"/>
    </w:p>
    <w:p w14:paraId="626AA90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3402EED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1307E58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37DC55D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53EE4DA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60EE8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19D20F98">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2D68B6B">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75" w:name="_Toc140596876"/>
      <w:bookmarkStart w:id="76" w:name="_Toc450662853"/>
      <w:bookmarkStart w:id="77" w:name="_Toc10408"/>
      <w:bookmarkStart w:id="78" w:name="_Toc5395"/>
      <w:bookmarkStart w:id="79" w:name="_Toc1565"/>
      <w:bookmarkStart w:id="80" w:name="_Toc142508317"/>
      <w:bookmarkStart w:id="81" w:name="_Toc486167667"/>
      <w:bookmarkStart w:id="82" w:name="_Toc30507_WPSOffice_Level2"/>
      <w:r>
        <w:rPr>
          <w:rFonts w:hint="eastAsia" w:ascii="宋体" w:hAnsi="宋体" w:eastAsia="宋体" w:cs="宋体"/>
          <w:b/>
          <w:bCs/>
          <w:color w:val="auto"/>
          <w:kern w:val="44"/>
          <w:szCs w:val="21"/>
          <w:highlight w:val="none"/>
          <w:lang w:val="zh-CN"/>
        </w:rPr>
        <w:t>二、招标文件</w:t>
      </w:r>
      <w:bookmarkEnd w:id="75"/>
      <w:bookmarkEnd w:id="76"/>
      <w:bookmarkEnd w:id="77"/>
      <w:bookmarkEnd w:id="78"/>
      <w:bookmarkEnd w:id="79"/>
      <w:bookmarkEnd w:id="80"/>
      <w:bookmarkEnd w:id="81"/>
      <w:bookmarkEnd w:id="82"/>
    </w:p>
    <w:p w14:paraId="2371BB34">
      <w:pPr>
        <w:tabs>
          <w:tab w:val="left" w:pos="567"/>
        </w:tabs>
        <w:autoSpaceDE w:val="0"/>
        <w:autoSpaceDN w:val="0"/>
        <w:adjustRightInd w:val="0"/>
        <w:spacing w:line="360" w:lineRule="auto"/>
        <w:ind w:left="357" w:leftChars="-100" w:hanging="567"/>
        <w:jc w:val="left"/>
        <w:outlineLvl w:val="9"/>
        <w:rPr>
          <w:rFonts w:ascii="宋体" w:hAnsi="宋体" w:eastAsia="宋体" w:cs="宋体"/>
          <w:color w:val="auto"/>
          <w:szCs w:val="21"/>
          <w:highlight w:val="none"/>
          <w:lang w:val="zh-CN"/>
        </w:rPr>
      </w:pPr>
      <w:bookmarkStart w:id="83" w:name="_Toc450662854"/>
      <w:bookmarkStart w:id="84" w:name="_Toc2406"/>
      <w:bookmarkStart w:id="85" w:name="_Toc28893"/>
      <w:bookmarkStart w:id="86" w:name="_Toc10267"/>
      <w:bookmarkStart w:id="87" w:name="_Toc142508318"/>
      <w:bookmarkStart w:id="88" w:name="_Toc26635_WPSOffice_Level3"/>
      <w:bookmarkStart w:id="89" w:name="_Toc48616766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3"/>
      <w:bookmarkEnd w:id="84"/>
      <w:bookmarkEnd w:id="85"/>
      <w:bookmarkEnd w:id="86"/>
      <w:bookmarkEnd w:id="87"/>
      <w:bookmarkEnd w:id="88"/>
      <w:bookmarkEnd w:id="89"/>
    </w:p>
    <w:p w14:paraId="7CC8C407">
      <w:pPr>
        <w:tabs>
          <w:tab w:val="left" w:pos="567"/>
        </w:tabs>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bookmarkStart w:id="90" w:name="_Toc20171"/>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bookmarkEnd w:id="90"/>
    </w:p>
    <w:p w14:paraId="2D1A7B6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5CF75A7B">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bookmarkStart w:id="91" w:name="_Toc23699"/>
      <w:r>
        <w:rPr>
          <w:rFonts w:hint="eastAsia" w:ascii="宋体" w:hAnsi="宋体" w:eastAsia="宋体" w:cs="Times New Roman"/>
          <w:color w:val="auto"/>
          <w:szCs w:val="21"/>
          <w:highlight w:val="none"/>
          <w:lang w:val="zh-CN"/>
        </w:rPr>
        <w:t>第二篇 投标人须知</w:t>
      </w:r>
      <w:bookmarkEnd w:id="91"/>
    </w:p>
    <w:p w14:paraId="3624243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0E70EA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368F79E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37AC3A2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0A01E3E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593A6559">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26323A81">
      <w:pPr>
        <w:autoSpaceDE w:val="0"/>
        <w:autoSpaceDN w:val="0"/>
        <w:adjustRightInd w:val="0"/>
        <w:spacing w:line="360" w:lineRule="auto"/>
        <w:ind w:left="356" w:leftChars="-99" w:hanging="564" w:hangingChars="269"/>
        <w:outlineLvl w:val="9"/>
        <w:rPr>
          <w:rFonts w:ascii="宋体" w:hAnsi="宋体" w:eastAsia="宋体" w:cs="宋体"/>
          <w:b/>
          <w:bCs/>
          <w:color w:val="auto"/>
          <w:szCs w:val="21"/>
          <w:highlight w:val="none"/>
          <w:u w:val="single"/>
        </w:rPr>
      </w:pPr>
      <w:bookmarkStart w:id="92" w:name="_Toc6880"/>
      <w:r>
        <w:rPr>
          <w:rFonts w:hint="eastAsia" w:ascii="宋体" w:hAnsi="宋体" w:eastAsia="宋体" w:cs="宋体"/>
          <w:color w:val="auto"/>
          <w:szCs w:val="21"/>
          <w:highlight w:val="none"/>
          <w:lang w:val="zh-CN"/>
        </w:rPr>
        <w:t>5.3  本招标文件使用的词语有如下定义：</w:t>
      </w:r>
      <w:bookmarkEnd w:id="92"/>
    </w:p>
    <w:p w14:paraId="21110FA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东莞市水务集团有限公司</w:t>
      </w:r>
      <w:r>
        <w:rPr>
          <w:rFonts w:hint="eastAsia" w:ascii="宋体" w:hAnsi="宋体" w:eastAsia="宋体" w:cs="Times New Roman"/>
          <w:color w:val="auto"/>
          <w:kern w:val="0"/>
          <w:szCs w:val="21"/>
          <w:highlight w:val="none"/>
        </w:rPr>
        <w:t>；</w:t>
      </w:r>
    </w:p>
    <w:p w14:paraId="5E3A7C6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宋体"/>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43463DF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东莞市涉水收费统一征收平台2025年度运维服务项目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6C73DA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7F89FF0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2D49797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w:t>
      </w:r>
      <w:r>
        <w:rPr>
          <w:rFonts w:hint="eastAsia" w:ascii="宋体" w:hAnsi="宋体" w:eastAsia="宋体" w:cs="Times New Roman"/>
          <w:color w:val="auto"/>
          <w:kern w:val="0"/>
          <w:szCs w:val="21"/>
          <w:highlight w:val="none"/>
          <w:lang w:val="en-US" w:eastAsia="zh-CN"/>
        </w:rPr>
        <w:t>供水</w:t>
      </w:r>
      <w:r>
        <w:rPr>
          <w:rFonts w:hint="eastAsia" w:ascii="宋体" w:hAnsi="宋体" w:eastAsia="宋体" w:cs="Times New Roman"/>
          <w:color w:val="auto"/>
          <w:kern w:val="0"/>
          <w:szCs w:val="21"/>
          <w:highlight w:val="none"/>
          <w:lang w:eastAsia="zh-CN"/>
        </w:rPr>
        <w:t>有限公司</w:t>
      </w:r>
      <w:r>
        <w:rPr>
          <w:rFonts w:hint="eastAsia" w:ascii="宋体" w:hAnsi="宋体" w:eastAsia="宋体" w:cs="Times New Roman"/>
          <w:color w:val="auto"/>
          <w:kern w:val="0"/>
          <w:szCs w:val="21"/>
          <w:highlight w:val="none"/>
        </w:rPr>
        <w:t>；</w:t>
      </w:r>
    </w:p>
    <w:p w14:paraId="534329D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14:paraId="7B91B5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24A4C02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394B6B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2F941BB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3C407F3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115B939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20D5664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115EEA0D">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3AE98DC4">
      <w:pPr>
        <w:tabs>
          <w:tab w:val="left" w:pos="567"/>
        </w:tabs>
        <w:autoSpaceDE w:val="0"/>
        <w:autoSpaceDN w:val="0"/>
        <w:adjustRightInd w:val="0"/>
        <w:spacing w:line="360" w:lineRule="auto"/>
        <w:ind w:left="357" w:leftChars="-100" w:hanging="567"/>
        <w:jc w:val="left"/>
        <w:outlineLvl w:val="9"/>
        <w:rPr>
          <w:rFonts w:ascii="宋体" w:hAnsi="宋体" w:eastAsia="宋体" w:cs="宋体"/>
          <w:color w:val="auto"/>
          <w:szCs w:val="21"/>
          <w:highlight w:val="none"/>
          <w:lang w:val="zh-CN"/>
        </w:rPr>
      </w:pPr>
      <w:bookmarkStart w:id="93" w:name="_Toc8575"/>
      <w:bookmarkStart w:id="94" w:name="_Toc11346"/>
      <w:bookmarkStart w:id="95" w:name="_Toc142508319"/>
      <w:bookmarkStart w:id="96" w:name="_Toc3727"/>
      <w:bookmarkStart w:id="97" w:name="_Toc29125_WPSOffice_Level3"/>
      <w:bookmarkStart w:id="98" w:name="_Toc450662855"/>
      <w:bookmarkStart w:id="99" w:name="_Toc48616766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3"/>
      <w:bookmarkEnd w:id="94"/>
      <w:bookmarkEnd w:id="95"/>
      <w:bookmarkEnd w:id="96"/>
      <w:bookmarkEnd w:id="97"/>
      <w:bookmarkEnd w:id="98"/>
      <w:bookmarkEnd w:id="99"/>
    </w:p>
    <w:p w14:paraId="1730DACA">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441644EB">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2639A052">
      <w:pPr>
        <w:tabs>
          <w:tab w:val="left" w:pos="567"/>
        </w:tabs>
        <w:autoSpaceDE w:val="0"/>
        <w:autoSpaceDN w:val="0"/>
        <w:adjustRightInd w:val="0"/>
        <w:spacing w:line="360" w:lineRule="auto"/>
        <w:ind w:left="357" w:leftChars="-100" w:hanging="567"/>
        <w:jc w:val="left"/>
        <w:outlineLvl w:val="9"/>
        <w:rPr>
          <w:rFonts w:ascii="宋体" w:hAnsi="宋体" w:eastAsia="宋体" w:cs="宋体"/>
          <w:color w:val="auto"/>
          <w:szCs w:val="21"/>
          <w:highlight w:val="none"/>
          <w:lang w:val="zh-CN"/>
        </w:rPr>
      </w:pPr>
      <w:bookmarkStart w:id="100" w:name="_Toc23483_WPSOffice_Level3"/>
      <w:bookmarkStart w:id="101" w:name="_Toc29864"/>
      <w:bookmarkStart w:id="102" w:name="_Toc486167670"/>
      <w:bookmarkStart w:id="103" w:name="_Toc8128"/>
      <w:bookmarkStart w:id="104" w:name="_Toc17145"/>
      <w:bookmarkStart w:id="105" w:name="_Toc450662856"/>
      <w:bookmarkStart w:id="106" w:name="_Toc142508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0"/>
      <w:bookmarkEnd w:id="101"/>
      <w:bookmarkEnd w:id="102"/>
      <w:bookmarkEnd w:id="103"/>
      <w:bookmarkEnd w:id="104"/>
      <w:bookmarkEnd w:id="105"/>
      <w:bookmarkEnd w:id="106"/>
    </w:p>
    <w:p w14:paraId="2E226DC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34F8CE1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26A1709">
      <w:pPr>
        <w:autoSpaceDE w:val="0"/>
        <w:autoSpaceDN w:val="0"/>
        <w:adjustRightInd w:val="0"/>
        <w:spacing w:line="360" w:lineRule="auto"/>
        <w:ind w:left="357" w:leftChars="-100" w:hanging="567"/>
        <w:rPr>
          <w:rFonts w:ascii="宋体" w:hAnsi="宋体" w:eastAsia="宋体" w:cs="宋体"/>
          <w:color w:val="auto"/>
          <w:szCs w:val="21"/>
          <w:highlight w:val="yellow"/>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5"/>
          <w:rFonts w:ascii="宋体" w:hAnsi="宋体" w:eastAsia="宋体" w:cs="Times New Roman"/>
          <w:color w:val="auto"/>
          <w:sz w:val="21"/>
          <w:szCs w:val="21"/>
          <w:highlight w:val="none"/>
        </w:rPr>
        <w:t>www.dgswjt.cn）</w:t>
      </w:r>
      <w:r>
        <w:rPr>
          <w:rStyle w:val="45"/>
          <w:rFonts w:ascii="宋体" w:hAnsi="宋体" w:eastAsia="宋体" w:cs="Times New Roman"/>
          <w:color w:val="auto"/>
          <w:sz w:val="21"/>
          <w:szCs w:val="21"/>
          <w:highlight w:val="none"/>
          <w:lang w:val="zh-CN"/>
        </w:rPr>
        <w:t>、</w:t>
      </w:r>
      <w:r>
        <w:rPr>
          <w:rStyle w:val="45"/>
          <w:rFonts w:hint="eastAsia" w:ascii="宋体" w:hAnsi="宋体" w:eastAsia="宋体" w:cs="Times New Roman"/>
          <w:bCs/>
          <w:color w:val="auto"/>
          <w:kern w:val="0"/>
          <w:sz w:val="21"/>
          <w:szCs w:val="21"/>
          <w:highlight w:val="none"/>
        </w:rPr>
        <w:t>招标代理</w:t>
      </w:r>
      <w:r>
        <w:rPr>
          <w:rStyle w:val="45"/>
          <w:rFonts w:hint="eastAsia" w:ascii="宋体" w:hAnsi="宋体" w:eastAsia="宋体" w:cs="Times New Roman"/>
          <w:bCs/>
          <w:color w:val="auto"/>
          <w:kern w:val="0"/>
          <w:sz w:val="21"/>
          <w:szCs w:val="21"/>
          <w:highlight w:val="none"/>
          <w:lang w:val="en-US" w:eastAsia="zh-CN"/>
        </w:rPr>
        <w:t>机构</w:t>
      </w:r>
      <w:r>
        <w:rPr>
          <w:rStyle w:val="45"/>
          <w:rFonts w:hint="eastAsia" w:ascii="宋体" w:hAnsi="宋体" w:eastAsia="宋体" w:cs="Times New Roman"/>
          <w:bCs/>
          <w:color w:val="auto"/>
          <w:kern w:val="0"/>
          <w:sz w:val="21"/>
          <w:szCs w:val="21"/>
          <w:highlight w:val="none"/>
        </w:rPr>
        <w:t>网站（</w:t>
      </w:r>
      <w:r>
        <w:rPr>
          <w:rStyle w:val="45"/>
          <w:rFonts w:hint="eastAsia" w:ascii="宋体" w:hAnsi="宋体" w:eastAsia="宋体" w:cs="宋体"/>
          <w:bCs/>
          <w:color w:val="auto"/>
          <w:kern w:val="0"/>
          <w:sz w:val="21"/>
          <w:szCs w:val="21"/>
          <w:highlight w:val="none"/>
          <w:u w:val="none"/>
        </w:rPr>
        <w:t>www.youde.net</w:t>
      </w:r>
      <w:r>
        <w:rPr>
          <w:rStyle w:val="45"/>
          <w:rFonts w:ascii="宋体" w:hAnsi="宋体" w:eastAsia="宋体" w:cs="Times New Roman"/>
          <w:bCs/>
          <w:color w:val="auto"/>
          <w:kern w:val="0"/>
          <w:sz w:val="21"/>
          <w:szCs w:val="21"/>
          <w:highlight w:val="none"/>
        </w:rPr>
        <w:t>）</w:t>
      </w:r>
      <w:r>
        <w:rPr>
          <w:rStyle w:val="45"/>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2042D8B">
      <w:pPr>
        <w:autoSpaceDE w:val="0"/>
        <w:autoSpaceDN w:val="0"/>
        <w:adjustRightInd w:val="0"/>
        <w:spacing w:line="360" w:lineRule="auto"/>
        <w:ind w:left="357" w:leftChars="-100" w:hanging="567"/>
        <w:rPr>
          <w:rFonts w:ascii="宋体" w:hAnsi="宋体" w:eastAsia="宋体" w:cs="宋体"/>
          <w:color w:val="auto"/>
          <w:szCs w:val="21"/>
          <w:highlight w:val="none"/>
        </w:rPr>
      </w:pPr>
    </w:p>
    <w:p w14:paraId="2AF7F3E9">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07" w:name="_Toc29659_WPSOffice_Level2"/>
      <w:bookmarkStart w:id="108" w:name="_Toc486167671"/>
      <w:bookmarkStart w:id="109" w:name="_Toc23342"/>
      <w:bookmarkStart w:id="110" w:name="_Toc450662857"/>
      <w:bookmarkStart w:id="111" w:name="_Toc140596880"/>
      <w:bookmarkStart w:id="112" w:name="_Toc8711"/>
      <w:bookmarkStart w:id="113" w:name="_Toc142508321"/>
      <w:bookmarkStart w:id="114" w:name="_Toc10898"/>
      <w:r>
        <w:rPr>
          <w:rFonts w:hint="eastAsia" w:ascii="宋体" w:hAnsi="宋体" w:eastAsia="宋体" w:cs="宋体"/>
          <w:b/>
          <w:bCs/>
          <w:color w:val="auto"/>
          <w:kern w:val="44"/>
          <w:szCs w:val="21"/>
          <w:highlight w:val="none"/>
          <w:lang w:val="zh-CN"/>
        </w:rPr>
        <w:t>三、投标文件的编制</w:t>
      </w:r>
      <w:bookmarkEnd w:id="107"/>
      <w:bookmarkEnd w:id="108"/>
      <w:bookmarkEnd w:id="109"/>
      <w:bookmarkEnd w:id="110"/>
      <w:bookmarkEnd w:id="111"/>
      <w:bookmarkEnd w:id="112"/>
      <w:bookmarkEnd w:id="113"/>
      <w:bookmarkEnd w:id="114"/>
    </w:p>
    <w:p w14:paraId="6FDB7219">
      <w:pPr>
        <w:tabs>
          <w:tab w:val="left" w:pos="675"/>
        </w:tabs>
        <w:autoSpaceDE w:val="0"/>
        <w:autoSpaceDN w:val="0"/>
        <w:adjustRightInd w:val="0"/>
        <w:spacing w:line="360" w:lineRule="auto"/>
        <w:ind w:left="357" w:leftChars="-100" w:hanging="567"/>
        <w:jc w:val="left"/>
        <w:outlineLvl w:val="9"/>
        <w:rPr>
          <w:rFonts w:ascii="宋体" w:hAnsi="宋体" w:eastAsia="宋体" w:cs="宋体"/>
          <w:color w:val="auto"/>
          <w:szCs w:val="21"/>
          <w:highlight w:val="none"/>
          <w:lang w:val="zh-CN"/>
        </w:rPr>
      </w:pPr>
      <w:bookmarkStart w:id="115" w:name="_Toc450662858"/>
      <w:bookmarkStart w:id="116" w:name="_Toc6244"/>
      <w:bookmarkStart w:id="117" w:name="_Toc31162"/>
      <w:bookmarkStart w:id="118" w:name="_Toc486167672"/>
      <w:bookmarkStart w:id="119" w:name="_Toc1419"/>
      <w:bookmarkStart w:id="120" w:name="_Toc10015_WPSOffice_Level3"/>
      <w:bookmarkStart w:id="121" w:name="_Toc14250832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5"/>
      <w:bookmarkEnd w:id="116"/>
      <w:bookmarkEnd w:id="117"/>
      <w:bookmarkEnd w:id="118"/>
      <w:bookmarkEnd w:id="119"/>
      <w:bookmarkEnd w:id="120"/>
      <w:bookmarkEnd w:id="121"/>
    </w:p>
    <w:p w14:paraId="3CD7484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3F94DE8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B27AF19">
      <w:pPr>
        <w:autoSpaceDE w:val="0"/>
        <w:autoSpaceDN w:val="0"/>
        <w:adjustRightInd w:val="0"/>
        <w:spacing w:line="360" w:lineRule="auto"/>
        <w:rPr>
          <w:rFonts w:ascii="宋体" w:hAnsi="宋体" w:eastAsia="宋体" w:cs="宋体"/>
          <w:color w:val="auto"/>
          <w:szCs w:val="21"/>
          <w:highlight w:val="none"/>
          <w:lang w:val="zh-CN"/>
        </w:rPr>
      </w:pPr>
    </w:p>
    <w:p w14:paraId="38855E3E">
      <w:pPr>
        <w:tabs>
          <w:tab w:val="left" w:pos="540"/>
        </w:tabs>
        <w:autoSpaceDE w:val="0"/>
        <w:autoSpaceDN w:val="0"/>
        <w:adjustRightInd w:val="0"/>
        <w:spacing w:line="360" w:lineRule="auto"/>
        <w:ind w:left="357" w:leftChars="-100" w:hanging="567"/>
        <w:jc w:val="left"/>
        <w:outlineLvl w:val="9"/>
        <w:rPr>
          <w:rFonts w:ascii="宋体" w:hAnsi="宋体" w:eastAsia="宋体" w:cs="宋体"/>
          <w:color w:val="auto"/>
          <w:sz w:val="24"/>
          <w:szCs w:val="24"/>
          <w:highlight w:val="none"/>
          <w:lang w:val="zh-CN"/>
        </w:rPr>
      </w:pPr>
      <w:bookmarkStart w:id="122" w:name="_Toc7348"/>
      <w:bookmarkStart w:id="123" w:name="_Toc142508323"/>
      <w:bookmarkStart w:id="124" w:name="_Toc14943"/>
      <w:bookmarkStart w:id="125" w:name="_Toc24916_WPSOffice_Level3"/>
      <w:bookmarkStart w:id="126" w:name="_Toc7617"/>
      <w:bookmarkStart w:id="127" w:name="_Toc486167673"/>
      <w:bookmarkStart w:id="128"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2"/>
      <w:bookmarkEnd w:id="123"/>
      <w:bookmarkEnd w:id="124"/>
      <w:bookmarkEnd w:id="125"/>
      <w:bookmarkEnd w:id="126"/>
      <w:bookmarkEnd w:id="127"/>
      <w:bookmarkEnd w:id="128"/>
    </w:p>
    <w:p w14:paraId="140F0F45">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0B20B5D0">
      <w:pPr>
        <w:autoSpaceDE w:val="0"/>
        <w:autoSpaceDN w:val="0"/>
        <w:adjustRightInd w:val="0"/>
        <w:spacing w:line="360" w:lineRule="auto"/>
        <w:ind w:left="422" w:leftChars="-100" w:hanging="632" w:hangingChars="300"/>
        <w:outlineLvl w:val="9"/>
        <w:rPr>
          <w:rFonts w:ascii="宋体" w:hAnsi="宋体" w:eastAsia="宋体" w:cs="Times New Roman"/>
          <w:b/>
          <w:color w:val="auto"/>
          <w:kern w:val="0"/>
          <w:szCs w:val="21"/>
          <w:highlight w:val="none"/>
        </w:rPr>
      </w:pPr>
      <w:bookmarkStart w:id="129" w:name="_Toc18288"/>
      <w:r>
        <w:rPr>
          <w:rFonts w:hint="eastAsia" w:ascii="宋体" w:hAnsi="宋体" w:eastAsia="宋体" w:cs="宋体"/>
          <w:b/>
          <w:color w:val="auto"/>
          <w:kern w:val="0"/>
          <w:szCs w:val="24"/>
          <w:highlight w:val="none"/>
        </w:rPr>
        <w:t>9.1.1 商务文件：</w:t>
      </w:r>
      <w:bookmarkEnd w:id="129"/>
    </w:p>
    <w:p w14:paraId="2C6B87C0">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1B1C0C7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2DD97C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A1F694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16EC640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46FE514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0D4516E4">
      <w:pPr>
        <w:autoSpaceDE w:val="0"/>
        <w:autoSpaceDN w:val="0"/>
        <w:adjustRightInd w:val="0"/>
        <w:spacing w:line="360" w:lineRule="auto"/>
        <w:ind w:left="283" w:hanging="283" w:hangingChars="135"/>
        <w:outlineLvl w:val="9"/>
        <w:rPr>
          <w:rFonts w:ascii="宋体" w:hAnsi="宋体" w:eastAsia="宋体" w:cs="Times New Roman"/>
          <w:color w:val="auto"/>
          <w:szCs w:val="21"/>
          <w:highlight w:val="none"/>
          <w:lang w:val="zh-CN"/>
        </w:rPr>
      </w:pPr>
      <w:bookmarkStart w:id="130" w:name="_Toc27232"/>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bookmarkEnd w:id="130"/>
    </w:p>
    <w:p w14:paraId="0A2CA8AD">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5377E03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369CFC59">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eastAsia" w:ascii="宋体" w:hAnsi="宋体" w:eastAsia="宋体"/>
          <w:color w:val="auto"/>
          <w:szCs w:val="21"/>
          <w:highlight w:val="none"/>
          <w:lang w:val="en-US" w:eastAsia="zh-CN"/>
        </w:rPr>
        <w:t>2018</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日以来</w:t>
      </w:r>
      <w:r>
        <w:rPr>
          <w:rFonts w:hint="eastAsia" w:ascii="宋体" w:hAnsi="宋体" w:eastAsia="宋体" w:cs="宋体"/>
          <w:b/>
          <w:color w:val="auto"/>
          <w:szCs w:val="21"/>
          <w:highlight w:val="none"/>
          <w:lang w:val="en-US" w:eastAsia="zh-CN"/>
        </w:rPr>
        <w:t>信息系统维护项目</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2018</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5EE4B3EA">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bookmarkStart w:id="131" w:name="_Toc31944"/>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31"/>
    </w:p>
    <w:p w14:paraId="52D1B6E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5571C34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A13389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2CAF151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36C693E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4787E5F0">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350A4365">
      <w:pPr>
        <w:autoSpaceDE w:val="0"/>
        <w:autoSpaceDN w:val="0"/>
        <w:adjustRightInd w:val="0"/>
        <w:spacing w:line="360" w:lineRule="auto"/>
        <w:ind w:left="422" w:leftChars="-100" w:hanging="632" w:hangingChars="300"/>
        <w:outlineLvl w:val="9"/>
        <w:rPr>
          <w:rFonts w:ascii="宋体" w:hAnsi="宋体" w:eastAsia="宋体" w:cs="宋体"/>
          <w:b/>
          <w:color w:val="auto"/>
          <w:kern w:val="0"/>
          <w:szCs w:val="24"/>
          <w:highlight w:val="none"/>
        </w:rPr>
      </w:pPr>
      <w:bookmarkStart w:id="132" w:name="_Toc598"/>
      <w:r>
        <w:rPr>
          <w:rFonts w:hint="eastAsia" w:ascii="宋体" w:hAnsi="宋体" w:eastAsia="宋体" w:cs="宋体"/>
          <w:b/>
          <w:color w:val="auto"/>
          <w:kern w:val="0"/>
          <w:szCs w:val="24"/>
          <w:highlight w:val="none"/>
        </w:rPr>
        <w:t>9.1.2 技术文件：</w:t>
      </w:r>
      <w:bookmarkEnd w:id="132"/>
    </w:p>
    <w:p w14:paraId="58014309">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177AE396">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4EA4AF3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项目理解</w:t>
      </w:r>
      <w:r>
        <w:rPr>
          <w:rFonts w:hint="eastAsia" w:ascii="宋体" w:hAnsi="宋体" w:eastAsia="宋体" w:cs="Times New Roman"/>
          <w:color w:val="auto"/>
          <w:kern w:val="0"/>
          <w:szCs w:val="21"/>
          <w:highlight w:val="none"/>
          <w:lang w:val="zh-CN"/>
        </w:rPr>
        <w:t>；</w:t>
      </w:r>
    </w:p>
    <w:p w14:paraId="40D7E411">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项目实施管理方案；</w:t>
      </w:r>
    </w:p>
    <w:p w14:paraId="210D31F9">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质量保证措施及承诺；</w:t>
      </w:r>
    </w:p>
    <w:p w14:paraId="4ED9486F">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eastAsia="zh-CN"/>
        </w:rPr>
        <w:t>运维服务方案；</w:t>
      </w:r>
    </w:p>
    <w:p w14:paraId="6B7D38C4">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人员配置</w:t>
      </w:r>
      <w:r>
        <w:rPr>
          <w:rFonts w:hint="eastAsia" w:ascii="宋体" w:hAnsi="宋体" w:eastAsia="宋体" w:cs="宋体"/>
          <w:color w:val="auto"/>
          <w:kern w:val="0"/>
          <w:szCs w:val="21"/>
          <w:highlight w:val="none"/>
          <w:lang w:eastAsia="zh-CN"/>
        </w:rPr>
        <w:t>；</w:t>
      </w:r>
    </w:p>
    <w:p w14:paraId="3A5ADB69">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）服务响应能力</w:t>
      </w:r>
      <w:r>
        <w:rPr>
          <w:rFonts w:hint="eastAsia" w:ascii="宋体" w:hAnsi="宋体" w:eastAsia="宋体" w:cs="宋体"/>
          <w:color w:val="auto"/>
          <w:kern w:val="0"/>
          <w:szCs w:val="21"/>
          <w:highlight w:val="none"/>
          <w:lang w:eastAsia="zh-CN"/>
        </w:rPr>
        <w:t>；</w:t>
      </w:r>
    </w:p>
    <w:p w14:paraId="7706E7F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71158B4C">
      <w:pPr>
        <w:autoSpaceDE w:val="0"/>
        <w:autoSpaceDN w:val="0"/>
        <w:adjustRightInd w:val="0"/>
        <w:spacing w:line="360" w:lineRule="auto"/>
        <w:ind w:left="422" w:leftChars="-100" w:hanging="632" w:hangingChars="300"/>
        <w:outlineLvl w:val="9"/>
        <w:rPr>
          <w:rFonts w:ascii="宋体" w:hAnsi="宋体" w:eastAsia="宋体" w:cs="宋体"/>
          <w:color w:val="auto"/>
          <w:kern w:val="0"/>
          <w:szCs w:val="21"/>
          <w:highlight w:val="none"/>
          <w:lang w:val="zh-CN"/>
        </w:rPr>
      </w:pPr>
      <w:bookmarkStart w:id="133" w:name="_Toc28683"/>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33"/>
    </w:p>
    <w:p w14:paraId="75DBA4CF">
      <w:pPr>
        <w:autoSpaceDE w:val="0"/>
        <w:autoSpaceDN w:val="0"/>
        <w:adjustRightInd w:val="0"/>
        <w:spacing w:line="360" w:lineRule="auto"/>
        <w:ind w:left="35" w:leftChars="-118" w:hanging="283" w:hangingChars="135"/>
        <w:outlineLvl w:val="9"/>
        <w:rPr>
          <w:rFonts w:ascii="宋体" w:hAnsi="宋体" w:eastAsia="宋体" w:cs="宋体"/>
          <w:color w:val="auto"/>
          <w:kern w:val="0"/>
          <w:szCs w:val="21"/>
          <w:highlight w:val="none"/>
        </w:rPr>
      </w:pPr>
      <w:bookmarkStart w:id="134" w:name="_Toc19901"/>
      <w:r>
        <w:rPr>
          <w:rFonts w:hint="eastAsia" w:ascii="宋体" w:hAnsi="宋体" w:eastAsia="宋体" w:cs="宋体"/>
          <w:color w:val="auto"/>
          <w:kern w:val="0"/>
          <w:szCs w:val="21"/>
          <w:highlight w:val="none"/>
        </w:rPr>
        <w:t>（1）签字、盖章后的投标文件扫描版PDF格式电子文件。</w:t>
      </w:r>
      <w:bookmarkEnd w:id="134"/>
    </w:p>
    <w:p w14:paraId="6E451ECD">
      <w:pPr>
        <w:autoSpaceDE w:val="0"/>
        <w:autoSpaceDN w:val="0"/>
        <w:adjustRightInd w:val="0"/>
        <w:spacing w:line="360" w:lineRule="auto"/>
        <w:ind w:left="422" w:leftChars="-100" w:hanging="632" w:hangingChars="300"/>
        <w:outlineLvl w:val="9"/>
        <w:rPr>
          <w:rFonts w:ascii="宋体" w:hAnsi="宋体" w:eastAsia="宋体" w:cs="宋体"/>
          <w:b/>
          <w:bCs/>
          <w:color w:val="auto"/>
          <w:szCs w:val="21"/>
          <w:highlight w:val="none"/>
          <w:lang w:val="zh-CN"/>
        </w:rPr>
      </w:pPr>
      <w:bookmarkStart w:id="135" w:name="_Toc6757"/>
      <w:r>
        <w:rPr>
          <w:rFonts w:hint="eastAsia" w:ascii="宋体" w:hAnsi="宋体" w:eastAsia="宋体" w:cs="宋体"/>
          <w:b/>
          <w:bCs/>
          <w:color w:val="auto"/>
          <w:szCs w:val="21"/>
          <w:highlight w:val="none"/>
          <w:lang w:val="zh-CN"/>
        </w:rPr>
        <w:t>9.1.4 唱标信封（单独密封）</w:t>
      </w:r>
      <w:bookmarkEnd w:id="135"/>
    </w:p>
    <w:p w14:paraId="7B4DA8F6">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r>
        <w:rPr>
          <w:rFonts w:hint="eastAsia" w:ascii="宋体" w:hAnsi="宋体" w:eastAsia="宋体" w:cs="宋体"/>
          <w:color w:val="auto"/>
          <w:szCs w:val="21"/>
          <w:highlight w:val="none"/>
          <w:lang w:val="zh-CN"/>
        </w:rPr>
        <w:t>(含投标报价表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w:t>
      </w:r>
    </w:p>
    <w:p w14:paraId="4BBB0460">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0319EF5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1BC239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412D6C9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34899F9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6" w:name="_Toc142508324"/>
      <w:bookmarkStart w:id="137" w:name="_Toc486167674"/>
      <w:bookmarkStart w:id="138" w:name="_Toc13214"/>
      <w:bookmarkStart w:id="139" w:name="_Toc13475"/>
      <w:bookmarkStart w:id="140" w:name="_Toc8675_WPSOffice_Level3"/>
      <w:bookmarkStart w:id="141" w:name="_Toc450662860"/>
      <w:bookmarkStart w:id="142" w:name="_Toc1117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6"/>
      <w:bookmarkEnd w:id="137"/>
      <w:bookmarkEnd w:id="138"/>
      <w:bookmarkEnd w:id="139"/>
      <w:bookmarkEnd w:id="140"/>
      <w:bookmarkEnd w:id="141"/>
      <w:bookmarkEnd w:id="142"/>
    </w:p>
    <w:p w14:paraId="3E2F652F">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7504262">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6800496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3" w:name="_Toc142508325"/>
      <w:bookmarkStart w:id="144" w:name="_Toc24311"/>
      <w:bookmarkStart w:id="145" w:name="_Toc4385_WPSOffice_Level3"/>
      <w:bookmarkStart w:id="146" w:name="_Toc450662861"/>
      <w:bookmarkStart w:id="147" w:name="_Toc4340"/>
      <w:bookmarkStart w:id="148" w:name="_Toc486167675"/>
      <w:bookmarkStart w:id="149" w:name="_Toc15427"/>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3"/>
      <w:bookmarkEnd w:id="144"/>
      <w:bookmarkEnd w:id="145"/>
      <w:bookmarkEnd w:id="146"/>
      <w:bookmarkEnd w:id="147"/>
      <w:bookmarkEnd w:id="148"/>
      <w:bookmarkEnd w:id="149"/>
    </w:p>
    <w:p w14:paraId="035F6DC6">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05AC3CC3">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DE40B5E">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5ADA541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25D6D815">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（1）完成合同项下运维服务全过程的人工费、加班费、</w:t>
      </w:r>
      <w:r>
        <w:rPr>
          <w:rFonts w:hint="eastAsia" w:ascii="宋体" w:hAnsi="宋体" w:eastAsia="宋体" w:cs="宋体"/>
          <w:color w:val="auto"/>
          <w:kern w:val="0"/>
          <w:sz w:val="21"/>
          <w:szCs w:val="21"/>
          <w:lang w:val="zh-CN" w:eastAsia="zh-CN"/>
        </w:rPr>
        <w:t>交通费、</w:t>
      </w:r>
      <w:r>
        <w:rPr>
          <w:rFonts w:hint="eastAsia" w:ascii="宋体" w:hAnsi="宋体" w:eastAsia="宋体" w:cs="宋体"/>
          <w:color w:val="auto"/>
          <w:szCs w:val="21"/>
          <w:lang w:val="zh-CN"/>
        </w:rPr>
        <w:t>住宿费、餐饮费、人员社会保险、人身意外保险、第三方责任险，运维服务期间所需的仪器设备费用、交通费用、安全防护措施费用，服务过程中导致的人身、财产安全损失、赔偿、罚款；</w:t>
      </w:r>
    </w:p>
    <w:p w14:paraId="1A781107">
      <w:pPr>
        <w:autoSpaceDE w:val="0"/>
        <w:autoSpaceDN w:val="0"/>
        <w:adjustRightInd w:val="0"/>
        <w:spacing w:line="360" w:lineRule="auto"/>
        <w:ind w:left="357" w:leftChars="-100" w:hanging="567"/>
        <w:outlineLvl w:val="1"/>
        <w:rPr>
          <w:rFonts w:ascii="宋体" w:hAnsi="宋体" w:eastAsia="宋体" w:cs="宋体"/>
          <w:color w:val="auto"/>
          <w:szCs w:val="21"/>
          <w:lang w:val="zh-CN"/>
        </w:rPr>
      </w:pPr>
      <w:bookmarkStart w:id="150" w:name="_Toc367"/>
      <w:bookmarkStart w:id="151" w:name="_Toc27072"/>
      <w:bookmarkStart w:id="152" w:name="_Toc1174"/>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）合理利润、投标人销项税额以外的税费等；</w:t>
      </w:r>
      <w:bookmarkEnd w:id="150"/>
      <w:bookmarkEnd w:id="151"/>
      <w:bookmarkEnd w:id="152"/>
    </w:p>
    <w:p w14:paraId="0F8B9C54">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）法律法规、商业公认、招标文件规定由投标人承担的其他直接及间接费用。</w:t>
      </w:r>
    </w:p>
    <w:p w14:paraId="5F3097B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417526AC">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1B992294">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14:paraId="3C11D882">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的投标报价高于最高投标限价的，该投标人的投标文件将被视为无效投标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Times New Roman"/>
          <w:b/>
          <w:bCs/>
          <w:color w:val="auto"/>
          <w:szCs w:val="21"/>
          <w:highlight w:val="none"/>
          <w:u w:val="single"/>
          <w:lang w:val="zh-CN"/>
        </w:rPr>
        <w:t>为5,058,113.21元（大写</w:t>
      </w:r>
      <w:r>
        <w:rPr>
          <w:rFonts w:hint="eastAsia" w:ascii="宋体" w:hAnsi="宋体" w:eastAsia="宋体" w:cs="宋体"/>
          <w:b/>
          <w:color w:val="auto"/>
          <w:szCs w:val="21"/>
          <w:highlight w:val="none"/>
          <w:u w:val="single"/>
          <w:lang w:val="zh-CN"/>
        </w:rPr>
        <w:t>：人民币伍佰零伍万捌仟壹佰壹拾叁元贰角壹分）。</w:t>
      </w:r>
    </w:p>
    <w:p w14:paraId="40B72D25">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12D5961">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53" w:name="_Toc3469"/>
      <w:bookmarkStart w:id="154" w:name="_Toc14290"/>
      <w:bookmarkStart w:id="155" w:name="_Toc450662862"/>
      <w:bookmarkStart w:id="156" w:name="_Toc486167676"/>
      <w:bookmarkStart w:id="157" w:name="_Toc30042_WPSOffice_Level3"/>
      <w:bookmarkStart w:id="158" w:name="_Toc142508326"/>
      <w:bookmarkStart w:id="159" w:name="_Toc2031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3"/>
      <w:bookmarkEnd w:id="154"/>
      <w:bookmarkEnd w:id="155"/>
      <w:bookmarkEnd w:id="156"/>
      <w:bookmarkEnd w:id="157"/>
      <w:bookmarkEnd w:id="158"/>
      <w:bookmarkEnd w:id="159"/>
    </w:p>
    <w:p w14:paraId="7BB582F4">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26429B8D">
      <w:pPr>
        <w:autoSpaceDE w:val="0"/>
        <w:autoSpaceDN w:val="0"/>
        <w:adjustRightInd w:val="0"/>
        <w:spacing w:line="360" w:lineRule="auto"/>
        <w:ind w:left="265" w:leftChars="119" w:hanging="15"/>
        <w:rPr>
          <w:rFonts w:ascii="宋体" w:hAnsi="宋体" w:eastAsia="宋体" w:cs="宋体"/>
          <w:color w:val="auto"/>
          <w:szCs w:val="21"/>
          <w:highlight w:val="none"/>
        </w:rPr>
      </w:pPr>
    </w:p>
    <w:p w14:paraId="56315477">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0" w:name="_Toc142508327"/>
      <w:bookmarkStart w:id="161" w:name="_Toc6390"/>
      <w:bookmarkStart w:id="162" w:name="_Toc3961"/>
      <w:bookmarkStart w:id="163" w:name="_Toc9411_WPSOffice_Level3"/>
      <w:bookmarkStart w:id="164" w:name="_Toc20031"/>
      <w:bookmarkStart w:id="165" w:name="_Toc450662863"/>
      <w:bookmarkStart w:id="166" w:name="_Toc4861676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0"/>
      <w:bookmarkEnd w:id="161"/>
      <w:bookmarkEnd w:id="162"/>
      <w:bookmarkEnd w:id="163"/>
      <w:bookmarkEnd w:id="164"/>
      <w:bookmarkEnd w:id="165"/>
      <w:bookmarkEnd w:id="166"/>
    </w:p>
    <w:p w14:paraId="034C19A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1C77EDFD">
      <w:pPr>
        <w:autoSpaceDE w:val="0"/>
        <w:autoSpaceDN w:val="0"/>
        <w:adjustRightInd w:val="0"/>
        <w:spacing w:line="360" w:lineRule="auto"/>
        <w:ind w:left="357" w:leftChars="-100" w:hanging="567"/>
        <w:outlineLvl w:val="1"/>
        <w:rPr>
          <w:rFonts w:ascii="宋体" w:hAnsi="宋体" w:eastAsia="宋体" w:cs="宋体"/>
          <w:color w:val="auto"/>
          <w:szCs w:val="21"/>
          <w:highlight w:val="none"/>
          <w:vertAlign w:val="superscript"/>
          <w:lang w:val="zh-CN"/>
        </w:rPr>
      </w:pPr>
      <w:bookmarkStart w:id="167" w:name="_Toc6336"/>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67"/>
    </w:p>
    <w:p w14:paraId="4B2540C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6BBB01D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38FC65E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9CF1C9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011E0F49">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77F29B0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8" w:name="_Toc142508328"/>
      <w:bookmarkStart w:id="169" w:name="_Toc8615"/>
      <w:bookmarkStart w:id="170" w:name="_Toc450662864"/>
      <w:bookmarkStart w:id="171" w:name="_Toc29754"/>
      <w:bookmarkStart w:id="172" w:name="_Toc27771_WPSOffice_Level3"/>
      <w:bookmarkStart w:id="173" w:name="_Toc486167678"/>
      <w:bookmarkStart w:id="174" w:name="_Toc627"/>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68"/>
      <w:bookmarkEnd w:id="169"/>
      <w:bookmarkEnd w:id="170"/>
      <w:bookmarkEnd w:id="171"/>
      <w:bookmarkEnd w:id="172"/>
      <w:bookmarkEnd w:id="173"/>
      <w:bookmarkEnd w:id="174"/>
    </w:p>
    <w:p w14:paraId="5846D82B">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62E81C3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2588AECD">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2ED4BDDE">
      <w:pPr>
        <w:autoSpaceDE w:val="0"/>
        <w:autoSpaceDN w:val="0"/>
        <w:adjustRightInd w:val="0"/>
        <w:spacing w:line="360" w:lineRule="auto"/>
        <w:rPr>
          <w:rFonts w:ascii="宋体" w:hAnsi="宋体" w:eastAsia="宋体" w:cs="Times New Roman"/>
          <w:color w:val="auto"/>
          <w:kern w:val="0"/>
          <w:sz w:val="24"/>
          <w:szCs w:val="24"/>
          <w:highlight w:val="none"/>
        </w:rPr>
      </w:pPr>
    </w:p>
    <w:p w14:paraId="7502C4B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5" w:name="_Toc21015"/>
      <w:bookmarkStart w:id="176" w:name="_Toc142508329"/>
      <w:bookmarkStart w:id="177" w:name="_Toc486167679"/>
      <w:bookmarkStart w:id="178" w:name="_Toc8644"/>
      <w:bookmarkStart w:id="179" w:name="_Toc30555"/>
      <w:bookmarkStart w:id="180"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5"/>
      <w:bookmarkEnd w:id="176"/>
      <w:bookmarkEnd w:id="177"/>
      <w:bookmarkEnd w:id="178"/>
      <w:bookmarkEnd w:id="179"/>
      <w:bookmarkEnd w:id="180"/>
    </w:p>
    <w:p w14:paraId="3249666A">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投标人投标时须附有投标保证金101,</w:t>
      </w:r>
      <w:r>
        <w:rPr>
          <w:rFonts w:hint="eastAsia" w:ascii="宋体" w:hAnsi="宋体" w:eastAsia="宋体" w:cs="宋体"/>
          <w:b/>
          <w:bCs/>
          <w:color w:val="auto"/>
          <w:kern w:val="0"/>
          <w:szCs w:val="21"/>
          <w:highlight w:val="none"/>
          <w:u w:val="single"/>
          <w:lang w:val="en-US" w:eastAsia="zh-CN"/>
        </w:rPr>
        <w:t>000.00</w:t>
      </w:r>
      <w:r>
        <w:rPr>
          <w:rFonts w:hint="eastAsia" w:ascii="宋体" w:hAnsi="宋体" w:eastAsia="宋体" w:cs="宋体"/>
          <w:b/>
          <w:color w:val="auto"/>
          <w:kern w:val="0"/>
          <w:szCs w:val="21"/>
          <w:highlight w:val="none"/>
          <w:u w:val="single"/>
        </w:rPr>
        <w:t>元（大写：人民币壹拾万零壹仟</w:t>
      </w:r>
      <w:r>
        <w:rPr>
          <w:rFonts w:hint="eastAsia" w:ascii="宋体" w:hAnsi="宋体" w:eastAsia="宋体" w:cs="宋体"/>
          <w:b/>
          <w:color w:val="auto"/>
          <w:kern w:val="0"/>
          <w:szCs w:val="21"/>
          <w:highlight w:val="none"/>
          <w:u w:val="single"/>
          <w:lang w:val="en-US" w:eastAsia="zh-CN"/>
        </w:rPr>
        <w:t>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7B33AB4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7493C9DB">
      <w:pPr>
        <w:tabs>
          <w:tab w:val="left" w:pos="567"/>
        </w:tabs>
        <w:autoSpaceDE w:val="0"/>
        <w:autoSpaceDN w:val="0"/>
        <w:adjustRightInd w:val="0"/>
        <w:spacing w:line="360" w:lineRule="auto"/>
        <w:ind w:left="357" w:leftChars="-100" w:hanging="567"/>
        <w:jc w:val="left"/>
        <w:outlineLvl w:val="1"/>
        <w:rPr>
          <w:rFonts w:ascii="宋体" w:hAnsi="宋体" w:eastAsia="宋体" w:cs="宋体"/>
          <w:bCs/>
          <w:color w:val="auto"/>
          <w:kern w:val="0"/>
          <w:szCs w:val="21"/>
          <w:highlight w:val="none"/>
          <w:lang w:val="zh-CN"/>
        </w:rPr>
      </w:pPr>
      <w:bookmarkStart w:id="181" w:name="_Toc9508"/>
      <w:r>
        <w:rPr>
          <w:rFonts w:hint="eastAsia" w:ascii="宋体" w:hAnsi="宋体" w:eastAsia="宋体" w:cs="宋体"/>
          <w:bCs/>
          <w:color w:val="auto"/>
          <w:kern w:val="0"/>
          <w:szCs w:val="21"/>
          <w:highlight w:val="none"/>
          <w:lang w:val="zh-CN"/>
        </w:rPr>
        <w:t>15.3 提交保证金时应符合下列规定：</w:t>
      </w:r>
      <w:bookmarkEnd w:id="181"/>
    </w:p>
    <w:p w14:paraId="06AEFA5F">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62E3B93B">
      <w:pPr>
        <w:autoSpaceDE w:val="0"/>
        <w:autoSpaceDN w:val="0"/>
        <w:adjustRightInd w:val="0"/>
        <w:spacing w:line="360" w:lineRule="auto"/>
        <w:ind w:left="225" w:leftChars="107" w:firstLine="491" w:firstLineChars="233"/>
        <w:jc w:val="left"/>
        <w:rPr>
          <w:rFonts w:hint="eastAsia" w:ascii="宋体" w:hAnsi="宋体" w:eastAsia="宋体" w:cs="Times New Roman"/>
          <w:b/>
          <w:bCs/>
          <w:color w:val="auto"/>
          <w:kern w:val="0"/>
          <w:szCs w:val="21"/>
          <w:highlight w:val="none"/>
          <w:lang w:val="zh-CN" w:eastAsia="zh-CN"/>
        </w:rPr>
      </w:pPr>
      <w:r>
        <w:rPr>
          <w:rFonts w:hint="eastAsia" w:ascii="宋体" w:hAnsi="宋体" w:eastAsia="宋体" w:cs="Times New Roman"/>
          <w:b/>
          <w:bCs/>
          <w:color w:val="auto"/>
          <w:kern w:val="0"/>
          <w:szCs w:val="21"/>
          <w:highlight w:val="none"/>
          <w:lang w:val="zh-CN"/>
        </w:rPr>
        <w:t>开户名称：东莞市水务集团有限公司</w:t>
      </w:r>
    </w:p>
    <w:p w14:paraId="647912DC">
      <w:pPr>
        <w:autoSpaceDE w:val="0"/>
        <w:autoSpaceDN w:val="0"/>
        <w:adjustRightInd w:val="0"/>
        <w:spacing w:line="360" w:lineRule="auto"/>
        <w:ind w:left="225" w:leftChars="107" w:firstLine="491"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开户银行：东莞农村商业银行中心支行</w:t>
      </w:r>
    </w:p>
    <w:p w14:paraId="6DE32D9D">
      <w:pPr>
        <w:autoSpaceDE w:val="0"/>
        <w:autoSpaceDN w:val="0"/>
        <w:adjustRightInd w:val="0"/>
        <w:spacing w:line="360" w:lineRule="auto"/>
        <w:ind w:left="225" w:leftChars="107" w:firstLine="491"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b/>
          <w:bCs/>
          <w:color w:val="auto"/>
          <w:kern w:val="0"/>
          <w:szCs w:val="21"/>
          <w:highlight w:val="none"/>
          <w:lang w:val="zh-CN"/>
        </w:rPr>
        <w:t>银行账号：380010190010046195</w:t>
      </w:r>
    </w:p>
    <w:p w14:paraId="2FE9C851">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64F1629">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6760D28B">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391A6FB">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4A294F16">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182" w:name="_Toc28028"/>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bookmarkEnd w:id="182"/>
    </w:p>
    <w:p w14:paraId="1FDF9E6E">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789162E0">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428D431B">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472439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76CD7F2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236912F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1EC3577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23E700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7791327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03AF063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3" w:name="_Toc486167680"/>
      <w:bookmarkStart w:id="184" w:name="_Toc142508330"/>
      <w:bookmarkStart w:id="185" w:name="_Toc450662865"/>
      <w:bookmarkStart w:id="186" w:name="_Toc31146"/>
      <w:bookmarkStart w:id="187" w:name="_Toc29607"/>
      <w:bookmarkStart w:id="188" w:name="_Toc1458"/>
      <w:bookmarkStart w:id="189" w:name="_Toc22649_WPSOffice_Level3"/>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3"/>
      <w:bookmarkEnd w:id="184"/>
      <w:bookmarkEnd w:id="185"/>
      <w:bookmarkEnd w:id="186"/>
      <w:bookmarkEnd w:id="187"/>
      <w:bookmarkEnd w:id="188"/>
      <w:bookmarkEnd w:id="189"/>
    </w:p>
    <w:p w14:paraId="0B95812F">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4D2BC4D">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90" w:name="_Toc26740"/>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90"/>
    </w:p>
    <w:p w14:paraId="0F70A7F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75FD08A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E8A286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1" w:name="_Toc450662866"/>
      <w:bookmarkStart w:id="192" w:name="_Toc142508331"/>
      <w:bookmarkStart w:id="193" w:name="_Toc22856"/>
      <w:bookmarkStart w:id="194" w:name="_Toc20422"/>
      <w:bookmarkStart w:id="195" w:name="_Toc486167681"/>
      <w:bookmarkStart w:id="196" w:name="_Toc932"/>
      <w:bookmarkStart w:id="197"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1"/>
      <w:bookmarkEnd w:id="192"/>
      <w:bookmarkEnd w:id="193"/>
      <w:bookmarkEnd w:id="194"/>
      <w:bookmarkEnd w:id="195"/>
      <w:bookmarkEnd w:id="196"/>
      <w:bookmarkEnd w:id="197"/>
    </w:p>
    <w:p w14:paraId="45CB4DB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76540E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lang w:val="zh-CN"/>
        </w:rPr>
        <w:t>“</w:t>
      </w:r>
      <w:r>
        <w:rPr>
          <w:rFonts w:hint="eastAsia" w:ascii="宋体" w:hAnsi="宋体" w:eastAsia="宋体" w:cs="宋体"/>
          <w:color w:val="auto"/>
          <w:szCs w:val="21"/>
          <w:lang w:val="zh-CN"/>
        </w:rPr>
        <w:t>法定代表人授权书</w:t>
      </w:r>
      <w:r>
        <w:rPr>
          <w:rFonts w:hint="eastAsia" w:ascii="宋体" w:hAnsi="宋体" w:eastAsia="宋体" w:cs="宋体"/>
          <w:bCs/>
          <w:color w:val="auto"/>
          <w:szCs w:val="21"/>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389449AF">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604A0BE4">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33DBF7B9">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5BD900A8">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98" w:name="_Toc10657"/>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198"/>
    </w:p>
    <w:p w14:paraId="5BCC01DB">
      <w:pPr>
        <w:autoSpaceDE w:val="0"/>
        <w:autoSpaceDN w:val="0"/>
        <w:adjustRightInd w:val="0"/>
        <w:jc w:val="left"/>
        <w:rPr>
          <w:rFonts w:ascii="宋体" w:hAnsi="宋体" w:eastAsia="宋体" w:cs="宋体"/>
          <w:color w:val="auto"/>
          <w:kern w:val="0"/>
          <w:sz w:val="24"/>
          <w:szCs w:val="24"/>
          <w:highlight w:val="none"/>
        </w:rPr>
      </w:pPr>
      <w:bookmarkStart w:id="199" w:name="_Toc450662867"/>
    </w:p>
    <w:p w14:paraId="4464B96B">
      <w:pPr>
        <w:keepNext/>
        <w:keepLines/>
        <w:tabs>
          <w:tab w:val="left" w:pos="509"/>
        </w:tabs>
        <w:autoSpaceDE w:val="0"/>
        <w:autoSpaceDN w:val="0"/>
        <w:adjustRightInd w:val="0"/>
        <w:spacing w:line="360" w:lineRule="auto"/>
        <w:jc w:val="left"/>
        <w:outlineLvl w:val="2"/>
        <w:rPr>
          <w:rFonts w:ascii="宋体" w:hAnsi="宋体" w:eastAsia="宋体" w:cs="宋体"/>
          <w:color w:val="auto"/>
          <w:kern w:val="0"/>
          <w:sz w:val="24"/>
          <w:szCs w:val="24"/>
          <w:highlight w:val="none"/>
        </w:rPr>
      </w:pPr>
      <w:bookmarkStart w:id="200" w:name="_Toc17199"/>
      <w:bookmarkStart w:id="201" w:name="_Toc26605"/>
      <w:bookmarkStart w:id="202" w:name="_Toc142508332"/>
      <w:bookmarkStart w:id="203" w:name="_Toc486167682"/>
      <w:bookmarkStart w:id="204" w:name="_Toc22356_WPSOffice_Level2"/>
      <w:bookmarkStart w:id="205" w:name="_Toc140596891"/>
      <w:bookmarkStart w:id="206" w:name="_Toc202"/>
      <w:r>
        <w:rPr>
          <w:rFonts w:hint="eastAsia" w:ascii="宋体" w:hAnsi="宋体" w:eastAsia="宋体" w:cs="宋体"/>
          <w:b/>
          <w:bCs/>
          <w:color w:val="auto"/>
          <w:kern w:val="44"/>
          <w:szCs w:val="21"/>
          <w:highlight w:val="none"/>
          <w:lang w:val="zh-CN"/>
        </w:rPr>
        <w:t>四、投标文件的递交</w:t>
      </w:r>
      <w:bookmarkEnd w:id="199"/>
      <w:bookmarkEnd w:id="200"/>
      <w:bookmarkEnd w:id="201"/>
      <w:bookmarkEnd w:id="202"/>
      <w:bookmarkEnd w:id="203"/>
      <w:bookmarkEnd w:id="204"/>
      <w:bookmarkEnd w:id="205"/>
      <w:bookmarkEnd w:id="206"/>
    </w:p>
    <w:p w14:paraId="46A4FE2A">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7" w:name="_Toc29885"/>
      <w:bookmarkStart w:id="208" w:name="_Toc31551"/>
      <w:bookmarkStart w:id="209" w:name="_Toc450662868"/>
      <w:bookmarkStart w:id="210" w:name="_Toc142508333"/>
      <w:bookmarkStart w:id="211" w:name="_Toc20647"/>
      <w:bookmarkStart w:id="212" w:name="_Toc486167683"/>
      <w:bookmarkStart w:id="213"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7"/>
      <w:bookmarkEnd w:id="208"/>
      <w:bookmarkEnd w:id="209"/>
      <w:bookmarkEnd w:id="210"/>
      <w:bookmarkEnd w:id="211"/>
      <w:bookmarkEnd w:id="212"/>
      <w:bookmarkEnd w:id="213"/>
    </w:p>
    <w:p w14:paraId="22CD51C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537A7EE7">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9C65917">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214" w:name="_Toc5945"/>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214"/>
    </w:p>
    <w:p w14:paraId="61B08A79">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50914777">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0495F4E4">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6624B350">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46A971FD">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09869234">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31F61950">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5" w:name="_Toc450662869"/>
      <w:bookmarkStart w:id="216" w:name="_Toc486167684"/>
      <w:bookmarkStart w:id="217" w:name="_Toc29665_WPSOffice_Level3"/>
      <w:bookmarkStart w:id="218" w:name="_Toc4979"/>
      <w:bookmarkStart w:id="219" w:name="_Toc15993"/>
      <w:bookmarkStart w:id="220" w:name="_Toc142508334"/>
      <w:bookmarkStart w:id="221" w:name="_Toc12582"/>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5"/>
      <w:bookmarkEnd w:id="216"/>
      <w:bookmarkEnd w:id="217"/>
      <w:bookmarkEnd w:id="218"/>
      <w:bookmarkEnd w:id="219"/>
      <w:bookmarkEnd w:id="220"/>
      <w:bookmarkEnd w:id="221"/>
    </w:p>
    <w:p w14:paraId="3A399B2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7252CA4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E9C09EF">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5635FE3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22" w:name="_Toc22431_WPSOffice_Level3"/>
      <w:bookmarkStart w:id="223" w:name="_Toc450662870"/>
      <w:bookmarkStart w:id="224" w:name="_Toc30287"/>
      <w:bookmarkStart w:id="225" w:name="_Toc16262"/>
      <w:bookmarkStart w:id="226" w:name="_Toc20835"/>
      <w:bookmarkStart w:id="227" w:name="_Toc486167685"/>
      <w:bookmarkStart w:id="228" w:name="_Toc142508335"/>
      <w:r>
        <w:rPr>
          <w:rFonts w:hint="eastAsia" w:ascii="宋体" w:hAnsi="宋体" w:eastAsia="宋体" w:cs="宋体"/>
          <w:color w:val="auto"/>
          <w:szCs w:val="21"/>
          <w:highlight w:val="none"/>
          <w:lang w:val="zh-CN"/>
        </w:rPr>
        <w:t>20 迟交的投标文件</w:t>
      </w:r>
      <w:bookmarkEnd w:id="222"/>
      <w:bookmarkEnd w:id="223"/>
      <w:bookmarkEnd w:id="224"/>
      <w:bookmarkEnd w:id="225"/>
      <w:bookmarkEnd w:id="226"/>
      <w:bookmarkEnd w:id="227"/>
      <w:bookmarkEnd w:id="228"/>
    </w:p>
    <w:p w14:paraId="227F8B89">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3DCFF3D8">
      <w:pPr>
        <w:autoSpaceDE w:val="0"/>
        <w:autoSpaceDN w:val="0"/>
        <w:adjustRightInd w:val="0"/>
        <w:jc w:val="left"/>
        <w:rPr>
          <w:rFonts w:ascii="宋体" w:hAnsi="宋体" w:eastAsia="宋体" w:cs="宋体"/>
          <w:color w:val="auto"/>
          <w:kern w:val="0"/>
          <w:sz w:val="24"/>
          <w:szCs w:val="24"/>
          <w:highlight w:val="none"/>
        </w:rPr>
      </w:pPr>
    </w:p>
    <w:p w14:paraId="413C0B4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9" w:name="_Toc450662871"/>
      <w:bookmarkStart w:id="230" w:name="_Toc27851"/>
      <w:bookmarkStart w:id="231" w:name="_Toc3814"/>
      <w:bookmarkStart w:id="232" w:name="_Toc486167686"/>
      <w:bookmarkStart w:id="233" w:name="_Toc142508336"/>
      <w:bookmarkStart w:id="234" w:name="_Toc4883_WPSOffice_Level3"/>
      <w:bookmarkStart w:id="235" w:name="_Toc24805"/>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29"/>
      <w:bookmarkEnd w:id="230"/>
      <w:bookmarkEnd w:id="231"/>
      <w:bookmarkEnd w:id="232"/>
      <w:bookmarkEnd w:id="233"/>
      <w:bookmarkEnd w:id="234"/>
      <w:bookmarkEnd w:id="235"/>
    </w:p>
    <w:p w14:paraId="31A84DC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0889CF36">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A9554FA">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236" w:name="_Toc13409"/>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bookmarkEnd w:id="236"/>
    </w:p>
    <w:p w14:paraId="4BC130FE">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60EBF2B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A56C40D">
      <w:pPr>
        <w:keepNext/>
        <w:keepLines/>
        <w:tabs>
          <w:tab w:val="left" w:pos="509"/>
        </w:tab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237" w:name="_Toc25488"/>
      <w:bookmarkStart w:id="238" w:name="_Toc142508337"/>
      <w:bookmarkStart w:id="239" w:name="_Toc30428"/>
      <w:bookmarkStart w:id="240" w:name="_Toc450662872"/>
      <w:bookmarkStart w:id="241" w:name="_Toc28824"/>
      <w:bookmarkStart w:id="242" w:name="_Toc486167687"/>
      <w:bookmarkStart w:id="243" w:name="_Toc1049_WPSOffice_Level2"/>
      <w:bookmarkStart w:id="244" w:name="_Toc140596896"/>
      <w:r>
        <w:rPr>
          <w:rFonts w:hint="eastAsia" w:ascii="宋体" w:hAnsi="宋体" w:eastAsia="宋体" w:cs="宋体"/>
          <w:b/>
          <w:bCs/>
          <w:color w:val="auto"/>
          <w:kern w:val="44"/>
          <w:szCs w:val="21"/>
          <w:highlight w:val="none"/>
          <w:lang w:val="zh-CN"/>
        </w:rPr>
        <w:t>五、开标与评标</w:t>
      </w:r>
      <w:bookmarkEnd w:id="237"/>
      <w:bookmarkEnd w:id="238"/>
      <w:bookmarkEnd w:id="239"/>
      <w:bookmarkEnd w:id="240"/>
      <w:bookmarkEnd w:id="241"/>
      <w:bookmarkEnd w:id="242"/>
      <w:bookmarkEnd w:id="243"/>
      <w:bookmarkEnd w:id="244"/>
    </w:p>
    <w:p w14:paraId="54D1FE3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5" w:name="_Toc142508338"/>
      <w:bookmarkStart w:id="246" w:name="_Toc8728"/>
      <w:bookmarkStart w:id="247" w:name="_Toc450662873"/>
      <w:bookmarkStart w:id="248" w:name="_Toc144_WPSOffice_Level3"/>
      <w:bookmarkStart w:id="249" w:name="_Toc11256"/>
      <w:bookmarkStart w:id="250" w:name="_Toc486167688"/>
      <w:bookmarkStart w:id="251" w:name="_Toc10184"/>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5"/>
      <w:bookmarkEnd w:id="246"/>
      <w:bookmarkEnd w:id="247"/>
      <w:bookmarkEnd w:id="248"/>
      <w:bookmarkEnd w:id="249"/>
      <w:bookmarkEnd w:id="250"/>
      <w:bookmarkEnd w:id="251"/>
    </w:p>
    <w:p w14:paraId="2601C1C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1A5C070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4EEB45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1B31B43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4308F2E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6ECC279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1A64BF5F">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1067789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2" w:name="_Toc23059"/>
      <w:bookmarkStart w:id="253" w:name="_Toc12165_WPSOffice_Level3"/>
      <w:bookmarkStart w:id="254" w:name="_Toc14788"/>
      <w:bookmarkStart w:id="255" w:name="_Toc450662874"/>
      <w:bookmarkStart w:id="256" w:name="_Toc142508339"/>
      <w:bookmarkStart w:id="257" w:name="_Toc32534"/>
      <w:bookmarkStart w:id="258" w:name="_Toc48616768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2"/>
      <w:bookmarkEnd w:id="253"/>
      <w:bookmarkEnd w:id="254"/>
      <w:bookmarkEnd w:id="255"/>
      <w:bookmarkEnd w:id="256"/>
      <w:bookmarkEnd w:id="257"/>
      <w:bookmarkEnd w:id="258"/>
    </w:p>
    <w:p w14:paraId="32134F1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606C996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8F9F90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74359D7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9" w:name="_Toc11287"/>
      <w:bookmarkStart w:id="260" w:name="_Toc15565_WPSOffice_Level3"/>
      <w:bookmarkStart w:id="261" w:name="_Toc800"/>
      <w:bookmarkStart w:id="262" w:name="_Toc142508340"/>
      <w:bookmarkStart w:id="263" w:name="_Toc16920"/>
      <w:bookmarkStart w:id="264" w:name="_Toc486167690"/>
      <w:bookmarkStart w:id="265" w:name="_Toc45066287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59"/>
      <w:bookmarkEnd w:id="260"/>
      <w:bookmarkEnd w:id="261"/>
      <w:bookmarkEnd w:id="262"/>
      <w:bookmarkEnd w:id="263"/>
      <w:bookmarkEnd w:id="264"/>
      <w:bookmarkEnd w:id="265"/>
    </w:p>
    <w:p w14:paraId="307B760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5B66836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35422AD1">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C82AA5B">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66" w:name="_Toc450662876"/>
      <w:bookmarkStart w:id="267" w:name="_Toc12715"/>
      <w:bookmarkStart w:id="268" w:name="_Toc486167691"/>
      <w:bookmarkStart w:id="269" w:name="_Toc18668"/>
      <w:bookmarkStart w:id="270" w:name="_Toc28910_WPSOffice_Level3"/>
      <w:bookmarkStart w:id="271" w:name="_Toc20412"/>
      <w:bookmarkStart w:id="272"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66"/>
      <w:bookmarkEnd w:id="267"/>
      <w:bookmarkEnd w:id="268"/>
      <w:bookmarkEnd w:id="269"/>
      <w:bookmarkEnd w:id="270"/>
      <w:bookmarkEnd w:id="271"/>
      <w:bookmarkEnd w:id="272"/>
    </w:p>
    <w:p w14:paraId="2EA2B1D2">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76AF75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5458BEF">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12AEE694">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3" w:name="_Toc30225"/>
      <w:bookmarkStart w:id="274" w:name="_Toc486167692"/>
      <w:bookmarkStart w:id="275" w:name="_Toc450662877"/>
      <w:bookmarkStart w:id="276" w:name="_Toc23203"/>
      <w:bookmarkStart w:id="277" w:name="_Toc338_WPSOffice_Level3"/>
      <w:bookmarkStart w:id="278" w:name="_Toc4837"/>
      <w:bookmarkStart w:id="279" w:name="_Toc14250834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3"/>
      <w:bookmarkEnd w:id="274"/>
      <w:bookmarkEnd w:id="275"/>
      <w:bookmarkEnd w:id="276"/>
      <w:bookmarkEnd w:id="277"/>
      <w:bookmarkEnd w:id="278"/>
      <w:bookmarkEnd w:id="279"/>
    </w:p>
    <w:p w14:paraId="1484C6B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0124DBF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0"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2231118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0"/>
    <w:p w14:paraId="05D815A8">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1" w:name="_Toc10967"/>
      <w:bookmarkStart w:id="282" w:name="_Toc26456"/>
      <w:bookmarkStart w:id="283" w:name="_Toc521918096"/>
      <w:bookmarkStart w:id="284" w:name="_Toc18368_WPSOffice_Level3"/>
      <w:bookmarkStart w:id="285" w:name="_Toc22065"/>
      <w:bookmarkStart w:id="286" w:name="_Toc522047355"/>
      <w:bookmarkStart w:id="287" w:name="_Toc142508343"/>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1"/>
      <w:bookmarkEnd w:id="282"/>
      <w:bookmarkEnd w:id="283"/>
      <w:bookmarkEnd w:id="284"/>
      <w:bookmarkEnd w:id="285"/>
      <w:bookmarkEnd w:id="286"/>
      <w:bookmarkEnd w:id="287"/>
    </w:p>
    <w:p w14:paraId="2C1FB1AD">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39DD1C0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E2EC99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625A95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88BFDA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493FC4B8">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647E483E">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88" w:name="_Toc521918097"/>
      <w:bookmarkStart w:id="289" w:name="_Toc522047356"/>
    </w:p>
    <w:p w14:paraId="3DA6FCB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0" w:name="_Toc14804"/>
      <w:bookmarkStart w:id="291" w:name="_Toc19497"/>
      <w:bookmarkStart w:id="292" w:name="_Toc21460_WPSOffice_Level3"/>
      <w:bookmarkStart w:id="293" w:name="_Toc142508344"/>
      <w:bookmarkStart w:id="294" w:name="_Toc27026"/>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88"/>
      <w:bookmarkEnd w:id="289"/>
      <w:bookmarkEnd w:id="290"/>
      <w:bookmarkEnd w:id="291"/>
      <w:bookmarkEnd w:id="292"/>
      <w:bookmarkEnd w:id="293"/>
      <w:bookmarkEnd w:id="294"/>
    </w:p>
    <w:p w14:paraId="641B9D2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1FFEC0D3">
      <w:pPr>
        <w:tabs>
          <w:tab w:val="left" w:pos="360"/>
        </w:tabs>
        <w:autoSpaceDE w:val="0"/>
        <w:autoSpaceDN w:val="0"/>
        <w:adjustRightInd w:val="0"/>
        <w:spacing w:line="360" w:lineRule="auto"/>
        <w:ind w:left="330" w:leftChars="-100" w:right="44" w:rightChars="21" w:hanging="540"/>
        <w:outlineLvl w:val="1"/>
        <w:rPr>
          <w:rFonts w:ascii="宋体" w:hAnsi="宋体" w:eastAsia="宋体" w:cs="宋体"/>
          <w:color w:val="auto"/>
          <w:szCs w:val="21"/>
          <w:highlight w:val="none"/>
          <w:lang w:val="zh-CN"/>
        </w:rPr>
      </w:pPr>
      <w:bookmarkStart w:id="295" w:name="_Toc859"/>
      <w:r>
        <w:rPr>
          <w:rFonts w:hint="eastAsia" w:ascii="宋体" w:hAnsi="宋体" w:eastAsia="宋体" w:cs="宋体"/>
          <w:color w:val="auto"/>
          <w:szCs w:val="21"/>
          <w:highlight w:val="none"/>
          <w:lang w:val="zh-CN"/>
        </w:rPr>
        <w:t>28.2 评标严格按照招标文件的要求和条件进行。</w:t>
      </w:r>
      <w:bookmarkEnd w:id="295"/>
    </w:p>
    <w:p w14:paraId="36EB450D">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62620690">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48D5AD2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25E92312">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6" w:name="_Toc22922"/>
      <w:bookmarkStart w:id="297" w:name="_Toc32498_WPSOffice_Level3"/>
      <w:bookmarkStart w:id="298" w:name="_Toc4819"/>
      <w:bookmarkStart w:id="299" w:name="_Toc11615"/>
      <w:bookmarkStart w:id="300" w:name="_Toc465358969"/>
      <w:bookmarkStart w:id="301" w:name="_Toc142508345"/>
      <w:bookmarkStart w:id="302" w:name="_Toc486167694"/>
      <w:bookmarkStart w:id="303"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96"/>
      <w:bookmarkEnd w:id="297"/>
      <w:bookmarkEnd w:id="298"/>
      <w:bookmarkEnd w:id="299"/>
      <w:bookmarkEnd w:id="300"/>
      <w:bookmarkEnd w:id="301"/>
      <w:bookmarkEnd w:id="302"/>
      <w:bookmarkEnd w:id="303"/>
    </w:p>
    <w:p w14:paraId="2638535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0C3171A9">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B1A15E0">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1EFE3CE">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1DDDAB2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6725C1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6B67956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85101B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57F34B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79BEA47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F92D34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6DFD02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5ABBB71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775488F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FB4F140">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3C1F8569">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04" w:name="_Toc466882018"/>
      <w:bookmarkStart w:id="305" w:name="_Toc26354"/>
      <w:bookmarkStart w:id="306" w:name="_Toc486167695"/>
      <w:bookmarkStart w:id="307" w:name="_Toc7580"/>
      <w:bookmarkStart w:id="308" w:name="_Toc3154"/>
      <w:bookmarkStart w:id="309" w:name="_Toc1848_WPSOffice_Level3"/>
      <w:bookmarkStart w:id="310" w:name="_Toc142508346"/>
      <w:bookmarkStart w:id="311" w:name="_Toc46535897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04"/>
      <w:bookmarkEnd w:id="305"/>
      <w:bookmarkEnd w:id="306"/>
      <w:bookmarkEnd w:id="307"/>
      <w:bookmarkEnd w:id="308"/>
      <w:bookmarkEnd w:id="309"/>
      <w:bookmarkEnd w:id="310"/>
      <w:bookmarkEnd w:id="311"/>
    </w:p>
    <w:p w14:paraId="47354CC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DFFFE9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738F59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3833ACD1">
      <w:pPr>
        <w:autoSpaceDE w:val="0"/>
        <w:autoSpaceDN w:val="0"/>
        <w:adjustRightInd w:val="0"/>
        <w:snapToGrid w:val="0"/>
        <w:spacing w:line="360" w:lineRule="auto"/>
        <w:jc w:val="left"/>
        <w:rPr>
          <w:rFonts w:ascii="宋体" w:hAnsi="宋体" w:eastAsia="宋体" w:cs="宋体"/>
          <w:color w:val="auto"/>
          <w:szCs w:val="21"/>
          <w:highlight w:val="none"/>
        </w:rPr>
      </w:pPr>
      <w:bookmarkStart w:id="312" w:name="_Toc466882019"/>
      <w:bookmarkStart w:id="313" w:name="_Toc465358971"/>
    </w:p>
    <w:p w14:paraId="1CB2A24E">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14" w:name="_Toc142508347"/>
      <w:bookmarkStart w:id="315" w:name="_Toc23672"/>
      <w:bookmarkStart w:id="316" w:name="_Toc486167696"/>
      <w:bookmarkStart w:id="317" w:name="_Toc2012"/>
      <w:bookmarkStart w:id="318" w:name="_Toc10867_WPSOffice_Level3"/>
      <w:bookmarkStart w:id="319" w:name="_Toc8654"/>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12"/>
      <w:bookmarkEnd w:id="313"/>
      <w:bookmarkEnd w:id="314"/>
      <w:bookmarkEnd w:id="315"/>
      <w:bookmarkEnd w:id="316"/>
      <w:bookmarkEnd w:id="317"/>
      <w:bookmarkEnd w:id="318"/>
      <w:bookmarkEnd w:id="319"/>
    </w:p>
    <w:p w14:paraId="16855D70">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B5D25D3">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20" w:name="_Toc450662880"/>
    </w:p>
    <w:p w14:paraId="4F8A2E17">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21" w:name="_Toc142508348"/>
      <w:bookmarkStart w:id="322" w:name="_Toc16848_WPSOffice_Level2"/>
      <w:bookmarkStart w:id="323" w:name="_Toc22463"/>
      <w:bookmarkStart w:id="324" w:name="_Toc486167697"/>
      <w:bookmarkStart w:id="325" w:name="_Toc27936"/>
      <w:bookmarkStart w:id="326" w:name="_Toc140596907"/>
      <w:bookmarkStart w:id="327" w:name="_Toc16789"/>
      <w:r>
        <w:rPr>
          <w:rFonts w:hint="eastAsia" w:ascii="宋体" w:hAnsi="宋体" w:eastAsia="宋体" w:cs="宋体"/>
          <w:b/>
          <w:bCs/>
          <w:color w:val="auto"/>
          <w:kern w:val="44"/>
          <w:szCs w:val="21"/>
          <w:highlight w:val="none"/>
          <w:lang w:val="zh-CN"/>
        </w:rPr>
        <w:t>六、授予合同</w:t>
      </w:r>
      <w:bookmarkEnd w:id="320"/>
      <w:bookmarkEnd w:id="321"/>
      <w:bookmarkEnd w:id="322"/>
      <w:bookmarkEnd w:id="323"/>
      <w:bookmarkEnd w:id="324"/>
      <w:bookmarkEnd w:id="325"/>
      <w:bookmarkEnd w:id="326"/>
      <w:bookmarkEnd w:id="327"/>
    </w:p>
    <w:p w14:paraId="4E513B9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28" w:name="_Toc29383"/>
      <w:bookmarkStart w:id="329" w:name="_Toc142508349"/>
      <w:bookmarkStart w:id="330" w:name="_Toc5140"/>
      <w:bookmarkStart w:id="331" w:name="_Toc486167698"/>
      <w:bookmarkStart w:id="332" w:name="_Toc450662881"/>
      <w:bookmarkStart w:id="333" w:name="_Toc31713"/>
      <w:bookmarkStart w:id="334" w:name="_Toc6401_WPSOffice_Level3"/>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28"/>
      <w:bookmarkEnd w:id="329"/>
      <w:bookmarkEnd w:id="330"/>
      <w:bookmarkEnd w:id="331"/>
      <w:bookmarkEnd w:id="332"/>
      <w:bookmarkEnd w:id="333"/>
      <w:bookmarkEnd w:id="334"/>
    </w:p>
    <w:p w14:paraId="3226A5D7">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69542B1D">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176E2C00">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val="0"/>
          <w:bCs/>
          <w:color w:val="auto"/>
          <w:kern w:val="0"/>
          <w:szCs w:val="21"/>
          <w:highlight w:val="none"/>
        </w:rPr>
        <w:t>。</w:t>
      </w:r>
    </w:p>
    <w:p w14:paraId="3EF478D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5" w:name="_Toc450662885"/>
    </w:p>
    <w:p w14:paraId="5BBA855B">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6" w:name="_Toc486167699"/>
      <w:bookmarkStart w:id="337" w:name="_Toc8196"/>
      <w:bookmarkStart w:id="338" w:name="_Toc6726_WPSOffice_Level3"/>
      <w:bookmarkStart w:id="339" w:name="_Toc7240"/>
      <w:bookmarkStart w:id="340" w:name="_Toc142508350"/>
      <w:bookmarkStart w:id="341" w:name="_Toc18984"/>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35"/>
      <w:bookmarkEnd w:id="336"/>
      <w:bookmarkEnd w:id="337"/>
      <w:bookmarkEnd w:id="338"/>
      <w:bookmarkEnd w:id="339"/>
      <w:bookmarkEnd w:id="340"/>
      <w:bookmarkEnd w:id="341"/>
    </w:p>
    <w:p w14:paraId="40E8376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2"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847DB2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5EEA40C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4D97C6F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3" w:name="_Toc18561"/>
      <w:bookmarkStart w:id="344" w:name="_Toc486167700"/>
      <w:bookmarkStart w:id="345" w:name="_Toc142508351"/>
      <w:bookmarkStart w:id="346" w:name="_Toc19127"/>
      <w:bookmarkStart w:id="347" w:name="_Toc9694_WPSOffice_Level3"/>
      <w:bookmarkStart w:id="348" w:name="_Toc28020"/>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42"/>
      <w:bookmarkEnd w:id="343"/>
      <w:bookmarkEnd w:id="344"/>
      <w:bookmarkEnd w:id="345"/>
      <w:bookmarkEnd w:id="346"/>
      <w:bookmarkEnd w:id="347"/>
      <w:bookmarkEnd w:id="348"/>
    </w:p>
    <w:p w14:paraId="3384059A">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东莞市水务集团供水有限公司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0279BEE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74BEBCE7">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58904F6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59187270">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9" w:name="_Toc142508352"/>
      <w:bookmarkStart w:id="350" w:name="_Toc10513_WPSOffice_Level3"/>
      <w:bookmarkStart w:id="351" w:name="_Toc8181"/>
      <w:bookmarkStart w:id="352" w:name="_Toc450662887"/>
      <w:bookmarkStart w:id="353" w:name="_Toc5304"/>
      <w:bookmarkStart w:id="354" w:name="_Toc486167701"/>
      <w:bookmarkStart w:id="355" w:name="_Toc16397"/>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49"/>
      <w:bookmarkEnd w:id="350"/>
      <w:bookmarkEnd w:id="351"/>
      <w:bookmarkEnd w:id="352"/>
      <w:bookmarkEnd w:id="353"/>
      <w:bookmarkEnd w:id="354"/>
      <w:bookmarkEnd w:id="355"/>
    </w:p>
    <w:p w14:paraId="48E20FAE">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56" w:name="_Toc465358977"/>
      <w:bookmarkStart w:id="357"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w:t>
      </w:r>
      <w:r>
        <w:rPr>
          <w:rFonts w:hint="eastAsia" w:ascii="宋体" w:hAnsi="宋体" w:eastAsia="宋体" w:cs="Times New Roman"/>
          <w:b/>
          <w:color w:val="auto"/>
          <w:szCs w:val="21"/>
          <w:highlight w:val="none"/>
          <w:u w:val="single"/>
          <w:lang w:val="zh-CN"/>
        </w:rPr>
        <w:t>东莞市水务集团供水有限公司</w:t>
      </w:r>
      <w:r>
        <w:rPr>
          <w:rFonts w:hint="eastAsia" w:ascii="宋体" w:hAnsi="宋体" w:eastAsia="宋体" w:cs="Times New Roman"/>
          <w:b/>
          <w:bCs/>
          <w:color w:val="auto"/>
          <w:szCs w:val="21"/>
          <w:highlight w:val="none"/>
          <w:u w:val="single"/>
          <w:lang w:val="zh-CN"/>
        </w:rPr>
        <w:t>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w:t>
      </w:r>
      <w:r>
        <w:rPr>
          <w:rFonts w:hint="eastAsia" w:ascii="宋体" w:hAnsi="宋体" w:eastAsia="宋体" w:cs="Times New Roman"/>
          <w:b/>
          <w:color w:val="auto"/>
          <w:szCs w:val="21"/>
          <w:highlight w:val="none"/>
          <w:u w:val="single"/>
          <w:lang w:val="zh-CN"/>
        </w:rPr>
        <w:t>东莞市水务集团供水有限公司</w:t>
      </w:r>
      <w:r>
        <w:rPr>
          <w:rFonts w:ascii="宋体" w:hAnsi="宋体" w:eastAsia="宋体" w:cs="Arial"/>
          <w:b/>
          <w:bCs/>
          <w:color w:val="auto"/>
          <w:kern w:val="0"/>
          <w:szCs w:val="24"/>
          <w:highlight w:val="none"/>
          <w:u w:val="single"/>
        </w:rPr>
        <w:t>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w:t>
      </w:r>
      <w:r>
        <w:rPr>
          <w:rFonts w:hint="eastAsia" w:ascii="宋体" w:hAnsi="宋体" w:eastAsia="宋体" w:cs="Arial"/>
          <w:bCs/>
          <w:color w:val="auto"/>
          <w:kern w:val="0"/>
          <w:szCs w:val="24"/>
          <w:highlight w:val="none"/>
          <w:u w:val="none"/>
        </w:rPr>
        <w:t>中标人</w:t>
      </w:r>
      <w:r>
        <w:rPr>
          <w:rFonts w:hint="eastAsia" w:ascii="宋体" w:hAnsi="宋体" w:eastAsia="宋体" w:cs="Arial"/>
          <w:color w:val="auto"/>
          <w:kern w:val="0"/>
          <w:szCs w:val="24"/>
          <w:highlight w:val="none"/>
          <w:u w:val="none"/>
        </w:rPr>
        <w:t>给</w:t>
      </w:r>
      <w:r>
        <w:rPr>
          <w:rFonts w:hint="eastAsia" w:ascii="宋体" w:hAnsi="宋体" w:eastAsia="宋体" w:cs="Times New Roman"/>
          <w:b w:val="0"/>
          <w:bCs/>
          <w:color w:val="auto"/>
          <w:szCs w:val="21"/>
          <w:highlight w:val="none"/>
          <w:u w:val="none"/>
          <w:lang w:val="zh-CN"/>
        </w:rPr>
        <w:t>东莞市水务集团供水有限公司</w:t>
      </w:r>
      <w:r>
        <w:rPr>
          <w:rFonts w:hint="eastAsia" w:ascii="宋体" w:hAnsi="宋体" w:eastAsia="宋体" w:cs="Arial"/>
          <w:color w:val="auto"/>
          <w:kern w:val="0"/>
          <w:szCs w:val="24"/>
          <w:highlight w:val="none"/>
          <w:u w:val="none"/>
        </w:rPr>
        <w:t>造成的损失超过履约担保数额的，中标人还应当对超过部分予以赔偿，</w:t>
      </w:r>
      <w:r>
        <w:rPr>
          <w:rFonts w:hint="eastAsia" w:ascii="宋体" w:hAnsi="宋体" w:eastAsia="宋体" w:cs="Times New Roman"/>
          <w:b w:val="0"/>
          <w:bCs/>
          <w:color w:val="auto"/>
          <w:szCs w:val="21"/>
          <w:highlight w:val="none"/>
          <w:u w:val="none"/>
          <w:lang w:val="zh-CN"/>
        </w:rPr>
        <w:t>东莞市水务集团供水有限公司</w:t>
      </w:r>
      <w:r>
        <w:rPr>
          <w:rFonts w:hint="eastAsia" w:ascii="宋体" w:hAnsi="宋体" w:eastAsia="宋体" w:cs="Arial"/>
          <w:color w:val="auto"/>
          <w:kern w:val="0"/>
          <w:szCs w:val="24"/>
          <w:highlight w:val="none"/>
          <w:u w:val="none"/>
        </w:rPr>
        <w:t>并依法追</w:t>
      </w:r>
      <w:r>
        <w:rPr>
          <w:rFonts w:hint="eastAsia" w:ascii="宋体" w:hAnsi="宋体" w:eastAsia="宋体" w:cs="Arial"/>
          <w:color w:val="auto"/>
          <w:kern w:val="0"/>
          <w:szCs w:val="24"/>
          <w:highlight w:val="none"/>
        </w:rPr>
        <w:t>究中标人的相应责任。</w:t>
      </w:r>
    </w:p>
    <w:p w14:paraId="3D917EE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w:t>
      </w:r>
      <w:r>
        <w:rPr>
          <w:rFonts w:hint="eastAsia" w:ascii="宋体" w:hAnsi="宋体" w:eastAsia="宋体" w:cs="Times New Roman"/>
          <w:b w:val="0"/>
          <w:bCs/>
          <w:color w:val="auto"/>
          <w:szCs w:val="21"/>
          <w:highlight w:val="none"/>
          <w:u w:val="none"/>
          <w:lang w:val="zh-CN"/>
        </w:rPr>
        <w:t>东莞市水务集团供水有限公司</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w:t>
      </w:r>
      <w:r>
        <w:rPr>
          <w:rFonts w:hint="eastAsia" w:ascii="宋体" w:hAnsi="宋体" w:eastAsia="宋体" w:cs="Times New Roman"/>
          <w:b w:val="0"/>
          <w:bCs/>
          <w:color w:val="auto"/>
          <w:szCs w:val="21"/>
          <w:highlight w:val="none"/>
          <w:u w:val="none"/>
          <w:lang w:val="zh-CN"/>
        </w:rPr>
        <w:t>东莞市水务集团供水有限公司</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14:paraId="7902817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有权没收其履约担保。</w:t>
      </w:r>
    </w:p>
    <w:p w14:paraId="00EC94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可依法没收或适当扣除其履约担保。</w:t>
      </w:r>
    </w:p>
    <w:p w14:paraId="5ABB1D8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3）在合同履行期间，因中标人服务质量问题造成损害、侵权损失（包括但不限于</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有权使用履约担保予以支付或作出相应处理，由此产生的一切法律后果由中标人承担。</w:t>
      </w:r>
    </w:p>
    <w:p w14:paraId="7F8D1D3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A6CE46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8815C3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3863D1AE">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58" w:name="_Toc17585"/>
      <w:r>
        <w:rPr>
          <w:rFonts w:hint="eastAsia" w:ascii="宋体" w:hAnsi="宋体" w:eastAsia="宋体" w:cs="宋体"/>
          <w:color w:val="auto"/>
          <w:kern w:val="0"/>
          <w:szCs w:val="21"/>
          <w:highlight w:val="none"/>
        </w:rPr>
        <w:t>35.3  履约担保应符合如下规定：</w:t>
      </w:r>
      <w:bookmarkEnd w:id="358"/>
    </w:p>
    <w:p w14:paraId="501922C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15B72D8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A18FD6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同意，执行本款时所发生的费用由中标人承担。如</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14:paraId="0E754DA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要求重新提供的，</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BC550E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有权按需补足的金额要求中标人承担违约金，并要求限期补足。如中标人仍不补足的，</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有权单方解除合同，违约金可直接从未付合同款或履约担保中扣除。</w:t>
      </w:r>
    </w:p>
    <w:p w14:paraId="4D85C45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w:t>
      </w:r>
      <w:r>
        <w:rPr>
          <w:rFonts w:hint="eastAsia" w:ascii="宋体" w:hAnsi="宋体" w:eastAsia="宋体" w:cs="Times New Roman"/>
          <w:color w:val="auto"/>
          <w:kern w:val="0"/>
          <w:szCs w:val="21"/>
          <w:highlight w:val="none"/>
          <w:lang w:val="en-US" w:eastAsia="zh-CN"/>
        </w:rPr>
        <w:t>自</w:t>
      </w:r>
      <w:r>
        <w:rPr>
          <w:rFonts w:hint="eastAsia" w:ascii="宋体" w:hAnsi="宋体" w:eastAsia="宋体" w:cs="Times New Roman"/>
          <w:color w:val="auto"/>
          <w:kern w:val="0"/>
          <w:szCs w:val="21"/>
          <w:highlight w:val="none"/>
        </w:rPr>
        <w:t>合同签订之日起至合同期限届满并完成合同项下全部服务义务，受益人向申请人支付全部款项后二十八（28）日内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0CF782EB">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59" w:name="_Toc5399"/>
      <w:r>
        <w:rPr>
          <w:rFonts w:hint="eastAsia" w:ascii="宋体" w:hAnsi="宋体" w:eastAsia="宋体" w:cs="宋体"/>
          <w:color w:val="auto"/>
          <w:kern w:val="0"/>
          <w:szCs w:val="21"/>
          <w:highlight w:val="none"/>
        </w:rPr>
        <w:t>35.4  履约保证金应用本合同货币。</w:t>
      </w:r>
      <w:bookmarkEnd w:id="359"/>
    </w:p>
    <w:p w14:paraId="4D9A0B1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2AB2D65F">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auto"/>
          <w:kern w:val="0"/>
          <w:szCs w:val="21"/>
          <w:highlight w:val="none"/>
        </w:rPr>
      </w:pPr>
      <w:bookmarkStart w:id="360" w:name="_Toc26722"/>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bookmarkEnd w:id="360"/>
    </w:p>
    <w:p w14:paraId="3CA13750">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w:t>
      </w:r>
      <w:r>
        <w:rPr>
          <w:rFonts w:hint="eastAsia" w:ascii="宋体" w:hAnsi="宋体" w:eastAsia="宋体" w:cs="Times New Roman"/>
          <w:b/>
          <w:color w:val="auto"/>
          <w:kern w:val="0"/>
          <w:szCs w:val="21"/>
          <w:highlight w:val="none"/>
          <w:lang w:val="en-US" w:eastAsia="zh-CN"/>
        </w:rPr>
        <w:t>供水</w:t>
      </w:r>
      <w:r>
        <w:rPr>
          <w:rFonts w:hint="eastAsia" w:ascii="宋体" w:hAnsi="宋体" w:eastAsia="宋体" w:cs="Times New Roman"/>
          <w:b/>
          <w:color w:val="auto"/>
          <w:kern w:val="0"/>
          <w:szCs w:val="21"/>
          <w:highlight w:val="none"/>
        </w:rPr>
        <w:t>有限公司</w:t>
      </w:r>
    </w:p>
    <w:p w14:paraId="1D3A5DD9">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w:t>
      </w:r>
      <w:r>
        <w:rPr>
          <w:rFonts w:hint="eastAsia" w:ascii="宋体" w:hAnsi="宋体" w:eastAsia="宋体" w:cs="宋体"/>
          <w:b/>
          <w:color w:val="auto"/>
          <w:kern w:val="0"/>
          <w:szCs w:val="21"/>
          <w:highlight w:val="none"/>
        </w:rPr>
        <w:t>44001778808059999998</w:t>
      </w:r>
    </w:p>
    <w:p w14:paraId="1962D405">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w:t>
      </w:r>
      <w:r>
        <w:rPr>
          <w:rFonts w:hint="eastAsia" w:ascii="宋体" w:hAnsi="宋体" w:eastAsia="宋体" w:cs="宋体"/>
          <w:b/>
          <w:color w:val="auto"/>
          <w:kern w:val="0"/>
          <w:szCs w:val="21"/>
          <w:highlight w:val="none"/>
        </w:rPr>
        <w:t>建行东莞分行营业部</w:t>
      </w:r>
    </w:p>
    <w:p w14:paraId="2F5CCBA9">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w:t>
      </w:r>
      <w:r>
        <w:rPr>
          <w:rFonts w:hint="eastAsia" w:ascii="宋体" w:hAnsi="宋体" w:eastAsia="宋体" w:cs="Times New Roman"/>
          <w:color w:val="auto"/>
          <w:kern w:val="0"/>
          <w:szCs w:val="24"/>
          <w:highlight w:val="none"/>
          <w:lang w:eastAsia="zh-CN"/>
        </w:rPr>
        <w:t>东莞市水务集团供水有限公司</w:t>
      </w:r>
      <w:r>
        <w:rPr>
          <w:rFonts w:hint="eastAsia" w:ascii="宋体" w:hAnsi="宋体" w:eastAsia="宋体" w:cs="Times New Roman"/>
          <w:color w:val="auto"/>
          <w:kern w:val="0"/>
          <w:szCs w:val="24"/>
          <w:highlight w:val="none"/>
        </w:rPr>
        <w:t>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交给东莞市水务集团供水有限公司，由东莞市水务集团供水有限公司在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233347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lang w:val="en-US" w:eastAsia="zh-CN"/>
        </w:rPr>
        <w:t>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确认，中标人可向</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提交退回履约担保的申请。</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5718057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3707F291">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1" w:name="_Toc27162"/>
      <w:bookmarkStart w:id="362" w:name="_Toc142508353"/>
      <w:bookmarkStart w:id="363" w:name="_Toc10548"/>
      <w:bookmarkStart w:id="364" w:name="_Toc486167702"/>
      <w:bookmarkStart w:id="365" w:name="_Toc1708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56"/>
      <w:bookmarkEnd w:id="357"/>
      <w:bookmarkEnd w:id="361"/>
      <w:bookmarkEnd w:id="362"/>
      <w:bookmarkEnd w:id="363"/>
      <w:bookmarkEnd w:id="364"/>
      <w:bookmarkEnd w:id="365"/>
    </w:p>
    <w:p w14:paraId="53B7535F">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1F61B81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66" w:name="_Toc450662888"/>
    </w:p>
    <w:p w14:paraId="19DB2116">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67" w:name="_Toc23218"/>
      <w:bookmarkStart w:id="368" w:name="_Toc142508354"/>
      <w:bookmarkStart w:id="369" w:name="_Toc28921_WPSOffice_Level3"/>
      <w:bookmarkStart w:id="370" w:name="_Toc4597"/>
      <w:bookmarkStart w:id="371" w:name="_Toc486167703"/>
      <w:bookmarkStart w:id="372" w:name="_Toc2401"/>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66"/>
      <w:bookmarkEnd w:id="367"/>
      <w:bookmarkEnd w:id="368"/>
      <w:bookmarkEnd w:id="369"/>
      <w:bookmarkEnd w:id="370"/>
      <w:bookmarkEnd w:id="371"/>
      <w:bookmarkEnd w:id="372"/>
    </w:p>
    <w:p w14:paraId="3541A85A">
      <w:pPr>
        <w:autoSpaceDE w:val="0"/>
        <w:autoSpaceDN w:val="0"/>
        <w:adjustRightInd w:val="0"/>
        <w:spacing w:line="360" w:lineRule="auto"/>
        <w:ind w:left="357" w:leftChars="-100" w:hanging="567" w:hangingChars="270"/>
        <w:jc w:val="left"/>
        <w:outlineLvl w:val="1"/>
        <w:rPr>
          <w:rFonts w:ascii="宋体" w:hAnsi="宋体" w:eastAsia="宋体" w:cs="宋体"/>
          <w:color w:val="auto"/>
          <w:kern w:val="0"/>
          <w:szCs w:val="21"/>
          <w:highlight w:val="none"/>
        </w:rPr>
      </w:pPr>
      <w:bookmarkStart w:id="373" w:name="_Toc14510"/>
      <w:r>
        <w:rPr>
          <w:rFonts w:hint="eastAsia" w:ascii="宋体" w:hAnsi="宋体" w:eastAsia="宋体" w:cs="宋体"/>
          <w:color w:val="auto"/>
          <w:szCs w:val="21"/>
          <w:highlight w:val="none"/>
          <w:lang w:val="zh-CN"/>
        </w:rPr>
        <w:t>37.1 本项目中标服务费由招标人向招标代理机构支付。</w:t>
      </w:r>
      <w:bookmarkEnd w:id="373"/>
    </w:p>
    <w:p w14:paraId="43DDF36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4" w:name="_Toc450662889"/>
    </w:p>
    <w:p w14:paraId="0775740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75" w:name="_Toc21985"/>
      <w:bookmarkStart w:id="376" w:name="_Toc486167704"/>
      <w:bookmarkStart w:id="377" w:name="_Toc142508355"/>
      <w:bookmarkStart w:id="378" w:name="_Toc6796"/>
      <w:bookmarkStart w:id="379" w:name="_Toc6764_WPSOffice_Level3"/>
      <w:bookmarkStart w:id="380" w:name="_Toc1477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74"/>
      <w:bookmarkEnd w:id="375"/>
      <w:bookmarkEnd w:id="376"/>
      <w:bookmarkEnd w:id="377"/>
      <w:bookmarkEnd w:id="378"/>
      <w:bookmarkEnd w:id="379"/>
      <w:bookmarkEnd w:id="380"/>
    </w:p>
    <w:p w14:paraId="0E8A68C0">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81" w:name="_Toc486167705"/>
      <w:bookmarkStart w:id="382" w:name="_Toc31106_WPSOffice_Level3"/>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该项目获得中标的中标人在执行合同过程中，向招标人出具的发票必须是由中标人开具，不得以其他单位或个人名义出具，本项目中标人向招标人出具的发票类型为增值税普通发票。</w:t>
      </w:r>
    </w:p>
    <w:p w14:paraId="09EDB51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21428ADD">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83" w:name="_Toc142508356"/>
      <w:bookmarkStart w:id="384" w:name="_Toc8619"/>
      <w:bookmarkStart w:id="385" w:name="_Toc24547"/>
      <w:bookmarkStart w:id="386" w:name="_Toc32696"/>
      <w:r>
        <w:rPr>
          <w:rFonts w:ascii="宋体" w:hAnsi="宋体" w:eastAsia="宋体" w:cs="宋体"/>
          <w:b/>
          <w:color w:val="auto"/>
          <w:szCs w:val="21"/>
          <w:highlight w:val="none"/>
        </w:rPr>
        <w:t>39 招标相关补充约定</w:t>
      </w:r>
      <w:bookmarkEnd w:id="383"/>
      <w:bookmarkEnd w:id="384"/>
      <w:bookmarkEnd w:id="385"/>
      <w:bookmarkEnd w:id="386"/>
    </w:p>
    <w:p w14:paraId="392A9030">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483F9D6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27687CC6">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87" w:name="_Toc29758"/>
      <w:bookmarkStart w:id="388" w:name="_Toc26594"/>
      <w:bookmarkStart w:id="389" w:name="_Toc6231"/>
      <w:bookmarkStart w:id="390"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81"/>
      <w:bookmarkEnd w:id="382"/>
      <w:bookmarkEnd w:id="387"/>
      <w:bookmarkEnd w:id="388"/>
      <w:bookmarkEnd w:id="389"/>
      <w:bookmarkEnd w:id="390"/>
    </w:p>
    <w:p w14:paraId="35629504">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ind w:left="357" w:leftChars="-100" w:hanging="567"/>
        <w:jc w:val="center"/>
        <w:textAlignment w:val="auto"/>
        <w:outlineLvl w:val="0"/>
        <w:rPr>
          <w:rFonts w:ascii="宋体" w:hAnsi="宋体" w:eastAsia="宋体" w:cs="宋体"/>
          <w:b/>
          <w:bCs/>
          <w:color w:val="auto"/>
          <w:kern w:val="44"/>
          <w:sz w:val="32"/>
          <w:szCs w:val="32"/>
          <w:highlight w:val="none"/>
          <w:lang w:val="zh-CN"/>
        </w:rPr>
      </w:pPr>
      <w:bookmarkStart w:id="391" w:name="_Toc27939_WPSOffice_Level1"/>
      <w:bookmarkStart w:id="392" w:name="_Toc142508358"/>
      <w:bookmarkStart w:id="393" w:name="_Toc14879"/>
      <w:bookmarkStart w:id="394" w:name="_Toc486167706"/>
      <w:bookmarkStart w:id="395" w:name="_Toc21446"/>
      <w:bookmarkStart w:id="396" w:name="_Toc450662891"/>
      <w:bookmarkStart w:id="397" w:name="_Toc3192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91"/>
      <w:bookmarkEnd w:id="392"/>
      <w:bookmarkEnd w:id="393"/>
      <w:bookmarkEnd w:id="394"/>
      <w:bookmarkEnd w:id="395"/>
      <w:bookmarkEnd w:id="396"/>
      <w:bookmarkEnd w:id="397"/>
    </w:p>
    <w:p w14:paraId="73C429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一、项目概况</w:t>
      </w:r>
    </w:p>
    <w:p w14:paraId="5DBD16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目前，我市已经统一建设全市涉水收费统一征收系统平台（以下简称“涉水收费平台”），为确保全市33镇街近222多个使用“涉水收费平台”系统的网点、约2300个用户的日常正常运行，持续充分发挥平台的应用价值，现通过公开招标方式，确定一家涉水收费平台运维服务单位，建立专职的团队，支撑该涉水收费平台日常的技术服务。</w:t>
      </w:r>
    </w:p>
    <w:p w14:paraId="07CFD4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二、采购清单及周期</w:t>
      </w:r>
    </w:p>
    <w:p w14:paraId="0F71747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rightChars="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（一）</w:t>
      </w:r>
      <w:r>
        <w:rPr>
          <w:rFonts w:hint="eastAsia" w:ascii="宋体" w:hAnsi="宋体" w:eastAsia="宋体" w:cs="宋体"/>
          <w:b/>
          <w:bCs/>
          <w:color w:val="auto"/>
          <w:kern w:val="2"/>
          <w:sz w:val="21"/>
          <w:szCs w:val="21"/>
        </w:rPr>
        <w:t>本项目服务期为</w:t>
      </w:r>
      <w:r>
        <w:rPr>
          <w:rFonts w:hint="eastAsia" w:ascii="宋体" w:hAnsi="宋体" w:eastAsia="宋体" w:cs="宋体"/>
          <w:b/>
          <w:bCs/>
          <w:snapToGrid/>
          <w:color w:val="auto"/>
          <w:kern w:val="0"/>
          <w:sz w:val="21"/>
          <w:szCs w:val="21"/>
          <w:lang w:val="en-US" w:eastAsia="zh-CN"/>
        </w:rPr>
        <w:t>自合同签订之日起一年。</w:t>
      </w:r>
    </w:p>
    <w:p w14:paraId="1D3F91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22" w:firstLineChars="200"/>
        <w:jc w:val="left"/>
        <w:textAlignment w:val="baseline"/>
        <w:rPr>
          <w:rFonts w:hint="default"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（二）采购清单</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2"/>
        <w:gridCol w:w="1666"/>
        <w:gridCol w:w="5019"/>
        <w:gridCol w:w="1250"/>
        <w:gridCol w:w="890"/>
        <w:gridCol w:w="785"/>
      </w:tblGrid>
      <w:tr w14:paraId="638D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FE634A0">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序号</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24C04CA0">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采购项目</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15B18A95">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内容简要说明</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51C66A51">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数量</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1C1DC4E4">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单位</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71CB65E3">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备注</w:t>
            </w:r>
          </w:p>
        </w:tc>
      </w:tr>
      <w:tr w14:paraId="6345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4070692">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31A6841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系统维护服务</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78D3FB05">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对全市33个镇街2025年预计约222个使用系统的网点，近2300个系统用户进行管理。提供日常业务功能应用服务、数据接口检查服务、数据库日常维护、7*24小时热线服务、系统改进性服务等。</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1E1CEFF2">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1866CD6E">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套</w:t>
            </w:r>
          </w:p>
        </w:tc>
        <w:tc>
          <w:tcPr>
            <w:tcW w:w="381" w:type="pct"/>
            <w:vMerge w:val="restart"/>
            <w:tcBorders>
              <w:top w:val="nil"/>
              <w:left w:val="single" w:color="auto" w:sz="4" w:space="0"/>
              <w:bottom w:val="single" w:color="auto" w:sz="4" w:space="0"/>
              <w:right w:val="single" w:color="auto" w:sz="4" w:space="0"/>
            </w:tcBorders>
            <w:shd w:val="clear" w:color="auto" w:fill="auto"/>
            <w:vAlign w:val="center"/>
          </w:tcPr>
          <w:p w14:paraId="4CC93743">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共采购1年</w:t>
            </w:r>
          </w:p>
        </w:tc>
      </w:tr>
      <w:tr w14:paraId="583E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028D11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20F33594">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bCs w:val="0"/>
                <w:i w:val="0"/>
                <w:iCs w:val="0"/>
                <w:snapToGrid/>
                <w:color w:val="auto"/>
                <w:kern w:val="0"/>
                <w:sz w:val="21"/>
                <w:szCs w:val="21"/>
                <w:lang w:val="en-US" w:eastAsia="zh-CN"/>
              </w:rPr>
              <w:t>应急管理及安全保障支撑服务</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7ACAB21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“涉水收费统一征收平台”系统服务对象涉及全市33个镇街，本项目周期预计对约222个使用系统的网点，近2300个系统用户，需要为“涉水收费统一征收平台”系统提供预防和应急服务，保障系统安全稳定运行。</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395F83E6">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1</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3A6C2545">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套</w:t>
            </w:r>
          </w:p>
        </w:tc>
        <w:tc>
          <w:tcPr>
            <w:tcW w:w="381" w:type="pct"/>
            <w:vMerge w:val="continue"/>
            <w:tcBorders>
              <w:top w:val="nil"/>
              <w:left w:val="single" w:color="auto" w:sz="4" w:space="0"/>
              <w:bottom w:val="single" w:color="auto" w:sz="4" w:space="0"/>
              <w:right w:val="single" w:color="auto" w:sz="4" w:space="0"/>
            </w:tcBorders>
            <w:shd w:val="clear" w:color="auto" w:fill="auto"/>
          </w:tcPr>
          <w:p w14:paraId="70A575E5">
            <w:pPr>
              <w:keepNext w:val="0"/>
              <w:keepLines w:val="0"/>
              <w:pageBreakBefore w:val="0"/>
              <w:suppressLineNumbers w:val="0"/>
              <w:wordWrap/>
              <w:overflowPunct/>
              <w:topLinePunct w:val="0"/>
              <w:bidi w:val="0"/>
              <w:spacing w:before="157" w:beforeLines="50" w:beforeAutospacing="0" w:after="0" w:afterAutospacing="0" w:line="360" w:lineRule="auto"/>
              <w:ind w:left="0" w:right="0"/>
              <w:jc w:val="both"/>
              <w:rPr>
                <w:rFonts w:hint="eastAsia" w:ascii="宋体" w:hAnsi="宋体" w:eastAsia="宋体" w:cs="宋体"/>
                <w:color w:val="auto"/>
                <w:sz w:val="21"/>
                <w:szCs w:val="21"/>
              </w:rPr>
            </w:pPr>
          </w:p>
        </w:tc>
      </w:tr>
      <w:tr w14:paraId="05D3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DFE2D4A">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3F1B73DA">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网点上门现场服务</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772084DD">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包含：现场巡检、现场技术支持共两种服务类型。其中现场技术支持是指远程方式或现场巡检过程中无法排除相关故障时，由项目经理另外指派相应技术服务人员到使用网点现场进一步处理排除故障。</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287A7E2C">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1</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6381A142">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套</w:t>
            </w:r>
          </w:p>
        </w:tc>
        <w:tc>
          <w:tcPr>
            <w:tcW w:w="381" w:type="pct"/>
            <w:vMerge w:val="continue"/>
            <w:tcBorders>
              <w:top w:val="nil"/>
              <w:left w:val="single" w:color="auto" w:sz="4" w:space="0"/>
              <w:bottom w:val="single" w:color="auto" w:sz="4" w:space="0"/>
              <w:right w:val="single" w:color="auto" w:sz="4" w:space="0"/>
            </w:tcBorders>
            <w:shd w:val="clear" w:color="auto" w:fill="auto"/>
          </w:tcPr>
          <w:p w14:paraId="455603BE">
            <w:pPr>
              <w:keepNext w:val="0"/>
              <w:keepLines w:val="0"/>
              <w:pageBreakBefore w:val="0"/>
              <w:suppressLineNumbers w:val="0"/>
              <w:wordWrap/>
              <w:overflowPunct/>
              <w:topLinePunct w:val="0"/>
              <w:bidi w:val="0"/>
              <w:spacing w:before="157" w:beforeLines="50" w:beforeAutospacing="0" w:after="0" w:afterAutospacing="0" w:line="360" w:lineRule="auto"/>
              <w:ind w:left="0" w:right="0"/>
              <w:jc w:val="both"/>
              <w:rPr>
                <w:rFonts w:hint="eastAsia" w:ascii="宋体" w:hAnsi="宋体" w:eastAsia="宋体" w:cs="宋体"/>
                <w:color w:val="auto"/>
                <w:sz w:val="21"/>
                <w:szCs w:val="21"/>
              </w:rPr>
            </w:pPr>
          </w:p>
        </w:tc>
      </w:tr>
      <w:tr w14:paraId="3BEC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C5C54D1">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69FBBDB8">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现场驻点支撑服务</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46AA97CE">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根据用户需求提供现场驻点服务，协助查看各镇街分局每月自备水源数据录入是否正常，对异常情况告知分局跟进处理、解答分局提出的疑难问题、按要求提取用户自备水源及自来水污水情况、对需要免征或按政策征收企业，协助退款数据核对、随业务变化对新的业务需求进行讨论，协助确认变更流程等。</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4433348">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1</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39736F75">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套</w:t>
            </w:r>
          </w:p>
        </w:tc>
        <w:tc>
          <w:tcPr>
            <w:tcW w:w="381" w:type="pct"/>
            <w:vMerge w:val="continue"/>
            <w:tcBorders>
              <w:top w:val="nil"/>
              <w:left w:val="single" w:color="auto" w:sz="4" w:space="0"/>
              <w:bottom w:val="single" w:color="auto" w:sz="4" w:space="0"/>
              <w:right w:val="single" w:color="auto" w:sz="4" w:space="0"/>
            </w:tcBorders>
            <w:shd w:val="clear" w:color="auto" w:fill="auto"/>
          </w:tcPr>
          <w:p w14:paraId="2841B245">
            <w:pPr>
              <w:keepNext w:val="0"/>
              <w:keepLines w:val="0"/>
              <w:pageBreakBefore w:val="0"/>
              <w:suppressLineNumbers w:val="0"/>
              <w:wordWrap/>
              <w:overflowPunct/>
              <w:topLinePunct w:val="0"/>
              <w:bidi w:val="0"/>
              <w:spacing w:before="157" w:beforeLines="50" w:beforeAutospacing="0" w:after="0" w:afterAutospacing="0" w:line="360" w:lineRule="auto"/>
              <w:ind w:left="0" w:right="0"/>
              <w:jc w:val="both"/>
              <w:rPr>
                <w:rFonts w:hint="eastAsia" w:ascii="宋体" w:hAnsi="宋体" w:eastAsia="宋体" w:cs="宋体"/>
                <w:color w:val="auto"/>
                <w:sz w:val="21"/>
                <w:szCs w:val="21"/>
              </w:rPr>
            </w:pPr>
          </w:p>
        </w:tc>
      </w:tr>
      <w:tr w14:paraId="3BE0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2DCCFC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22EB5275">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业务支撑服务</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0C692DA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与系统日常维护不同，业务支撑内容主要是对水费、污水费、垃圾费等收缴过程中出现的数据不当、对账不平等异常情况的支撑处理。2025年服务提供方需提供业务支撑服务，以及针对水务集团专项小组成员的专项业务培训服务。</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4BFD5148">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1</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4D544276">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套</w:t>
            </w:r>
          </w:p>
        </w:tc>
        <w:tc>
          <w:tcPr>
            <w:tcW w:w="381" w:type="pct"/>
            <w:vMerge w:val="continue"/>
            <w:tcBorders>
              <w:top w:val="nil"/>
              <w:left w:val="single" w:color="auto" w:sz="4" w:space="0"/>
              <w:bottom w:val="single" w:color="auto" w:sz="4" w:space="0"/>
              <w:right w:val="single" w:color="auto" w:sz="4" w:space="0"/>
            </w:tcBorders>
            <w:shd w:val="clear" w:color="auto" w:fill="auto"/>
          </w:tcPr>
          <w:p w14:paraId="6CABFE87">
            <w:pPr>
              <w:keepNext w:val="0"/>
              <w:keepLines w:val="0"/>
              <w:pageBreakBefore w:val="0"/>
              <w:suppressLineNumbers w:val="0"/>
              <w:wordWrap/>
              <w:overflowPunct/>
              <w:topLinePunct w:val="0"/>
              <w:bidi w:val="0"/>
              <w:spacing w:before="157" w:beforeLines="50" w:beforeAutospacing="0" w:after="0" w:afterAutospacing="0" w:line="360" w:lineRule="auto"/>
              <w:ind w:left="0" w:right="0"/>
              <w:jc w:val="both"/>
              <w:rPr>
                <w:rFonts w:hint="eastAsia" w:ascii="宋体" w:hAnsi="宋体" w:eastAsia="宋体" w:cs="宋体"/>
                <w:color w:val="auto"/>
                <w:sz w:val="21"/>
                <w:szCs w:val="21"/>
              </w:rPr>
            </w:pPr>
          </w:p>
        </w:tc>
      </w:tr>
      <w:tr w14:paraId="3A1E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E823445">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6</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E0E3473">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技术支撑服务</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4AB43C8E">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本项主要针对前端网点的终端使用技术支撑，与主要针对系统后台的日常维护服务不同。2025年服务提供方需提供技术支撑服务，以及针对水务集团专项小组成员的专项技术培训服务。</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61D30632">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1</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40AB8AD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套</w:t>
            </w:r>
          </w:p>
        </w:tc>
        <w:tc>
          <w:tcPr>
            <w:tcW w:w="381" w:type="pct"/>
            <w:vMerge w:val="continue"/>
            <w:tcBorders>
              <w:top w:val="nil"/>
              <w:left w:val="single" w:color="auto" w:sz="4" w:space="0"/>
              <w:bottom w:val="single" w:color="auto" w:sz="4" w:space="0"/>
              <w:right w:val="single" w:color="auto" w:sz="4" w:space="0"/>
            </w:tcBorders>
            <w:shd w:val="clear" w:color="auto" w:fill="auto"/>
          </w:tcPr>
          <w:p w14:paraId="2690236A">
            <w:pPr>
              <w:keepNext w:val="0"/>
              <w:keepLines w:val="0"/>
              <w:pageBreakBefore w:val="0"/>
              <w:suppressLineNumbers w:val="0"/>
              <w:wordWrap/>
              <w:overflowPunct/>
              <w:topLinePunct w:val="0"/>
              <w:bidi w:val="0"/>
              <w:spacing w:before="157" w:beforeLines="50" w:beforeAutospacing="0" w:after="0" w:afterAutospacing="0" w:line="360" w:lineRule="auto"/>
              <w:ind w:left="0" w:right="0"/>
              <w:jc w:val="both"/>
              <w:rPr>
                <w:rFonts w:hint="eastAsia" w:ascii="宋体" w:hAnsi="宋体" w:eastAsia="宋体" w:cs="宋体"/>
                <w:color w:val="auto"/>
                <w:sz w:val="21"/>
                <w:szCs w:val="21"/>
              </w:rPr>
            </w:pPr>
          </w:p>
        </w:tc>
      </w:tr>
      <w:tr w14:paraId="4E5A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4ABC0A8">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6DC0E09">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电子证书USB-KEY授权服务</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5F2F636E">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项目运维单位需要对电子证书USB-KEY提供异常查因、代发、升级等方面提供支撑服务。</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4B63583">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715</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3C95CA8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个</w:t>
            </w:r>
          </w:p>
        </w:tc>
        <w:tc>
          <w:tcPr>
            <w:tcW w:w="381" w:type="pct"/>
            <w:vMerge w:val="continue"/>
            <w:tcBorders>
              <w:top w:val="nil"/>
              <w:left w:val="single" w:color="auto" w:sz="4" w:space="0"/>
              <w:bottom w:val="single" w:color="auto" w:sz="4" w:space="0"/>
              <w:right w:val="single" w:color="auto" w:sz="4" w:space="0"/>
            </w:tcBorders>
            <w:shd w:val="clear" w:color="auto" w:fill="auto"/>
          </w:tcPr>
          <w:p w14:paraId="3ABD2C82">
            <w:pPr>
              <w:keepNext w:val="0"/>
              <w:keepLines w:val="0"/>
              <w:pageBreakBefore w:val="0"/>
              <w:suppressLineNumbers w:val="0"/>
              <w:wordWrap/>
              <w:overflowPunct/>
              <w:topLinePunct w:val="0"/>
              <w:bidi w:val="0"/>
              <w:spacing w:before="157" w:beforeLines="50" w:beforeAutospacing="0" w:after="0" w:afterAutospacing="0" w:line="360" w:lineRule="auto"/>
              <w:ind w:left="0" w:right="0"/>
              <w:jc w:val="both"/>
              <w:rPr>
                <w:rFonts w:hint="eastAsia" w:ascii="宋体" w:hAnsi="宋体" w:eastAsia="宋体" w:cs="宋体"/>
                <w:color w:val="auto"/>
                <w:sz w:val="21"/>
                <w:szCs w:val="21"/>
              </w:rPr>
            </w:pPr>
          </w:p>
        </w:tc>
      </w:tr>
      <w:tr w14:paraId="639D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1503D4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8</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234F1C11">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color w:val="auto"/>
                <w:sz w:val="21"/>
                <w:szCs w:val="21"/>
              </w:rPr>
              <w:t>系统等级保护测评及备案</w:t>
            </w:r>
          </w:p>
        </w:tc>
        <w:tc>
          <w:tcPr>
            <w:tcW w:w="2437" w:type="pct"/>
            <w:tcBorders>
              <w:top w:val="single" w:color="auto" w:sz="4" w:space="0"/>
              <w:left w:val="single" w:color="auto" w:sz="4" w:space="0"/>
              <w:bottom w:val="single" w:color="auto" w:sz="4" w:space="0"/>
              <w:right w:val="single" w:color="auto" w:sz="4" w:space="0"/>
            </w:tcBorders>
            <w:shd w:val="clear" w:color="auto" w:fill="auto"/>
          </w:tcPr>
          <w:p w14:paraId="48CE953A">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eastAsia="宋体" w:cs="宋体"/>
                <w:color w:val="auto"/>
                <w:kern w:val="0"/>
                <w:sz w:val="21"/>
                <w:szCs w:val="21"/>
              </w:rPr>
              <w:t>从物理安全、网络安全、主机安全、应用安全、数据安全与备份恢复、安全管理制度、安全管理机构、人员安全管理、系统建设管理、系统运维管理等方面，对系统进行二级 等保标准的测评并完成网监备案。乙方提供的评测单位应具有国家等级保护测评资质。</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6F390BA7">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1</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6B10984D">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2"/>
                <w:sz w:val="21"/>
                <w:szCs w:val="21"/>
              </w:rPr>
            </w:pPr>
            <w:r>
              <w:rPr>
                <w:rFonts w:hint="eastAsia" w:ascii="宋体" w:hAnsi="宋体" w:eastAsia="宋体" w:cs="宋体"/>
                <w:snapToGrid/>
                <w:color w:val="auto"/>
                <w:kern w:val="0"/>
                <w:sz w:val="21"/>
                <w:szCs w:val="21"/>
                <w:lang w:val="en-US" w:eastAsia="zh-CN"/>
              </w:rPr>
              <w:t>套</w:t>
            </w:r>
          </w:p>
        </w:tc>
        <w:tc>
          <w:tcPr>
            <w:tcW w:w="381" w:type="pct"/>
            <w:vMerge w:val="continue"/>
            <w:tcBorders>
              <w:top w:val="nil"/>
              <w:left w:val="single" w:color="auto" w:sz="4" w:space="0"/>
              <w:bottom w:val="single" w:color="auto" w:sz="4" w:space="0"/>
              <w:right w:val="single" w:color="auto" w:sz="4" w:space="0"/>
            </w:tcBorders>
            <w:shd w:val="clear" w:color="auto" w:fill="auto"/>
          </w:tcPr>
          <w:p w14:paraId="087788BA">
            <w:pPr>
              <w:keepNext w:val="0"/>
              <w:keepLines w:val="0"/>
              <w:pageBreakBefore w:val="0"/>
              <w:suppressLineNumbers w:val="0"/>
              <w:wordWrap/>
              <w:overflowPunct/>
              <w:topLinePunct w:val="0"/>
              <w:bidi w:val="0"/>
              <w:spacing w:before="157" w:beforeLines="50" w:beforeAutospacing="0" w:after="0" w:afterAutospacing="0" w:line="360" w:lineRule="auto"/>
              <w:ind w:left="0" w:right="0"/>
              <w:jc w:val="both"/>
              <w:rPr>
                <w:rFonts w:hint="eastAsia" w:ascii="宋体" w:hAnsi="宋体" w:eastAsia="宋体" w:cs="宋体"/>
                <w:color w:val="auto"/>
                <w:sz w:val="21"/>
                <w:szCs w:val="21"/>
              </w:rPr>
            </w:pPr>
          </w:p>
        </w:tc>
      </w:tr>
    </w:tbl>
    <w:p w14:paraId="20F5BC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p>
    <w:p w14:paraId="4C790B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三、维护目标</w:t>
      </w:r>
    </w:p>
    <w:p w14:paraId="7F83C6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对“涉水收费平台”系统基础资源进行监控和管理，及时掌握网络信息系统资源现状和配置信息，反映信息系统资源的可用性情况和健康状况，创建一个可知可控的应用环境，保障“涉水收费平台”系统的可靠、高效、持续、安全运行。满意度90%（不含）以上，具体评价详见合同附件。</w:t>
      </w:r>
    </w:p>
    <w:p w14:paraId="65CD9C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p>
    <w:p w14:paraId="77AD11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四、使用单位情况</w:t>
      </w:r>
    </w:p>
    <w:p w14:paraId="50E37E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涉水收费平台涉及全市33镇街近222个使用网点，包含东莞市水务集团有限公司、东莞市财政局及各镇街分局、东莞市生态环境局（东莞市环保产业促进中心）及各镇街分局、东莞市城市综合管理局（东莞市市容环卫中心）及各镇街公共事业服务中心；使用涉水平台的用户近2300个，登记的用水户近150万户（按水表数量统计），具体列表详见附件1 使用单位情况。</w:t>
      </w:r>
    </w:p>
    <w:p w14:paraId="2730F1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p>
    <w:p w14:paraId="4B8C01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五、现有系统功能</w:t>
      </w:r>
    </w:p>
    <w:p w14:paraId="1086E4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涉水收费平台主要包含如下6个方面的业务管理模组：</w:t>
      </w:r>
    </w:p>
    <w:p w14:paraId="536726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1．基础管理平台模组：</w:t>
      </w:r>
      <w:r>
        <w:rPr>
          <w:rFonts w:hint="eastAsia" w:ascii="宋体" w:hAnsi="宋体" w:eastAsia="宋体" w:cs="宋体"/>
          <w:snapToGrid/>
          <w:color w:val="auto"/>
          <w:kern w:val="0"/>
          <w:sz w:val="21"/>
          <w:szCs w:val="21"/>
          <w:lang w:val="en-US" w:eastAsia="zh-CN"/>
        </w:rPr>
        <w:t>基础管理平台模组包括主数据管理、业务服务、业务流程、基础引擎等模块；</w:t>
      </w:r>
    </w:p>
    <w:p w14:paraId="3B11AA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2．系统管理模组：</w:t>
      </w:r>
      <w:r>
        <w:rPr>
          <w:rFonts w:hint="eastAsia" w:ascii="宋体" w:hAnsi="宋体" w:eastAsia="宋体" w:cs="宋体"/>
          <w:snapToGrid/>
          <w:color w:val="auto"/>
          <w:kern w:val="0"/>
          <w:sz w:val="21"/>
          <w:szCs w:val="21"/>
          <w:lang w:val="en-US" w:eastAsia="zh-CN"/>
        </w:rPr>
        <w:t>系统管理模组包括用户信息、角色管理、密码修改、权限分配、操作日志等模块；</w:t>
      </w:r>
    </w:p>
    <w:p w14:paraId="4C7B14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3．基础资料管理模组：</w:t>
      </w:r>
      <w:r>
        <w:rPr>
          <w:rFonts w:hint="eastAsia" w:ascii="宋体" w:hAnsi="宋体" w:eastAsia="宋体" w:cs="宋体"/>
          <w:snapToGrid/>
          <w:color w:val="auto"/>
          <w:kern w:val="0"/>
          <w:sz w:val="21"/>
          <w:szCs w:val="21"/>
          <w:lang w:val="en-US" w:eastAsia="zh-CN"/>
        </w:rPr>
        <w:t>基础资料管理模组包括水表信息、分区信息、修费项目、缴费人、票据类型、水费类型、收费标准、污水类型、生活垃圾费类型、污水收费标准、生活垃圾费收费标准等模块；</w:t>
      </w:r>
    </w:p>
    <w:p w14:paraId="5AFBC7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4．业务功能模组：</w:t>
      </w:r>
      <w:r>
        <w:rPr>
          <w:rFonts w:hint="eastAsia" w:ascii="宋体" w:hAnsi="宋体" w:eastAsia="宋体" w:cs="宋体"/>
          <w:snapToGrid/>
          <w:color w:val="auto"/>
          <w:kern w:val="0"/>
          <w:sz w:val="21"/>
          <w:szCs w:val="21"/>
          <w:lang w:val="en-US" w:eastAsia="zh-CN"/>
        </w:rPr>
        <w:t>业务功能模组包括用水管理、收费管理、票据管理、自备水源管理、缴费人管理、欠费管理、费用台帐、污水处理费管理等功能模块；</w:t>
      </w:r>
    </w:p>
    <w:p w14:paraId="54221F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5．业务系统集成管理模组：</w:t>
      </w:r>
      <w:r>
        <w:rPr>
          <w:rFonts w:hint="eastAsia" w:ascii="宋体" w:hAnsi="宋体" w:eastAsia="宋体" w:cs="宋体"/>
          <w:snapToGrid/>
          <w:color w:val="auto"/>
          <w:kern w:val="0"/>
          <w:sz w:val="21"/>
          <w:szCs w:val="21"/>
          <w:lang w:val="en-US" w:eastAsia="zh-CN"/>
        </w:rPr>
        <w:t>业务系统集成管理模组包括水务管理系统接口、水资源监管接口、污水在线监控、财政非税银行接口等功能模块；</w:t>
      </w:r>
    </w:p>
    <w:p w14:paraId="6B0405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6．其它管理模组：</w:t>
      </w:r>
      <w:r>
        <w:rPr>
          <w:rFonts w:hint="eastAsia" w:ascii="宋体" w:hAnsi="宋体" w:eastAsia="宋体" w:cs="宋体"/>
          <w:snapToGrid/>
          <w:color w:val="auto"/>
          <w:kern w:val="0"/>
          <w:sz w:val="21"/>
          <w:szCs w:val="21"/>
          <w:lang w:val="en-US" w:eastAsia="zh-CN"/>
        </w:rPr>
        <w:t>其它管理模组包括短信平台、系统访问设置、用户操作手册、在线帮助、常见问题解决、报表管理、综合查询等功能模块。</w:t>
      </w:r>
    </w:p>
    <w:p w14:paraId="32319E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常见的功能如下表：</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1"/>
        <w:gridCol w:w="1232"/>
        <w:gridCol w:w="8381"/>
      </w:tblGrid>
      <w:tr w14:paraId="0F24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0DDBCA9">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序号</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29645FE8">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模块名称</w:t>
            </w:r>
          </w:p>
        </w:tc>
        <w:tc>
          <w:tcPr>
            <w:tcW w:w="4069" w:type="pct"/>
            <w:tcBorders>
              <w:top w:val="single" w:color="auto" w:sz="4" w:space="0"/>
              <w:left w:val="single" w:color="auto" w:sz="4" w:space="0"/>
              <w:bottom w:val="single" w:color="auto" w:sz="4" w:space="0"/>
              <w:right w:val="single" w:color="auto" w:sz="4" w:space="0"/>
            </w:tcBorders>
            <w:shd w:val="clear" w:color="auto" w:fill="auto"/>
            <w:vAlign w:val="center"/>
          </w:tcPr>
          <w:p w14:paraId="4C14C2F0">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模块内容简要描述</w:t>
            </w:r>
          </w:p>
        </w:tc>
      </w:tr>
      <w:tr w14:paraId="492F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B517BA9">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66E6FAF6">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首页</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6662E383">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系统首页以图表的形式展示涉水收费各项统计（如非税收入统计、污水收入上缴统计、年度非税收入趋势变化等），兼备发布通知公告、政策规定、信息交流等信息。</w:t>
            </w:r>
          </w:p>
        </w:tc>
      </w:tr>
      <w:tr w14:paraId="06BF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D77BF11">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1CC1E12D">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自备水源管理</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665BFD82">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自备水源管理模块，主要对全市自备水源企业信息资料进行管理，以及自备水源企业污水处理费收费管理，系统提供自备水源企业取水量录入功能,根据自备水源企业取水量计算出污水处理费，并生成缴费通知单。自备水源企业可以凭缴费通知单前往所在地财政付款，系统根据自备水源企业提供的缴费通知单，进行查询需要缴费的数据，如果存在欠费情况，即可进行缴费并打印非税票据，并且系统可以根据已经缴费的数据生成相对应的报表。</w:t>
            </w:r>
          </w:p>
        </w:tc>
      </w:tr>
      <w:tr w14:paraId="41A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00E5296">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20FBC081">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基础资料管理</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089F8863">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基础资料管理，主要为各业务系统提供基础信息数据的定义和维护，系统按镇街、村独立管理，主要包含分区、分册、水表厂商、水表口径、滞纳金设置、用水性质管理、污水费类型和收费标准管理、垃圾费类型和收费标准管理、阶梯管理等基础信息。</w:t>
            </w:r>
          </w:p>
        </w:tc>
      </w:tr>
      <w:tr w14:paraId="39DD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5412FC93">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5D4DC575">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收费管理</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51B486F7">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收费管理模块，主要功能包括前台收费管理、银行代扣管理、批量打印等。前台收费管理，主要实现用水户使用现金缴费的功能，系统提供可根据水表编号、用户编号、用户地址、用户名称等查询用水户未缴费数据，确认无误后即可完成收费并打印水费发票和非税票据。银行代扣管理，对已办理银行代扣的用水用户，系统会自动生成出盘明细表并发送给银行进行扣费操作，银行对出盘文件进行扣款操作后，向系统发送扣款结果明细表,系统根据最终扣款结果更新缴费状态，并提供批量打印水费发票和非税票据功能。</w:t>
            </w:r>
          </w:p>
        </w:tc>
      </w:tr>
      <w:tr w14:paraId="7D12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3B60E63">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672ED1D7">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水表管理</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1CFFDD71">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水表管理，主要对用户基础信息进行管理，包括用户姓名、用户地址、联系方式、缴费方式、水表口径、用水性质、污水类型、垃圾费类型等相关基础信息进行管理。系统可对用户基础信息进行变更：缴费方式变更、用户名称变更、用水性质变更、污水类型变更、垃圾费类型变更等，并记录提交变更以及审核变更的操作人以及操作时间。</w:t>
            </w:r>
          </w:p>
        </w:tc>
      </w:tr>
      <w:tr w14:paraId="0189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23F090E">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6</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5F4B4E15">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票据管理</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5D3E467F">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票据管理，主要包括票据号登记、未使用票据作废、纸质票据查询、纸质票据作废查询、非税发票金额统计、水费发票金额统计等功能。系统对涉水收费所需要用到的水费发票和非税发票进行全程监控和管理，包括领用、登记、初始化、使用、作废、核销等。非税发票金额统计对已经使用的非税票据，根据非税票据号码段和开票时间，查询该票据段票据使用情况和作废明细，并汇总统计污水处理费金额和垃圾处理费金额。水费发票金额统计，对已使用的水费发票，按水费发票号码和开票时间，查询统计该票据段票据使用情况和票据作废明细，并汇总统计水费金额。</w:t>
            </w:r>
          </w:p>
        </w:tc>
      </w:tr>
      <w:tr w14:paraId="247F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569EA52">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52B1EF37">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用水管理</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1565A157">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用水管理，主要为自来水公司将用户每月用水量数据进行抄录。系统对用户的用水量录入提供多种方式：手工录入用水数据、抄表机抄表、excel导入抄表数据等功能。如果用户用水量超过预警线，系统会根据预先设定的异常百分比用不同颜色显示出来，并由相关抄表人员审核完成后才可以录入系统；对于无用水用户，系统会根据用户档案的垃圾处理费征收情况而进行相应处理，如果用户存在定额垃圾处理费，系统则会自动生成一笔垃圾处理费数据。</w:t>
            </w:r>
          </w:p>
        </w:tc>
      </w:tr>
      <w:tr w14:paraId="67DB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95725B4">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8</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04116741">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短信平台</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750C5919">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短信平台，主要为系统用户提供短信通知发送功能，主要包括缴费通知、银行代扣通知、停水通知、缴费通知、自定义短信通知等。</w:t>
            </w:r>
          </w:p>
        </w:tc>
      </w:tr>
      <w:tr w14:paraId="2C57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7C4E576">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9</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6A363D12">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报表管理</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58DB147F">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报表管理模块主要实现为各部门用户进行数据查询的功能，系统根据各部门的需求定制化实现不同的查询报表，以图表、表格等形式展现出来，提供导出报表、下载报表等功能。</w:t>
            </w:r>
          </w:p>
        </w:tc>
      </w:tr>
      <w:tr w14:paraId="4912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FFBC87F">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10</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6835E048">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系统设置</w:t>
            </w:r>
          </w:p>
        </w:tc>
        <w:tc>
          <w:tcPr>
            <w:tcW w:w="4069" w:type="pct"/>
            <w:tcBorders>
              <w:top w:val="single" w:color="auto" w:sz="4" w:space="0"/>
              <w:left w:val="single" w:color="auto" w:sz="4" w:space="0"/>
              <w:bottom w:val="single" w:color="auto" w:sz="4" w:space="0"/>
              <w:right w:val="single" w:color="auto" w:sz="4" w:space="0"/>
            </w:tcBorders>
            <w:shd w:val="clear" w:color="auto" w:fill="auto"/>
          </w:tcPr>
          <w:p w14:paraId="590C9675">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包括机构管理、部门管理、用户管理、角色管理、操作日志、参数设置等功能。</w:t>
            </w:r>
          </w:p>
        </w:tc>
      </w:tr>
    </w:tbl>
    <w:p w14:paraId="4DAFB1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 xml:space="preserve"> </w:t>
      </w:r>
    </w:p>
    <w:p w14:paraId="1B8EB8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六、系统部署情况</w:t>
      </w:r>
    </w:p>
    <w:p w14:paraId="4C7C01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（一）涉水收费平台部署情况如下图示：</w:t>
      </w:r>
    </w:p>
    <w:p w14:paraId="377D77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position w:val="-71"/>
          <w:sz w:val="21"/>
          <w:szCs w:val="21"/>
        </w:rPr>
      </w:pPr>
      <w:r>
        <w:rPr>
          <w:rFonts w:hint="eastAsia" w:ascii="宋体" w:hAnsi="宋体" w:eastAsia="宋体" w:cs="宋体"/>
          <w:snapToGrid/>
          <w:color w:val="auto"/>
          <w:kern w:val="0"/>
          <w:sz w:val="21"/>
          <w:szCs w:val="21"/>
          <w:lang w:val="en-US" w:eastAsia="zh-CN"/>
        </w:rPr>
        <w:drawing>
          <wp:inline distT="0" distB="0" distL="0" distR="0">
            <wp:extent cx="4238625" cy="2276475"/>
            <wp:effectExtent l="0" t="0" r="9525" b="9525"/>
            <wp:docPr id="1026"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11" cstate="print"/>
                    <a:srcRect/>
                    <a:stretch>
                      <a:fillRect/>
                    </a:stretch>
                  </pic:blipFill>
                  <pic:spPr>
                    <a:xfrm>
                      <a:off x="0" y="0"/>
                      <a:ext cx="4238625" cy="2276475"/>
                    </a:xfrm>
                    <a:prstGeom prst="rect">
                      <a:avLst/>
                    </a:prstGeom>
                    <a:ln>
                      <a:noFill/>
                    </a:ln>
                  </pic:spPr>
                </pic:pic>
              </a:graphicData>
            </a:graphic>
          </wp:inline>
        </w:drawing>
      </w:r>
    </w:p>
    <w:p w14:paraId="591241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p>
    <w:p w14:paraId="29095B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（二）简要说明：</w:t>
      </w:r>
    </w:p>
    <w:p w14:paraId="623687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涉水收费平台系统建设软硬件主要包括中心服务器部分和前端硬件部分。东莞市财政局、东莞市城市综合管理局、东莞市生态环境局及其下属单位等均通过政务内网访问系统。在东莞市生态环境局、东莞市</w:t>
      </w:r>
      <w:r>
        <w:rPr>
          <w:rFonts w:hint="eastAsia" w:ascii="宋体" w:hAnsi="宋体" w:eastAsia="宋体" w:cs="宋体"/>
          <w:i w:val="0"/>
          <w:iCs w:val="0"/>
          <w:color w:val="auto"/>
          <w:kern w:val="0"/>
          <w:sz w:val="21"/>
          <w:szCs w:val="21"/>
          <w:u w:val="none"/>
          <w:lang w:val="en-US" w:eastAsia="zh-CN"/>
        </w:rPr>
        <w:t>城市综合管理局</w:t>
      </w:r>
      <w:r>
        <w:rPr>
          <w:rFonts w:hint="eastAsia" w:ascii="宋体" w:hAnsi="宋体" w:eastAsia="宋体" w:cs="宋体"/>
          <w:snapToGrid/>
          <w:color w:val="auto"/>
          <w:kern w:val="0"/>
          <w:sz w:val="21"/>
          <w:szCs w:val="21"/>
          <w:lang w:val="en-US" w:eastAsia="zh-CN"/>
        </w:rPr>
        <w:t>架分别设专线交换机（以东莞市生态环境局交换机为主，当东莞市生态环境局交换机出现故障时，自动切换到东莞市</w:t>
      </w:r>
      <w:r>
        <w:rPr>
          <w:rFonts w:hint="eastAsia" w:ascii="宋体" w:hAnsi="宋体" w:eastAsia="宋体" w:cs="宋体"/>
          <w:i w:val="0"/>
          <w:iCs w:val="0"/>
          <w:color w:val="auto"/>
          <w:kern w:val="0"/>
          <w:sz w:val="21"/>
          <w:szCs w:val="21"/>
          <w:u w:val="none"/>
          <w:lang w:val="en-US" w:eastAsia="zh-CN"/>
        </w:rPr>
        <w:t>城市综合管理局</w:t>
      </w:r>
      <w:r>
        <w:rPr>
          <w:rFonts w:hint="eastAsia" w:ascii="宋体" w:hAnsi="宋体" w:eastAsia="宋体" w:cs="宋体"/>
          <w:snapToGrid/>
          <w:color w:val="auto"/>
          <w:kern w:val="0"/>
          <w:sz w:val="21"/>
          <w:szCs w:val="21"/>
          <w:lang w:val="en-US" w:eastAsia="zh-CN"/>
        </w:rPr>
        <w:t>交换机），确保各征收点专线光缆接入安全稳定。在架设防火墙保证安全的情况下，WEB服务器可以接入因特网，从而实现手机、IPAD等通讯设备通过GPRS、WIFI等方式使用系统，方便以后开发微信对接、手机APP等。其中中心服务器部分，包括：</w:t>
      </w:r>
    </w:p>
    <w:p w14:paraId="7B9D5A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（1）WEB服务器一台</w:t>
      </w:r>
    </w:p>
    <w:p w14:paraId="488667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①部署位置：部署在政务云非军事区，外网、政务内网均可以连接，开放80端口；</w:t>
      </w:r>
    </w:p>
    <w:p w14:paraId="65184E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②配置说明：操作系统：windows/UNIX系统；nginx（完全免费、完全源代码开放,实现负载均衡，提高系统的并发性和可靠性）；CPU:8核（实际配置12核）；内存：32G（实际配置32G）；硬盘:1T（实际配置600G）。</w:t>
      </w:r>
    </w:p>
    <w:p w14:paraId="388562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（2）应用服务器两台</w:t>
      </w:r>
    </w:p>
    <w:p w14:paraId="1CDD54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①部署位置：部署在政务云非军事区，通过高速光纤连接数据服务器。</w:t>
      </w:r>
    </w:p>
    <w:p w14:paraId="50DBB9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②配置说明：操作系统：windows/UNIX系统；JDK版本：1.7；CPU:16核（实际配置每台16核）；内存：32G（实际配置每台48G）；硬盘:2T（实际配置600G）。</w:t>
      </w:r>
    </w:p>
    <w:p w14:paraId="356BE3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（3）数据库服务器两台</w:t>
      </w:r>
    </w:p>
    <w:p w14:paraId="6F82B4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①部署位置：数据服务器部署在政务云非军事区，外网不能直接访问。</w:t>
      </w:r>
    </w:p>
    <w:p w14:paraId="58CD10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②配置说明：操作系统：windows/UNIX系统；JDK版本：1.8；CPU：32核（实际配置每台18核）；内存：256G（目前实际配置每台256G）；硬盘:2T*3（实际配置每台3TG左右）；RAID模式：RAID5；数据库系统：Oracle11g（实现数据库双机热备）。通过SAS硬盘连接线将两个数据库连接起来，形成一个数据库集群。当有一台数据服务器出现问题时，为了不影响系统正常使用，应用服务器会自动连接到另外一台数据服务器。</w:t>
      </w:r>
    </w:p>
    <w:p w14:paraId="3D877B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（4）报表服务器两台</w:t>
      </w:r>
    </w:p>
    <w:p w14:paraId="054B1A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①部署位置：部署在政务云非军事区，通过高速光纤连接数据服务器。</w:t>
      </w:r>
    </w:p>
    <w:p w14:paraId="3AEAF9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②配置说明：操作系统：windows/UNIX系统；JDK版本：1.7；CPU：32核（实际配置32核）；内存：64G（实际配置64G）；硬盘:500G（实际配置每台700G）。</w:t>
      </w:r>
    </w:p>
    <w:p w14:paraId="41AA3F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（5）报表设计服务器一台</w:t>
      </w:r>
    </w:p>
    <w:p w14:paraId="08434A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①部署位置：部署在政务云非军事区，通过高速光纤连接数据服务器。</w:t>
      </w:r>
    </w:p>
    <w:p w14:paraId="671D90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②配置说明：操作系统：windows；CPU:8核（实际配置4核）；内存：32G（实际配置16G）；硬盘:1T（实际配置每台1T）。</w:t>
      </w:r>
    </w:p>
    <w:p w14:paraId="65399E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（6）CA服务器一台</w:t>
      </w:r>
    </w:p>
    <w:p w14:paraId="405520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①部署位置：部署在政务云非军事区，通过高速光纤连接应用服务器和报表服务器,需访问广东CA进行证书。</w:t>
      </w:r>
    </w:p>
    <w:p w14:paraId="5B7431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②配置说明：操作系统：windows；CPU:8核（实际配置8核）；内存：16G（实际配置16G）；硬盘:1T（实际配置每台800G）。</w:t>
      </w:r>
    </w:p>
    <w:p w14:paraId="27319F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（7）电子票据服务器一台</w:t>
      </w:r>
    </w:p>
    <w:p w14:paraId="0517A4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①部署位置：部署在政务云非军事区，通过高速光纤连接应用服务器，需访问电子票服务器，开电子票据。</w:t>
      </w:r>
    </w:p>
    <w:p w14:paraId="30ED6D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②配置说明：操作系统：windows；CPU:8核（实际配置4核）；内存：32G（实际配置32G）；硬盘:1T（实际配置每台1T）。</w:t>
      </w:r>
    </w:p>
    <w:p w14:paraId="4BDBCD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（8）数据汇聚前置数据库服务器一台</w:t>
      </w:r>
    </w:p>
    <w:p w14:paraId="73A4C2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①部署位置：部署在政务云非军事区，通过高速光纤实时同步数据库数据，实现数据汇聚，满足数字政府共享需求。</w:t>
      </w:r>
    </w:p>
    <w:p w14:paraId="00D91A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rPr>
      </w:pPr>
      <w:r>
        <w:rPr>
          <w:rFonts w:hint="eastAsia" w:ascii="宋体" w:hAnsi="宋体" w:eastAsia="宋体" w:cs="宋体"/>
          <w:snapToGrid/>
          <w:color w:val="auto"/>
          <w:kern w:val="0"/>
          <w:sz w:val="21"/>
          <w:szCs w:val="21"/>
          <w:lang w:val="en-US" w:eastAsia="zh-CN"/>
        </w:rPr>
        <w:t>②配置说明：操作系统：windows；CPU:16核（实际配置16核）；内存：32G（实际配置32G）；硬盘:1T（实际配置每台1T）。</w:t>
      </w:r>
    </w:p>
    <w:p w14:paraId="6E4650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p>
    <w:p w14:paraId="7E7ADA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七、项目技术服务需求</w:t>
      </w:r>
    </w:p>
    <w:p w14:paraId="57CD82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涉水收费平台集政府监管、企业营运、公众用水及缴费等业务服务，作为综合民生服务性平台系统，平台的稳定性、安全性、实时性、响应速度直接影响各方的使用体验和效果，尤其是全市各征收点，对平台系统的并发要求、速度有着极高的要求，一旦出现性能、网络、数据异常等问题，将直接导致征收点营业厅无法正常完成抄表数据、缴费数据、票据打印等数据的输入输出，从而严重影响现场排队缴费用户的情绪。为有效支撑全市33镇街，近150万用水户查询缴费、近2300个平台使用人员、目前约222个使用系统网点日常良性有序使用“涉水收费平台”，中标人需要在东莞市设置专职办公场所并成立专职的运维服务项目组，保障服务高效和质量。</w:t>
      </w:r>
    </w:p>
    <w:p w14:paraId="666E63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（一）系统维护服务</w:t>
      </w:r>
    </w:p>
    <w:p w14:paraId="7799D3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中标人须为本项目设置1位专职运行维护项目经理，确保运行维护项目按计划有序开展，实现项目预定目标。日常管理工作内容如下：</w:t>
      </w:r>
    </w:p>
    <w:p w14:paraId="5A9169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（1）项目经理针对运维团队制的系统运维应急方案进行审核；</w:t>
      </w:r>
    </w:p>
    <w:p w14:paraId="4E6F6A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（2）制定运维流程管理规范、质量管理规范等，</w:t>
      </w:r>
    </w:p>
    <w:p w14:paraId="12543B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（3）编写定期服务情况报告和有关问题总结；</w:t>
      </w:r>
    </w:p>
    <w:p w14:paraId="79065E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（4）定期召集和组织干系人有关服务问题的总结或分析会议；</w:t>
      </w:r>
    </w:p>
    <w:p w14:paraId="07CBA1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（5）系统监测与维护服务。提供运行监测、系统软件维护、统故障检测及排除相关服务；</w:t>
      </w:r>
    </w:p>
    <w:p w14:paraId="1F1356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（6）日常业务功能应用服务。每周5×8小时，各片区技术服务工程师对该片区内用户提出的业务应用功能问题负责处理、跟踪和解决；</w:t>
      </w:r>
    </w:p>
    <w:p w14:paraId="704036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（7）数据接口检查服务。按数据接口传输频率（每天1次），检查、粤海常平、清溪数据传送情况。每日核对传送数据的准确性，对异常情况与粤海常平、清溪进行分析确认原因并处理；</w:t>
      </w:r>
    </w:p>
    <w:p w14:paraId="3E2C1F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（8）提供服务日志资料管理支撑服务。如服务过程中日志资料输入系统、提供会议纪要、月度报告等；</w:t>
      </w:r>
    </w:p>
    <w:p w14:paraId="1BD8FB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（9）每天对数据库的运行状态、日志文件、备份情况、数据库空间使用情况、系统资源使用情况进行检查，备库的同步状态，发现并解决问题；</w:t>
      </w:r>
    </w:p>
    <w:p w14:paraId="268F39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（10）每周对数据库对象的空间扩展情况、数据的增长情况进行监控、对数据库做健康检查、对数据库对象的状态做检查；</w:t>
      </w:r>
    </w:p>
    <w:p w14:paraId="6728F4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（11）每月对表和索引等进行分析、检查表空间碎片、寻找数据库性能调整的机会、进行数据库性能调整、提出下一步空间管理计划；</w:t>
      </w:r>
    </w:p>
    <w:p w14:paraId="569D5C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（12）对数据库操作系统内核升级服务；</w:t>
      </w:r>
    </w:p>
    <w:p w14:paraId="1FC0B4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（13）每周7</w:t>
      </w:r>
      <w:r>
        <w:rPr>
          <w:rFonts w:hint="eastAsia" w:ascii="宋体" w:hAnsi="宋体" w:eastAsia="宋体" w:cs="宋体"/>
          <w:i w:val="0"/>
          <w:iCs w:val="0"/>
          <w:caps w:val="0"/>
          <w:snapToGrid/>
          <w:color w:val="auto"/>
          <w:spacing w:val="4"/>
          <w:kern w:val="0"/>
          <w:sz w:val="21"/>
          <w:szCs w:val="21"/>
          <w:shd w:val="clear" w:color="auto" w:fill="FFFFFF"/>
          <w:lang w:val="en-US" w:eastAsia="zh-CN"/>
        </w:rPr>
        <w:t>×</w:t>
      </w:r>
      <w:r>
        <w:rPr>
          <w:rFonts w:hint="eastAsia" w:ascii="宋体" w:hAnsi="宋体" w:eastAsia="宋体" w:cs="宋体"/>
          <w:snapToGrid/>
          <w:color w:val="auto"/>
          <w:kern w:val="0"/>
          <w:sz w:val="21"/>
          <w:szCs w:val="21"/>
          <w:lang w:val="en-US" w:eastAsia="zh-CN"/>
        </w:rPr>
        <w:t>24小时负责随时接听电话，保持电话通畅，解答用户提出的有关“涉水收费平台”相关问题（系统功能使用、数据异常、政策文件要求等方面）。对于热线电话无法解答和处理的问题，填写《服务工单》，交项目经理审核后，根据问题性质转发《服务工单》给相应片区远程负责人继续处理，直至问题圆满解决。</w:t>
      </w:r>
    </w:p>
    <w:p w14:paraId="455BF5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（14）针对政策性文件要求的内容进行系统方面的改进和完善；</w:t>
      </w:r>
    </w:p>
    <w:p w14:paraId="3DA8CF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（15）适应应用的变更，针对系统部分功能模块的改进和完善。</w:t>
      </w:r>
    </w:p>
    <w:p w14:paraId="34CD3F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（二）应急管理及安全保障支撑服务</w:t>
      </w:r>
    </w:p>
    <w:p w14:paraId="4CE11E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1、预防和应急服务工作内容：</w:t>
      </w:r>
    </w:p>
    <w:p w14:paraId="686D1D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开展预防性检测服务、宽带网络服务监测、日常紧急情况处理，以及周末和节假日安排运维人员及技术人员值班，确保出现紧急情况，立即进行远程或增派人员到现场进行处理。</w:t>
      </w:r>
    </w:p>
    <w:p w14:paraId="4548E0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2、安全保障支撑服务工作内容：</w:t>
      </w:r>
    </w:p>
    <w:p w14:paraId="7FE3FF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（1）提供安装操作系统的杀毒软件、EDR软件服务；</w:t>
      </w:r>
    </w:p>
    <w:p w14:paraId="166AB9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（2）根据粤盾要求修改子系统的密码规则；</w:t>
      </w:r>
    </w:p>
    <w:p w14:paraId="26312C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（3）提供对所有的tomcat，nginx，redis进行多次升级和一次加固处理,包括（18个tomcat，5个nginx，2个redis）；</w:t>
      </w:r>
    </w:p>
    <w:p w14:paraId="2EEEFE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（4）提供一年内持续升级操作系统安全漏洞服务；</w:t>
      </w:r>
    </w:p>
    <w:p w14:paraId="6906E89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（5）持续更新系统依赖的第三方类库升级和测试，6个子系统，更新类库导致修改程序；</w:t>
      </w:r>
    </w:p>
    <w:p w14:paraId="4A2980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（6）提供安全意识，安全管理，安全技术培训和考试(培训和考试)；</w:t>
      </w:r>
    </w:p>
    <w:p w14:paraId="382176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（7）提供安全会议2个工作日服务；</w:t>
      </w:r>
    </w:p>
    <w:p w14:paraId="71B05C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（8）为莞盾，粤盾等安全行动保驾护航，提供莞盾，粤盾，二大，五一，国庆等节假日开展安全值班保障服务，同时针对出现系统问题进行及时处理，保障系统安全稳定运行。</w:t>
      </w:r>
    </w:p>
    <w:p w14:paraId="7766F4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（三）网点上门现场服务</w:t>
      </w:r>
    </w:p>
    <w:p w14:paraId="686FDF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使用网点现场服务包含：现场巡检、现场技术支持共两种服务类型。其中现场技术支持是指远程方式或现场巡检过程中无法排除相关故障时，由项目经理另外指派相应技术服务人员到使用网点现场进一步处理排除故障。</w:t>
      </w:r>
    </w:p>
    <w:p w14:paraId="0B0D18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1、巡检主要内容</w:t>
      </w:r>
    </w:p>
    <w:p w14:paraId="782736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前台收费检查：系统进入前台收费界面速度情况，同时查看相关联的顾客显示器显示情况；前台收费界面弹出的票据信息对比纸质票据信息；前台收费界面自带用户信息资料速度（用水记录、应交金额等）；</w:t>
      </w:r>
    </w:p>
    <w:p w14:paraId="7DC5FD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（2）票据打印检查：票据打印票据位置；打印机票据打印速度；打印机票据参数设置、打印票据尺寸设置；</w:t>
      </w:r>
    </w:p>
    <w:p w14:paraId="4587A8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（3）抄表数据检查：手动录入、Excel文件抄表数据情况（手动录入弹出信息速度、Excel文件格式）；不同类型抄表机上传下载抄表数据的速度；</w:t>
      </w:r>
    </w:p>
    <w:p w14:paraId="2B8DD1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（4）报表数据检查：常用报表（用水欠费汇总表、收费统计日报表、每日收费明细表、污水费已收汇总表、垃圾费已收汇总表等）查询速度及查询数据结果检查；</w:t>
      </w:r>
    </w:p>
    <w:p w14:paraId="53F0E1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（5）报表打印检查：日常打印报表位置；打印报表JAVA设置检查，及打印报表打印机的设置及连接电脑设置情况；</w:t>
      </w:r>
    </w:p>
    <w:p w14:paraId="192603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（6）登录账号检查：证书登录情况，检查不同的移动终端登录是否有问题；</w:t>
      </w:r>
    </w:p>
    <w:p w14:paraId="3E27A7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（7）网络应用情况检查：专线光纤盒指示灯亮灯情况；检测网络速度情况；双口路由器或双网卡接口稳定性检查；</w:t>
      </w:r>
    </w:p>
    <w:p w14:paraId="43316D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（8）自备水源用水数据检查：自备水源催缴通知单打印情况，每月数据录入及佐证材料上传情况，新增自备水源企业资料及企业关联水表信息建立情况。</w:t>
      </w:r>
    </w:p>
    <w:p w14:paraId="5D544C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（9）垃圾处理费类型数据检查：垃圾费类型筛选是否异常，检查无用水产生垃圾费数据是否异常。</w:t>
      </w:r>
    </w:p>
    <w:p w14:paraId="55526B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2、现场技术服务</w:t>
      </w:r>
    </w:p>
    <w:p w14:paraId="7621FF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2.1、网点配套设施故障处理</w:t>
      </w:r>
    </w:p>
    <w:p w14:paraId="7ED8DB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（1）电脑：</w:t>
      </w:r>
      <w:r>
        <w:rPr>
          <w:rFonts w:hint="eastAsia" w:ascii="宋体" w:hAnsi="宋体" w:eastAsia="宋体" w:cs="宋体"/>
          <w:snapToGrid/>
          <w:color w:val="auto"/>
          <w:kern w:val="0"/>
          <w:sz w:val="21"/>
          <w:szCs w:val="21"/>
          <w:lang w:val="en-US" w:eastAsia="zh-CN"/>
        </w:rPr>
        <w:t>收费界面卡顿；系统报表或单据预览卡死；浏览器故障；拉卡机错位；新换电脑后系统重新安装调试等；</w:t>
      </w:r>
    </w:p>
    <w:p w14:paraId="71662B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（2）打印机：</w:t>
      </w:r>
      <w:r>
        <w:rPr>
          <w:rFonts w:hint="eastAsia" w:ascii="宋体" w:hAnsi="宋体" w:eastAsia="宋体" w:cs="宋体"/>
          <w:snapToGrid/>
          <w:color w:val="auto"/>
          <w:kern w:val="0"/>
          <w:sz w:val="21"/>
          <w:szCs w:val="21"/>
          <w:lang w:val="en-US" w:eastAsia="zh-CN"/>
        </w:rPr>
        <w:t>打印票据时跳票故障；批量打印故障；更换打印机后无法正常打印；打印机驱动程序故障；打印机设置故障；打印结果为空白；打印串票故障；套打时票据错位；无法识别打印机；卡纸导致票据作废及票据号重新调整等；</w:t>
      </w:r>
    </w:p>
    <w:p w14:paraId="7705BE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（3）抄表机：</w:t>
      </w:r>
      <w:r>
        <w:rPr>
          <w:rFonts w:hint="eastAsia" w:ascii="宋体" w:hAnsi="宋体" w:eastAsia="宋体" w:cs="宋体"/>
          <w:snapToGrid/>
          <w:color w:val="auto"/>
          <w:kern w:val="0"/>
          <w:sz w:val="21"/>
          <w:szCs w:val="21"/>
          <w:lang w:val="en-US" w:eastAsia="zh-CN"/>
        </w:rPr>
        <w:t>无法初始化抄表机数据；加载JAVA无响应；上传用水数据时，抄表日期选择错误；抄表机通讯程序打不开；抄表机无法导入数据进系统；抄表机无法下载数据；抄表机上传数据中途死机，无法弹出成功上传画面等；</w:t>
      </w:r>
    </w:p>
    <w:p w14:paraId="5B4993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（4）网络数据专线：</w:t>
      </w:r>
      <w:r>
        <w:rPr>
          <w:rFonts w:hint="eastAsia" w:ascii="宋体" w:hAnsi="宋体" w:eastAsia="宋体" w:cs="宋体"/>
          <w:snapToGrid/>
          <w:color w:val="auto"/>
          <w:kern w:val="0"/>
          <w:sz w:val="21"/>
          <w:szCs w:val="21"/>
          <w:lang w:val="en-US" w:eastAsia="zh-CN"/>
        </w:rPr>
        <w:t>使用网点收费、打票及查询数据网络卡顿、用户网络线路搬迁调试等；</w:t>
      </w:r>
    </w:p>
    <w:p w14:paraId="5CC4D5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（5）顾客显示屏：</w:t>
      </w:r>
      <w:r>
        <w:rPr>
          <w:rFonts w:hint="eastAsia" w:ascii="宋体" w:hAnsi="宋体" w:eastAsia="宋体" w:cs="宋体"/>
          <w:snapToGrid/>
          <w:color w:val="auto"/>
          <w:kern w:val="0"/>
          <w:sz w:val="21"/>
          <w:szCs w:val="21"/>
          <w:lang w:val="en-US" w:eastAsia="zh-CN"/>
        </w:rPr>
        <w:t>顾客显示屏黑屏、显示内容需要进行变更等</w:t>
      </w:r>
    </w:p>
    <w:p w14:paraId="36C39D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（6）读写卡机：</w:t>
      </w:r>
      <w:r>
        <w:rPr>
          <w:rFonts w:hint="eastAsia" w:ascii="宋体" w:hAnsi="宋体" w:eastAsia="宋体" w:cs="宋体"/>
          <w:snapToGrid/>
          <w:color w:val="auto"/>
          <w:kern w:val="0"/>
          <w:sz w:val="21"/>
          <w:szCs w:val="21"/>
          <w:lang w:val="en-US" w:eastAsia="zh-CN"/>
        </w:rPr>
        <w:t>读写卡机无法连接电脑、读写水表编号跳号等</w:t>
      </w:r>
    </w:p>
    <w:p w14:paraId="5BA500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2.2、网点系统插件安装及功能培训服务</w:t>
      </w:r>
    </w:p>
    <w:p w14:paraId="2397E3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（1）电子票子红冲蓝补、增值税导入票据打印等，现场进行培训指导工作。</w:t>
      </w:r>
    </w:p>
    <w:p w14:paraId="4A3973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（2）非税电子票：现场进行非税电子票安装财政票据客户端综合管理组件，以及领票开票流程等的相关培训。</w:t>
      </w:r>
    </w:p>
    <w:p w14:paraId="0459F7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（3）村级环卫所的新增：协助村环卫所的系统安装、网络测试、操作培训、后期故障处理工作等。</w:t>
      </w:r>
    </w:p>
    <w:p w14:paraId="421F49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2.3、东莞市城市综合管理局各镇街分局网点服务</w:t>
      </w:r>
    </w:p>
    <w:p w14:paraId="03DEC8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根据东城综（2022）55号文件要求，原由东莞市财政局各镇街分局开具的《非税收入缴款通知书》和核实的票据工作，改由东莞市城市综合管理局各镇街分局负责，为了确保按文件要求顺利执行，协助东莞市城市综合管理局各镇街分局处理相关数据和排除出现的异常问题，在每月规定的时间内完成。协助东莞市城市综合管理局各镇街分局对垃圾费类型进行批量修改，并现场核对修改数据及内容进行确认；及电话无法沟通事宜，需现场沟通确认工作。</w:t>
      </w:r>
    </w:p>
    <w:p w14:paraId="1C3DF0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2.4、东莞市生态环境分局各镇街分局网点服务</w:t>
      </w:r>
    </w:p>
    <w:p w14:paraId="5B3D08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根据《办公室便函2023131号关于进一步规范自备水源污水处理费征收工作的通知》，自备水源污水处理费的征收管理由东莞市产业促进中心调整为东莞</w:t>
      </w:r>
      <w:r>
        <w:rPr>
          <w:rFonts w:hint="eastAsia" w:ascii="宋体" w:hAnsi="宋体" w:eastAsia="宋体" w:cs="宋体"/>
          <w:b w:val="0"/>
          <w:bCs w:val="0"/>
          <w:snapToGrid/>
          <w:color w:val="auto"/>
          <w:kern w:val="0"/>
          <w:sz w:val="21"/>
          <w:szCs w:val="21"/>
          <w:lang w:val="en-US" w:eastAsia="zh-CN"/>
        </w:rPr>
        <w:t>市生态环境分局各镇街分局</w:t>
      </w:r>
      <w:r>
        <w:rPr>
          <w:rFonts w:hint="eastAsia" w:ascii="宋体" w:hAnsi="宋体" w:eastAsia="宋体" w:cs="宋体"/>
          <w:snapToGrid/>
          <w:color w:val="auto"/>
          <w:kern w:val="0"/>
          <w:sz w:val="21"/>
          <w:szCs w:val="21"/>
          <w:lang w:val="en-US" w:eastAsia="zh-CN"/>
        </w:rPr>
        <w:t>为执收部门负责，同时新开发了流程及功能，增加现场支撑服务；东莞</w:t>
      </w:r>
      <w:r>
        <w:rPr>
          <w:rFonts w:hint="eastAsia" w:ascii="宋体" w:hAnsi="宋体" w:eastAsia="宋体" w:cs="宋体"/>
          <w:b w:val="0"/>
          <w:bCs w:val="0"/>
          <w:snapToGrid/>
          <w:color w:val="auto"/>
          <w:kern w:val="0"/>
          <w:sz w:val="21"/>
          <w:szCs w:val="21"/>
          <w:lang w:val="en-US" w:eastAsia="zh-CN"/>
        </w:rPr>
        <w:t>市生态环境分局各镇街分局</w:t>
      </w:r>
      <w:r>
        <w:rPr>
          <w:rFonts w:hint="eastAsia" w:ascii="宋体" w:hAnsi="宋体" w:eastAsia="宋体" w:cs="宋体"/>
          <w:snapToGrid/>
          <w:color w:val="auto"/>
          <w:kern w:val="0"/>
          <w:sz w:val="21"/>
          <w:szCs w:val="21"/>
          <w:lang w:val="en-US" w:eastAsia="zh-CN"/>
        </w:rPr>
        <w:t>新增业务培训，协助异常水表录入数据情况处理；涉水平台与非税平台数据对账，对于缴费情况异常，协助核实是否存在漏收，错误登记等情况。</w:t>
      </w:r>
    </w:p>
    <w:p w14:paraId="0FB567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（四）驻点服务</w:t>
      </w:r>
    </w:p>
    <w:p w14:paraId="7431A2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★中标人须派出至少2名专职人员到东莞市环保产业促进中心现场驻点支撑服务。</w:t>
      </w:r>
    </w:p>
    <w:p w14:paraId="68EA80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根据业务需求，2025年东莞市环保产业促进中心需沿用现场驻点支撑服务。工作内容包括：</w:t>
      </w:r>
    </w:p>
    <w:p w14:paraId="7329AB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（1）协助调取、整理及录入公共供水及自备水源用水数据和情况；</w:t>
      </w:r>
    </w:p>
    <w:p w14:paraId="2143AB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（2）对东莞</w:t>
      </w:r>
      <w:r>
        <w:rPr>
          <w:rFonts w:hint="eastAsia" w:ascii="宋体" w:hAnsi="宋体" w:eastAsia="宋体" w:cs="宋体"/>
          <w:b w:val="0"/>
          <w:bCs w:val="0"/>
          <w:snapToGrid/>
          <w:color w:val="auto"/>
          <w:kern w:val="0"/>
          <w:sz w:val="21"/>
          <w:szCs w:val="21"/>
          <w:lang w:val="en-US" w:eastAsia="zh-CN"/>
        </w:rPr>
        <w:t>市生态环境分局各镇街分局</w:t>
      </w:r>
      <w:r>
        <w:rPr>
          <w:rFonts w:hint="eastAsia" w:ascii="宋体" w:hAnsi="宋体" w:eastAsia="宋体" w:cs="宋体"/>
          <w:snapToGrid/>
          <w:color w:val="auto"/>
          <w:kern w:val="0"/>
          <w:sz w:val="21"/>
          <w:szCs w:val="21"/>
          <w:lang w:val="en-US" w:eastAsia="zh-CN"/>
        </w:rPr>
        <w:t>上传抄表佐证材料进行查看，对于资料缺失或提交不完整的情况，提醒该分局完善资料再次上传；</w:t>
      </w:r>
    </w:p>
    <w:p w14:paraId="67A0CD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（3）协助东莞</w:t>
      </w:r>
      <w:r>
        <w:rPr>
          <w:rFonts w:hint="eastAsia" w:ascii="宋体" w:hAnsi="宋体" w:eastAsia="宋体" w:cs="宋体"/>
          <w:b w:val="0"/>
          <w:bCs w:val="0"/>
          <w:snapToGrid/>
          <w:color w:val="auto"/>
          <w:kern w:val="0"/>
          <w:sz w:val="21"/>
          <w:szCs w:val="21"/>
          <w:lang w:val="en-US" w:eastAsia="zh-CN"/>
        </w:rPr>
        <w:t>市生态环境分局各镇街分局</w:t>
      </w:r>
      <w:r>
        <w:rPr>
          <w:rFonts w:hint="eastAsia" w:ascii="宋体" w:hAnsi="宋体" w:eastAsia="宋体" w:cs="宋体"/>
          <w:snapToGrid/>
          <w:color w:val="auto"/>
          <w:kern w:val="0"/>
          <w:sz w:val="21"/>
          <w:szCs w:val="21"/>
          <w:lang w:val="en-US" w:eastAsia="zh-CN"/>
        </w:rPr>
        <w:t>针对有取水许可证企业进行排查，清查各镇街是否存在新增企业资料，确认是否需要进行污水处理费的征收，对水表最初底度进行核实；</w:t>
      </w:r>
    </w:p>
    <w:p w14:paraId="605493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（4）协助东莞市环保产业促进中心每月到企业对水表读数进行抽检及其他事宜沟通处理等。</w:t>
      </w:r>
    </w:p>
    <w:p w14:paraId="0DD447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★（五）业务支撑服务</w:t>
      </w:r>
    </w:p>
    <w:p w14:paraId="0B436B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根据业务需求，中标人需安排2名人员提供针对供水公司专项小组成员提供业务对账异常处理服务和业务专项培训服务。</w:t>
      </w:r>
    </w:p>
    <w:p w14:paraId="4D42C64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1、对账异常处理服务</w:t>
      </w:r>
    </w:p>
    <w:p w14:paraId="66D537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协助解决各营业网点日结、月结工作，所收款项（含水费、污水处理费、垃圾处理费、非居累计加价费）的数据复核，对于不同缴费方式（现金、实时代扣、微信支付、支付宝等）进行数据核对，做到系统数据、票据、款项三相符，对结算异常情况查出原因，协助用户处理；</w:t>
      </w:r>
    </w:p>
    <w:p w14:paraId="1F4DFF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（2）根据全市各相关单位业务需求，按特殊格式要求临时提取涉水数据；</w:t>
      </w:r>
    </w:p>
    <w:p w14:paraId="4FD9F1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（3）收费与银行入账不符、各渠道手续费结算问题等处理。</w:t>
      </w:r>
    </w:p>
    <w:p w14:paraId="4BAE77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2、对账异常处理培训服务</w:t>
      </w:r>
    </w:p>
    <w:p w14:paraId="7F3834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（1）对基础资料管理（分区管理、表册管理、抄表员关联水表册、水表口径管理等）基础资料的设置操作；</w:t>
      </w:r>
    </w:p>
    <w:p w14:paraId="536971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（2）对水表管理（水表管理、水表档案建档、用水性质变更、综合业务变更等）水表信息的设置操作；</w:t>
      </w:r>
    </w:p>
    <w:p w14:paraId="19C509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（3）对用水管理（用水数据录入、用水检查、非居民累计加价管理、污水费入库管理等）用水记录管理操作；</w:t>
      </w:r>
    </w:p>
    <w:p w14:paraId="450B36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（4）票据管理（电子票据存档、增值税票据、非税票据等）票据开具及冲红重开等管理操作；</w:t>
      </w:r>
    </w:p>
    <w:p w14:paraId="0C3C04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（5）收费管理（前台收费、冲红处理、蓝补处理等）；</w:t>
      </w:r>
    </w:p>
    <w:p w14:paraId="36635E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（6）短信平台（短信模板管理、自定义短信模板、短信明细等）短信的编辑查询及发送推送操作；</w:t>
      </w:r>
    </w:p>
    <w:p w14:paraId="376597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（7）实时代扣（实时代扣银行协议、实时银行代扣、实施代扣明细、实时代扣发票打印等）对实时代扣用户签订协议及进行代扣操作；</w:t>
      </w:r>
    </w:p>
    <w:p w14:paraId="269DC0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（8）报表管理各类报表查询及导出操作。</w:t>
      </w:r>
    </w:p>
    <w:p w14:paraId="7FA7C8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（六）技术支撑服务</w:t>
      </w:r>
    </w:p>
    <w:p w14:paraId="51198FB7">
      <w:pPr>
        <w:ind w:firstLine="420" w:firstLineChars="200"/>
        <w:rPr>
          <w:rFonts w:hint="eastAsia"/>
          <w:color w:val="auto"/>
        </w:rPr>
      </w:pPr>
      <w:r>
        <w:rPr>
          <w:rFonts w:hint="eastAsia" w:ascii="宋体" w:hAnsi="宋体" w:eastAsia="宋体" w:cs="宋体"/>
          <w:snapToGrid/>
          <w:color w:val="auto"/>
          <w:kern w:val="0"/>
          <w:sz w:val="21"/>
          <w:szCs w:val="21"/>
          <w:lang w:val="en-US" w:eastAsia="zh-CN"/>
        </w:rPr>
        <w:t>根据技术需求，中标人需安排2名人员提供针对供水公司专项小组成员提供技术异常处理服务和技术专项培训服务。</w:t>
      </w:r>
    </w:p>
    <w:p w14:paraId="784148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1、系统技术处理服务</w:t>
      </w:r>
    </w:p>
    <w:p w14:paraId="1DB575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（1）收费与银行入账不符、各渠道手续费结算问题等；</w:t>
      </w:r>
    </w:p>
    <w:p w14:paraId="6E072C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（2）批量更新用户档案基本信息（用户联系电话、用户地址、用水性质、垃圾费类型等），更新后验证结果；</w:t>
      </w:r>
    </w:p>
    <w:p w14:paraId="71A013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（3）批量更新用户抄表时间、所属年月，更新后验证计算数据结果；</w:t>
      </w:r>
    </w:p>
    <w:p w14:paraId="16D5E8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（4）对确认未处于出盘状态及线上支付状态的欠费数据，进行解锁，并验证结果；</w:t>
      </w:r>
    </w:p>
    <w:p w14:paraId="384481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（5）批量更新用户档案基本信息（用户联系电话、用户地址、用水性质、垃圾费类型等），更新后验证结果；</w:t>
      </w:r>
    </w:p>
    <w:p w14:paraId="1AA769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（6）批量更新用户抄表时间、所属年月，更新后验证计算数据结果；</w:t>
      </w:r>
    </w:p>
    <w:p w14:paraId="2B6968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（7）对确认未处于出盘状态及线上支付状态的欠费数据，进行解锁，并验证结果。</w:t>
      </w:r>
    </w:p>
    <w:p w14:paraId="0C6F8A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2、系统技术处理培训服务</w:t>
      </w:r>
    </w:p>
    <w:p w14:paraId="37A69D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（1）系统安装设置、非税插件安装设置、打印插件安装、安装测试等进行培训；</w:t>
      </w:r>
    </w:p>
    <w:p w14:paraId="6005D2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（2）对于日常出现系统登录、操作异常、数据锁定、月结异常、票据打印异常及系统需求了解等问题处理培训。</w:t>
      </w:r>
    </w:p>
    <w:p w14:paraId="3E8791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（七）用户电子证书服务需求</w:t>
      </w:r>
    </w:p>
    <w:p w14:paraId="574CFA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由于涉水收费平台用户分布在全市33镇街，应针对电子证书USBKEY提供登录异常查因、代发、更换、升级等方面的服务。</w:t>
      </w:r>
    </w:p>
    <w:p w14:paraId="6BA311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（八）系统等级保护测评及备案</w:t>
      </w:r>
    </w:p>
    <w:p w14:paraId="456538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rPr>
      </w:pPr>
      <w:r>
        <w:rPr>
          <w:rFonts w:hint="eastAsia" w:ascii="宋体" w:hAnsi="宋体" w:eastAsia="宋体" w:cs="宋体"/>
          <w:snapToGrid/>
          <w:color w:val="auto"/>
          <w:kern w:val="0"/>
          <w:sz w:val="21"/>
          <w:szCs w:val="21"/>
          <w:lang w:val="en-US" w:eastAsia="zh-CN"/>
        </w:rPr>
        <w:t>从物理安全、网络安全、主机安全、应用安全、数据安全与备份恢复、安全管理制度、安全管理机构、人员安全管理、系统建设管理、系统运维管理等方面，对系统进行二级等保标准的测评并完成网监备案。系统平台已于2022年完成二级等保测评和网络备案，按二级等保要求在本项目中需重新完成系统等保测评和备案，运维单位需为本项提供必要的协助。</w:t>
      </w:r>
    </w:p>
    <w:p w14:paraId="41CBDA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color w:val="auto"/>
          <w:sz w:val="21"/>
          <w:szCs w:val="21"/>
          <w:highlight w:val="none"/>
          <w:lang w:val="en-US" w:eastAsia="zh-CN"/>
        </w:rPr>
      </w:pPr>
    </w:p>
    <w:p w14:paraId="295806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bCs/>
          <w:snapToGrid/>
          <w:color w:val="auto"/>
          <w:kern w:val="0"/>
          <w:sz w:val="21"/>
          <w:szCs w:val="21"/>
          <w:lang w:val="en-US" w:eastAsia="zh-CN"/>
        </w:rPr>
        <w:t>、项目要求</w:t>
      </w:r>
    </w:p>
    <w:p w14:paraId="1E30F0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（一）总体要求</w:t>
      </w:r>
    </w:p>
    <w:p w14:paraId="6C855B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在技术支持与服务中，中标人应始终坚持“用户第一，优质、可靠、适用”的服务原则,提供专业化、标准化、多元化的服务为宗旨，以最快的速度相应用户的需求，处理用户系统中出现的各种问题和故障，保证用户系统的正常运行，同时为用户提供完善周到的日常技术支持服务。</w:t>
      </w:r>
    </w:p>
    <w:p w14:paraId="25ECCC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1、7天×24小时热线咨询服务，接听电话态度亲切，语言温和，回答用户问题时专业自信，不得相互推诿责任；</w:t>
      </w:r>
    </w:p>
    <w:p w14:paraId="6698BD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2、服务过程中：礼貌、热情、周到、细致、耐心听取用户意见并作好记录；</w:t>
      </w:r>
    </w:p>
    <w:p w14:paraId="10C423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3、不指责用户的使用方法，对于用户的错误操作要委婉指出；站在用户的立场上考虑问题，在服务政策允许的范围内为用户提供最大的使用便利；</w:t>
      </w:r>
    </w:p>
    <w:p w14:paraId="04FE6A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4、充分了解用户的需求，并作出合理承诺；服务时要切实解决用户遇到的问题，尽量不影响用户使用系统；服务后要适时检验是否真正完全解决了用户的问题；</w:t>
      </w:r>
    </w:p>
    <w:p w14:paraId="5F49CD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5、接受招标人的日常监督。</w:t>
      </w:r>
    </w:p>
    <w:p w14:paraId="78D949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（二）人员能力要求</w:t>
      </w:r>
    </w:p>
    <w:p w14:paraId="29ABAB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涉水收费平台”系统运行维护服务项目，因涉及系统功能、数据库、改进性维护、网络故障、硬件异常等，技术团队成员应具备多年相关运维经验、服务能力及综合素质，团队负责人需具备项目综合管理能力，团队技术人员需具备软件开发及网络问题处理等相关技能。</w:t>
      </w:r>
    </w:p>
    <w:p w14:paraId="1D010E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（三）技术服务方式</w:t>
      </w:r>
    </w:p>
    <w:p w14:paraId="26C4C6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提供包括但不限于以下服务方式：</w:t>
      </w:r>
    </w:p>
    <w:p w14:paraId="10B04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1、电话、传真及网上（QQ、微信等）</w:t>
      </w:r>
    </w:p>
    <w:p w14:paraId="3F7B37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各级用户可以通过电话、传真以及网络等方式提出问题，寻求技术支持。</w:t>
      </w:r>
    </w:p>
    <w:p w14:paraId="27E42E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2、现场支持服务</w:t>
      </w:r>
    </w:p>
    <w:p w14:paraId="097EC1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对于经过审核后确定需要现场解决的问题，中标人须安排本地服务人员到现场处理，确保问题及时准备的解决。</w:t>
      </w:r>
    </w:p>
    <w:p w14:paraId="230F09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3、远程网络支持：</w:t>
      </w:r>
    </w:p>
    <w:p w14:paraId="789ADA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提供更为快捷的远程网络支持服务，在用户允许的情况下，技术服务人员可通过远程网络直接连接客户应用系统，解决问题，排除故障。</w:t>
      </w:r>
    </w:p>
    <w:p w14:paraId="57236C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4、在线知识库查询：</w:t>
      </w:r>
    </w:p>
    <w:p w14:paraId="0F30E5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用户随时可登录知识库中查询并获得自己所需的技术资料（如问题解决方案、开发和应用技巧等）。</w:t>
      </w:r>
    </w:p>
    <w:p w14:paraId="2C489A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5、用户论坛服务：</w:t>
      </w:r>
    </w:p>
    <w:p w14:paraId="046838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用户可登录用户论坛，与其他用户、技术支持人员交流我方软件应用及使用技巧等方面的问题。</w:t>
      </w:r>
    </w:p>
    <w:p w14:paraId="384F8D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（四）响应时间要求</w:t>
      </w:r>
    </w:p>
    <w:p w14:paraId="5EE7CC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中标人技术服务应按下列故障级别对应的时间响应。</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431"/>
        <w:gridCol w:w="3431"/>
        <w:gridCol w:w="3432"/>
      </w:tblGrid>
      <w:tr w14:paraId="7392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788EE21F">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故障级别</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0F24D928">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响应时间</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7E707D57">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故障解决时间</w:t>
            </w:r>
          </w:p>
        </w:tc>
      </w:tr>
      <w:tr w14:paraId="3413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43459F5">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I级：属于紧急问题；其具体现象为：系统崩溃导致业务停止、数据丢失。</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0FD4162D">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15分钟内响应，2小时内提交故障处理方案</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25D1EFA">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2小时以内</w:t>
            </w:r>
          </w:p>
        </w:tc>
      </w:tr>
      <w:tr w14:paraId="3ECF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01CEC261">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II级：属于严重问题；其具体现象为：出现部分功能失效、系统性能下降但能正常运行，不影响正常业务运作。</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39B30A9">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15分钟内响应，4小时内提交故障处理方案</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7E01C12D">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8小时以内</w:t>
            </w:r>
          </w:p>
        </w:tc>
      </w:tr>
      <w:tr w14:paraId="0C29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049C888">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III级：属于较严重问题；其具体现象为：出现系统报错或警告，但业务系统能继续运行且性能不受影响。</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50307CF">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15分钟内响应，8小时内提交故障处理方案</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C81DEFA">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12小时以内</w:t>
            </w:r>
          </w:p>
        </w:tc>
      </w:tr>
      <w:tr w14:paraId="17D9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903CA60">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IV级：属于普通问题；其具体现象为：系统技术功能、安装或配置咨询，或其他显然不影响业务的预约服务。</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70ABB40A">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15分钟内响应，12小时内提交故障处理方案</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6521822">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right="0"/>
              <w:jc w:val="center"/>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3天内</w:t>
            </w:r>
          </w:p>
        </w:tc>
      </w:tr>
    </w:tbl>
    <w:p w14:paraId="5FCD28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技术支持人员在解决故障时，应最大限度保护好数据，做好故障恢复的文档，力争恢复到故障点前的业务状态。对于“系统瘫痪，业务系统不能运转”的故障级别，如果不能于8小时内解决故障，中标人需在16小时内提出应急方案，确保业务系统的运行。</w:t>
      </w:r>
    </w:p>
    <w:p w14:paraId="4EE6B7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故障解决后24小时内，提交故障处理报告。说明故障种类、故障原因、故障解决中使用的方法及故障损失等情况。</w:t>
      </w:r>
    </w:p>
    <w:p w14:paraId="6ECB4A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（五）应急处理要求</w:t>
      </w:r>
    </w:p>
    <w:p w14:paraId="670A73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1、系统在运行中出现系统瘫痪或服务中断，导致系统的基本功能不能实现或全面退化的情况，维护人员应于30分钟内响应，乘坐当地最快的交通工具抵达现场。到达现场后2小时内解决。</w:t>
      </w:r>
    </w:p>
    <w:p w14:paraId="0C04FD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2、针对用户单位，因大面积故障或其他特殊原因导致不能及时完成任务时，中标人应给予全力支持，紧急调用应急人员赶赴现场协助处理。</w:t>
      </w:r>
    </w:p>
    <w:p w14:paraId="3E1F10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3、通过日常维护工作分析常见的、关键的薄弱环节，搭建模拟测试环境找出应急解决方案，指导用户操作人员及驻点工程师解决问题。</w:t>
      </w:r>
    </w:p>
    <w:p w14:paraId="459463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4、如遇到特殊的需要，如重要的大型会议，重要的节假日，应该适当提供现场职守服务，以保障在会议期间或节假日期间满足特殊情况下的维护需要。</w:t>
      </w:r>
    </w:p>
    <w:p w14:paraId="16E55C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5、紧急支持服务：保证突发事件发生时，能够迅速召集相关技术人员，制定应急技术方案。接到用户系统故障报告电话时，首先询问故障现象，根据故障情况判断是否需赶赴现场，对于一般性技术故障，可以利用电话、远程指导用户自行解决。在用户无法解决或请求现场技术支持的情况下，按技术服务的责任分工，统一指挥，协调行动，及时赶赴现场，直至故障圆满解决。派往现场的人员，应具有丰富的技术维护经验，确保故障能迅速解决。</w:t>
      </w:r>
    </w:p>
    <w:p w14:paraId="30D33E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（六）服务日志档案要求</w:t>
      </w:r>
    </w:p>
    <w:p w14:paraId="2177A7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依据涉水收费平台运行维护服务需求特点，并结合同类行业现有成熟模式，对相关的服务过程作好维护日志登记，并提交（月、年）服务总结报告。</w:t>
      </w:r>
    </w:p>
    <w:p w14:paraId="5889FD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val="en-US" w:eastAsia="zh-CN"/>
        </w:rPr>
        <w:t>（七）网络安全与数据保密</w:t>
      </w:r>
    </w:p>
    <w:p w14:paraId="6A11A7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1、网络安全要求</w:t>
      </w:r>
    </w:p>
    <w:p w14:paraId="775970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（1）中标人需保障涉水收费平台全市各使用系统网点的网络安全和系统运行顺畅。</w:t>
      </w:r>
    </w:p>
    <w:p w14:paraId="77E634D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（2）招标人如对各使用系统网点有线路迁移需求时，中标人需在采购人规定的期限内提供必要的协助服务。</w:t>
      </w:r>
    </w:p>
    <w:p w14:paraId="64BD8E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（3）中标人必须于合同签订后，需协助招标人完成线路必要的调试工作（如涉及更换线路供应商）。</w:t>
      </w:r>
    </w:p>
    <w:p w14:paraId="76B9A4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（4）中标人在维护期内必须协助配合全市网络安全的整体检查、整改等相关任务。</w:t>
      </w:r>
    </w:p>
    <w:p w14:paraId="1707D5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2、数据保密</w:t>
      </w:r>
    </w:p>
    <w:p w14:paraId="70625B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（1）中标人须签订数据保密协议，并严格遵守；</w:t>
      </w:r>
    </w:p>
    <w:p w14:paraId="02429B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（2）配合执行其他有关政策性要求的数据保密要求。</w:t>
      </w:r>
    </w:p>
    <w:p w14:paraId="12974B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（八）其他方面要求</w:t>
      </w:r>
    </w:p>
    <w:p w14:paraId="449994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1、软件系统故障诊断：</w:t>
      </w:r>
      <w:r>
        <w:rPr>
          <w:rFonts w:hint="eastAsia" w:ascii="宋体" w:hAnsi="宋体" w:eastAsia="宋体" w:cs="宋体"/>
          <w:snapToGrid/>
          <w:color w:val="auto"/>
          <w:kern w:val="0"/>
          <w:sz w:val="21"/>
          <w:szCs w:val="21"/>
          <w:lang w:val="en-US" w:eastAsia="zh-CN"/>
        </w:rPr>
        <w:t>制定系统维护计划，及时更新操作系统及应用系统补丁，查看日志，分析系统运行状态，及时发现问题及潜在威胁，总结问题产生的原因及预防方法，防患于未然。</w:t>
      </w:r>
    </w:p>
    <w:p w14:paraId="73B834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2、软件BUG问题修改：</w:t>
      </w:r>
      <w:r>
        <w:rPr>
          <w:rFonts w:hint="eastAsia" w:ascii="宋体" w:hAnsi="宋体" w:eastAsia="宋体" w:cs="宋体"/>
          <w:snapToGrid/>
          <w:color w:val="auto"/>
          <w:kern w:val="0"/>
          <w:sz w:val="21"/>
          <w:szCs w:val="21"/>
          <w:lang w:val="en-US" w:eastAsia="zh-CN"/>
        </w:rPr>
        <w:t>及时修复系统隐藏的缺陷，保障各个功能模块的正常运行。</w:t>
      </w:r>
    </w:p>
    <w:p w14:paraId="3C7403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3、系统性能检测与调优：</w:t>
      </w:r>
      <w:r>
        <w:rPr>
          <w:rFonts w:hint="eastAsia" w:ascii="宋体" w:hAnsi="宋体" w:eastAsia="宋体" w:cs="宋体"/>
          <w:snapToGrid/>
          <w:color w:val="auto"/>
          <w:kern w:val="0"/>
          <w:sz w:val="21"/>
          <w:szCs w:val="21"/>
          <w:lang w:val="en-US" w:eastAsia="zh-CN"/>
        </w:rPr>
        <w:t>对服务器和磁盘阵列等设备进行周期性的性能测试和调优服务，并提供系统性能扩充和使用建议，以便保证涉水收费平台系统运行在最佳状态。如果由于上级单位网络调整或者云服务器数据库调整等原因，中标人应给出相应的调优建议。</w:t>
      </w:r>
    </w:p>
    <w:p w14:paraId="215FD2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4、数据自动定时备份：</w:t>
      </w:r>
      <w:r>
        <w:rPr>
          <w:rFonts w:hint="eastAsia" w:ascii="宋体" w:hAnsi="宋体" w:eastAsia="宋体" w:cs="宋体"/>
          <w:snapToGrid/>
          <w:color w:val="auto"/>
          <w:kern w:val="0"/>
          <w:sz w:val="21"/>
          <w:szCs w:val="21"/>
          <w:lang w:val="en-US" w:eastAsia="zh-CN"/>
        </w:rPr>
        <w:t>将数据有规律的进行增量与完全存储备份，以便于在出现问题的时候，及时进行相应的恢复。如果备份出现错误，及时排查。及时复制备份文件到大容量磁盘进行保存。最好异地保存。及时删除过期的备份文件。</w:t>
      </w:r>
    </w:p>
    <w:p w14:paraId="6ED837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5、服务监督管理：</w:t>
      </w:r>
      <w:r>
        <w:rPr>
          <w:rFonts w:hint="eastAsia" w:ascii="宋体" w:hAnsi="宋体" w:eastAsia="宋体" w:cs="宋体"/>
          <w:snapToGrid/>
          <w:color w:val="auto"/>
          <w:kern w:val="0"/>
          <w:sz w:val="21"/>
          <w:szCs w:val="21"/>
          <w:lang w:val="en-US" w:eastAsia="zh-CN"/>
        </w:rPr>
        <w:t>如果用户对技术服务人员存在不满意或不按服务标准提供相应服务的情况，可以直接反馈到中标人相关项目负责人，中标人应另行安排更高级技术服务人员亲赴现场，以圆满解决问题。</w:t>
      </w:r>
    </w:p>
    <w:p w14:paraId="7CCC12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6、服务质量保障：</w:t>
      </w:r>
      <w:r>
        <w:rPr>
          <w:rFonts w:hint="eastAsia" w:ascii="宋体" w:hAnsi="宋体" w:eastAsia="宋体" w:cs="宋体"/>
          <w:snapToGrid/>
          <w:color w:val="auto"/>
          <w:kern w:val="0"/>
          <w:sz w:val="21"/>
          <w:szCs w:val="21"/>
          <w:lang w:val="en-US" w:eastAsia="zh-CN"/>
        </w:rPr>
        <w:t>为了清楚了解中标人维护服务的质量，改进和完善维护服务工作，需要进行维护服务质量调查工作，调查可通过信件、传真、e-mail或电话调查的方式进行。</w:t>
      </w:r>
    </w:p>
    <w:p w14:paraId="47B2A4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7、深度系统应用培训：</w:t>
      </w:r>
      <w:r>
        <w:rPr>
          <w:rFonts w:hint="eastAsia" w:ascii="宋体" w:hAnsi="宋体" w:eastAsia="宋体" w:cs="宋体"/>
          <w:snapToGrid/>
          <w:color w:val="auto"/>
          <w:kern w:val="0"/>
          <w:sz w:val="21"/>
          <w:szCs w:val="21"/>
          <w:lang w:val="en-US" w:eastAsia="zh-CN"/>
        </w:rPr>
        <w:t>成功实现技术的转移是保证系统顺利建设并长期稳定、良好运转的重要保障。中标人需能根据实际需要，组织不同类型的用户、全方位的现场培训，让用户能熟练使用系统，充分发挥系统应用能力，并拥有一定的故障分析和处理能力。</w:t>
      </w:r>
    </w:p>
    <w:p w14:paraId="5A7F90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b/>
          <w:bCs/>
          <w:snapToGrid/>
          <w:color w:val="auto"/>
          <w:kern w:val="0"/>
          <w:sz w:val="21"/>
          <w:szCs w:val="21"/>
          <w:lang w:val="en-US" w:eastAsia="zh-CN"/>
        </w:rPr>
        <w:t>8、系统参数调整服务：</w:t>
      </w:r>
      <w:r>
        <w:rPr>
          <w:rFonts w:hint="eastAsia" w:ascii="宋体" w:hAnsi="宋体" w:eastAsia="宋体" w:cs="宋体"/>
          <w:snapToGrid/>
          <w:color w:val="auto"/>
          <w:kern w:val="0"/>
          <w:sz w:val="21"/>
          <w:szCs w:val="21"/>
          <w:lang w:val="en-US" w:eastAsia="zh-CN"/>
        </w:rPr>
        <w:t>按政策文件要求调整系统平台中的相关参数，包括但不限于自来水费征收标准、污水处理费征收标准标准、垃圾处理费征收标准、用水量收费比例等。</w:t>
      </w:r>
    </w:p>
    <w:p w14:paraId="0AB09B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rPr>
      </w:pPr>
      <w:r>
        <w:rPr>
          <w:rFonts w:hint="eastAsia" w:ascii="宋体" w:hAnsi="宋体" w:eastAsia="宋体" w:cs="宋体"/>
          <w:snapToGrid/>
          <w:color w:val="auto"/>
          <w:kern w:val="0"/>
          <w:sz w:val="21"/>
          <w:szCs w:val="21"/>
          <w:lang w:val="en-US" w:eastAsia="zh-CN"/>
        </w:rPr>
        <w:t>9、满足全市各相关单位临时提供涉水数据分析服务（包含数据提取、分析、稽查、汇总、输入、发布等）。</w:t>
      </w:r>
    </w:p>
    <w:p w14:paraId="4B8699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color w:val="auto"/>
          <w:sz w:val="21"/>
          <w:szCs w:val="21"/>
          <w:highlight w:val="none"/>
          <w:lang w:val="en-US" w:eastAsia="zh-CN"/>
        </w:rPr>
      </w:pPr>
    </w:p>
    <w:p w14:paraId="2E3F94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1"/>
          <w:szCs w:val="21"/>
          <w:highlight w:val="none"/>
          <w:lang w:val="en-US" w:eastAsia="zh-CN"/>
        </w:rPr>
        <w:t>九、付款方式</w:t>
      </w:r>
    </w:p>
    <w:p w14:paraId="23E1EE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rPr>
      </w:pPr>
      <w:r>
        <w:rPr>
          <w:rFonts w:hint="eastAsia" w:ascii="宋体" w:hAnsi="宋体" w:eastAsia="宋体" w:cs="宋体"/>
          <w:snapToGrid/>
          <w:color w:val="auto"/>
          <w:kern w:val="0"/>
          <w:sz w:val="21"/>
          <w:szCs w:val="21"/>
          <w:lang w:val="en-US" w:eastAsia="zh-CN"/>
        </w:rPr>
        <w:t>合同签订后，服务费用按月支付，中标人每月5号前提交上个月的工作完成情况汇总及合法票据，招标人收到相关资料后于10个工作日内完成相关资料的核实及支付。其中电子证书USBKEY服务费用按年支付；系统等级保护测评及备案完成后一次性支付。</w:t>
      </w:r>
    </w:p>
    <w:p w14:paraId="40F441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color w:val="auto"/>
          <w:sz w:val="21"/>
          <w:szCs w:val="21"/>
          <w:highlight w:val="none"/>
          <w:lang w:val="zh-CN"/>
        </w:rPr>
      </w:pPr>
    </w:p>
    <w:p w14:paraId="2832F7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2" w:firstLineChars="200"/>
        <w:jc w:val="left"/>
        <w:textAlignment w:val="baseline"/>
        <w:rPr>
          <w:rFonts w:hint="eastAsia" w:ascii="宋体" w:hAnsi="宋体" w:eastAsia="宋体" w:cs="宋体"/>
          <w:b/>
          <w:bCs/>
          <w:color w:val="auto"/>
          <w:kern w:val="0"/>
          <w:sz w:val="21"/>
          <w:szCs w:val="21"/>
        </w:rPr>
      </w:pPr>
      <w:r>
        <w:rPr>
          <w:rFonts w:hint="eastAsia" w:ascii="宋体" w:hAnsi="宋体" w:eastAsia="宋体" w:cs="宋体"/>
          <w:b/>
          <w:bCs/>
          <w:snapToGrid/>
          <w:color w:val="auto"/>
          <w:kern w:val="0"/>
          <w:sz w:val="21"/>
          <w:szCs w:val="21"/>
          <w:lang w:val="en-US" w:eastAsia="zh-CN"/>
        </w:rPr>
        <w:t>十、项目运行保障</w:t>
      </w:r>
    </w:p>
    <w:p w14:paraId="758CCD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kern w:val="0"/>
          <w:sz w:val="21"/>
          <w:szCs w:val="21"/>
          <w:lang w:val="en-US" w:eastAsia="zh-CN"/>
        </w:rPr>
        <w:t>1、中标人针对涉水收费平台应提供项目维护保障方案，实行项目经理负责制，成立服务项目领导小组和日常维护小组，提供充足、符合要求的人力资源。</w:t>
      </w:r>
    </w:p>
    <w:p w14:paraId="2D3E94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rPr>
      </w:pPr>
      <w:r>
        <w:rPr>
          <w:rFonts w:hint="eastAsia" w:ascii="宋体" w:hAnsi="宋体" w:eastAsia="宋体" w:cs="宋体"/>
          <w:snapToGrid/>
          <w:color w:val="auto"/>
          <w:kern w:val="0"/>
          <w:sz w:val="21"/>
          <w:szCs w:val="21"/>
          <w:lang w:val="en-US" w:eastAsia="zh-CN"/>
        </w:rPr>
        <w:t>2、中标人在项目实施中，应建立多方良好有效的沟通机制，保证招标人随时掌握项目的进展情况，面对实施中需协商决策的相关问题，应通过例会、专题会、工作联系函等方式，确保项目管理问题快速、高效决策。对项目实施中的任何文件资料应存档并提交招标人，确保项目资料完整。</w:t>
      </w:r>
    </w:p>
    <w:p w14:paraId="0BD26BB5">
      <w:pPr>
        <w:keepNext w:val="0"/>
        <w:keepLines w:val="0"/>
        <w:pageBreakBefore w:val="0"/>
        <w:wordWrap/>
        <w:overflowPunct/>
        <w:topLinePunct w:val="0"/>
        <w:bidi w:val="0"/>
        <w:spacing w:line="360" w:lineRule="auto"/>
        <w:rPr>
          <w:rFonts w:ascii="宋体" w:hAnsi="宋体" w:eastAsia="宋体" w:cs="Times New Roman"/>
          <w:color w:val="auto"/>
          <w:szCs w:val="21"/>
          <w:highlight w:val="none"/>
        </w:rPr>
      </w:pPr>
    </w:p>
    <w:p w14:paraId="4221825C">
      <w:pPr>
        <w:keepNext w:val="0"/>
        <w:keepLines w:val="0"/>
        <w:pageBreakBefore/>
        <w:widowControl w:val="0"/>
        <w:kinsoku/>
        <w:wordWrap/>
        <w:overflowPunct/>
        <w:topLinePunct w:val="0"/>
        <w:autoSpaceDE/>
        <w:autoSpaceDN/>
        <w:bidi w:val="0"/>
        <w:adjustRightInd/>
        <w:snapToGrid/>
        <w:textAlignment w:val="auto"/>
        <w:rPr>
          <w:rFonts w:hint="eastAsia" w:eastAsia="宋体"/>
          <w:b/>
          <w:bCs/>
          <w:color w:val="auto"/>
          <w:lang w:val="en-US" w:eastAsia="zh-CN"/>
        </w:rPr>
      </w:pPr>
      <w:r>
        <w:rPr>
          <w:rFonts w:hint="eastAsia" w:eastAsia="宋体"/>
          <w:b/>
          <w:bCs/>
          <w:color w:val="auto"/>
          <w:lang w:val="en-US" w:eastAsia="zh-CN"/>
        </w:rPr>
        <w:t>附件1使用单位情况</w:t>
      </w:r>
    </w:p>
    <w:tbl>
      <w:tblPr>
        <w:tblStyle w:val="3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4"/>
        <w:gridCol w:w="1639"/>
        <w:gridCol w:w="7681"/>
      </w:tblGrid>
      <w:tr w14:paraId="13E7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68DA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23A2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镇街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D22D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部门名称</w:t>
            </w:r>
          </w:p>
        </w:tc>
      </w:tr>
      <w:tr w14:paraId="0C42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707A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D9FB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茶山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4D97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水务集团供水有限公司茶山分公司</w:t>
            </w:r>
          </w:p>
        </w:tc>
      </w:tr>
      <w:tr w14:paraId="59E2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5F56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5D6B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茶山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325C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东莞市财政局茶山分局</w:t>
            </w:r>
          </w:p>
        </w:tc>
      </w:tr>
      <w:tr w14:paraId="512F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E419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AB2D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茶山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23C6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东莞市茶山镇公用事业服务中心</w:t>
            </w:r>
          </w:p>
        </w:tc>
      </w:tr>
      <w:tr w14:paraId="11AB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A84C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1E1F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茶山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B39D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水务集团供水有限公司茶山分公司（政务中心）</w:t>
            </w:r>
          </w:p>
        </w:tc>
      </w:tr>
      <w:tr w14:paraId="38D2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9E68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7AA8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茶山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8D83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东莞市生态环境局茶山分局</w:t>
            </w:r>
          </w:p>
        </w:tc>
      </w:tr>
      <w:tr w14:paraId="503C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2A21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0765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F687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常平司马自来水厂</w:t>
            </w:r>
          </w:p>
        </w:tc>
      </w:tr>
      <w:tr w14:paraId="0FB9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DB79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CF1F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BA1C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九江水自来水厂</w:t>
            </w:r>
          </w:p>
        </w:tc>
      </w:tr>
      <w:tr w14:paraId="770D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D4F8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8246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2EEC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朗洲自来水厂</w:t>
            </w:r>
          </w:p>
        </w:tc>
      </w:tr>
      <w:tr w14:paraId="385E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BB30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5894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EBB6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苏坑自来水厂</w:t>
            </w:r>
          </w:p>
        </w:tc>
      </w:tr>
      <w:tr w14:paraId="5129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9A8D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B3FE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6169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金美自来水厂</w:t>
            </w:r>
          </w:p>
        </w:tc>
      </w:tr>
      <w:tr w14:paraId="2FC6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1094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D790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E136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还珠沥自来水厂</w:t>
            </w:r>
          </w:p>
        </w:tc>
      </w:tr>
      <w:tr w14:paraId="4EA5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90CC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67B1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644F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袁山贝自来水厂</w:t>
            </w:r>
          </w:p>
        </w:tc>
      </w:tr>
      <w:tr w14:paraId="3D0B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1B64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4F88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50DE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木棆自来水厂</w:t>
            </w:r>
          </w:p>
        </w:tc>
      </w:tr>
      <w:tr w14:paraId="19EC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39F0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2998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DCB5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陈屋贝自来水厂</w:t>
            </w:r>
          </w:p>
        </w:tc>
      </w:tr>
      <w:tr w14:paraId="515E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2255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4691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B251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东莞市常平粤海自来水公司</w:t>
            </w:r>
          </w:p>
        </w:tc>
      </w:tr>
      <w:tr w14:paraId="2C9F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E254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A11C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BEDD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东莞市财政局常平分局</w:t>
            </w:r>
          </w:p>
        </w:tc>
      </w:tr>
      <w:tr w14:paraId="7091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18F3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89C5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260C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常平镇公用事业服务中心</w:t>
            </w:r>
          </w:p>
        </w:tc>
      </w:tr>
      <w:tr w14:paraId="5C8C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6015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7255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常平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C85F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东莞市生态环境局常平分局</w:t>
            </w:r>
          </w:p>
        </w:tc>
      </w:tr>
      <w:tr w14:paraId="2F02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B019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4588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B7A5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水务集团供水有限公司大朗分公司</w:t>
            </w:r>
          </w:p>
        </w:tc>
      </w:tr>
      <w:tr w14:paraId="61E4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0C62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E69D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DEF3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东莞市财政局大朗分局</w:t>
            </w:r>
          </w:p>
        </w:tc>
      </w:tr>
      <w:tr w14:paraId="4FAA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247B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79CA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DFBB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大朗镇城市管理局</w:t>
            </w:r>
          </w:p>
        </w:tc>
      </w:tr>
      <w:tr w14:paraId="0772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EC1B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9D82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0260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东莞市生态环境局大朗分局</w:t>
            </w:r>
          </w:p>
        </w:tc>
      </w:tr>
      <w:tr w14:paraId="311A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8D4E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74F1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大岭山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8372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水务集团供水有限公司大岭山分公司</w:t>
            </w:r>
          </w:p>
        </w:tc>
      </w:tr>
      <w:tr w14:paraId="501A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14C8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3517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大岭山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DE21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东莞市财政局大岭山分局</w:t>
            </w:r>
          </w:p>
        </w:tc>
      </w:tr>
      <w:tr w14:paraId="4FA9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AD74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662F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大岭山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7CC3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大岭山镇公用事业中心</w:t>
            </w:r>
          </w:p>
        </w:tc>
      </w:tr>
      <w:tr w14:paraId="3C85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3D14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B81B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大岭山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014D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水务集团供水有限公司大岭山分公司（政务中心）</w:t>
            </w:r>
          </w:p>
        </w:tc>
      </w:tr>
      <w:tr w14:paraId="1802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3975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B14A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大岭山</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38AF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东莞市生态环境局大岭山分局</w:t>
            </w:r>
          </w:p>
        </w:tc>
      </w:tr>
      <w:tr w14:paraId="4F47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3B1F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4365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道滘</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B641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水务集团供水有限公司道滘分公司</w:t>
            </w:r>
          </w:p>
        </w:tc>
      </w:tr>
      <w:tr w14:paraId="7309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E17D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9782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道滘</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6047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东莞市财政局道滘分局</w:t>
            </w:r>
          </w:p>
        </w:tc>
      </w:tr>
      <w:tr w14:paraId="5CBF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9CA2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CBB5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道滘</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5549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道滘镇公用事业中心</w:t>
            </w:r>
          </w:p>
        </w:tc>
      </w:tr>
      <w:tr w14:paraId="1D0E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AF82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D8BF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道滘</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30EC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东莞市生态环境局道滘分局</w:t>
            </w:r>
          </w:p>
        </w:tc>
      </w:tr>
      <w:tr w14:paraId="360C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24E1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9117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3568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水务集团供水有限公司东城分公司（下桥）</w:t>
            </w:r>
          </w:p>
        </w:tc>
      </w:tr>
      <w:tr w14:paraId="5B77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827E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768B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8131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水务集团供水有限公司东城分公司</w:t>
            </w:r>
          </w:p>
        </w:tc>
      </w:tr>
      <w:tr w14:paraId="7C43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393F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A345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6964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东莞市财政局东城分局</w:t>
            </w:r>
          </w:p>
        </w:tc>
      </w:tr>
      <w:tr w14:paraId="70DD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D3B4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1FD2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8392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东城区公用事业服务中心</w:t>
            </w:r>
          </w:p>
        </w:tc>
      </w:tr>
      <w:tr w14:paraId="1B2C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0CF8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4CC0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99D1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东莞市生态环境局东城分局</w:t>
            </w:r>
          </w:p>
        </w:tc>
      </w:tr>
      <w:tr w14:paraId="5A02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B3C4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6A6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C579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东莞市环保产业促进中心</w:t>
            </w:r>
          </w:p>
        </w:tc>
      </w:tr>
      <w:tr w14:paraId="042E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F426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CDB6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DBC8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w:t>
            </w:r>
            <w:r>
              <w:rPr>
                <w:rFonts w:hint="eastAsia" w:ascii="宋体" w:hAnsi="宋体" w:eastAsia="宋体" w:cs="宋体"/>
                <w:snapToGrid/>
                <w:color w:val="auto"/>
                <w:kern w:val="0"/>
                <w:sz w:val="21"/>
                <w:szCs w:val="21"/>
                <w:lang w:val="en-US" w:eastAsia="zh-CN"/>
              </w:rPr>
              <w:t>城市综合管理</w:t>
            </w:r>
            <w:r>
              <w:rPr>
                <w:rFonts w:hint="eastAsia" w:ascii="宋体" w:hAnsi="宋体" w:eastAsia="宋体" w:cs="宋体"/>
                <w:i w:val="0"/>
                <w:iCs w:val="0"/>
                <w:color w:val="auto"/>
                <w:kern w:val="0"/>
                <w:sz w:val="21"/>
                <w:szCs w:val="21"/>
                <w:u w:val="none"/>
                <w:lang w:val="en-US" w:eastAsia="zh-CN"/>
              </w:rPr>
              <w:t>局</w:t>
            </w:r>
          </w:p>
        </w:tc>
      </w:tr>
      <w:tr w14:paraId="675B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E395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4458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F71F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w:t>
            </w:r>
          </w:p>
        </w:tc>
      </w:tr>
      <w:tr w14:paraId="36E6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48C1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7572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东坑</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D80D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水务集团供水有限公司东坑分公司</w:t>
            </w:r>
          </w:p>
        </w:tc>
      </w:tr>
      <w:tr w14:paraId="3706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63B4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7D5C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东坑</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8796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东莞市财政局东坑分局</w:t>
            </w:r>
          </w:p>
        </w:tc>
      </w:tr>
      <w:tr w14:paraId="7302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EB35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DCB3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东坑</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0933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东坑镇公用事业服务中心</w:t>
            </w:r>
          </w:p>
        </w:tc>
      </w:tr>
      <w:tr w14:paraId="1C1A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5D02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B96D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东坑</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4D4C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水务集团供水有限公司东坑分公司（政务中心）</w:t>
            </w:r>
          </w:p>
        </w:tc>
      </w:tr>
      <w:tr w14:paraId="4B0D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8D46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08EC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东坑</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9133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东莞市生态环境局东坑分局</w:t>
            </w:r>
          </w:p>
        </w:tc>
      </w:tr>
      <w:tr w14:paraId="4294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2351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F048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凤岗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5FB1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东莞市雁田自来水有限公司</w:t>
            </w:r>
          </w:p>
        </w:tc>
      </w:tr>
      <w:tr w14:paraId="32B0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EE95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9FD4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凤岗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F00E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水务集团供水有限公司凤岗分公司</w:t>
            </w:r>
          </w:p>
        </w:tc>
      </w:tr>
      <w:tr w14:paraId="5CD3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50B3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3499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凤岗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0C40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东莞市财政局凤岗分局</w:t>
            </w:r>
          </w:p>
        </w:tc>
      </w:tr>
      <w:tr w14:paraId="375F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8540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7EA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凤岗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3FA6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凤岗镇公用事业服务中心</w:t>
            </w:r>
          </w:p>
        </w:tc>
      </w:tr>
      <w:tr w14:paraId="0478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1321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48F2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凤岗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C291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水务集团供水有限公司凤岗分公司（政务中心）</w:t>
            </w:r>
          </w:p>
        </w:tc>
      </w:tr>
      <w:tr w14:paraId="0CC0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9FE2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675E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凤岗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E4EE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东莞市生态环境局凤岗分局</w:t>
            </w:r>
          </w:p>
        </w:tc>
      </w:tr>
      <w:tr w14:paraId="5C7F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E73F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BCDD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2D27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水务集团供水有限公司高埗分公司（南片）</w:t>
            </w:r>
          </w:p>
        </w:tc>
      </w:tr>
      <w:tr w14:paraId="383C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9B55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F1E4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CB2E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东莞市财政局高埗分局</w:t>
            </w:r>
          </w:p>
        </w:tc>
      </w:tr>
      <w:tr w14:paraId="2E54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5670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40A1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8E54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高埗镇公用事业服务中心</w:t>
            </w:r>
          </w:p>
        </w:tc>
      </w:tr>
      <w:tr w14:paraId="13C0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45A8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C32E2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BCBB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水务集团供水有限公司高埗分公司（政务中心）</w:t>
            </w:r>
          </w:p>
        </w:tc>
      </w:tr>
      <w:tr w14:paraId="2F6D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9A70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8C37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D859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东莞市生态环境局高埗分局</w:t>
            </w:r>
          </w:p>
        </w:tc>
      </w:tr>
      <w:tr w14:paraId="25AC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ED3D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6918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莞城区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B830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水务集团供水有限公司莞城分公司（元岭）</w:t>
            </w:r>
          </w:p>
        </w:tc>
      </w:tr>
      <w:tr w14:paraId="5D85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71A1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FC5D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莞城区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9770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水务集团供水有限公司莞城分公司</w:t>
            </w:r>
          </w:p>
        </w:tc>
      </w:tr>
      <w:tr w14:paraId="6B47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577C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BFCC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南城区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2B6C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水务集团供水有限公司莞城分公司（鸿福）</w:t>
            </w:r>
          </w:p>
        </w:tc>
      </w:tr>
      <w:tr w14:paraId="04C9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C078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A87D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南城区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451A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水务集团供水有限公司莞城分公司（宏图）</w:t>
            </w:r>
          </w:p>
        </w:tc>
      </w:tr>
      <w:tr w14:paraId="0197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1DE7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A7DE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横沥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6C75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水务集团供水有限公司横沥分公司</w:t>
            </w:r>
          </w:p>
        </w:tc>
      </w:tr>
      <w:tr w14:paraId="3D2E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5E72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6080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横沥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F380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东莞市财政局横沥分局</w:t>
            </w:r>
          </w:p>
        </w:tc>
      </w:tr>
      <w:tr w14:paraId="3359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1DB1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4BDD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横沥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A03A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横沥镇环境卫生管理所</w:t>
            </w:r>
          </w:p>
        </w:tc>
      </w:tr>
      <w:tr w14:paraId="1C84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CFBB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3FA5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横沥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A8B7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水务集团供水有限公司横沥分公司（政务中心）</w:t>
            </w:r>
          </w:p>
        </w:tc>
      </w:tr>
      <w:tr w14:paraId="6D66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B793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7F34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横沥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9250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东莞市生态环境局横沥分局</w:t>
            </w:r>
          </w:p>
        </w:tc>
      </w:tr>
      <w:tr w14:paraId="53FD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B176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021F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洪梅</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70D0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水务集团供水有限公司洪梅分公司</w:t>
            </w:r>
          </w:p>
        </w:tc>
      </w:tr>
      <w:tr w14:paraId="2A73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0881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1879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洪梅</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6A34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东莞市财政局洪梅分局</w:t>
            </w:r>
          </w:p>
        </w:tc>
      </w:tr>
      <w:tr w14:paraId="71E1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C175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0CD6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洪梅</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2BF7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东莞市洪梅镇公用事业服务中心</w:t>
            </w:r>
          </w:p>
        </w:tc>
      </w:tr>
      <w:tr w14:paraId="5D29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6EE6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7443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洪梅</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DFD5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水务集团供水有限公司洪梅分公司（政务中心）</w:t>
            </w:r>
          </w:p>
        </w:tc>
      </w:tr>
      <w:tr w14:paraId="18C6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2FAB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46A8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洪梅</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D248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东莞市生态环境局洪梅分局</w:t>
            </w:r>
          </w:p>
        </w:tc>
      </w:tr>
      <w:tr w14:paraId="754A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82A4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F857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186C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水务集团供水有限公司厚街分公司</w:t>
            </w:r>
          </w:p>
        </w:tc>
      </w:tr>
      <w:tr w14:paraId="1C62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0052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5C17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0694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东莞市财政局厚街分局</w:t>
            </w:r>
          </w:p>
        </w:tc>
      </w:tr>
      <w:tr w14:paraId="534E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F9CA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8566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0549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东莞市厚街镇公用事业服务中心</w:t>
            </w:r>
          </w:p>
        </w:tc>
      </w:tr>
      <w:tr w14:paraId="4F59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D103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E98A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1AF8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水务集团供水有限公司厚街分公司（政务中心）</w:t>
            </w:r>
          </w:p>
        </w:tc>
      </w:tr>
      <w:tr w14:paraId="0C05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00C0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01FE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8D86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赤岭环卫所</w:t>
            </w:r>
          </w:p>
        </w:tc>
      </w:tr>
      <w:tr w14:paraId="0F8A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22A8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9292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36E2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三屯环卫所</w:t>
            </w:r>
          </w:p>
        </w:tc>
      </w:tr>
      <w:tr w14:paraId="3A86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FD6B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8418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00F1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陈屋环卫所</w:t>
            </w:r>
          </w:p>
        </w:tc>
      </w:tr>
      <w:tr w14:paraId="4BF8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CBB8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0F60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95C2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桥头环卫所</w:t>
            </w:r>
          </w:p>
        </w:tc>
      </w:tr>
      <w:tr w14:paraId="15DD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FD0F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08EF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8A67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南五环卫所</w:t>
            </w:r>
          </w:p>
        </w:tc>
      </w:tr>
      <w:tr w14:paraId="4F4A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8B2B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1608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9BE3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新塘环卫所</w:t>
            </w:r>
          </w:p>
        </w:tc>
      </w:tr>
      <w:tr w14:paraId="3743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3DD1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4391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51B2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涌口环卫所</w:t>
            </w:r>
          </w:p>
        </w:tc>
      </w:tr>
      <w:tr w14:paraId="7373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71D7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240D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A6C7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河田环卫所</w:t>
            </w:r>
          </w:p>
        </w:tc>
      </w:tr>
      <w:tr w14:paraId="3C88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1CBB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648F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BF5B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汀山环卫所</w:t>
            </w:r>
          </w:p>
        </w:tc>
      </w:tr>
      <w:tr w14:paraId="7F2B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F376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B671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E09E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环冈环卫所</w:t>
            </w:r>
          </w:p>
        </w:tc>
      </w:tr>
      <w:tr w14:paraId="0494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8A3C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2877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A746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新围环卫所</w:t>
            </w:r>
          </w:p>
        </w:tc>
      </w:tr>
      <w:tr w14:paraId="4520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0B6E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AD75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8FF6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溪头环卫所</w:t>
            </w:r>
          </w:p>
        </w:tc>
      </w:tr>
      <w:tr w14:paraId="5EAF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CFE9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EE02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478E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沙塘环卫所</w:t>
            </w:r>
          </w:p>
        </w:tc>
      </w:tr>
      <w:tr w14:paraId="3F29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A5C6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9847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B954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下汴环卫所</w:t>
            </w:r>
          </w:p>
        </w:tc>
      </w:tr>
      <w:tr w14:paraId="58BB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D488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BBFF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05E0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白濠环卫所</w:t>
            </w:r>
          </w:p>
        </w:tc>
      </w:tr>
      <w:tr w14:paraId="07AD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F8C4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C3DA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厚街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5D09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东莞市生态环境局厚街分局</w:t>
            </w:r>
          </w:p>
        </w:tc>
      </w:tr>
      <w:tr w14:paraId="66EB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621F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1997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虎门</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2EFC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水务集团供水有限公司虎门分公司</w:t>
            </w:r>
          </w:p>
        </w:tc>
      </w:tr>
      <w:tr w14:paraId="1C53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2D99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989D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虎门</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65B9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东莞市财政局虎门分局</w:t>
            </w:r>
          </w:p>
        </w:tc>
      </w:tr>
      <w:tr w14:paraId="4E28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D762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B5F9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虎门</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C33A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虎门公共事业中心</w:t>
            </w:r>
          </w:p>
        </w:tc>
      </w:tr>
      <w:tr w14:paraId="1C20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1895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927E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虎门</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5A69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东莞市生态环境局虎门分局</w:t>
            </w:r>
          </w:p>
        </w:tc>
      </w:tr>
      <w:tr w14:paraId="5639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69E5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8729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167B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水务集团供水有限公司黄江分公司</w:t>
            </w:r>
          </w:p>
        </w:tc>
      </w:tr>
      <w:tr w14:paraId="7547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8444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AAEF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2CCB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东莞市财政局黄江分局</w:t>
            </w:r>
          </w:p>
        </w:tc>
      </w:tr>
      <w:tr w14:paraId="49C3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2E4F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5B0D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8B7F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黄江镇公用事业中心</w:t>
            </w:r>
          </w:p>
        </w:tc>
      </w:tr>
      <w:tr w14:paraId="0D56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85A1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BA42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5D00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东莞市生态环境局黄江分局</w:t>
            </w:r>
          </w:p>
        </w:tc>
      </w:tr>
      <w:tr w14:paraId="4BF5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7583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244C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寮步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99BE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水务集团供水有限公司寮步分公司</w:t>
            </w:r>
          </w:p>
        </w:tc>
      </w:tr>
      <w:tr w14:paraId="19AA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91A3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5C9C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寮步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FA1E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东莞市财政局寮步分局</w:t>
            </w:r>
          </w:p>
        </w:tc>
      </w:tr>
      <w:tr w14:paraId="5BC6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0020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7FFC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寮步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D393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寮步镇公用事业服务中心</w:t>
            </w:r>
          </w:p>
        </w:tc>
      </w:tr>
      <w:tr w14:paraId="63B3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0947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72F3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寮步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6C48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水务集团供水有限公司寮步分公司（政务中心）</w:t>
            </w:r>
          </w:p>
        </w:tc>
      </w:tr>
      <w:tr w14:paraId="42C7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B859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6070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寮步</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6B11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东莞市生态环境局寮步分局</w:t>
            </w:r>
          </w:p>
        </w:tc>
      </w:tr>
      <w:tr w14:paraId="7F36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9254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716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麻涌</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96E8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水务集团供水有限公司麻涌分公司</w:t>
            </w:r>
          </w:p>
        </w:tc>
      </w:tr>
      <w:tr w14:paraId="56A5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7075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18FF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麻涌</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8EAC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东莞市财政局麻涌分局</w:t>
            </w:r>
          </w:p>
        </w:tc>
      </w:tr>
      <w:tr w14:paraId="6189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FFB2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7D23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麻涌</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F4EC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东莞市麻涌镇公用事业服务中心</w:t>
            </w:r>
          </w:p>
        </w:tc>
      </w:tr>
      <w:tr w14:paraId="1394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8748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AB8C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麻涌</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4A87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水务集团供水有限公司麻涌分公司（政务中心）</w:t>
            </w:r>
          </w:p>
        </w:tc>
      </w:tr>
      <w:tr w14:paraId="043D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B750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CB25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麻涌</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C080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东莞市生态环境局麻涌分局</w:t>
            </w:r>
          </w:p>
        </w:tc>
      </w:tr>
      <w:tr w14:paraId="7CE5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64BC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FF5C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南城区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9A83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东莞市财政局南城分局</w:t>
            </w:r>
          </w:p>
        </w:tc>
      </w:tr>
      <w:tr w14:paraId="4906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9FE6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6000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南城区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FF6F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南城区公用事业服务中心</w:t>
            </w:r>
          </w:p>
        </w:tc>
      </w:tr>
      <w:tr w14:paraId="4051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87CA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61C9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南城区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064E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东莞市生态环境局南城分局</w:t>
            </w:r>
          </w:p>
        </w:tc>
      </w:tr>
      <w:tr w14:paraId="20E3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0898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4EF7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企石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0E11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水务集团供水有限公司企石分公司(政务中心）</w:t>
            </w:r>
          </w:p>
        </w:tc>
      </w:tr>
      <w:tr w14:paraId="60B3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9CC3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4C3B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企石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EF7E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水务集团供水有限公司企石分公司</w:t>
            </w:r>
          </w:p>
        </w:tc>
      </w:tr>
      <w:tr w14:paraId="41BD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F4C0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973A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企石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0937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东莞市财政局企石分局</w:t>
            </w:r>
          </w:p>
        </w:tc>
      </w:tr>
      <w:tr w14:paraId="6805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668F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F83D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企石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C8A0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东莞市企石镇公用事业服务中心</w:t>
            </w:r>
          </w:p>
        </w:tc>
      </w:tr>
      <w:tr w14:paraId="25D3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45CF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BF70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企石</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534C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东莞市生态环境局企石分局</w:t>
            </w:r>
          </w:p>
        </w:tc>
      </w:tr>
      <w:tr w14:paraId="04DC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7610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0187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桥头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6953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水务集团供水有限公司桥头分公司</w:t>
            </w:r>
          </w:p>
        </w:tc>
      </w:tr>
      <w:tr w14:paraId="26E8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A025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CEF5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桥头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05A2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东莞市财政局桥头分局</w:t>
            </w:r>
          </w:p>
        </w:tc>
      </w:tr>
      <w:tr w14:paraId="4D4A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BE81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E71B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桥头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24FD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东莞市桥头镇公用事业服务中心</w:t>
            </w:r>
          </w:p>
        </w:tc>
      </w:tr>
      <w:tr w14:paraId="0F88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B9FB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4709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桥头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E340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水务集团供水有限公司桥头分公司（政务中心）</w:t>
            </w:r>
          </w:p>
        </w:tc>
      </w:tr>
      <w:tr w14:paraId="5455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2FAF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5D92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桥头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11CB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东莞市生态环境局企石分局</w:t>
            </w:r>
          </w:p>
        </w:tc>
      </w:tr>
      <w:tr w14:paraId="778B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5A78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168F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清溪</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157D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清溪自来水公司</w:t>
            </w:r>
          </w:p>
        </w:tc>
      </w:tr>
      <w:tr w14:paraId="66E1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B913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E44F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清溪</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14B5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东莞市财政局清溪分局</w:t>
            </w:r>
          </w:p>
        </w:tc>
      </w:tr>
      <w:tr w14:paraId="45C9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E06B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ACA5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清溪</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B493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清溪镇公用事业服务中心</w:t>
            </w:r>
          </w:p>
        </w:tc>
      </w:tr>
      <w:tr w14:paraId="2D36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C605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1704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清溪</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A374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东莞市生态环境局清溪分局</w:t>
            </w:r>
          </w:p>
        </w:tc>
      </w:tr>
      <w:tr w14:paraId="5500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96ED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5B73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沙田</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3D49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水务集团供水有限公司沙田分公司（政务中心）</w:t>
            </w:r>
          </w:p>
        </w:tc>
      </w:tr>
      <w:tr w14:paraId="69D2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5446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CF0B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沙田</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3CB0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水务集团供水有限公司沙田分公司</w:t>
            </w:r>
          </w:p>
        </w:tc>
      </w:tr>
      <w:tr w14:paraId="54A5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D3D1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6F7E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沙田</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3E52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东莞市财政局沙田分局</w:t>
            </w:r>
          </w:p>
        </w:tc>
      </w:tr>
      <w:tr w14:paraId="2EF0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01DE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640F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沙田</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E82C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沙田镇公用事业服务中心</w:t>
            </w:r>
          </w:p>
        </w:tc>
      </w:tr>
      <w:tr w14:paraId="7F1C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A475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48D3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沙田</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6F49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东莞市生态环境局沙田分局</w:t>
            </w:r>
          </w:p>
        </w:tc>
      </w:tr>
      <w:tr w14:paraId="2B30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2B9D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B2D4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石碣</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0761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水务集团供水有限公司石碣分公司</w:t>
            </w:r>
          </w:p>
        </w:tc>
      </w:tr>
      <w:tr w14:paraId="7A54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B478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CFBA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石碣</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5261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东莞市财政局石碣分局</w:t>
            </w:r>
          </w:p>
        </w:tc>
      </w:tr>
      <w:tr w14:paraId="67B6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02B0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FF81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石碣</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0119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石碣镇公用事业服务中心</w:t>
            </w:r>
          </w:p>
        </w:tc>
      </w:tr>
      <w:tr w14:paraId="4355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277F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FBDC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石碣</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92F8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水务集团供水有限公司石碣分公司（政务中心）</w:t>
            </w:r>
          </w:p>
        </w:tc>
      </w:tr>
      <w:tr w14:paraId="4ADC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7D27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7927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石碣</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ABD3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东莞市生态环境局石碣分局</w:t>
            </w:r>
          </w:p>
        </w:tc>
      </w:tr>
      <w:tr w14:paraId="4B2A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8A7F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ADB3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石龙</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2CA9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水务集团供水有限公司石龙分公司</w:t>
            </w:r>
          </w:p>
        </w:tc>
      </w:tr>
      <w:tr w14:paraId="1BA2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729E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C760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石龙</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7B50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水务集团供水有限公司石龙分公司（政务中心）</w:t>
            </w:r>
          </w:p>
        </w:tc>
      </w:tr>
      <w:tr w14:paraId="7288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2E7F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C2C3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石龙</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6575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石龙镇公用事业服务中心</w:t>
            </w:r>
          </w:p>
        </w:tc>
      </w:tr>
      <w:tr w14:paraId="7FC0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F90D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62A7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石龙</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7FAF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东莞市财政局石龙分局</w:t>
            </w:r>
          </w:p>
        </w:tc>
      </w:tr>
      <w:tr w14:paraId="31D9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7A85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BC8F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石龙</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1FC2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东莞市生态环境局石龙分局</w:t>
            </w:r>
          </w:p>
        </w:tc>
      </w:tr>
      <w:tr w14:paraId="461B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9D74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9F80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石排</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624B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水务集团供水有限公司石排分公司</w:t>
            </w:r>
          </w:p>
        </w:tc>
      </w:tr>
      <w:tr w14:paraId="6647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DEF6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6A2E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石排</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3F4B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东莞市财政局石排分局</w:t>
            </w:r>
          </w:p>
        </w:tc>
      </w:tr>
      <w:tr w14:paraId="61D1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2602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967A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石排</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4D8D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石排镇公用事业中心</w:t>
            </w:r>
          </w:p>
        </w:tc>
      </w:tr>
      <w:tr w14:paraId="5EED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F5B4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475D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石排</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889D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水务集团供水有限公司石排分公司（政务中心）</w:t>
            </w:r>
          </w:p>
        </w:tc>
      </w:tr>
      <w:tr w14:paraId="1F99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030E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E9E7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石排</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F44C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东莞市生态环境局石排分局</w:t>
            </w:r>
          </w:p>
        </w:tc>
      </w:tr>
      <w:tr w14:paraId="1646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FD0B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D2F0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市政府</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8D53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东莞市政数局</w:t>
            </w:r>
          </w:p>
        </w:tc>
      </w:tr>
      <w:tr w14:paraId="5613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962A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D74F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松山湖</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5718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水务集团供水有限公司松山湖分公司</w:t>
            </w:r>
          </w:p>
        </w:tc>
      </w:tr>
      <w:tr w14:paraId="4113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01BE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8F04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松山湖</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A42B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东莞市城市管理和综合执法局松山湖分局</w:t>
            </w:r>
          </w:p>
        </w:tc>
      </w:tr>
      <w:tr w14:paraId="71AB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F375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3312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松山湖</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700B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东莞市财政局松山湖分局</w:t>
            </w:r>
          </w:p>
        </w:tc>
      </w:tr>
      <w:tr w14:paraId="4F41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CA96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70B5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松山湖</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4F63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东莞市生态环境局松山湖分局</w:t>
            </w:r>
          </w:p>
        </w:tc>
      </w:tr>
      <w:tr w14:paraId="3F00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6180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1796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4695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水务集团供水有限公司塘厦分公司</w:t>
            </w:r>
          </w:p>
        </w:tc>
      </w:tr>
      <w:tr w14:paraId="1FBF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591A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5072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7258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东莞市财政局塘厦分局</w:t>
            </w:r>
          </w:p>
        </w:tc>
      </w:tr>
      <w:tr w14:paraId="4D1F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2E02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65A9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D6C1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塘厦镇公用事业服务中心</w:t>
            </w:r>
          </w:p>
        </w:tc>
      </w:tr>
      <w:tr w14:paraId="6FE4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B786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3A4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EB84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塘厦石潭埔环卫所</w:t>
            </w:r>
          </w:p>
        </w:tc>
      </w:tr>
      <w:tr w14:paraId="794B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BEFC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374A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11B0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塘厦横塘环卫所</w:t>
            </w:r>
          </w:p>
        </w:tc>
      </w:tr>
      <w:tr w14:paraId="47A7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290F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EDE9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EAED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塘厦凤凰岗环卫所</w:t>
            </w:r>
          </w:p>
        </w:tc>
      </w:tr>
      <w:tr w14:paraId="0E14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44FE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97E6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05FF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塘厦清湖头环卫所</w:t>
            </w:r>
          </w:p>
        </w:tc>
      </w:tr>
      <w:tr w14:paraId="216D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0108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250D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A969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塘厦桥陇环卫所</w:t>
            </w:r>
          </w:p>
        </w:tc>
      </w:tr>
      <w:tr w14:paraId="34E0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8F83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8751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26D0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塘厦平山环卫所</w:t>
            </w:r>
          </w:p>
        </w:tc>
      </w:tr>
      <w:tr w14:paraId="1D5F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427C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71AD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1DB6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塘厦石鼓环卫所</w:t>
            </w:r>
          </w:p>
        </w:tc>
      </w:tr>
      <w:tr w14:paraId="62A0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298F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27EB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0633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塘厦石马环卫所</w:t>
            </w:r>
          </w:p>
        </w:tc>
      </w:tr>
      <w:tr w14:paraId="1921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50C2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7899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2BEA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塘厦诸佛岭环卫所</w:t>
            </w:r>
          </w:p>
        </w:tc>
      </w:tr>
      <w:tr w14:paraId="2AB3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EEF0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1ED7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1622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塘厦莆心湖环卫所</w:t>
            </w:r>
          </w:p>
        </w:tc>
      </w:tr>
      <w:tr w14:paraId="1C09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56AD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519E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2477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塘厦沙湖环卫所</w:t>
            </w:r>
          </w:p>
        </w:tc>
      </w:tr>
      <w:tr w14:paraId="16ED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F566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E91D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F0A2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塘厦蛟乙塘环卫所</w:t>
            </w:r>
          </w:p>
        </w:tc>
      </w:tr>
      <w:tr w14:paraId="5DAA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1D5A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A715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5FE4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塘厦振兴围环卫所</w:t>
            </w:r>
          </w:p>
        </w:tc>
      </w:tr>
      <w:tr w14:paraId="1EBD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1B86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34EF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BD5A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塘厦四村环卫所</w:t>
            </w:r>
          </w:p>
        </w:tc>
      </w:tr>
      <w:tr w14:paraId="1E61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4FBD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F199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DABC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塘厦田心环卫所</w:t>
            </w:r>
          </w:p>
        </w:tc>
      </w:tr>
      <w:tr w14:paraId="42EE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4D4F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BAB6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C324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塘厦龙背岭环卫所</w:t>
            </w:r>
          </w:p>
        </w:tc>
      </w:tr>
      <w:tr w14:paraId="75DC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F6AE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661C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4CAA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塘厦大坪环卫所</w:t>
            </w:r>
          </w:p>
        </w:tc>
      </w:tr>
      <w:tr w14:paraId="4C7F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23C1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F3AD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0157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东莞市生态环境局塘厦分局</w:t>
            </w:r>
          </w:p>
        </w:tc>
      </w:tr>
      <w:tr w14:paraId="5E83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5F83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5D0C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万江区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8B31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水务集团供水有限公司万江分公司（万江墟）</w:t>
            </w:r>
          </w:p>
        </w:tc>
      </w:tr>
      <w:tr w14:paraId="6156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AB9F7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4CE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万江区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07A1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水务集团供水有限公司万江分公司</w:t>
            </w:r>
          </w:p>
        </w:tc>
      </w:tr>
      <w:tr w14:paraId="0345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FEC7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1E41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万江区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3074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东莞市财政局万江分局</w:t>
            </w:r>
          </w:p>
        </w:tc>
      </w:tr>
      <w:tr w14:paraId="0B0F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AD67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C55D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万江区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6E39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万江区公用事业服务中心</w:t>
            </w:r>
          </w:p>
        </w:tc>
      </w:tr>
      <w:tr w14:paraId="5FDB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7FF5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CC56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万江区</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2F57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东莞市生态环境局万江分局</w:t>
            </w:r>
          </w:p>
        </w:tc>
      </w:tr>
      <w:tr w14:paraId="715A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7BBE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1864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望牛墩</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766C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水务集团供水有限公司望牛墩分公司</w:t>
            </w:r>
          </w:p>
        </w:tc>
      </w:tr>
      <w:tr w14:paraId="2561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3425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093D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望牛墩</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8DD6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东莞市财政局望牛墩分局</w:t>
            </w:r>
          </w:p>
        </w:tc>
      </w:tr>
      <w:tr w14:paraId="7ABB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7F2F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64E2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望牛墩</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9114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望牛墩镇公用事业服务中心</w:t>
            </w:r>
          </w:p>
        </w:tc>
      </w:tr>
      <w:tr w14:paraId="6008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9CD9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D99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望牛墩</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6A1F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水务集团供水有限公司望牛墩分公司（政务中心）</w:t>
            </w:r>
          </w:p>
        </w:tc>
      </w:tr>
      <w:tr w14:paraId="4391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2021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B5A5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望牛墩</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0AE2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东莞市生态环境局望牛墩分局</w:t>
            </w:r>
          </w:p>
        </w:tc>
      </w:tr>
      <w:tr w14:paraId="75C9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C63D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5555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谢岗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9066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水务集团供水有限公司谢岗分公司（政务中心）</w:t>
            </w:r>
          </w:p>
        </w:tc>
      </w:tr>
      <w:tr w14:paraId="2292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766C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D426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谢岗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3480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水务集团供水有限公司谢岗分公司</w:t>
            </w:r>
          </w:p>
        </w:tc>
      </w:tr>
      <w:tr w14:paraId="7FE2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F0B9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536C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谢岗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D5AC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东莞市财政局谢岗分局</w:t>
            </w:r>
          </w:p>
        </w:tc>
      </w:tr>
      <w:tr w14:paraId="4BB3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4EAA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9DAD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谢岗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1528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东莞城市综合管理局谢岗分局</w:t>
            </w:r>
          </w:p>
        </w:tc>
      </w:tr>
      <w:tr w14:paraId="1D8B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19E8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54F1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谢岗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F0EE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东莞市生态环境局谢岗分局</w:t>
            </w:r>
          </w:p>
        </w:tc>
      </w:tr>
      <w:tr w14:paraId="1515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4EC2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DD03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樟木头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50DF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水务集团供水有限公司樟木头分公司</w:t>
            </w:r>
          </w:p>
        </w:tc>
      </w:tr>
      <w:tr w14:paraId="4DC2F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576A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0988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樟木头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8708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东莞市财政局樟木头分局</w:t>
            </w:r>
          </w:p>
        </w:tc>
      </w:tr>
      <w:tr w14:paraId="7E8E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C868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5BA5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樟木头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F25C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樟木头镇公用事业中心</w:t>
            </w:r>
          </w:p>
        </w:tc>
      </w:tr>
      <w:tr w14:paraId="7BC7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B006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2673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樟木头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3AB7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水务集团供水有限公司樟木头分公司（政务中心）</w:t>
            </w:r>
          </w:p>
        </w:tc>
      </w:tr>
      <w:tr w14:paraId="1C77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2155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58A6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樟木头</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C441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东莞市生态环境局樟木头分局</w:t>
            </w:r>
          </w:p>
        </w:tc>
      </w:tr>
      <w:tr w14:paraId="5C8C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3D38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403A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6B9D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水务集团供水有限公司长安分公司（五点梅）</w:t>
            </w:r>
          </w:p>
        </w:tc>
      </w:tr>
      <w:tr w14:paraId="2333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A940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2E40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FC49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东莞市财政局长安分局</w:t>
            </w:r>
          </w:p>
        </w:tc>
      </w:tr>
      <w:tr w14:paraId="50F2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BB10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F9AE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DF0C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东莞市长安镇公用事业服务中心</w:t>
            </w:r>
          </w:p>
        </w:tc>
      </w:tr>
      <w:tr w14:paraId="2F43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8B8A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FE6B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5423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水务集团供水有限公司长安分公司（政务中心）</w:t>
            </w:r>
          </w:p>
        </w:tc>
      </w:tr>
      <w:tr w14:paraId="52BA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F4EC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4237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052A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涌头环卫所</w:t>
            </w:r>
          </w:p>
        </w:tc>
      </w:tr>
      <w:tr w14:paraId="66DC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8927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72A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0E90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霄边环卫所</w:t>
            </w:r>
          </w:p>
        </w:tc>
      </w:tr>
      <w:tr w14:paraId="2315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5BC9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C714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623C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咸西环卫所</w:t>
            </w:r>
          </w:p>
        </w:tc>
      </w:tr>
      <w:tr w14:paraId="0FD2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4370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01A0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8E97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锦厦环卫所</w:t>
            </w:r>
          </w:p>
        </w:tc>
      </w:tr>
      <w:tr w14:paraId="294D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716B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C3C1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BFF4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新安环卫所</w:t>
            </w:r>
          </w:p>
        </w:tc>
      </w:tr>
      <w:tr w14:paraId="3C5D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3AFC0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F53E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963F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乌沙中心区环卫所</w:t>
            </w:r>
          </w:p>
        </w:tc>
      </w:tr>
      <w:tr w14:paraId="17F1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58987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FCDC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6360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乌沙陈屋环卫所</w:t>
            </w:r>
          </w:p>
        </w:tc>
      </w:tr>
      <w:tr w14:paraId="3E99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68C3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4075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37AA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乌沙李屋环卫所</w:t>
            </w:r>
          </w:p>
        </w:tc>
      </w:tr>
      <w:tr w14:paraId="0B9D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7628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F979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A2E0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乌沙蔡屋环卫所</w:t>
            </w:r>
          </w:p>
        </w:tc>
      </w:tr>
      <w:tr w14:paraId="41BF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8BA7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7E694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588F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乌沙江贝环卫所</w:t>
            </w:r>
          </w:p>
        </w:tc>
      </w:tr>
      <w:tr w14:paraId="41C2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DEC4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5B6C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ED62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新民环卫所</w:t>
            </w:r>
          </w:p>
        </w:tc>
      </w:tr>
      <w:tr w14:paraId="1FFA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6ED66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20F7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FDB5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沙头环卫所</w:t>
            </w:r>
          </w:p>
        </w:tc>
      </w:tr>
      <w:tr w14:paraId="739C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3970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5228B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3E72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上沙环卫所</w:t>
            </w:r>
          </w:p>
        </w:tc>
      </w:tr>
      <w:tr w14:paraId="1341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10B6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1B29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54CE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厦岗环卫所</w:t>
            </w:r>
          </w:p>
        </w:tc>
      </w:tr>
      <w:tr w14:paraId="61A6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2218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C474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134F4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厦边环卫所</w:t>
            </w:r>
          </w:p>
        </w:tc>
      </w:tr>
      <w:tr w14:paraId="6168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77C0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9BB9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1582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上角环卫所</w:t>
            </w:r>
          </w:p>
        </w:tc>
      </w:tr>
      <w:tr w14:paraId="0E2F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F29F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125A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长安</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2B91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东莞市生态环境局长安分局</w:t>
            </w:r>
          </w:p>
        </w:tc>
      </w:tr>
      <w:tr w14:paraId="3E16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6CE5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F70F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25BC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水务集团供水有限公司中堂分公司</w:t>
            </w:r>
          </w:p>
        </w:tc>
      </w:tr>
      <w:tr w14:paraId="2A97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C7B3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213</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1FFB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56471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东莞市财政局中堂分局</w:t>
            </w:r>
          </w:p>
        </w:tc>
      </w:tr>
      <w:tr w14:paraId="2987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9E24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214</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0C5B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3469F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中堂镇公用事业服务中心</w:t>
            </w:r>
          </w:p>
        </w:tc>
      </w:tr>
      <w:tr w14:paraId="7C4A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D8EA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215</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67DB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61D60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水务集团供水有限公司中堂分公司（政务中心）</w:t>
            </w:r>
          </w:p>
        </w:tc>
      </w:tr>
      <w:tr w14:paraId="627A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280DD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216</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617C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中堂</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7A665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东莞市生态环境局中堂分局</w:t>
            </w:r>
          </w:p>
        </w:tc>
      </w:tr>
      <w:tr w14:paraId="2836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0D08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FE4F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大朗</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72F4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大朗分公司营业厅</w:t>
            </w:r>
          </w:p>
        </w:tc>
      </w:tr>
      <w:tr w14:paraId="5152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3203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218</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178D6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道滘</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39C0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道滘镇政务服务中心供水服务窗口</w:t>
            </w:r>
          </w:p>
        </w:tc>
      </w:tr>
      <w:tr w14:paraId="5390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3DD9D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3D6E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27372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黄江镇政务服务中心供水服务窗口</w:t>
            </w:r>
          </w:p>
        </w:tc>
      </w:tr>
      <w:tr w14:paraId="0CCF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10144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8283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6BF0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黄江镇南部便民服务中心供水服务窗口</w:t>
            </w:r>
          </w:p>
        </w:tc>
      </w:tr>
      <w:tr w14:paraId="143D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0EB74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221</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F0F3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4C7EC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塘厦镇政务服务中心供水服务窗口</w:t>
            </w:r>
          </w:p>
        </w:tc>
      </w:tr>
      <w:tr w14:paraId="052F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70518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222</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2C976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虎门</w:t>
            </w:r>
          </w:p>
        </w:tc>
        <w:tc>
          <w:tcPr>
            <w:tcW w:w="3730" w:type="pct"/>
            <w:tcBorders>
              <w:top w:val="single" w:color="000000" w:sz="4" w:space="0"/>
              <w:left w:val="single" w:color="000000" w:sz="4" w:space="0"/>
              <w:bottom w:val="single" w:color="000000" w:sz="4" w:space="0"/>
              <w:right w:val="single" w:color="000000" w:sz="4" w:space="0"/>
            </w:tcBorders>
            <w:noWrap/>
            <w:vAlign w:val="center"/>
          </w:tcPr>
          <w:p w14:paraId="08959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虎门镇政务服务中心供水服务窗口</w:t>
            </w:r>
          </w:p>
        </w:tc>
      </w:tr>
    </w:tbl>
    <w:p w14:paraId="0B271FFC">
      <w:pPr>
        <w:pStyle w:val="2"/>
        <w:rPr>
          <w:rFonts w:hint="default"/>
          <w:color w:val="auto"/>
          <w:lang w:val="en-US" w:eastAsia="zh-CN"/>
        </w:rPr>
      </w:pPr>
    </w:p>
    <w:p w14:paraId="7450CB5C">
      <w:pPr>
        <w:rPr>
          <w:rFonts w:ascii="宋体" w:hAnsi="宋体" w:eastAsia="宋体" w:cs="Times New Roman"/>
          <w:b/>
          <w:color w:val="auto"/>
          <w:szCs w:val="21"/>
          <w:highlight w:val="none"/>
        </w:rPr>
      </w:pPr>
    </w:p>
    <w:p w14:paraId="5A5A273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98" w:name="_Toc142508359"/>
      <w:bookmarkStart w:id="399" w:name="_Toc11281_WPSOffice_Level1"/>
      <w:bookmarkStart w:id="400" w:name="_Toc25251"/>
      <w:bookmarkStart w:id="401" w:name="_Toc450662892"/>
      <w:bookmarkStart w:id="402" w:name="_Toc20401"/>
      <w:bookmarkStart w:id="403" w:name="_Toc486167707"/>
      <w:bookmarkStart w:id="404" w:name="_Toc14926"/>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98"/>
      <w:bookmarkEnd w:id="399"/>
      <w:bookmarkEnd w:id="400"/>
      <w:bookmarkEnd w:id="401"/>
      <w:bookmarkEnd w:id="402"/>
      <w:bookmarkEnd w:id="403"/>
      <w:bookmarkEnd w:id="404"/>
    </w:p>
    <w:p w14:paraId="3B8762C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CF781B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FE4964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EA4411E">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东莞市涉水收费统一征收平台2025年度运维服务项目</w:t>
      </w:r>
    </w:p>
    <w:p w14:paraId="45D7F47A">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645AC728">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1964E9E2">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128404BA">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A6E405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6C06107">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69C9FF5">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837F73E">
      <w:pPr>
        <w:autoSpaceDE w:val="0"/>
        <w:autoSpaceDN w:val="0"/>
        <w:adjustRightInd w:val="0"/>
        <w:spacing w:line="480" w:lineRule="auto"/>
        <w:ind w:firstLine="1098" w:firstLineChars="392"/>
        <w:jc w:val="left"/>
        <w:rPr>
          <w:rFonts w:ascii="宋体" w:hAnsi="宋体" w:eastAsia="宋体" w:cs="Times New Roman"/>
          <w:b/>
          <w:bCs/>
          <w:color w:val="auto"/>
          <w:kern w:val="0"/>
          <w:sz w:val="28"/>
          <w:szCs w:val="28"/>
          <w:highlight w:val="none"/>
        </w:rPr>
      </w:pPr>
      <w:r>
        <w:rPr>
          <w:rFonts w:hint="eastAsia" w:ascii="宋体" w:hAnsi="宋体" w:cs="Times New Roman"/>
          <w:b/>
          <w:color w:val="auto"/>
          <w:sz w:val="28"/>
          <w:szCs w:val="28"/>
          <w:lang w:val="en-US" w:eastAsia="zh-CN"/>
        </w:rPr>
        <w:t>委</w:t>
      </w:r>
      <w:r>
        <w:rPr>
          <w:rFonts w:hint="eastAsia" w:ascii="宋体" w:hAnsi="宋体" w:eastAsia="宋体" w:cs="Times New Roman"/>
          <w:b/>
          <w:color w:val="auto"/>
          <w:sz w:val="28"/>
          <w:szCs w:val="28"/>
        </w:rPr>
        <w:t>托方</w:t>
      </w:r>
      <w:r>
        <w:rPr>
          <w:rFonts w:hint="eastAsia" w:ascii="宋体" w:hAnsi="宋体" w:eastAsia="宋体" w:cs="Times New Roman"/>
          <w:b/>
          <w:color w:val="auto"/>
          <w:sz w:val="28"/>
          <w:szCs w:val="28"/>
          <w:lang w:eastAsia="zh-CN"/>
        </w:rPr>
        <w:t>（</w:t>
      </w:r>
      <w:r>
        <w:rPr>
          <w:rFonts w:hint="eastAsia" w:ascii="宋体" w:hAnsi="宋体" w:eastAsia="宋体" w:cs="宋体"/>
          <w:b/>
          <w:bCs/>
          <w:color w:val="auto"/>
          <w:kern w:val="0"/>
          <w:sz w:val="28"/>
          <w:szCs w:val="28"/>
          <w:highlight w:val="none"/>
        </w:rPr>
        <w:t>甲方</w:t>
      </w:r>
      <w:r>
        <w:rPr>
          <w:rFonts w:hint="eastAsia" w:ascii="宋体" w:hAnsi="宋体" w:eastAsia="宋体" w:cs="Times New Roman"/>
          <w:b/>
          <w:color w:val="auto"/>
          <w:sz w:val="28"/>
          <w:szCs w:val="28"/>
          <w:lang w:eastAsia="zh-CN"/>
        </w:rPr>
        <w:t>）</w:t>
      </w:r>
      <w:r>
        <w:rPr>
          <w:rFonts w:hint="eastAsia" w:ascii="宋体" w:hAnsi="宋体" w:eastAsia="宋体" w:cs="宋体"/>
          <w:b/>
          <w:bCs/>
          <w:color w:val="auto"/>
          <w:kern w:val="0"/>
          <w:sz w:val="28"/>
          <w:szCs w:val="28"/>
          <w:highlight w:val="none"/>
        </w:rPr>
        <w:t>：</w:t>
      </w:r>
      <w:r>
        <w:rPr>
          <w:rFonts w:hint="eastAsia" w:ascii="宋体" w:hAnsi="宋体" w:eastAsia="宋体" w:cs="Times New Roman"/>
          <w:b/>
          <w:bCs/>
          <w:color w:val="auto"/>
          <w:kern w:val="0"/>
          <w:sz w:val="28"/>
          <w:szCs w:val="28"/>
          <w:highlight w:val="none"/>
          <w:u w:val="single"/>
          <w:lang w:eastAsia="zh-CN"/>
        </w:rPr>
        <w:t>东莞市水务集团</w:t>
      </w:r>
      <w:r>
        <w:rPr>
          <w:rFonts w:hint="eastAsia" w:ascii="宋体" w:hAnsi="宋体" w:eastAsia="宋体" w:cs="Times New Roman"/>
          <w:b/>
          <w:bCs/>
          <w:color w:val="auto"/>
          <w:kern w:val="0"/>
          <w:sz w:val="28"/>
          <w:szCs w:val="28"/>
          <w:highlight w:val="none"/>
          <w:u w:val="single"/>
          <w:lang w:val="en-US" w:eastAsia="zh-CN"/>
        </w:rPr>
        <w:t>供水</w:t>
      </w:r>
      <w:r>
        <w:rPr>
          <w:rFonts w:hint="eastAsia" w:ascii="宋体" w:hAnsi="宋体" w:eastAsia="宋体" w:cs="Times New Roman"/>
          <w:b/>
          <w:bCs/>
          <w:color w:val="auto"/>
          <w:kern w:val="0"/>
          <w:sz w:val="28"/>
          <w:szCs w:val="28"/>
          <w:highlight w:val="none"/>
          <w:u w:val="single"/>
          <w:lang w:eastAsia="zh-CN"/>
        </w:rPr>
        <w:t>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6F97DB4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Times New Roman"/>
          <w:b/>
          <w:color w:val="auto"/>
          <w:sz w:val="28"/>
          <w:szCs w:val="28"/>
        </w:rPr>
        <w:t>受托方</w:t>
      </w:r>
      <w:r>
        <w:rPr>
          <w:rFonts w:hint="eastAsia" w:ascii="宋体" w:hAnsi="宋体" w:eastAsia="宋体" w:cs="Times New Roman"/>
          <w:b/>
          <w:color w:val="auto"/>
          <w:sz w:val="28"/>
          <w:szCs w:val="28"/>
          <w:lang w:eastAsia="zh-CN"/>
        </w:rPr>
        <w:t>（</w:t>
      </w:r>
      <w:r>
        <w:rPr>
          <w:rFonts w:hint="eastAsia" w:ascii="宋体" w:hAnsi="宋体" w:eastAsia="宋体" w:cs="宋体"/>
          <w:b/>
          <w:bCs/>
          <w:color w:val="auto"/>
          <w:kern w:val="0"/>
          <w:sz w:val="28"/>
          <w:szCs w:val="28"/>
          <w:highlight w:val="none"/>
        </w:rPr>
        <w:t>乙方</w:t>
      </w:r>
      <w:r>
        <w:rPr>
          <w:rFonts w:hint="eastAsia" w:ascii="宋体" w:hAnsi="宋体" w:eastAsia="宋体" w:cs="Times New Roman"/>
          <w:b/>
          <w:color w:val="auto"/>
          <w:sz w:val="28"/>
          <w:szCs w:val="28"/>
          <w:lang w:eastAsia="zh-CN"/>
        </w:rPr>
        <w:t>）</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u w:val="single"/>
        </w:rPr>
        <w:t xml:space="preserve">                          </w:t>
      </w:r>
    </w:p>
    <w:p w14:paraId="3C5BFF4D">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5593495D">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0E062458">
      <w:pPr>
        <w:autoSpaceDE w:val="0"/>
        <w:autoSpaceDN w:val="0"/>
        <w:adjustRightInd w:val="0"/>
        <w:jc w:val="left"/>
        <w:rPr>
          <w:rFonts w:ascii="宋体" w:hAnsi="宋体" w:eastAsia="宋体" w:cs="宋体"/>
          <w:b/>
          <w:bCs/>
          <w:color w:val="auto"/>
          <w:kern w:val="0"/>
          <w:sz w:val="28"/>
          <w:szCs w:val="28"/>
          <w:highlight w:val="none"/>
        </w:rPr>
      </w:pPr>
    </w:p>
    <w:p w14:paraId="6C5D4DDF">
      <w:pPr>
        <w:autoSpaceDE w:val="0"/>
        <w:autoSpaceDN w:val="0"/>
        <w:adjustRightInd w:val="0"/>
        <w:jc w:val="left"/>
        <w:rPr>
          <w:rFonts w:ascii="宋体" w:hAnsi="宋体" w:eastAsia="宋体" w:cs="宋体"/>
          <w:b/>
          <w:bCs/>
          <w:color w:val="auto"/>
          <w:kern w:val="0"/>
          <w:sz w:val="28"/>
          <w:szCs w:val="28"/>
          <w:highlight w:val="none"/>
        </w:rPr>
      </w:pPr>
    </w:p>
    <w:p w14:paraId="014167DC">
      <w:pPr>
        <w:keepNext w:val="0"/>
        <w:keepLines w:val="0"/>
        <w:pageBreakBefore/>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受甲方委托，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组织对东莞市涉水收费统一征收系统平台2025年度运维服务项目（采购编号为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）进行采购，于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日通过公开招标，经评标委员会评定乙方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为中标单位。为了保</w:t>
      </w:r>
      <w:r>
        <w:rPr>
          <w:rFonts w:hint="eastAsia" w:ascii="宋体" w:hAnsi="宋体" w:eastAsia="宋体" w:cs="宋体"/>
          <w:color w:val="auto"/>
          <w:sz w:val="21"/>
          <w:szCs w:val="21"/>
          <w:lang w:val="en-US" w:eastAsia="zh-CN"/>
        </w:rPr>
        <w:t>双方</w:t>
      </w:r>
      <w:r>
        <w:rPr>
          <w:rFonts w:hint="eastAsia" w:ascii="宋体" w:hAnsi="宋体" w:eastAsia="宋体" w:cs="宋体"/>
          <w:color w:val="auto"/>
          <w:sz w:val="21"/>
          <w:szCs w:val="21"/>
        </w:rPr>
        <w:t>合法权益，根据《中华人民共和国政府采购法》及其实施条例、《中华人民共和国</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"http://www.chinalawedu.com/web/23251/" \t "_blank" \o "合同法"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民法典</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》，在平等自愿的基础上，按照下面的条款和条件，签署本合同。</w:t>
      </w:r>
    </w:p>
    <w:p w14:paraId="603CD9EC">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第一条 合同项目</w:t>
      </w:r>
    </w:p>
    <w:p w14:paraId="1C9D567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1、项目名称：</w:t>
      </w:r>
      <w:bookmarkStart w:id="405" w:name="_Hlk88124716"/>
      <w:r>
        <w:rPr>
          <w:rFonts w:hint="eastAsia" w:ascii="宋体" w:hAnsi="宋体" w:eastAsia="宋体" w:cs="宋体"/>
          <w:color w:val="auto"/>
          <w:sz w:val="21"/>
          <w:szCs w:val="21"/>
          <w:u w:val="single"/>
        </w:rPr>
        <w:t xml:space="preserve"> </w:t>
      </w:r>
      <w:bookmarkEnd w:id="405"/>
      <w:r>
        <w:rPr>
          <w:rFonts w:hint="eastAsia" w:ascii="宋体" w:hAnsi="宋体" w:eastAsia="宋体" w:cs="宋体"/>
          <w:color w:val="auto"/>
          <w:sz w:val="21"/>
          <w:szCs w:val="21"/>
          <w:u w:val="single"/>
        </w:rPr>
        <w:t xml:space="preserve">东莞市涉水收费统一征收系统平台2025年度运维服务项目 </w:t>
      </w:r>
    </w:p>
    <w:p w14:paraId="7571E82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2、采购编号：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3CF33B5F">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第二条 合同组成</w:t>
      </w:r>
    </w:p>
    <w:p w14:paraId="68C510E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1、合同文件组成内容包括：本合同书 、中标通知书。</w:t>
      </w:r>
    </w:p>
    <w:p w14:paraId="5F6EE80F">
      <w:pPr>
        <w:spacing w:line="360" w:lineRule="auto"/>
        <w:ind w:firstLine="422" w:firstLineChars="200"/>
        <w:rPr>
          <w:rFonts w:hint="eastAsia" w:ascii="宋体" w:hAnsi="宋体" w:eastAsia="宋体" w:cs="宋体"/>
          <w:b/>
          <w:color w:val="auto"/>
          <w:sz w:val="21"/>
          <w:szCs w:val="21"/>
          <w:lang w:val="en-US" w:eastAsia="zh-CN"/>
        </w:rPr>
      </w:pPr>
      <w:bookmarkStart w:id="406" w:name="_Toc86481558"/>
      <w:r>
        <w:rPr>
          <w:rFonts w:hint="eastAsia" w:ascii="宋体" w:hAnsi="宋体" w:eastAsia="宋体" w:cs="宋体"/>
          <w:b/>
          <w:color w:val="auto"/>
          <w:sz w:val="21"/>
          <w:szCs w:val="21"/>
        </w:rPr>
        <w:t>第三条 服务内容、标准及要求</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响应时间</w:t>
      </w:r>
    </w:p>
    <w:p w14:paraId="439849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1、采购内容：</w:t>
      </w:r>
      <w:r>
        <w:rPr>
          <w:rFonts w:hint="eastAsia" w:ascii="宋体" w:hAnsi="宋体" w:eastAsia="宋体" w:cs="宋体"/>
          <w:color w:val="auto"/>
          <w:sz w:val="21"/>
          <w:szCs w:val="21"/>
        </w:rPr>
        <w:t>东莞市涉水收费统一征收系统平台2025年度运维服务项目采购清单及周期如下：</w:t>
      </w:r>
    </w:p>
    <w:tbl>
      <w:tblPr>
        <w:tblStyle w:val="39"/>
        <w:tblW w:w="5000" w:type="pct"/>
        <w:tblInd w:w="0" w:type="dxa"/>
        <w:tblLayout w:type="fixed"/>
        <w:tblCellMar>
          <w:top w:w="0" w:type="dxa"/>
          <w:left w:w="108" w:type="dxa"/>
          <w:bottom w:w="0" w:type="dxa"/>
          <w:right w:w="108" w:type="dxa"/>
        </w:tblCellMar>
      </w:tblPr>
      <w:tblGrid>
        <w:gridCol w:w="626"/>
        <w:gridCol w:w="1269"/>
        <w:gridCol w:w="5714"/>
        <w:gridCol w:w="1132"/>
        <w:gridCol w:w="736"/>
        <w:gridCol w:w="819"/>
      </w:tblGrid>
      <w:tr w14:paraId="467AA625">
        <w:tblPrEx>
          <w:tblCellMar>
            <w:top w:w="0" w:type="dxa"/>
            <w:left w:w="108" w:type="dxa"/>
            <w:bottom w:w="0" w:type="dxa"/>
            <w:right w:w="108" w:type="dxa"/>
          </w:tblCellMar>
        </w:tblPrEx>
        <w:trPr>
          <w:trHeight w:val="240" w:hRule="atLeast"/>
          <w:tblHeader/>
        </w:trPr>
        <w:tc>
          <w:tcPr>
            <w:tcW w:w="304" w:type="pct"/>
            <w:tcBorders>
              <w:top w:val="single" w:color="auto" w:sz="4" w:space="0"/>
              <w:left w:val="single" w:color="auto" w:sz="4" w:space="0"/>
              <w:bottom w:val="single" w:color="auto" w:sz="4" w:space="0"/>
              <w:right w:val="single" w:color="auto" w:sz="4" w:space="0"/>
            </w:tcBorders>
            <w:vAlign w:val="center"/>
          </w:tcPr>
          <w:p w14:paraId="3DBF6029">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16" w:type="pct"/>
            <w:tcBorders>
              <w:top w:val="single" w:color="auto" w:sz="4" w:space="0"/>
              <w:left w:val="nil"/>
              <w:bottom w:val="single" w:color="auto" w:sz="4" w:space="0"/>
              <w:right w:val="single" w:color="auto" w:sz="4" w:space="0"/>
            </w:tcBorders>
            <w:vAlign w:val="center"/>
          </w:tcPr>
          <w:p w14:paraId="3FECA454">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774" w:type="pct"/>
            <w:tcBorders>
              <w:top w:val="single" w:color="auto" w:sz="4" w:space="0"/>
              <w:left w:val="nil"/>
              <w:bottom w:val="single" w:color="auto" w:sz="4" w:space="0"/>
              <w:right w:val="single" w:color="auto" w:sz="4" w:space="0"/>
            </w:tcBorders>
            <w:vAlign w:val="center"/>
          </w:tcPr>
          <w:p w14:paraId="510DB15F">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具体服务内容</w:t>
            </w:r>
          </w:p>
        </w:tc>
        <w:tc>
          <w:tcPr>
            <w:tcW w:w="549" w:type="pct"/>
            <w:tcBorders>
              <w:top w:val="single" w:color="auto" w:sz="4" w:space="0"/>
              <w:left w:val="nil"/>
              <w:bottom w:val="single" w:color="auto" w:sz="4" w:space="0"/>
              <w:right w:val="single" w:color="auto" w:sz="4" w:space="0"/>
            </w:tcBorders>
            <w:vAlign w:val="center"/>
          </w:tcPr>
          <w:p w14:paraId="6BE53E70">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357" w:type="pct"/>
            <w:tcBorders>
              <w:top w:val="single" w:color="auto" w:sz="4" w:space="0"/>
              <w:left w:val="nil"/>
              <w:bottom w:val="single" w:color="auto" w:sz="4" w:space="0"/>
              <w:right w:val="single" w:color="auto" w:sz="4" w:space="0"/>
            </w:tcBorders>
            <w:vAlign w:val="center"/>
          </w:tcPr>
          <w:p w14:paraId="73324906">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397" w:type="pct"/>
            <w:tcBorders>
              <w:top w:val="single" w:color="auto" w:sz="4" w:space="0"/>
              <w:left w:val="nil"/>
              <w:bottom w:val="single" w:color="auto" w:sz="4" w:space="0"/>
              <w:right w:val="single" w:color="auto" w:sz="4" w:space="0"/>
            </w:tcBorders>
            <w:vAlign w:val="center"/>
          </w:tcPr>
          <w:p w14:paraId="5BD0E26F">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0D3AF51B">
        <w:tblPrEx>
          <w:tblCellMar>
            <w:top w:w="0" w:type="dxa"/>
            <w:left w:w="108" w:type="dxa"/>
            <w:bottom w:w="0" w:type="dxa"/>
            <w:right w:w="108" w:type="dxa"/>
          </w:tblCellMar>
        </w:tblPrEx>
        <w:trPr>
          <w:trHeight w:val="450" w:hRule="atLeast"/>
        </w:trPr>
        <w:tc>
          <w:tcPr>
            <w:tcW w:w="304" w:type="pct"/>
            <w:tcBorders>
              <w:top w:val="nil"/>
              <w:left w:val="single" w:color="auto" w:sz="4" w:space="0"/>
              <w:bottom w:val="single" w:color="auto" w:sz="4" w:space="0"/>
              <w:right w:val="single" w:color="auto" w:sz="4" w:space="0"/>
            </w:tcBorders>
            <w:noWrap/>
            <w:vAlign w:val="center"/>
          </w:tcPr>
          <w:p w14:paraId="7CDBB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1</w:t>
            </w:r>
          </w:p>
        </w:tc>
        <w:tc>
          <w:tcPr>
            <w:tcW w:w="616" w:type="pct"/>
            <w:tcBorders>
              <w:top w:val="nil"/>
              <w:left w:val="nil"/>
              <w:bottom w:val="single" w:color="auto" w:sz="4" w:space="0"/>
              <w:right w:val="single" w:color="auto" w:sz="4" w:space="0"/>
            </w:tcBorders>
            <w:noWrap/>
            <w:vAlign w:val="center"/>
          </w:tcPr>
          <w:p w14:paraId="64812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系统维护服务费</w:t>
            </w:r>
          </w:p>
        </w:tc>
        <w:tc>
          <w:tcPr>
            <w:tcW w:w="2774" w:type="pct"/>
            <w:tcBorders>
              <w:top w:val="nil"/>
              <w:left w:val="nil"/>
              <w:bottom w:val="single" w:color="auto" w:sz="4" w:space="0"/>
              <w:right w:val="single" w:color="auto" w:sz="4" w:space="0"/>
            </w:tcBorders>
            <w:noWrap/>
            <w:vAlign w:val="center"/>
          </w:tcPr>
          <w:p w14:paraId="5520683A">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为保障应用类系统正常运行，对其中的软件应用系统提供的各种运行支持和技术维护服务，包括软件应用系统的功能配置完善、性能调优，以及常规的例行检查和状态监控、响应支持等维护服务</w:t>
            </w:r>
          </w:p>
        </w:tc>
        <w:tc>
          <w:tcPr>
            <w:tcW w:w="549" w:type="pct"/>
            <w:tcBorders>
              <w:top w:val="nil"/>
              <w:left w:val="nil"/>
              <w:bottom w:val="single" w:color="auto" w:sz="4" w:space="0"/>
              <w:right w:val="single" w:color="auto" w:sz="4" w:space="0"/>
            </w:tcBorders>
            <w:noWrap/>
            <w:vAlign w:val="center"/>
          </w:tcPr>
          <w:p w14:paraId="4B4DDB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7" w:type="pct"/>
            <w:tcBorders>
              <w:top w:val="nil"/>
              <w:left w:val="nil"/>
              <w:bottom w:val="single" w:color="auto" w:sz="4" w:space="0"/>
              <w:right w:val="single" w:color="auto" w:sz="4" w:space="0"/>
            </w:tcBorders>
            <w:noWrap/>
            <w:vAlign w:val="center"/>
          </w:tcPr>
          <w:p w14:paraId="087DB0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397" w:type="pct"/>
            <w:vMerge w:val="restart"/>
            <w:tcBorders>
              <w:top w:val="nil"/>
              <w:left w:val="single" w:color="auto" w:sz="4" w:space="0"/>
              <w:right w:val="single" w:color="auto" w:sz="4" w:space="0"/>
            </w:tcBorders>
            <w:vAlign w:val="center"/>
          </w:tcPr>
          <w:p w14:paraId="1BD00199">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3807C452">
        <w:tblPrEx>
          <w:tblCellMar>
            <w:top w:w="0" w:type="dxa"/>
            <w:left w:w="108" w:type="dxa"/>
            <w:bottom w:w="0" w:type="dxa"/>
            <w:right w:w="108" w:type="dxa"/>
          </w:tblCellMar>
        </w:tblPrEx>
        <w:trPr>
          <w:trHeight w:val="779" w:hRule="atLeast"/>
        </w:trPr>
        <w:tc>
          <w:tcPr>
            <w:tcW w:w="304" w:type="pct"/>
            <w:tcBorders>
              <w:top w:val="nil"/>
              <w:left w:val="single" w:color="auto" w:sz="4" w:space="0"/>
              <w:bottom w:val="single" w:color="auto" w:sz="4" w:space="0"/>
              <w:right w:val="single" w:color="auto" w:sz="4" w:space="0"/>
            </w:tcBorders>
            <w:vAlign w:val="center"/>
          </w:tcPr>
          <w:p w14:paraId="741C0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2</w:t>
            </w:r>
          </w:p>
        </w:tc>
        <w:tc>
          <w:tcPr>
            <w:tcW w:w="616" w:type="pct"/>
            <w:tcBorders>
              <w:top w:val="nil"/>
              <w:left w:val="nil"/>
              <w:bottom w:val="single" w:color="auto" w:sz="4" w:space="0"/>
              <w:right w:val="single" w:color="auto" w:sz="4" w:space="0"/>
            </w:tcBorders>
            <w:vAlign w:val="center"/>
          </w:tcPr>
          <w:p w14:paraId="53D7E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应急管理及安全保障支撑服务费</w:t>
            </w:r>
          </w:p>
        </w:tc>
        <w:tc>
          <w:tcPr>
            <w:tcW w:w="2774" w:type="pct"/>
            <w:tcBorders>
              <w:top w:val="nil"/>
              <w:left w:val="nil"/>
              <w:bottom w:val="single" w:color="auto" w:sz="4" w:space="0"/>
              <w:right w:val="single" w:color="auto" w:sz="4" w:space="0"/>
            </w:tcBorders>
            <w:vAlign w:val="center"/>
          </w:tcPr>
          <w:p w14:paraId="7090B770">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考虑到本系统托管在政务云，按照市政务服务和数据管理局要求，该系统安全由我集团负责保障，同时包含对莞盾、粤盾、重大节假日等保障服务</w:t>
            </w:r>
          </w:p>
        </w:tc>
        <w:tc>
          <w:tcPr>
            <w:tcW w:w="549" w:type="pct"/>
            <w:tcBorders>
              <w:top w:val="nil"/>
              <w:left w:val="nil"/>
              <w:bottom w:val="single" w:color="auto" w:sz="4" w:space="0"/>
              <w:right w:val="single" w:color="auto" w:sz="4" w:space="0"/>
            </w:tcBorders>
            <w:vAlign w:val="center"/>
          </w:tcPr>
          <w:p w14:paraId="287FD7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7" w:type="pct"/>
            <w:tcBorders>
              <w:top w:val="nil"/>
              <w:left w:val="nil"/>
              <w:bottom w:val="single" w:color="auto" w:sz="4" w:space="0"/>
              <w:right w:val="single" w:color="auto" w:sz="4" w:space="0"/>
            </w:tcBorders>
            <w:vAlign w:val="center"/>
          </w:tcPr>
          <w:p w14:paraId="0B01D8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397" w:type="pct"/>
            <w:vMerge w:val="continue"/>
            <w:tcBorders>
              <w:top w:val="nil"/>
              <w:left w:val="single" w:color="auto" w:sz="4" w:space="0"/>
              <w:bottom w:val="single" w:color="000000" w:sz="4" w:space="0"/>
              <w:right w:val="single" w:color="auto" w:sz="4" w:space="0"/>
            </w:tcBorders>
            <w:vAlign w:val="center"/>
          </w:tcPr>
          <w:p w14:paraId="308FD2A7">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707EC6A4">
        <w:tblPrEx>
          <w:tblCellMar>
            <w:top w:w="0" w:type="dxa"/>
            <w:left w:w="108" w:type="dxa"/>
            <w:bottom w:w="0" w:type="dxa"/>
            <w:right w:w="108" w:type="dxa"/>
          </w:tblCellMar>
        </w:tblPrEx>
        <w:trPr>
          <w:trHeight w:val="690" w:hRule="atLeast"/>
        </w:trPr>
        <w:tc>
          <w:tcPr>
            <w:tcW w:w="304" w:type="pct"/>
            <w:tcBorders>
              <w:top w:val="nil"/>
              <w:left w:val="single" w:color="auto" w:sz="4" w:space="0"/>
              <w:bottom w:val="single" w:color="auto" w:sz="4" w:space="0"/>
              <w:right w:val="single" w:color="auto" w:sz="4" w:space="0"/>
            </w:tcBorders>
            <w:noWrap/>
            <w:vAlign w:val="center"/>
          </w:tcPr>
          <w:p w14:paraId="111DD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3</w:t>
            </w:r>
          </w:p>
        </w:tc>
        <w:tc>
          <w:tcPr>
            <w:tcW w:w="616" w:type="pct"/>
            <w:tcBorders>
              <w:top w:val="nil"/>
              <w:left w:val="nil"/>
              <w:bottom w:val="single" w:color="auto" w:sz="4" w:space="0"/>
              <w:right w:val="single" w:color="auto" w:sz="4" w:space="0"/>
            </w:tcBorders>
            <w:noWrap/>
            <w:vAlign w:val="center"/>
          </w:tcPr>
          <w:p w14:paraId="14931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业务支撑服务费</w:t>
            </w:r>
          </w:p>
        </w:tc>
        <w:tc>
          <w:tcPr>
            <w:tcW w:w="2774" w:type="pct"/>
            <w:tcBorders>
              <w:top w:val="nil"/>
              <w:left w:val="nil"/>
              <w:bottom w:val="single" w:color="auto" w:sz="4" w:space="0"/>
              <w:right w:val="single" w:color="auto" w:sz="4" w:space="0"/>
            </w:tcBorders>
            <w:vAlign w:val="center"/>
          </w:tcPr>
          <w:p w14:paraId="7B3BF3AF">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与系统日常维护不同，业务支撑内容主要是对水费、污水费、垃圾费等收缴过程中出现的数据不当、对账不平等异常情况的支撑处理</w:t>
            </w:r>
          </w:p>
        </w:tc>
        <w:tc>
          <w:tcPr>
            <w:tcW w:w="549" w:type="pct"/>
            <w:tcBorders>
              <w:top w:val="nil"/>
              <w:left w:val="nil"/>
              <w:bottom w:val="single" w:color="auto" w:sz="4" w:space="0"/>
              <w:right w:val="single" w:color="auto" w:sz="4" w:space="0"/>
            </w:tcBorders>
            <w:noWrap/>
            <w:vAlign w:val="center"/>
          </w:tcPr>
          <w:p w14:paraId="2162F8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7" w:type="pct"/>
            <w:tcBorders>
              <w:top w:val="nil"/>
              <w:left w:val="nil"/>
              <w:bottom w:val="single" w:color="auto" w:sz="4" w:space="0"/>
              <w:right w:val="single" w:color="auto" w:sz="4" w:space="0"/>
            </w:tcBorders>
            <w:noWrap/>
            <w:vAlign w:val="center"/>
          </w:tcPr>
          <w:p w14:paraId="5CB854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397" w:type="pct"/>
            <w:vMerge w:val="continue"/>
            <w:tcBorders>
              <w:top w:val="nil"/>
              <w:left w:val="single" w:color="auto" w:sz="4" w:space="0"/>
              <w:bottom w:val="single" w:color="000000" w:sz="4" w:space="0"/>
              <w:right w:val="single" w:color="auto" w:sz="4" w:space="0"/>
            </w:tcBorders>
            <w:vAlign w:val="center"/>
          </w:tcPr>
          <w:p w14:paraId="5AF2A309">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121A8E1F">
        <w:tblPrEx>
          <w:tblCellMar>
            <w:top w:w="0" w:type="dxa"/>
            <w:left w:w="108" w:type="dxa"/>
            <w:bottom w:w="0" w:type="dxa"/>
            <w:right w:w="108" w:type="dxa"/>
          </w:tblCellMar>
        </w:tblPrEx>
        <w:trPr>
          <w:trHeight w:val="240" w:hRule="atLeast"/>
        </w:trPr>
        <w:tc>
          <w:tcPr>
            <w:tcW w:w="304" w:type="pct"/>
            <w:tcBorders>
              <w:top w:val="nil"/>
              <w:left w:val="single" w:color="auto" w:sz="4" w:space="0"/>
              <w:bottom w:val="single" w:color="auto" w:sz="4" w:space="0"/>
              <w:right w:val="single" w:color="auto" w:sz="4" w:space="0"/>
            </w:tcBorders>
            <w:noWrap/>
            <w:vAlign w:val="center"/>
          </w:tcPr>
          <w:p w14:paraId="236CD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4</w:t>
            </w:r>
          </w:p>
        </w:tc>
        <w:tc>
          <w:tcPr>
            <w:tcW w:w="616" w:type="pct"/>
            <w:tcBorders>
              <w:top w:val="nil"/>
              <w:left w:val="nil"/>
              <w:bottom w:val="single" w:color="auto" w:sz="4" w:space="0"/>
              <w:right w:val="single" w:color="auto" w:sz="4" w:space="0"/>
            </w:tcBorders>
            <w:noWrap/>
            <w:vAlign w:val="center"/>
          </w:tcPr>
          <w:p w14:paraId="5E3F6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技术支撑服务费</w:t>
            </w:r>
          </w:p>
        </w:tc>
        <w:tc>
          <w:tcPr>
            <w:tcW w:w="2774" w:type="pct"/>
            <w:tcBorders>
              <w:top w:val="nil"/>
              <w:left w:val="nil"/>
              <w:bottom w:val="single" w:color="auto" w:sz="4" w:space="0"/>
              <w:right w:val="single" w:color="auto" w:sz="4" w:space="0"/>
            </w:tcBorders>
            <w:noWrap/>
            <w:vAlign w:val="center"/>
          </w:tcPr>
          <w:p w14:paraId="64DC4459">
            <w:pPr>
              <w:keepNext w:val="0"/>
              <w:keepLines w:val="0"/>
              <w:suppressLineNumbers w:val="0"/>
              <w:tabs>
                <w:tab w:val="left" w:pos="873"/>
                <w:tab w:val="center" w:pos="2424"/>
              </w:tabs>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本项主要针对前端网点的终端使用技术支撑，与主要针对系统后台的日常维护服务不同。</w:t>
            </w:r>
            <w:r>
              <w:rPr>
                <w:rFonts w:hint="eastAsia" w:ascii="宋体" w:hAnsi="宋体" w:eastAsia="宋体" w:cs="宋体"/>
                <w:color w:val="auto"/>
                <w:sz w:val="21"/>
                <w:szCs w:val="21"/>
              </w:rPr>
              <w:t>　</w:t>
            </w:r>
          </w:p>
        </w:tc>
        <w:tc>
          <w:tcPr>
            <w:tcW w:w="549" w:type="pct"/>
            <w:tcBorders>
              <w:top w:val="nil"/>
              <w:left w:val="nil"/>
              <w:bottom w:val="single" w:color="auto" w:sz="4" w:space="0"/>
              <w:right w:val="single" w:color="auto" w:sz="4" w:space="0"/>
            </w:tcBorders>
            <w:noWrap/>
            <w:vAlign w:val="center"/>
          </w:tcPr>
          <w:p w14:paraId="191BE9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　</w:t>
            </w:r>
          </w:p>
        </w:tc>
        <w:tc>
          <w:tcPr>
            <w:tcW w:w="357" w:type="pct"/>
            <w:tcBorders>
              <w:top w:val="nil"/>
              <w:left w:val="nil"/>
              <w:bottom w:val="single" w:color="auto" w:sz="4" w:space="0"/>
              <w:right w:val="single" w:color="auto" w:sz="4" w:space="0"/>
            </w:tcBorders>
            <w:noWrap/>
            <w:vAlign w:val="center"/>
          </w:tcPr>
          <w:p w14:paraId="4E7111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397" w:type="pct"/>
            <w:vMerge w:val="continue"/>
            <w:tcBorders>
              <w:top w:val="nil"/>
              <w:left w:val="single" w:color="auto" w:sz="4" w:space="0"/>
              <w:bottom w:val="single" w:color="000000" w:sz="4" w:space="0"/>
              <w:right w:val="single" w:color="auto" w:sz="4" w:space="0"/>
            </w:tcBorders>
            <w:vAlign w:val="center"/>
          </w:tcPr>
          <w:p w14:paraId="649099B0">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7DDB7943">
        <w:tblPrEx>
          <w:tblCellMar>
            <w:top w:w="0" w:type="dxa"/>
            <w:left w:w="108" w:type="dxa"/>
            <w:bottom w:w="0" w:type="dxa"/>
            <w:right w:w="108" w:type="dxa"/>
          </w:tblCellMar>
        </w:tblPrEx>
        <w:trPr>
          <w:trHeight w:val="354" w:hRule="atLeast"/>
        </w:trPr>
        <w:tc>
          <w:tcPr>
            <w:tcW w:w="304" w:type="pct"/>
            <w:tcBorders>
              <w:top w:val="nil"/>
              <w:left w:val="single" w:color="auto" w:sz="4" w:space="0"/>
              <w:bottom w:val="single" w:color="auto" w:sz="4" w:space="0"/>
              <w:right w:val="single" w:color="auto" w:sz="4" w:space="0"/>
            </w:tcBorders>
            <w:noWrap/>
            <w:vAlign w:val="center"/>
          </w:tcPr>
          <w:p w14:paraId="10DC1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5</w:t>
            </w:r>
          </w:p>
        </w:tc>
        <w:tc>
          <w:tcPr>
            <w:tcW w:w="616" w:type="pct"/>
            <w:tcBorders>
              <w:top w:val="nil"/>
              <w:left w:val="nil"/>
              <w:bottom w:val="single" w:color="auto" w:sz="4" w:space="0"/>
              <w:right w:val="single" w:color="auto" w:sz="4" w:space="0"/>
            </w:tcBorders>
            <w:noWrap/>
            <w:vAlign w:val="center"/>
          </w:tcPr>
          <w:p w14:paraId="6524A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网点上门现场服务费</w:t>
            </w:r>
          </w:p>
        </w:tc>
        <w:tc>
          <w:tcPr>
            <w:tcW w:w="2774" w:type="pct"/>
            <w:tcBorders>
              <w:top w:val="nil"/>
              <w:left w:val="nil"/>
              <w:bottom w:val="single" w:color="auto" w:sz="4" w:space="0"/>
              <w:right w:val="single" w:color="auto" w:sz="4" w:space="0"/>
            </w:tcBorders>
            <w:vAlign w:val="center"/>
          </w:tcPr>
          <w:p w14:paraId="31EA9143">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全面检查每个使用网点的整体运作状况、相关政策文件执行情限况、人员配置等，并对使用网点相关设施进行预防性检查（包括但不于网络线路、电脑、打印机、路由器等） ，减少突发紧急事件的发生，体现主动服务精神，及时发现不足，并做好预案，保障系 统长期运行的稳定性。根据需要去使用网点现场处理相应的技术问题，涉及硬件、操作、缺陷、需求调整、数据修复、权限变更、登录等异常问题的用户现场纠错、排故</w:t>
            </w:r>
          </w:p>
        </w:tc>
        <w:tc>
          <w:tcPr>
            <w:tcW w:w="549" w:type="pct"/>
            <w:tcBorders>
              <w:top w:val="nil"/>
              <w:left w:val="nil"/>
              <w:bottom w:val="single" w:color="auto" w:sz="4" w:space="0"/>
              <w:right w:val="single" w:color="auto" w:sz="4" w:space="0"/>
            </w:tcBorders>
            <w:noWrap/>
            <w:vAlign w:val="center"/>
          </w:tcPr>
          <w:p w14:paraId="50E5C5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7" w:type="pct"/>
            <w:tcBorders>
              <w:top w:val="nil"/>
              <w:left w:val="nil"/>
              <w:bottom w:val="single" w:color="auto" w:sz="4" w:space="0"/>
              <w:right w:val="single" w:color="auto" w:sz="4" w:space="0"/>
            </w:tcBorders>
            <w:noWrap/>
            <w:vAlign w:val="center"/>
          </w:tcPr>
          <w:p w14:paraId="4F4AF7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397" w:type="pct"/>
            <w:vMerge w:val="continue"/>
            <w:tcBorders>
              <w:top w:val="nil"/>
              <w:left w:val="single" w:color="auto" w:sz="4" w:space="0"/>
              <w:bottom w:val="single" w:color="000000" w:sz="4" w:space="0"/>
              <w:right w:val="single" w:color="auto" w:sz="4" w:space="0"/>
            </w:tcBorders>
            <w:vAlign w:val="center"/>
          </w:tcPr>
          <w:p w14:paraId="07DAEAC0">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07CF0E7D">
        <w:tblPrEx>
          <w:tblCellMar>
            <w:top w:w="0" w:type="dxa"/>
            <w:left w:w="108" w:type="dxa"/>
            <w:bottom w:w="0" w:type="dxa"/>
            <w:right w:w="108" w:type="dxa"/>
          </w:tblCellMar>
        </w:tblPrEx>
        <w:trPr>
          <w:trHeight w:val="637" w:hRule="atLeast"/>
        </w:trPr>
        <w:tc>
          <w:tcPr>
            <w:tcW w:w="304" w:type="pct"/>
            <w:tcBorders>
              <w:top w:val="nil"/>
              <w:left w:val="single" w:color="auto" w:sz="4" w:space="0"/>
              <w:bottom w:val="single" w:color="auto" w:sz="4" w:space="0"/>
              <w:right w:val="single" w:color="auto" w:sz="4" w:space="0"/>
            </w:tcBorders>
            <w:noWrap/>
            <w:vAlign w:val="center"/>
          </w:tcPr>
          <w:p w14:paraId="19AD9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6</w:t>
            </w:r>
          </w:p>
        </w:tc>
        <w:tc>
          <w:tcPr>
            <w:tcW w:w="616" w:type="pct"/>
            <w:tcBorders>
              <w:top w:val="nil"/>
              <w:left w:val="nil"/>
              <w:bottom w:val="single" w:color="auto" w:sz="4" w:space="0"/>
              <w:right w:val="single" w:color="auto" w:sz="4" w:space="0"/>
            </w:tcBorders>
            <w:noWrap/>
            <w:vAlign w:val="center"/>
          </w:tcPr>
          <w:p w14:paraId="4AFD4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现场驻点服务费</w:t>
            </w:r>
          </w:p>
        </w:tc>
        <w:tc>
          <w:tcPr>
            <w:tcW w:w="2774" w:type="pct"/>
            <w:tcBorders>
              <w:top w:val="nil"/>
              <w:left w:val="nil"/>
              <w:bottom w:val="single" w:color="auto" w:sz="4" w:space="0"/>
              <w:right w:val="single" w:color="auto" w:sz="4" w:space="0"/>
            </w:tcBorders>
            <w:vAlign w:val="center"/>
          </w:tcPr>
          <w:p w14:paraId="581E855E">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根据用户需求提供现场驻点服务，协助查看各镇街分局每月自备水源数据录入是否正常，对异常情况告知分局跟进处理、解答分局提出的疑难问题、按要求提取用户自备水源及自来水污水情况、对需要免征或按政策征收企业，协助退款数据核对、随业务变化对新的业务需求进行讨论，协助确认变更流程等。</w:t>
            </w:r>
          </w:p>
        </w:tc>
        <w:tc>
          <w:tcPr>
            <w:tcW w:w="549" w:type="pct"/>
            <w:tcBorders>
              <w:top w:val="nil"/>
              <w:left w:val="nil"/>
              <w:bottom w:val="single" w:color="auto" w:sz="4" w:space="0"/>
              <w:right w:val="single" w:color="auto" w:sz="4" w:space="0"/>
            </w:tcBorders>
            <w:noWrap/>
            <w:vAlign w:val="center"/>
          </w:tcPr>
          <w:p w14:paraId="60E639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7" w:type="pct"/>
            <w:tcBorders>
              <w:top w:val="nil"/>
              <w:left w:val="nil"/>
              <w:bottom w:val="single" w:color="auto" w:sz="4" w:space="0"/>
              <w:right w:val="single" w:color="auto" w:sz="4" w:space="0"/>
            </w:tcBorders>
            <w:noWrap/>
            <w:vAlign w:val="center"/>
          </w:tcPr>
          <w:p w14:paraId="2262D3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397" w:type="pct"/>
            <w:vMerge w:val="continue"/>
            <w:tcBorders>
              <w:top w:val="nil"/>
              <w:left w:val="single" w:color="auto" w:sz="4" w:space="0"/>
              <w:bottom w:val="single" w:color="000000" w:sz="4" w:space="0"/>
              <w:right w:val="single" w:color="auto" w:sz="4" w:space="0"/>
            </w:tcBorders>
            <w:vAlign w:val="center"/>
          </w:tcPr>
          <w:p w14:paraId="07F6A9C3">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13B1DB90">
        <w:tblPrEx>
          <w:tblCellMar>
            <w:top w:w="0" w:type="dxa"/>
            <w:left w:w="108" w:type="dxa"/>
            <w:bottom w:w="0" w:type="dxa"/>
            <w:right w:w="108" w:type="dxa"/>
          </w:tblCellMar>
        </w:tblPrEx>
        <w:trPr>
          <w:trHeight w:val="510" w:hRule="atLeast"/>
        </w:trPr>
        <w:tc>
          <w:tcPr>
            <w:tcW w:w="304" w:type="pct"/>
            <w:tcBorders>
              <w:top w:val="nil"/>
              <w:left w:val="single" w:color="auto" w:sz="4" w:space="0"/>
              <w:bottom w:val="single" w:color="auto" w:sz="4" w:space="0"/>
              <w:right w:val="single" w:color="auto" w:sz="4" w:space="0"/>
            </w:tcBorders>
            <w:noWrap/>
            <w:vAlign w:val="center"/>
          </w:tcPr>
          <w:p w14:paraId="47FAB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7</w:t>
            </w:r>
          </w:p>
        </w:tc>
        <w:tc>
          <w:tcPr>
            <w:tcW w:w="616" w:type="pct"/>
            <w:tcBorders>
              <w:top w:val="nil"/>
              <w:left w:val="nil"/>
              <w:bottom w:val="single" w:color="auto" w:sz="4" w:space="0"/>
              <w:right w:val="single" w:color="auto" w:sz="4" w:space="0"/>
            </w:tcBorders>
            <w:noWrap/>
            <w:vAlign w:val="center"/>
          </w:tcPr>
          <w:p w14:paraId="36373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USB-KEY电子证书租用费</w:t>
            </w:r>
          </w:p>
        </w:tc>
        <w:tc>
          <w:tcPr>
            <w:tcW w:w="2774" w:type="pct"/>
            <w:tcBorders>
              <w:top w:val="nil"/>
              <w:left w:val="nil"/>
              <w:bottom w:val="single" w:color="auto" w:sz="4" w:space="0"/>
              <w:right w:val="single" w:color="auto" w:sz="4" w:space="0"/>
            </w:tcBorders>
            <w:vAlign w:val="center"/>
          </w:tcPr>
          <w:p w14:paraId="599D145A">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系统用户电子证书USBKEY年服务</w:t>
            </w:r>
          </w:p>
        </w:tc>
        <w:tc>
          <w:tcPr>
            <w:tcW w:w="549" w:type="pct"/>
            <w:tcBorders>
              <w:top w:val="nil"/>
              <w:left w:val="nil"/>
              <w:bottom w:val="single" w:color="auto" w:sz="4" w:space="0"/>
              <w:right w:val="single" w:color="auto" w:sz="4" w:space="0"/>
            </w:tcBorders>
            <w:noWrap/>
            <w:vAlign w:val="center"/>
          </w:tcPr>
          <w:p w14:paraId="41887B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715</w:t>
            </w:r>
          </w:p>
        </w:tc>
        <w:tc>
          <w:tcPr>
            <w:tcW w:w="357" w:type="pct"/>
            <w:tcBorders>
              <w:top w:val="nil"/>
              <w:left w:val="nil"/>
              <w:bottom w:val="single" w:color="auto" w:sz="4" w:space="0"/>
              <w:right w:val="single" w:color="auto" w:sz="4" w:space="0"/>
            </w:tcBorders>
            <w:noWrap/>
            <w:vAlign w:val="center"/>
          </w:tcPr>
          <w:p w14:paraId="0F00E0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个</w:t>
            </w:r>
          </w:p>
        </w:tc>
        <w:tc>
          <w:tcPr>
            <w:tcW w:w="397" w:type="pct"/>
            <w:vMerge w:val="continue"/>
            <w:tcBorders>
              <w:top w:val="nil"/>
              <w:left w:val="single" w:color="auto" w:sz="4" w:space="0"/>
              <w:bottom w:val="single" w:color="000000" w:sz="4" w:space="0"/>
              <w:right w:val="single" w:color="auto" w:sz="4" w:space="0"/>
            </w:tcBorders>
            <w:vAlign w:val="center"/>
          </w:tcPr>
          <w:p w14:paraId="3BBCF737">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2EC6B5E5">
        <w:tblPrEx>
          <w:tblCellMar>
            <w:top w:w="0" w:type="dxa"/>
            <w:left w:w="108" w:type="dxa"/>
            <w:bottom w:w="0" w:type="dxa"/>
            <w:right w:w="108" w:type="dxa"/>
          </w:tblCellMar>
        </w:tblPrEx>
        <w:trPr>
          <w:trHeight w:val="540" w:hRule="atLeast"/>
        </w:trPr>
        <w:tc>
          <w:tcPr>
            <w:tcW w:w="304" w:type="pct"/>
            <w:tcBorders>
              <w:top w:val="nil"/>
              <w:left w:val="single" w:color="auto" w:sz="4" w:space="0"/>
              <w:bottom w:val="single" w:color="auto" w:sz="4" w:space="0"/>
              <w:right w:val="single" w:color="auto" w:sz="4" w:space="0"/>
            </w:tcBorders>
            <w:noWrap/>
            <w:vAlign w:val="center"/>
          </w:tcPr>
          <w:p w14:paraId="3084F8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16" w:type="pct"/>
            <w:tcBorders>
              <w:top w:val="nil"/>
              <w:left w:val="nil"/>
              <w:bottom w:val="single" w:color="auto" w:sz="4" w:space="0"/>
              <w:right w:val="single" w:color="auto" w:sz="4" w:space="0"/>
            </w:tcBorders>
            <w:noWrap/>
            <w:vAlign w:val="center"/>
          </w:tcPr>
          <w:p w14:paraId="6E6D2E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系统等级保护测评及备案</w:t>
            </w:r>
          </w:p>
        </w:tc>
        <w:tc>
          <w:tcPr>
            <w:tcW w:w="2774" w:type="pct"/>
            <w:tcBorders>
              <w:top w:val="nil"/>
              <w:left w:val="nil"/>
              <w:bottom w:val="single" w:color="auto" w:sz="4" w:space="0"/>
              <w:right w:val="single" w:color="auto" w:sz="4" w:space="0"/>
            </w:tcBorders>
            <w:noWrap/>
            <w:vAlign w:val="center"/>
          </w:tcPr>
          <w:p w14:paraId="1F773DC4">
            <w:pPr>
              <w:pStyle w:val="2"/>
              <w:keepNext w:val="0"/>
              <w:keepLines w:val="0"/>
              <w:suppressLineNumbers w:val="0"/>
              <w:spacing w:before="0" w:beforeAutospacing="0" w:after="0" w:afterAutospacing="0"/>
              <w:ind w:left="0"/>
              <w:jc w:val="lef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从物理安全、网络安全、主机安全、应用安全、数据安全与备份恢复、安全管理制度、安全管理机构、人员安全管理、系统建设管理、系统运维管理等方面，对系统进行二级等保标准的测评并完成网监备案</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乙</w:t>
            </w:r>
            <w:r>
              <w:rPr>
                <w:rFonts w:hint="eastAsia" w:ascii="宋体" w:hAnsi="宋体" w:eastAsia="宋体" w:cs="宋体"/>
                <w:b w:val="0"/>
                <w:bCs w:val="0"/>
                <w:color w:val="auto"/>
                <w:sz w:val="21"/>
                <w:szCs w:val="21"/>
              </w:rPr>
              <w:t>方提供的评测单位应具有国家等级保护测评资质。</w:t>
            </w:r>
          </w:p>
        </w:tc>
        <w:tc>
          <w:tcPr>
            <w:tcW w:w="549" w:type="pct"/>
            <w:tcBorders>
              <w:top w:val="nil"/>
              <w:left w:val="nil"/>
              <w:bottom w:val="single" w:color="auto" w:sz="4" w:space="0"/>
              <w:right w:val="single" w:color="auto" w:sz="4" w:space="0"/>
            </w:tcBorders>
            <w:noWrap/>
            <w:vAlign w:val="center"/>
          </w:tcPr>
          <w:p w14:paraId="3A3234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57" w:type="pct"/>
            <w:tcBorders>
              <w:top w:val="nil"/>
              <w:left w:val="nil"/>
              <w:bottom w:val="single" w:color="auto" w:sz="4" w:space="0"/>
              <w:right w:val="single" w:color="auto" w:sz="4" w:space="0"/>
            </w:tcBorders>
            <w:noWrap/>
            <w:vAlign w:val="center"/>
          </w:tcPr>
          <w:p w14:paraId="727242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套</w:t>
            </w:r>
          </w:p>
        </w:tc>
        <w:tc>
          <w:tcPr>
            <w:tcW w:w="397" w:type="pct"/>
            <w:vMerge w:val="continue"/>
            <w:tcBorders>
              <w:top w:val="nil"/>
              <w:left w:val="single" w:color="auto" w:sz="4" w:space="0"/>
              <w:bottom w:val="single" w:color="000000" w:sz="4" w:space="0"/>
              <w:right w:val="single" w:color="auto" w:sz="4" w:space="0"/>
            </w:tcBorders>
            <w:vAlign w:val="center"/>
          </w:tcPr>
          <w:p w14:paraId="4F651409">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bl>
    <w:p w14:paraId="2D709F2F">
      <w:pPr>
        <w:numPr>
          <w:ilvl w:val="0"/>
          <w:numId w:val="2"/>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采购标准及要求：具体采购内容采购标准及要求以招标文件用户需求书及</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方投标文件承诺条款及方案为准。</w:t>
      </w:r>
    </w:p>
    <w:p w14:paraId="0B5C4722">
      <w:pPr>
        <w:numPr>
          <w:ilvl w:val="0"/>
          <w:numId w:val="2"/>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服务响应时间：</w:t>
      </w:r>
    </w:p>
    <w:tbl>
      <w:tblPr>
        <w:tblStyle w:val="39"/>
        <w:tblW w:w="4999" w:type="pct"/>
        <w:jc w:val="center"/>
        <w:tblLayout w:type="autofit"/>
        <w:tblCellMar>
          <w:top w:w="0" w:type="dxa"/>
          <w:left w:w="108" w:type="dxa"/>
          <w:bottom w:w="0" w:type="dxa"/>
          <w:right w:w="108" w:type="dxa"/>
        </w:tblCellMar>
      </w:tblPr>
      <w:tblGrid>
        <w:gridCol w:w="5102"/>
        <w:gridCol w:w="2900"/>
        <w:gridCol w:w="2292"/>
      </w:tblGrid>
      <w:tr w14:paraId="61EA0E14">
        <w:tblPrEx>
          <w:tblCellMar>
            <w:top w:w="0" w:type="dxa"/>
            <w:left w:w="108" w:type="dxa"/>
            <w:bottom w:w="0" w:type="dxa"/>
            <w:right w:w="108" w:type="dxa"/>
          </w:tblCellMar>
        </w:tblPrEx>
        <w:trPr>
          <w:trHeight w:val="315" w:hRule="atLeast"/>
          <w:tblHeader/>
          <w:jc w:val="center"/>
        </w:trPr>
        <w:tc>
          <w:tcPr>
            <w:tcW w:w="2477" w:type="pct"/>
            <w:tcBorders>
              <w:top w:val="single" w:color="auto" w:sz="4" w:space="0"/>
              <w:left w:val="single" w:color="auto" w:sz="4" w:space="0"/>
              <w:bottom w:val="single" w:color="auto" w:sz="4" w:space="0"/>
              <w:right w:val="single" w:color="auto" w:sz="4" w:space="0"/>
            </w:tcBorders>
            <w:shd w:val="pct10" w:color="auto" w:fill="auto"/>
            <w:vAlign w:val="center"/>
          </w:tcPr>
          <w:p w14:paraId="2B22B0CF">
            <w:pPr>
              <w:keepNext w:val="0"/>
              <w:keepLines w:val="0"/>
              <w:widowControl/>
              <w:suppressLineNumbers w:val="0"/>
              <w:adjustRightInd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故障级别</w:t>
            </w:r>
          </w:p>
        </w:tc>
        <w:tc>
          <w:tcPr>
            <w:tcW w:w="1408" w:type="pct"/>
            <w:tcBorders>
              <w:top w:val="single" w:color="auto" w:sz="4" w:space="0"/>
              <w:left w:val="nil"/>
              <w:bottom w:val="single" w:color="auto" w:sz="4" w:space="0"/>
              <w:right w:val="single" w:color="auto" w:sz="4" w:space="0"/>
            </w:tcBorders>
            <w:shd w:val="pct10" w:color="auto" w:fill="auto"/>
            <w:vAlign w:val="center"/>
          </w:tcPr>
          <w:p w14:paraId="46174C31">
            <w:pPr>
              <w:keepNext w:val="0"/>
              <w:keepLines w:val="0"/>
              <w:widowControl/>
              <w:suppressLineNumbers w:val="0"/>
              <w:adjustRightInd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响应时间</w:t>
            </w:r>
          </w:p>
        </w:tc>
        <w:tc>
          <w:tcPr>
            <w:tcW w:w="1113" w:type="pct"/>
            <w:tcBorders>
              <w:top w:val="single" w:color="auto" w:sz="4" w:space="0"/>
              <w:left w:val="nil"/>
              <w:bottom w:val="single" w:color="auto" w:sz="4" w:space="0"/>
              <w:right w:val="single" w:color="auto" w:sz="4" w:space="0"/>
            </w:tcBorders>
            <w:shd w:val="pct10" w:color="auto" w:fill="auto"/>
          </w:tcPr>
          <w:p w14:paraId="71BCFB55">
            <w:pPr>
              <w:keepNext w:val="0"/>
              <w:keepLines w:val="0"/>
              <w:widowControl/>
              <w:suppressLineNumbers w:val="0"/>
              <w:adjustRightInd w:val="0"/>
              <w:spacing w:before="0" w:beforeAutospacing="0" w:after="0" w:afterAutospacing="0"/>
              <w:ind w:left="-94" w:leftChars="-45"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故障解决时间</w:t>
            </w:r>
          </w:p>
        </w:tc>
      </w:tr>
      <w:tr w14:paraId="34537C27">
        <w:tblPrEx>
          <w:tblCellMar>
            <w:top w:w="0" w:type="dxa"/>
            <w:left w:w="108" w:type="dxa"/>
            <w:bottom w:w="0" w:type="dxa"/>
            <w:right w:w="108" w:type="dxa"/>
          </w:tblCellMar>
        </w:tblPrEx>
        <w:trPr>
          <w:trHeight w:val="707" w:hRule="atLeast"/>
          <w:jc w:val="center"/>
        </w:trPr>
        <w:tc>
          <w:tcPr>
            <w:tcW w:w="2477" w:type="pct"/>
            <w:tcBorders>
              <w:top w:val="nil"/>
              <w:left w:val="single" w:color="auto" w:sz="4" w:space="0"/>
              <w:bottom w:val="single" w:color="auto" w:sz="4" w:space="0"/>
              <w:right w:val="single" w:color="auto" w:sz="4" w:space="0"/>
            </w:tcBorders>
            <w:vAlign w:val="center"/>
          </w:tcPr>
          <w:p w14:paraId="4B1D4E69">
            <w:pPr>
              <w:keepNext w:val="0"/>
              <w:keepLines w:val="0"/>
              <w:suppressLineNumbers w:val="0"/>
              <w:spacing w:before="0" w:beforeAutospacing="0" w:after="6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I级：属于紧急问题；其具体现象为：系统崩溃导致业务停止、数据丢失。</w:t>
            </w:r>
          </w:p>
        </w:tc>
        <w:tc>
          <w:tcPr>
            <w:tcW w:w="1408" w:type="pct"/>
            <w:tcBorders>
              <w:top w:val="nil"/>
              <w:left w:val="nil"/>
              <w:bottom w:val="single" w:color="auto" w:sz="4" w:space="0"/>
              <w:right w:val="single" w:color="auto" w:sz="4" w:space="0"/>
            </w:tcBorders>
            <w:vAlign w:val="center"/>
          </w:tcPr>
          <w:p w14:paraId="5E11D9F3">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5分钟内响应，2小时内提交故障处理方案</w:t>
            </w:r>
          </w:p>
        </w:tc>
        <w:tc>
          <w:tcPr>
            <w:tcW w:w="1113" w:type="pct"/>
            <w:tcBorders>
              <w:top w:val="nil"/>
              <w:left w:val="nil"/>
              <w:bottom w:val="single" w:color="auto" w:sz="4" w:space="0"/>
              <w:right w:val="single" w:color="auto" w:sz="4" w:space="0"/>
            </w:tcBorders>
            <w:vAlign w:val="center"/>
          </w:tcPr>
          <w:p w14:paraId="21F0235C">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2小时以内</w:t>
            </w:r>
          </w:p>
        </w:tc>
      </w:tr>
      <w:tr w14:paraId="72A79300">
        <w:tblPrEx>
          <w:tblCellMar>
            <w:top w:w="0" w:type="dxa"/>
            <w:left w:w="108" w:type="dxa"/>
            <w:bottom w:w="0" w:type="dxa"/>
            <w:right w:w="108" w:type="dxa"/>
          </w:tblCellMar>
        </w:tblPrEx>
        <w:trPr>
          <w:trHeight w:val="592" w:hRule="atLeast"/>
          <w:jc w:val="center"/>
        </w:trPr>
        <w:tc>
          <w:tcPr>
            <w:tcW w:w="2477" w:type="pct"/>
            <w:tcBorders>
              <w:top w:val="nil"/>
              <w:left w:val="single" w:color="auto" w:sz="4" w:space="0"/>
              <w:bottom w:val="single" w:color="auto" w:sz="4" w:space="0"/>
              <w:right w:val="single" w:color="auto" w:sz="4" w:space="0"/>
            </w:tcBorders>
            <w:vAlign w:val="center"/>
          </w:tcPr>
          <w:p w14:paraId="16733550">
            <w:pPr>
              <w:keepNext w:val="0"/>
              <w:keepLines w:val="0"/>
              <w:suppressLineNumbers w:val="0"/>
              <w:spacing w:before="0" w:beforeAutospacing="0" w:after="6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II级：属于严重问题；其具体现象为：出现部分功能失效、系统性能下降但能正常运行，不影响正常业务运作。</w:t>
            </w:r>
          </w:p>
        </w:tc>
        <w:tc>
          <w:tcPr>
            <w:tcW w:w="1408" w:type="pct"/>
            <w:tcBorders>
              <w:top w:val="nil"/>
              <w:left w:val="nil"/>
              <w:bottom w:val="single" w:color="auto" w:sz="4" w:space="0"/>
              <w:right w:val="single" w:color="auto" w:sz="4" w:space="0"/>
            </w:tcBorders>
            <w:vAlign w:val="center"/>
          </w:tcPr>
          <w:p w14:paraId="23F4F05D">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分钟内响应，4小时内提交故障处理方案</w:t>
            </w:r>
          </w:p>
        </w:tc>
        <w:tc>
          <w:tcPr>
            <w:tcW w:w="1113" w:type="pct"/>
            <w:tcBorders>
              <w:top w:val="nil"/>
              <w:left w:val="nil"/>
              <w:bottom w:val="single" w:color="auto" w:sz="4" w:space="0"/>
              <w:right w:val="single" w:color="auto" w:sz="4" w:space="0"/>
            </w:tcBorders>
            <w:vAlign w:val="center"/>
          </w:tcPr>
          <w:p w14:paraId="422D2AA3">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8小时以内</w:t>
            </w:r>
          </w:p>
        </w:tc>
      </w:tr>
      <w:tr w14:paraId="4409985E">
        <w:tblPrEx>
          <w:tblCellMar>
            <w:top w:w="0" w:type="dxa"/>
            <w:left w:w="108" w:type="dxa"/>
            <w:bottom w:w="0" w:type="dxa"/>
            <w:right w:w="108" w:type="dxa"/>
          </w:tblCellMar>
        </w:tblPrEx>
        <w:trPr>
          <w:trHeight w:val="912" w:hRule="atLeast"/>
          <w:jc w:val="center"/>
        </w:trPr>
        <w:tc>
          <w:tcPr>
            <w:tcW w:w="2477" w:type="pct"/>
            <w:tcBorders>
              <w:top w:val="nil"/>
              <w:left w:val="single" w:color="auto" w:sz="4" w:space="0"/>
              <w:bottom w:val="single" w:color="auto" w:sz="4" w:space="0"/>
              <w:right w:val="single" w:color="auto" w:sz="4" w:space="0"/>
            </w:tcBorders>
            <w:vAlign w:val="center"/>
          </w:tcPr>
          <w:p w14:paraId="12FC734E">
            <w:pPr>
              <w:keepNext w:val="0"/>
              <w:keepLines w:val="0"/>
              <w:suppressLineNumbers w:val="0"/>
              <w:spacing w:before="0" w:beforeAutospacing="0" w:after="6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III级：属于较严重问题；其具体现象为：出现系统报错或警告，但业务系统能继续运行且性能不受影响。</w:t>
            </w:r>
          </w:p>
        </w:tc>
        <w:tc>
          <w:tcPr>
            <w:tcW w:w="1408" w:type="pct"/>
            <w:tcBorders>
              <w:top w:val="nil"/>
              <w:left w:val="nil"/>
              <w:bottom w:val="single" w:color="auto" w:sz="4" w:space="0"/>
              <w:right w:val="single" w:color="auto" w:sz="4" w:space="0"/>
            </w:tcBorders>
            <w:vAlign w:val="center"/>
          </w:tcPr>
          <w:p w14:paraId="6ABA2B61">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分钟内响应，8小时内提交故障处理方案</w:t>
            </w:r>
          </w:p>
        </w:tc>
        <w:tc>
          <w:tcPr>
            <w:tcW w:w="1113" w:type="pct"/>
            <w:tcBorders>
              <w:top w:val="nil"/>
              <w:left w:val="nil"/>
              <w:bottom w:val="single" w:color="auto" w:sz="4" w:space="0"/>
              <w:right w:val="single" w:color="auto" w:sz="4" w:space="0"/>
            </w:tcBorders>
            <w:vAlign w:val="center"/>
          </w:tcPr>
          <w:p w14:paraId="6569782B">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12小时以内</w:t>
            </w:r>
          </w:p>
        </w:tc>
      </w:tr>
      <w:tr w14:paraId="42D9473D">
        <w:tblPrEx>
          <w:tblCellMar>
            <w:top w:w="0" w:type="dxa"/>
            <w:left w:w="108" w:type="dxa"/>
            <w:bottom w:w="0" w:type="dxa"/>
            <w:right w:w="108" w:type="dxa"/>
          </w:tblCellMar>
        </w:tblPrEx>
        <w:trPr>
          <w:trHeight w:val="302" w:hRule="atLeast"/>
          <w:jc w:val="center"/>
        </w:trPr>
        <w:tc>
          <w:tcPr>
            <w:tcW w:w="2477" w:type="pct"/>
            <w:tcBorders>
              <w:top w:val="nil"/>
              <w:left w:val="single" w:color="auto" w:sz="4" w:space="0"/>
              <w:bottom w:val="single" w:color="auto" w:sz="4" w:space="0"/>
              <w:right w:val="single" w:color="auto" w:sz="4" w:space="0"/>
            </w:tcBorders>
            <w:vAlign w:val="center"/>
          </w:tcPr>
          <w:p w14:paraId="01558980">
            <w:pPr>
              <w:keepNext w:val="0"/>
              <w:keepLines w:val="0"/>
              <w:suppressLineNumbers w:val="0"/>
              <w:spacing w:before="0" w:beforeAutospacing="0" w:after="6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IV级：属于普通问题；其具体现象为：系统技术功能、安装或配置咨询，或其他显然不影响业务的预约服务。</w:t>
            </w:r>
          </w:p>
        </w:tc>
        <w:tc>
          <w:tcPr>
            <w:tcW w:w="1408" w:type="pct"/>
            <w:tcBorders>
              <w:top w:val="nil"/>
              <w:left w:val="nil"/>
              <w:bottom w:val="single" w:color="auto" w:sz="4" w:space="0"/>
              <w:right w:val="single" w:color="auto" w:sz="4" w:space="0"/>
            </w:tcBorders>
            <w:vAlign w:val="center"/>
          </w:tcPr>
          <w:p w14:paraId="639F104F">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分钟内响应，12小时内提交故障处理方案</w:t>
            </w:r>
          </w:p>
        </w:tc>
        <w:tc>
          <w:tcPr>
            <w:tcW w:w="1113" w:type="pct"/>
            <w:tcBorders>
              <w:top w:val="nil"/>
              <w:left w:val="nil"/>
              <w:bottom w:val="single" w:color="auto" w:sz="4" w:space="0"/>
              <w:right w:val="single" w:color="auto" w:sz="4" w:space="0"/>
            </w:tcBorders>
            <w:vAlign w:val="center"/>
          </w:tcPr>
          <w:p w14:paraId="54887971">
            <w:pPr>
              <w:keepNext w:val="0"/>
              <w:keepLines w:val="0"/>
              <w:suppressLineNumbers w:val="0"/>
              <w:spacing w:before="0" w:beforeAutospacing="0" w:after="6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3天内</w:t>
            </w:r>
          </w:p>
        </w:tc>
      </w:tr>
    </w:tbl>
    <w:p w14:paraId="7AFC1833">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第四条 价格</w:t>
      </w:r>
    </w:p>
    <w:p w14:paraId="5E7B69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1、合同总价：该项目合同期为</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年，总服务费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val="en-US" w:eastAsia="zh-CN"/>
        </w:rPr>
        <w:t>大写人民币：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元整。</w:t>
      </w:r>
      <w:r>
        <w:rPr>
          <w:rFonts w:hint="eastAsia" w:ascii="宋体" w:hAnsi="宋体" w:eastAsia="宋体" w:cs="宋体"/>
          <w:color w:val="auto"/>
          <w:sz w:val="21"/>
          <w:szCs w:val="21"/>
        </w:rPr>
        <w:t>但因乙方违约导致相关费用扣减的除外。</w:t>
      </w:r>
    </w:p>
    <w:p w14:paraId="798F74AB">
      <w:pPr>
        <w:spacing w:line="360" w:lineRule="auto"/>
        <w:ind w:firstLine="0" w:firstLineChars="0"/>
        <w:rPr>
          <w:rFonts w:hint="eastAsia" w:ascii="宋体" w:hAnsi="宋体" w:eastAsia="宋体" w:cs="宋体"/>
          <w:color w:val="auto"/>
          <w:sz w:val="21"/>
          <w:szCs w:val="21"/>
        </w:rPr>
        <w:sectPr>
          <w:footerReference r:id="rId3" w:type="default"/>
          <w:pgSz w:w="11906" w:h="16838"/>
          <w:pgMar w:top="1440" w:right="750" w:bottom="1440" w:left="1076" w:header="851" w:footer="992" w:gutter="0"/>
          <w:pgNumType w:fmt="decimal"/>
          <w:cols w:space="720" w:num="1"/>
          <w:docGrid w:type="lines" w:linePitch="312" w:charSpace="0"/>
        </w:sectPr>
      </w:pPr>
    </w:p>
    <w:p w14:paraId="3EE14A54">
      <w:pPr>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价格构成清单表如下</w:t>
      </w:r>
    </w:p>
    <w:tbl>
      <w:tblPr>
        <w:tblStyle w:val="39"/>
        <w:tblW w:w="0" w:type="auto"/>
        <w:tblInd w:w="0" w:type="dxa"/>
        <w:tblLayout w:type="fixed"/>
        <w:tblCellMar>
          <w:top w:w="0" w:type="dxa"/>
          <w:left w:w="108" w:type="dxa"/>
          <w:bottom w:w="0" w:type="dxa"/>
          <w:right w:w="108" w:type="dxa"/>
        </w:tblCellMar>
      </w:tblPr>
      <w:tblGrid>
        <w:gridCol w:w="704"/>
        <w:gridCol w:w="1276"/>
        <w:gridCol w:w="4961"/>
        <w:gridCol w:w="709"/>
        <w:gridCol w:w="850"/>
        <w:gridCol w:w="1701"/>
        <w:gridCol w:w="709"/>
        <w:gridCol w:w="1701"/>
        <w:gridCol w:w="1337"/>
      </w:tblGrid>
      <w:tr w14:paraId="1C61F488">
        <w:tblPrEx>
          <w:tblCellMar>
            <w:top w:w="0" w:type="dxa"/>
            <w:left w:w="108" w:type="dxa"/>
            <w:bottom w:w="0" w:type="dxa"/>
            <w:right w:w="108" w:type="dxa"/>
          </w:tblCellMar>
        </w:tblPrEx>
        <w:trPr>
          <w:trHeight w:val="58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3888896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276" w:type="dxa"/>
            <w:tcBorders>
              <w:top w:val="single" w:color="auto" w:sz="4" w:space="0"/>
              <w:left w:val="nil"/>
              <w:bottom w:val="single" w:color="auto" w:sz="4" w:space="0"/>
              <w:right w:val="single" w:color="auto" w:sz="4" w:space="0"/>
            </w:tcBorders>
            <w:vAlign w:val="center"/>
          </w:tcPr>
          <w:p w14:paraId="2FB4777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采购项目</w:t>
            </w:r>
          </w:p>
        </w:tc>
        <w:tc>
          <w:tcPr>
            <w:tcW w:w="4961" w:type="dxa"/>
            <w:tcBorders>
              <w:top w:val="single" w:color="auto" w:sz="4" w:space="0"/>
              <w:left w:val="nil"/>
              <w:bottom w:val="single" w:color="auto" w:sz="4" w:space="0"/>
              <w:right w:val="single" w:color="auto" w:sz="4" w:space="0"/>
            </w:tcBorders>
            <w:vAlign w:val="center"/>
          </w:tcPr>
          <w:p w14:paraId="4B3106C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服务内容</w:t>
            </w:r>
          </w:p>
        </w:tc>
        <w:tc>
          <w:tcPr>
            <w:tcW w:w="709" w:type="dxa"/>
            <w:tcBorders>
              <w:top w:val="single" w:color="auto" w:sz="4" w:space="0"/>
              <w:left w:val="nil"/>
              <w:bottom w:val="single" w:color="auto" w:sz="4" w:space="0"/>
              <w:right w:val="single" w:color="auto" w:sz="4" w:space="0"/>
            </w:tcBorders>
            <w:vAlign w:val="center"/>
          </w:tcPr>
          <w:p w14:paraId="37070A3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850" w:type="dxa"/>
            <w:tcBorders>
              <w:top w:val="single" w:color="auto" w:sz="4" w:space="0"/>
              <w:left w:val="nil"/>
              <w:bottom w:val="single" w:color="auto" w:sz="4" w:space="0"/>
              <w:right w:val="single" w:color="auto" w:sz="4" w:space="0"/>
            </w:tcBorders>
            <w:vAlign w:val="center"/>
          </w:tcPr>
          <w:p w14:paraId="0D773280">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c>
          <w:tcPr>
            <w:tcW w:w="1701" w:type="dxa"/>
            <w:tcBorders>
              <w:top w:val="single" w:color="auto" w:sz="4" w:space="0"/>
              <w:left w:val="nil"/>
              <w:bottom w:val="single" w:color="auto" w:sz="4" w:space="0"/>
              <w:right w:val="single" w:color="auto" w:sz="4" w:space="0"/>
            </w:tcBorders>
            <w:vAlign w:val="center"/>
          </w:tcPr>
          <w:p w14:paraId="0D5733A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单价（元/年）</w:t>
            </w:r>
          </w:p>
        </w:tc>
        <w:tc>
          <w:tcPr>
            <w:tcW w:w="709" w:type="dxa"/>
            <w:tcBorders>
              <w:top w:val="single" w:color="auto" w:sz="4" w:space="0"/>
              <w:left w:val="nil"/>
              <w:bottom w:val="single" w:color="auto" w:sz="4" w:space="0"/>
              <w:right w:val="single" w:color="auto" w:sz="4" w:space="0"/>
            </w:tcBorders>
            <w:vAlign w:val="center"/>
          </w:tcPr>
          <w:p w14:paraId="4EB5CB0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采购时长</w:t>
            </w:r>
          </w:p>
        </w:tc>
        <w:tc>
          <w:tcPr>
            <w:tcW w:w="1701" w:type="dxa"/>
            <w:tcBorders>
              <w:top w:val="single" w:color="auto" w:sz="4" w:space="0"/>
              <w:left w:val="nil"/>
              <w:bottom w:val="single" w:color="auto" w:sz="4" w:space="0"/>
              <w:right w:val="single" w:color="auto" w:sz="4" w:space="0"/>
            </w:tcBorders>
            <w:vAlign w:val="center"/>
          </w:tcPr>
          <w:p w14:paraId="0AA11DB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小计</w:t>
            </w:r>
          </w:p>
        </w:tc>
        <w:tc>
          <w:tcPr>
            <w:tcW w:w="1337" w:type="dxa"/>
            <w:tcBorders>
              <w:top w:val="single" w:color="auto" w:sz="4" w:space="0"/>
              <w:left w:val="nil"/>
              <w:bottom w:val="single" w:color="auto" w:sz="4" w:space="0"/>
              <w:right w:val="single" w:color="auto" w:sz="4" w:space="0"/>
            </w:tcBorders>
            <w:vAlign w:val="center"/>
          </w:tcPr>
          <w:p w14:paraId="2D992A25">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38A244B2">
        <w:tblPrEx>
          <w:tblCellMar>
            <w:top w:w="0" w:type="dxa"/>
            <w:left w:w="108" w:type="dxa"/>
            <w:bottom w:w="0" w:type="dxa"/>
            <w:right w:w="108" w:type="dxa"/>
          </w:tblCellMar>
        </w:tblPrEx>
        <w:trPr>
          <w:trHeight w:val="510" w:hRule="atLeast"/>
        </w:trPr>
        <w:tc>
          <w:tcPr>
            <w:tcW w:w="704" w:type="dxa"/>
            <w:tcBorders>
              <w:top w:val="nil"/>
              <w:left w:val="single" w:color="auto" w:sz="4" w:space="0"/>
              <w:bottom w:val="single" w:color="auto" w:sz="4" w:space="0"/>
              <w:right w:val="single" w:color="auto" w:sz="4" w:space="0"/>
            </w:tcBorders>
            <w:noWrap/>
            <w:vAlign w:val="center"/>
          </w:tcPr>
          <w:p w14:paraId="79917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1</w:t>
            </w:r>
          </w:p>
        </w:tc>
        <w:tc>
          <w:tcPr>
            <w:tcW w:w="1276" w:type="dxa"/>
            <w:tcBorders>
              <w:top w:val="nil"/>
              <w:left w:val="nil"/>
              <w:bottom w:val="single" w:color="auto" w:sz="4" w:space="0"/>
              <w:right w:val="single" w:color="auto" w:sz="4" w:space="0"/>
            </w:tcBorders>
            <w:noWrap/>
            <w:vAlign w:val="center"/>
          </w:tcPr>
          <w:p w14:paraId="0CAB0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系统维护服务费</w:t>
            </w:r>
          </w:p>
        </w:tc>
        <w:tc>
          <w:tcPr>
            <w:tcW w:w="4961" w:type="dxa"/>
            <w:tcBorders>
              <w:top w:val="nil"/>
              <w:left w:val="nil"/>
              <w:bottom w:val="single" w:color="auto" w:sz="4" w:space="0"/>
              <w:right w:val="single" w:color="auto" w:sz="4" w:space="0"/>
            </w:tcBorders>
            <w:noWrap/>
            <w:vAlign w:val="center"/>
          </w:tcPr>
          <w:p w14:paraId="4737068A">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为保障应用类系统正常运行，对其中的软件应用系统提供的各种运行支持和技术维护服务，包括软件应用系统的功能配置完善、性能调优，以及常规的例行检查和状态监控、响应支持等维护服务</w:t>
            </w:r>
          </w:p>
        </w:tc>
        <w:tc>
          <w:tcPr>
            <w:tcW w:w="709" w:type="dxa"/>
            <w:tcBorders>
              <w:top w:val="nil"/>
              <w:left w:val="nil"/>
              <w:bottom w:val="single" w:color="auto" w:sz="4" w:space="0"/>
              <w:right w:val="single" w:color="auto" w:sz="4" w:space="0"/>
            </w:tcBorders>
            <w:noWrap/>
            <w:vAlign w:val="center"/>
          </w:tcPr>
          <w:p w14:paraId="0919C7C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50" w:type="dxa"/>
            <w:tcBorders>
              <w:top w:val="nil"/>
              <w:left w:val="nil"/>
              <w:bottom w:val="single" w:color="auto" w:sz="4" w:space="0"/>
              <w:right w:val="single" w:color="auto" w:sz="4" w:space="0"/>
            </w:tcBorders>
            <w:noWrap/>
            <w:vAlign w:val="center"/>
          </w:tcPr>
          <w:p w14:paraId="3DD9046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701" w:type="dxa"/>
            <w:tcBorders>
              <w:top w:val="nil"/>
              <w:left w:val="nil"/>
              <w:bottom w:val="single" w:color="auto" w:sz="4" w:space="0"/>
              <w:right w:val="single" w:color="auto" w:sz="4" w:space="0"/>
            </w:tcBorders>
            <w:vAlign w:val="center"/>
          </w:tcPr>
          <w:p w14:paraId="00F3EE8E">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709" w:type="dxa"/>
            <w:tcBorders>
              <w:top w:val="nil"/>
              <w:left w:val="nil"/>
              <w:bottom w:val="single" w:color="auto" w:sz="4" w:space="0"/>
              <w:right w:val="single" w:color="auto" w:sz="4" w:space="0"/>
            </w:tcBorders>
            <w:vAlign w:val="center"/>
          </w:tcPr>
          <w:p w14:paraId="24CB456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29E59783">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1337" w:type="dxa"/>
            <w:vMerge w:val="restart"/>
            <w:tcBorders>
              <w:top w:val="nil"/>
              <w:left w:val="single" w:color="auto" w:sz="4" w:space="0"/>
              <w:right w:val="single" w:color="auto" w:sz="4" w:space="0"/>
            </w:tcBorders>
            <w:vAlign w:val="center"/>
          </w:tcPr>
          <w:p w14:paraId="4E9D41C0">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p>
        </w:tc>
      </w:tr>
      <w:tr w14:paraId="57058C79">
        <w:tblPrEx>
          <w:tblCellMar>
            <w:top w:w="0" w:type="dxa"/>
            <w:left w:w="108" w:type="dxa"/>
            <w:bottom w:w="0" w:type="dxa"/>
            <w:right w:w="108" w:type="dxa"/>
          </w:tblCellMar>
        </w:tblPrEx>
        <w:trPr>
          <w:trHeight w:val="1785" w:hRule="atLeast"/>
        </w:trPr>
        <w:tc>
          <w:tcPr>
            <w:tcW w:w="704" w:type="dxa"/>
            <w:tcBorders>
              <w:top w:val="nil"/>
              <w:left w:val="single" w:color="auto" w:sz="4" w:space="0"/>
              <w:bottom w:val="single" w:color="auto" w:sz="4" w:space="0"/>
              <w:right w:val="single" w:color="auto" w:sz="4" w:space="0"/>
            </w:tcBorders>
            <w:vAlign w:val="center"/>
          </w:tcPr>
          <w:p w14:paraId="0AF36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2</w:t>
            </w:r>
          </w:p>
        </w:tc>
        <w:tc>
          <w:tcPr>
            <w:tcW w:w="1276" w:type="dxa"/>
            <w:tcBorders>
              <w:top w:val="nil"/>
              <w:left w:val="nil"/>
              <w:bottom w:val="single" w:color="auto" w:sz="4" w:space="0"/>
              <w:right w:val="single" w:color="auto" w:sz="4" w:space="0"/>
            </w:tcBorders>
            <w:vAlign w:val="center"/>
          </w:tcPr>
          <w:p w14:paraId="020AE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应急管理及安全保障支撑服务费</w:t>
            </w:r>
          </w:p>
        </w:tc>
        <w:tc>
          <w:tcPr>
            <w:tcW w:w="4961" w:type="dxa"/>
            <w:tcBorders>
              <w:top w:val="nil"/>
              <w:left w:val="nil"/>
              <w:bottom w:val="single" w:color="auto" w:sz="4" w:space="0"/>
              <w:right w:val="single" w:color="auto" w:sz="4" w:space="0"/>
            </w:tcBorders>
            <w:vAlign w:val="center"/>
          </w:tcPr>
          <w:p w14:paraId="1654E30F">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考虑到本系统托管在政务云，按照市政务服务和数据管理局要求，该系统安全由我集团负责保障，同时包含对莞盾、粤盾、重大节假日等保障服务</w:t>
            </w:r>
          </w:p>
        </w:tc>
        <w:tc>
          <w:tcPr>
            <w:tcW w:w="709" w:type="dxa"/>
            <w:tcBorders>
              <w:top w:val="nil"/>
              <w:left w:val="nil"/>
              <w:bottom w:val="single" w:color="auto" w:sz="4" w:space="0"/>
              <w:right w:val="single" w:color="auto" w:sz="4" w:space="0"/>
            </w:tcBorders>
            <w:vAlign w:val="center"/>
          </w:tcPr>
          <w:p w14:paraId="33BB1CA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50" w:type="dxa"/>
            <w:tcBorders>
              <w:top w:val="nil"/>
              <w:left w:val="nil"/>
              <w:bottom w:val="single" w:color="auto" w:sz="4" w:space="0"/>
              <w:right w:val="single" w:color="auto" w:sz="4" w:space="0"/>
            </w:tcBorders>
            <w:vAlign w:val="center"/>
          </w:tcPr>
          <w:p w14:paraId="4B77872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701" w:type="dxa"/>
            <w:tcBorders>
              <w:top w:val="nil"/>
              <w:left w:val="nil"/>
              <w:bottom w:val="single" w:color="auto" w:sz="4" w:space="0"/>
              <w:right w:val="single" w:color="auto" w:sz="4" w:space="0"/>
            </w:tcBorders>
            <w:vAlign w:val="center"/>
          </w:tcPr>
          <w:p w14:paraId="3558BCD4">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709" w:type="dxa"/>
            <w:tcBorders>
              <w:top w:val="nil"/>
              <w:left w:val="nil"/>
              <w:bottom w:val="single" w:color="auto" w:sz="4" w:space="0"/>
              <w:right w:val="single" w:color="auto" w:sz="4" w:space="0"/>
            </w:tcBorders>
            <w:vAlign w:val="center"/>
          </w:tcPr>
          <w:p w14:paraId="7F8F7D7E">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6270A700">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1337" w:type="dxa"/>
            <w:vMerge w:val="continue"/>
            <w:tcBorders>
              <w:top w:val="nil"/>
              <w:left w:val="single" w:color="auto" w:sz="4" w:space="0"/>
              <w:bottom w:val="single" w:color="auto" w:sz="4" w:space="0"/>
              <w:right w:val="single" w:color="auto" w:sz="4" w:space="0"/>
            </w:tcBorders>
            <w:vAlign w:val="center"/>
          </w:tcPr>
          <w:p w14:paraId="663528C8">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p>
        </w:tc>
      </w:tr>
      <w:tr w14:paraId="139B0D84">
        <w:tblPrEx>
          <w:tblCellMar>
            <w:top w:w="0" w:type="dxa"/>
            <w:left w:w="108" w:type="dxa"/>
            <w:bottom w:w="0" w:type="dxa"/>
            <w:right w:w="108" w:type="dxa"/>
          </w:tblCellMar>
        </w:tblPrEx>
        <w:trPr>
          <w:trHeight w:val="765" w:hRule="atLeast"/>
        </w:trPr>
        <w:tc>
          <w:tcPr>
            <w:tcW w:w="704" w:type="dxa"/>
            <w:tcBorders>
              <w:top w:val="nil"/>
              <w:left w:val="single" w:color="auto" w:sz="4" w:space="0"/>
              <w:bottom w:val="single" w:color="auto" w:sz="4" w:space="0"/>
              <w:right w:val="single" w:color="auto" w:sz="4" w:space="0"/>
            </w:tcBorders>
            <w:noWrap/>
            <w:vAlign w:val="center"/>
          </w:tcPr>
          <w:p w14:paraId="64643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3</w:t>
            </w:r>
          </w:p>
        </w:tc>
        <w:tc>
          <w:tcPr>
            <w:tcW w:w="1276" w:type="dxa"/>
            <w:tcBorders>
              <w:top w:val="nil"/>
              <w:left w:val="nil"/>
              <w:bottom w:val="single" w:color="auto" w:sz="4" w:space="0"/>
              <w:right w:val="single" w:color="auto" w:sz="4" w:space="0"/>
            </w:tcBorders>
            <w:noWrap/>
            <w:vAlign w:val="center"/>
          </w:tcPr>
          <w:p w14:paraId="279D8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业务支撑服务费</w:t>
            </w:r>
          </w:p>
        </w:tc>
        <w:tc>
          <w:tcPr>
            <w:tcW w:w="4961" w:type="dxa"/>
            <w:tcBorders>
              <w:top w:val="nil"/>
              <w:left w:val="nil"/>
              <w:bottom w:val="single" w:color="auto" w:sz="4" w:space="0"/>
              <w:right w:val="single" w:color="auto" w:sz="4" w:space="0"/>
            </w:tcBorders>
            <w:vAlign w:val="center"/>
          </w:tcPr>
          <w:p w14:paraId="154ACEFB">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与系统日常维护不同，业务支撑内容主要是对水费、污水费、垃圾费等收缴过程中出现的数据不当、对账不平等异常情况的支撑处理</w:t>
            </w:r>
          </w:p>
        </w:tc>
        <w:tc>
          <w:tcPr>
            <w:tcW w:w="709" w:type="dxa"/>
            <w:tcBorders>
              <w:top w:val="nil"/>
              <w:left w:val="nil"/>
              <w:bottom w:val="single" w:color="auto" w:sz="4" w:space="0"/>
              <w:right w:val="single" w:color="auto" w:sz="4" w:space="0"/>
            </w:tcBorders>
            <w:noWrap/>
            <w:vAlign w:val="center"/>
          </w:tcPr>
          <w:p w14:paraId="5C15E6E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50" w:type="dxa"/>
            <w:tcBorders>
              <w:top w:val="nil"/>
              <w:left w:val="nil"/>
              <w:bottom w:val="single" w:color="auto" w:sz="4" w:space="0"/>
              <w:right w:val="single" w:color="auto" w:sz="4" w:space="0"/>
            </w:tcBorders>
            <w:noWrap/>
            <w:vAlign w:val="center"/>
          </w:tcPr>
          <w:p w14:paraId="2475963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701" w:type="dxa"/>
            <w:tcBorders>
              <w:top w:val="nil"/>
              <w:left w:val="nil"/>
              <w:bottom w:val="single" w:color="auto" w:sz="4" w:space="0"/>
              <w:right w:val="single" w:color="auto" w:sz="4" w:space="0"/>
            </w:tcBorders>
            <w:vAlign w:val="center"/>
          </w:tcPr>
          <w:p w14:paraId="1ED26849">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709" w:type="dxa"/>
            <w:tcBorders>
              <w:top w:val="nil"/>
              <w:left w:val="nil"/>
              <w:bottom w:val="single" w:color="auto" w:sz="4" w:space="0"/>
              <w:right w:val="single" w:color="auto" w:sz="4" w:space="0"/>
            </w:tcBorders>
            <w:vAlign w:val="center"/>
          </w:tcPr>
          <w:p w14:paraId="17911EA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489C7530">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1337" w:type="dxa"/>
            <w:vMerge w:val="continue"/>
            <w:tcBorders>
              <w:top w:val="nil"/>
              <w:left w:val="single" w:color="auto" w:sz="4" w:space="0"/>
              <w:bottom w:val="single" w:color="auto" w:sz="4" w:space="0"/>
              <w:right w:val="single" w:color="auto" w:sz="4" w:space="0"/>
            </w:tcBorders>
            <w:vAlign w:val="center"/>
          </w:tcPr>
          <w:p w14:paraId="1916A376">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p>
        </w:tc>
      </w:tr>
      <w:tr w14:paraId="6697635F">
        <w:tblPrEx>
          <w:tblCellMar>
            <w:top w:w="0" w:type="dxa"/>
            <w:left w:w="108" w:type="dxa"/>
            <w:bottom w:w="0" w:type="dxa"/>
            <w:right w:w="108" w:type="dxa"/>
          </w:tblCellMar>
        </w:tblPrEx>
        <w:trPr>
          <w:trHeight w:val="465" w:hRule="atLeast"/>
        </w:trPr>
        <w:tc>
          <w:tcPr>
            <w:tcW w:w="704" w:type="dxa"/>
            <w:tcBorders>
              <w:top w:val="nil"/>
              <w:left w:val="single" w:color="auto" w:sz="4" w:space="0"/>
              <w:bottom w:val="single" w:color="auto" w:sz="4" w:space="0"/>
              <w:right w:val="single" w:color="auto" w:sz="4" w:space="0"/>
            </w:tcBorders>
            <w:noWrap/>
            <w:vAlign w:val="center"/>
          </w:tcPr>
          <w:p w14:paraId="5E6FA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4</w:t>
            </w:r>
          </w:p>
        </w:tc>
        <w:tc>
          <w:tcPr>
            <w:tcW w:w="1276" w:type="dxa"/>
            <w:tcBorders>
              <w:top w:val="nil"/>
              <w:left w:val="nil"/>
              <w:bottom w:val="single" w:color="auto" w:sz="4" w:space="0"/>
              <w:right w:val="single" w:color="auto" w:sz="4" w:space="0"/>
            </w:tcBorders>
            <w:noWrap/>
            <w:vAlign w:val="center"/>
          </w:tcPr>
          <w:p w14:paraId="2E66B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1"/>
                <w:szCs w:val="21"/>
              </w:rPr>
            </w:pPr>
            <w:r>
              <w:rPr>
                <w:rFonts w:hint="eastAsia" w:ascii="宋体" w:hAnsi="宋体" w:eastAsia="宋体" w:cs="宋体"/>
                <w:i w:val="0"/>
                <w:iCs w:val="0"/>
                <w:color w:val="auto"/>
                <w:kern w:val="0"/>
                <w:sz w:val="21"/>
                <w:szCs w:val="21"/>
                <w:u w:val="none"/>
                <w:lang w:val="en-US" w:eastAsia="zh-CN"/>
              </w:rPr>
              <w:t>技术支撑服务费</w:t>
            </w:r>
          </w:p>
        </w:tc>
        <w:tc>
          <w:tcPr>
            <w:tcW w:w="4961" w:type="dxa"/>
            <w:tcBorders>
              <w:top w:val="nil"/>
              <w:left w:val="nil"/>
              <w:bottom w:val="single" w:color="auto" w:sz="4" w:space="0"/>
              <w:right w:val="single" w:color="auto" w:sz="4" w:space="0"/>
            </w:tcBorders>
            <w:noWrap/>
            <w:vAlign w:val="center"/>
          </w:tcPr>
          <w:p w14:paraId="5884744E">
            <w:pPr>
              <w:keepNext w:val="0"/>
              <w:keepLines w:val="0"/>
              <w:suppressLineNumbers w:val="0"/>
              <w:tabs>
                <w:tab w:val="left" w:pos="873"/>
                <w:tab w:val="center" w:pos="2424"/>
              </w:tabs>
              <w:spacing w:before="0" w:beforeAutospacing="0" w:after="0" w:afterAutospacing="0"/>
              <w:ind w:left="0" w:right="0"/>
              <w:jc w:val="lef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本项主要针对前端网点的终端使用技术支撑，与主要针对系统后台的日常维护服务不同。</w:t>
            </w:r>
            <w:r>
              <w:rPr>
                <w:rFonts w:hint="eastAsia" w:ascii="宋体" w:hAnsi="宋体" w:eastAsia="宋体" w:cs="宋体"/>
                <w:color w:val="auto"/>
                <w:sz w:val="21"/>
                <w:szCs w:val="21"/>
              </w:rPr>
              <w:t>　</w:t>
            </w:r>
          </w:p>
        </w:tc>
        <w:tc>
          <w:tcPr>
            <w:tcW w:w="709" w:type="dxa"/>
            <w:tcBorders>
              <w:top w:val="nil"/>
              <w:left w:val="nil"/>
              <w:bottom w:val="single" w:color="auto" w:sz="4" w:space="0"/>
              <w:right w:val="single" w:color="auto" w:sz="4" w:space="0"/>
            </w:tcBorders>
            <w:noWrap/>
            <w:vAlign w:val="center"/>
          </w:tcPr>
          <w:p w14:paraId="3007336A">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50" w:type="dxa"/>
            <w:tcBorders>
              <w:top w:val="nil"/>
              <w:left w:val="nil"/>
              <w:bottom w:val="single" w:color="auto" w:sz="4" w:space="0"/>
              <w:right w:val="single" w:color="auto" w:sz="4" w:space="0"/>
            </w:tcBorders>
            <w:noWrap/>
            <w:vAlign w:val="center"/>
          </w:tcPr>
          <w:p w14:paraId="2D57496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701" w:type="dxa"/>
            <w:tcBorders>
              <w:top w:val="nil"/>
              <w:left w:val="nil"/>
              <w:bottom w:val="single" w:color="auto" w:sz="4" w:space="0"/>
              <w:right w:val="single" w:color="auto" w:sz="4" w:space="0"/>
            </w:tcBorders>
            <w:vAlign w:val="center"/>
          </w:tcPr>
          <w:p w14:paraId="4D7078AE">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9" w:type="dxa"/>
            <w:tcBorders>
              <w:top w:val="nil"/>
              <w:left w:val="nil"/>
              <w:bottom w:val="single" w:color="auto" w:sz="4" w:space="0"/>
              <w:right w:val="single" w:color="auto" w:sz="4" w:space="0"/>
            </w:tcBorders>
            <w:vAlign w:val="center"/>
          </w:tcPr>
          <w:p w14:paraId="7A51A331">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7A9E9ECE">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w:t>
            </w:r>
          </w:p>
        </w:tc>
        <w:tc>
          <w:tcPr>
            <w:tcW w:w="1337" w:type="dxa"/>
            <w:vMerge w:val="continue"/>
            <w:tcBorders>
              <w:top w:val="nil"/>
              <w:left w:val="single" w:color="auto" w:sz="4" w:space="0"/>
              <w:bottom w:val="single" w:color="auto" w:sz="4" w:space="0"/>
              <w:right w:val="single" w:color="auto" w:sz="4" w:space="0"/>
            </w:tcBorders>
            <w:vAlign w:val="center"/>
          </w:tcPr>
          <w:p w14:paraId="4CA1B01E">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p>
        </w:tc>
      </w:tr>
      <w:tr w14:paraId="323171B7">
        <w:tblPrEx>
          <w:tblCellMar>
            <w:top w:w="0" w:type="dxa"/>
            <w:left w:w="108" w:type="dxa"/>
            <w:bottom w:w="0" w:type="dxa"/>
            <w:right w:w="108" w:type="dxa"/>
          </w:tblCellMar>
        </w:tblPrEx>
        <w:trPr>
          <w:trHeight w:val="678" w:hRule="atLeast"/>
        </w:trPr>
        <w:tc>
          <w:tcPr>
            <w:tcW w:w="704" w:type="dxa"/>
            <w:tcBorders>
              <w:top w:val="nil"/>
              <w:left w:val="single" w:color="auto" w:sz="4" w:space="0"/>
              <w:bottom w:val="single" w:color="auto" w:sz="4" w:space="0"/>
              <w:right w:val="single" w:color="auto" w:sz="4" w:space="0"/>
            </w:tcBorders>
            <w:noWrap/>
            <w:vAlign w:val="center"/>
          </w:tcPr>
          <w:p w14:paraId="7BCF1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5</w:t>
            </w:r>
          </w:p>
        </w:tc>
        <w:tc>
          <w:tcPr>
            <w:tcW w:w="1276" w:type="dxa"/>
            <w:tcBorders>
              <w:top w:val="nil"/>
              <w:left w:val="nil"/>
              <w:bottom w:val="single" w:color="auto" w:sz="4" w:space="0"/>
              <w:right w:val="single" w:color="auto" w:sz="4" w:space="0"/>
            </w:tcBorders>
            <w:noWrap/>
            <w:vAlign w:val="center"/>
          </w:tcPr>
          <w:p w14:paraId="3A1E6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网点上门现场服务费</w:t>
            </w:r>
          </w:p>
        </w:tc>
        <w:tc>
          <w:tcPr>
            <w:tcW w:w="4961" w:type="dxa"/>
            <w:tcBorders>
              <w:top w:val="nil"/>
              <w:left w:val="nil"/>
              <w:bottom w:val="single" w:color="auto" w:sz="4" w:space="0"/>
              <w:right w:val="single" w:color="auto" w:sz="4" w:space="0"/>
            </w:tcBorders>
            <w:vAlign w:val="center"/>
          </w:tcPr>
          <w:p w14:paraId="6624FF08">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全面检查每个使用网点的整体运作状况、相关政策文件执行情限况、人员配置等，并对使用网点相关设施进行预防性检查（包括但不于网络线路、电脑、打印机、路由器等） ，减少突发紧急事件的发生，体现主动服务精神，及时发现不足，并做好预案，保障系 统长期运行的稳定性。根据需要去使用网点现场处理相应的技术问题，涉及硬件、操作、缺陷、需求调整、数据修复、权限变更、登录等异常问题的用户现场纠错、排故</w:t>
            </w:r>
          </w:p>
        </w:tc>
        <w:tc>
          <w:tcPr>
            <w:tcW w:w="709" w:type="dxa"/>
            <w:tcBorders>
              <w:top w:val="nil"/>
              <w:left w:val="nil"/>
              <w:bottom w:val="single" w:color="auto" w:sz="4" w:space="0"/>
              <w:right w:val="single" w:color="auto" w:sz="4" w:space="0"/>
            </w:tcBorders>
            <w:noWrap/>
            <w:vAlign w:val="center"/>
          </w:tcPr>
          <w:p w14:paraId="756867F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50" w:type="dxa"/>
            <w:tcBorders>
              <w:top w:val="nil"/>
              <w:left w:val="nil"/>
              <w:bottom w:val="single" w:color="auto" w:sz="4" w:space="0"/>
              <w:right w:val="single" w:color="auto" w:sz="4" w:space="0"/>
            </w:tcBorders>
            <w:noWrap/>
            <w:vAlign w:val="center"/>
          </w:tcPr>
          <w:p w14:paraId="1BD9508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701" w:type="dxa"/>
            <w:tcBorders>
              <w:top w:val="nil"/>
              <w:left w:val="nil"/>
              <w:bottom w:val="single" w:color="auto" w:sz="4" w:space="0"/>
              <w:right w:val="single" w:color="auto" w:sz="4" w:space="0"/>
            </w:tcBorders>
            <w:vAlign w:val="center"/>
          </w:tcPr>
          <w:p w14:paraId="2199420A">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709" w:type="dxa"/>
            <w:tcBorders>
              <w:top w:val="nil"/>
              <w:left w:val="nil"/>
              <w:bottom w:val="single" w:color="auto" w:sz="4" w:space="0"/>
              <w:right w:val="single" w:color="auto" w:sz="4" w:space="0"/>
            </w:tcBorders>
            <w:vAlign w:val="center"/>
          </w:tcPr>
          <w:p w14:paraId="48FAB4E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010A3F46">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1337" w:type="dxa"/>
            <w:vMerge w:val="continue"/>
            <w:tcBorders>
              <w:top w:val="nil"/>
              <w:left w:val="single" w:color="auto" w:sz="4" w:space="0"/>
              <w:bottom w:val="single" w:color="auto" w:sz="4" w:space="0"/>
              <w:right w:val="single" w:color="auto" w:sz="4" w:space="0"/>
            </w:tcBorders>
            <w:vAlign w:val="center"/>
          </w:tcPr>
          <w:p w14:paraId="60D14336">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p>
        </w:tc>
      </w:tr>
      <w:tr w14:paraId="7BE38B6A">
        <w:tblPrEx>
          <w:tblCellMar>
            <w:top w:w="0" w:type="dxa"/>
            <w:left w:w="108" w:type="dxa"/>
            <w:bottom w:w="0" w:type="dxa"/>
            <w:right w:w="108" w:type="dxa"/>
          </w:tblCellMar>
        </w:tblPrEx>
        <w:trPr>
          <w:trHeight w:val="1410" w:hRule="atLeast"/>
        </w:trPr>
        <w:tc>
          <w:tcPr>
            <w:tcW w:w="704" w:type="dxa"/>
            <w:tcBorders>
              <w:top w:val="nil"/>
              <w:left w:val="single" w:color="auto" w:sz="4" w:space="0"/>
              <w:bottom w:val="single" w:color="auto" w:sz="4" w:space="0"/>
              <w:right w:val="single" w:color="auto" w:sz="4" w:space="0"/>
            </w:tcBorders>
            <w:noWrap/>
            <w:vAlign w:val="center"/>
          </w:tcPr>
          <w:p w14:paraId="0E785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6</w:t>
            </w:r>
          </w:p>
        </w:tc>
        <w:tc>
          <w:tcPr>
            <w:tcW w:w="1276" w:type="dxa"/>
            <w:tcBorders>
              <w:top w:val="nil"/>
              <w:left w:val="nil"/>
              <w:bottom w:val="single" w:color="auto" w:sz="4" w:space="0"/>
              <w:right w:val="single" w:color="auto" w:sz="4" w:space="0"/>
            </w:tcBorders>
            <w:noWrap/>
            <w:vAlign w:val="center"/>
          </w:tcPr>
          <w:p w14:paraId="762A9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现场驻点服务费</w:t>
            </w:r>
          </w:p>
        </w:tc>
        <w:tc>
          <w:tcPr>
            <w:tcW w:w="4961" w:type="dxa"/>
            <w:tcBorders>
              <w:top w:val="nil"/>
              <w:left w:val="nil"/>
              <w:bottom w:val="single" w:color="auto" w:sz="4" w:space="0"/>
              <w:right w:val="single" w:color="auto" w:sz="4" w:space="0"/>
            </w:tcBorders>
            <w:vAlign w:val="center"/>
          </w:tcPr>
          <w:p w14:paraId="6AEC348D">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根据用户需求提供现场驻点服务，协助查看各镇街分局每月自备水源数据录入是否正常，对异常情况告知分局跟进处理、解答分局提出的疑难问题、按要求提取用户自备水源及自来水污水情况、对需要免征或按政策征收企业，协助退款数据核对、随业务变化对新的业务需求进行讨论，协助确认变更流程等。</w:t>
            </w:r>
          </w:p>
        </w:tc>
        <w:tc>
          <w:tcPr>
            <w:tcW w:w="709" w:type="dxa"/>
            <w:tcBorders>
              <w:top w:val="nil"/>
              <w:left w:val="nil"/>
              <w:bottom w:val="single" w:color="auto" w:sz="4" w:space="0"/>
              <w:right w:val="single" w:color="auto" w:sz="4" w:space="0"/>
            </w:tcBorders>
            <w:noWrap/>
            <w:vAlign w:val="center"/>
          </w:tcPr>
          <w:p w14:paraId="2CE114C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50" w:type="dxa"/>
            <w:tcBorders>
              <w:top w:val="nil"/>
              <w:left w:val="nil"/>
              <w:bottom w:val="single" w:color="auto" w:sz="4" w:space="0"/>
              <w:right w:val="single" w:color="auto" w:sz="4" w:space="0"/>
            </w:tcBorders>
            <w:noWrap/>
            <w:vAlign w:val="center"/>
          </w:tcPr>
          <w:p w14:paraId="5CEE895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701" w:type="dxa"/>
            <w:tcBorders>
              <w:top w:val="nil"/>
              <w:left w:val="nil"/>
              <w:bottom w:val="single" w:color="auto" w:sz="4" w:space="0"/>
              <w:right w:val="single" w:color="auto" w:sz="4" w:space="0"/>
            </w:tcBorders>
            <w:vAlign w:val="center"/>
          </w:tcPr>
          <w:p w14:paraId="0C01AC4B">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709" w:type="dxa"/>
            <w:tcBorders>
              <w:top w:val="nil"/>
              <w:left w:val="nil"/>
              <w:bottom w:val="single" w:color="auto" w:sz="4" w:space="0"/>
              <w:right w:val="single" w:color="auto" w:sz="4" w:space="0"/>
            </w:tcBorders>
            <w:vAlign w:val="center"/>
          </w:tcPr>
          <w:p w14:paraId="5172DFC2">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7F832B86">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1337" w:type="dxa"/>
            <w:vMerge w:val="continue"/>
            <w:tcBorders>
              <w:top w:val="nil"/>
              <w:left w:val="single" w:color="auto" w:sz="4" w:space="0"/>
              <w:bottom w:val="single" w:color="auto" w:sz="4" w:space="0"/>
              <w:right w:val="single" w:color="auto" w:sz="4" w:space="0"/>
            </w:tcBorders>
            <w:vAlign w:val="center"/>
          </w:tcPr>
          <w:p w14:paraId="2B7FA4D6">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p>
        </w:tc>
      </w:tr>
      <w:tr w14:paraId="4594B7CA">
        <w:tblPrEx>
          <w:tblCellMar>
            <w:top w:w="0" w:type="dxa"/>
            <w:left w:w="108" w:type="dxa"/>
            <w:bottom w:w="0" w:type="dxa"/>
            <w:right w:w="108" w:type="dxa"/>
          </w:tblCellMar>
        </w:tblPrEx>
        <w:trPr>
          <w:trHeight w:val="495" w:hRule="atLeast"/>
        </w:trPr>
        <w:tc>
          <w:tcPr>
            <w:tcW w:w="704" w:type="dxa"/>
            <w:tcBorders>
              <w:top w:val="nil"/>
              <w:left w:val="single" w:color="auto" w:sz="4" w:space="0"/>
              <w:bottom w:val="single" w:color="auto" w:sz="4" w:space="0"/>
              <w:right w:val="single" w:color="auto" w:sz="4" w:space="0"/>
            </w:tcBorders>
            <w:noWrap/>
            <w:vAlign w:val="center"/>
          </w:tcPr>
          <w:p w14:paraId="2AC5E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7</w:t>
            </w:r>
          </w:p>
        </w:tc>
        <w:tc>
          <w:tcPr>
            <w:tcW w:w="1276" w:type="dxa"/>
            <w:tcBorders>
              <w:top w:val="nil"/>
              <w:left w:val="nil"/>
              <w:bottom w:val="single" w:color="auto" w:sz="4" w:space="0"/>
              <w:right w:val="single" w:color="auto" w:sz="4" w:space="0"/>
            </w:tcBorders>
            <w:noWrap/>
            <w:vAlign w:val="center"/>
          </w:tcPr>
          <w:p w14:paraId="6266F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21"/>
                <w:szCs w:val="21"/>
              </w:rPr>
            </w:pPr>
            <w:r>
              <w:rPr>
                <w:rFonts w:hint="eastAsia" w:ascii="宋体" w:hAnsi="宋体" w:eastAsia="宋体" w:cs="宋体"/>
                <w:i w:val="0"/>
                <w:iCs w:val="0"/>
                <w:color w:val="auto"/>
                <w:kern w:val="0"/>
                <w:sz w:val="21"/>
                <w:szCs w:val="21"/>
                <w:u w:val="none"/>
                <w:lang w:val="en-US" w:eastAsia="zh-CN"/>
              </w:rPr>
              <w:t>USB-KEY电子证书租用费</w:t>
            </w:r>
          </w:p>
        </w:tc>
        <w:tc>
          <w:tcPr>
            <w:tcW w:w="4961" w:type="dxa"/>
            <w:tcBorders>
              <w:top w:val="nil"/>
              <w:left w:val="nil"/>
              <w:bottom w:val="single" w:color="auto" w:sz="4" w:space="0"/>
              <w:right w:val="single" w:color="auto" w:sz="4" w:space="0"/>
            </w:tcBorders>
            <w:vAlign w:val="center"/>
          </w:tcPr>
          <w:p w14:paraId="2363647F">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系统用户电子证书USBKEY年服务</w:t>
            </w:r>
          </w:p>
        </w:tc>
        <w:tc>
          <w:tcPr>
            <w:tcW w:w="709" w:type="dxa"/>
            <w:tcBorders>
              <w:top w:val="nil"/>
              <w:left w:val="nil"/>
              <w:bottom w:val="single" w:color="auto" w:sz="4" w:space="0"/>
              <w:right w:val="single" w:color="auto" w:sz="4" w:space="0"/>
            </w:tcBorders>
            <w:noWrap/>
            <w:vAlign w:val="center"/>
          </w:tcPr>
          <w:p w14:paraId="5349F5B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715</w:t>
            </w:r>
          </w:p>
        </w:tc>
        <w:tc>
          <w:tcPr>
            <w:tcW w:w="850" w:type="dxa"/>
            <w:tcBorders>
              <w:top w:val="nil"/>
              <w:left w:val="nil"/>
              <w:bottom w:val="single" w:color="auto" w:sz="4" w:space="0"/>
              <w:right w:val="single" w:color="auto" w:sz="4" w:space="0"/>
            </w:tcBorders>
            <w:noWrap/>
            <w:vAlign w:val="center"/>
          </w:tcPr>
          <w:p w14:paraId="702C02E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个</w:t>
            </w:r>
          </w:p>
        </w:tc>
        <w:tc>
          <w:tcPr>
            <w:tcW w:w="1701" w:type="dxa"/>
            <w:tcBorders>
              <w:top w:val="nil"/>
              <w:left w:val="nil"/>
              <w:bottom w:val="single" w:color="auto" w:sz="4" w:space="0"/>
              <w:right w:val="single" w:color="auto" w:sz="4" w:space="0"/>
            </w:tcBorders>
            <w:vAlign w:val="center"/>
          </w:tcPr>
          <w:p w14:paraId="619AC11D">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709" w:type="dxa"/>
            <w:tcBorders>
              <w:top w:val="nil"/>
              <w:left w:val="nil"/>
              <w:bottom w:val="single" w:color="auto" w:sz="4" w:space="0"/>
              <w:right w:val="single" w:color="auto" w:sz="4" w:space="0"/>
            </w:tcBorders>
            <w:vAlign w:val="center"/>
          </w:tcPr>
          <w:p w14:paraId="74E02FEC">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5AFB6540">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1337" w:type="dxa"/>
            <w:tcBorders>
              <w:top w:val="nil"/>
              <w:left w:val="nil"/>
              <w:bottom w:val="single" w:color="auto" w:sz="4" w:space="0"/>
              <w:right w:val="single" w:color="auto" w:sz="4" w:space="0"/>
            </w:tcBorders>
            <w:vAlign w:val="center"/>
          </w:tcPr>
          <w:p w14:paraId="7BBDA277">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按年支付</w:t>
            </w:r>
          </w:p>
        </w:tc>
      </w:tr>
      <w:tr w14:paraId="39EE44C8">
        <w:tblPrEx>
          <w:tblCellMar>
            <w:top w:w="0" w:type="dxa"/>
            <w:left w:w="108" w:type="dxa"/>
            <w:bottom w:w="0" w:type="dxa"/>
            <w:right w:w="108" w:type="dxa"/>
          </w:tblCellMar>
        </w:tblPrEx>
        <w:trPr>
          <w:trHeight w:val="420" w:hRule="atLeast"/>
        </w:trPr>
        <w:tc>
          <w:tcPr>
            <w:tcW w:w="704" w:type="dxa"/>
            <w:tcBorders>
              <w:top w:val="nil"/>
              <w:left w:val="single" w:color="auto" w:sz="4" w:space="0"/>
              <w:bottom w:val="single" w:color="auto" w:sz="4" w:space="0"/>
              <w:right w:val="single" w:color="auto" w:sz="4" w:space="0"/>
            </w:tcBorders>
            <w:noWrap/>
            <w:vAlign w:val="center"/>
          </w:tcPr>
          <w:p w14:paraId="7F4AAD4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p>
        </w:tc>
        <w:tc>
          <w:tcPr>
            <w:tcW w:w="1276" w:type="dxa"/>
            <w:tcBorders>
              <w:top w:val="nil"/>
              <w:left w:val="nil"/>
              <w:bottom w:val="single" w:color="auto" w:sz="4" w:space="0"/>
              <w:right w:val="single" w:color="auto" w:sz="4" w:space="0"/>
            </w:tcBorders>
            <w:noWrap/>
            <w:vAlign w:val="center"/>
          </w:tcPr>
          <w:p w14:paraId="0D44372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系统等级保护测评及备案</w:t>
            </w:r>
          </w:p>
        </w:tc>
        <w:tc>
          <w:tcPr>
            <w:tcW w:w="4961" w:type="dxa"/>
            <w:tcBorders>
              <w:top w:val="nil"/>
              <w:left w:val="nil"/>
              <w:bottom w:val="single" w:color="auto" w:sz="4" w:space="0"/>
              <w:right w:val="single" w:color="auto" w:sz="4" w:space="0"/>
            </w:tcBorders>
            <w:noWrap/>
            <w:vAlign w:val="center"/>
          </w:tcPr>
          <w:p w14:paraId="5BF56A65">
            <w:pPr>
              <w:pStyle w:val="2"/>
              <w:keepNext w:val="0"/>
              <w:keepLines w:val="0"/>
              <w:suppressLineNumbers w:val="0"/>
              <w:spacing w:before="0" w:beforeAutospacing="0" w:after="0" w:afterAutospacing="0"/>
              <w:ind w:left="0"/>
              <w:rPr>
                <w:rFonts w:hint="eastAsia" w:ascii="宋体" w:hAnsi="宋体" w:eastAsia="宋体" w:cs="宋体"/>
                <w:color w:val="auto"/>
                <w:kern w:val="0"/>
                <w:sz w:val="21"/>
                <w:szCs w:val="21"/>
              </w:rPr>
            </w:pPr>
            <w:r>
              <w:rPr>
                <w:rFonts w:hint="eastAsia" w:ascii="宋体" w:hAnsi="宋体" w:eastAsia="宋体" w:cs="宋体"/>
                <w:b w:val="0"/>
                <w:bCs w:val="0"/>
                <w:color w:val="auto"/>
                <w:sz w:val="21"/>
                <w:szCs w:val="21"/>
              </w:rPr>
              <w:t>从物理安全、网络安全、主机安全、应用安全、数据安全与备份恢复、安全管理制度、安全管理机构、人员安全管理、系统建设管理、系统运维管理等方面，对系统进行二级 等保标准的测评并完成网监备案。</w:t>
            </w:r>
            <w:r>
              <w:rPr>
                <w:rFonts w:hint="eastAsia" w:ascii="宋体" w:hAnsi="宋体" w:eastAsia="宋体" w:cs="宋体"/>
                <w:b w:val="0"/>
                <w:bCs w:val="0"/>
                <w:color w:val="auto"/>
                <w:sz w:val="21"/>
                <w:szCs w:val="21"/>
                <w:lang w:val="en-US" w:eastAsia="zh-CN"/>
              </w:rPr>
              <w:t>乙</w:t>
            </w:r>
            <w:r>
              <w:rPr>
                <w:rFonts w:hint="eastAsia" w:ascii="宋体" w:hAnsi="宋体" w:eastAsia="宋体" w:cs="宋体"/>
                <w:b w:val="0"/>
                <w:bCs w:val="0"/>
                <w:color w:val="auto"/>
                <w:sz w:val="21"/>
                <w:szCs w:val="21"/>
              </w:rPr>
              <w:t>方提供的评测单位应具有国家等级保护测评资质。</w:t>
            </w:r>
          </w:p>
        </w:tc>
        <w:tc>
          <w:tcPr>
            <w:tcW w:w="709" w:type="dxa"/>
            <w:tcBorders>
              <w:top w:val="nil"/>
              <w:left w:val="nil"/>
              <w:bottom w:val="single" w:color="auto" w:sz="4" w:space="0"/>
              <w:right w:val="single" w:color="auto" w:sz="4" w:space="0"/>
            </w:tcBorders>
            <w:noWrap/>
            <w:vAlign w:val="center"/>
          </w:tcPr>
          <w:p w14:paraId="075472E6">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c>
          <w:tcPr>
            <w:tcW w:w="850" w:type="dxa"/>
            <w:tcBorders>
              <w:top w:val="nil"/>
              <w:left w:val="nil"/>
              <w:bottom w:val="single" w:color="auto" w:sz="4" w:space="0"/>
              <w:right w:val="single" w:color="auto" w:sz="4" w:space="0"/>
            </w:tcBorders>
            <w:noWrap/>
            <w:vAlign w:val="center"/>
          </w:tcPr>
          <w:p w14:paraId="4ABF5355">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套</w:t>
            </w:r>
          </w:p>
        </w:tc>
        <w:tc>
          <w:tcPr>
            <w:tcW w:w="1701" w:type="dxa"/>
            <w:tcBorders>
              <w:top w:val="nil"/>
              <w:left w:val="nil"/>
              <w:bottom w:val="single" w:color="auto" w:sz="4" w:space="0"/>
              <w:right w:val="single" w:color="auto" w:sz="4" w:space="0"/>
            </w:tcBorders>
            <w:vAlign w:val="center"/>
          </w:tcPr>
          <w:p w14:paraId="34509E74">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709" w:type="dxa"/>
            <w:tcBorders>
              <w:top w:val="nil"/>
              <w:left w:val="nil"/>
              <w:bottom w:val="single" w:color="auto" w:sz="4" w:space="0"/>
              <w:right w:val="single" w:color="auto" w:sz="4" w:space="0"/>
            </w:tcBorders>
            <w:vAlign w:val="center"/>
          </w:tcPr>
          <w:p w14:paraId="4DBAEB6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tc>
        <w:tc>
          <w:tcPr>
            <w:tcW w:w="1701" w:type="dxa"/>
            <w:tcBorders>
              <w:top w:val="nil"/>
              <w:left w:val="nil"/>
              <w:bottom w:val="single" w:color="auto" w:sz="4" w:space="0"/>
              <w:right w:val="single" w:color="auto" w:sz="4" w:space="0"/>
            </w:tcBorders>
            <w:vAlign w:val="center"/>
          </w:tcPr>
          <w:p w14:paraId="1487380B">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1337" w:type="dxa"/>
            <w:tcBorders>
              <w:top w:val="nil"/>
              <w:left w:val="nil"/>
              <w:bottom w:val="single" w:color="auto" w:sz="4" w:space="0"/>
              <w:right w:val="single" w:color="auto" w:sz="4" w:space="0"/>
            </w:tcBorders>
            <w:vAlign w:val="center"/>
          </w:tcPr>
          <w:p w14:paraId="25217A82">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202</w:t>
            </w: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年完成</w:t>
            </w:r>
            <w:r>
              <w:rPr>
                <w:rFonts w:hint="eastAsia" w:ascii="宋体" w:hAnsi="宋体" w:eastAsia="宋体" w:cs="宋体"/>
                <w:b/>
                <w:bCs/>
                <w:color w:val="auto"/>
                <w:kern w:val="0"/>
                <w:sz w:val="21"/>
                <w:szCs w:val="21"/>
              </w:rPr>
              <w:br w:type="textWrapping"/>
            </w:r>
            <w:r>
              <w:rPr>
                <w:rFonts w:hint="eastAsia" w:ascii="宋体" w:hAnsi="宋体" w:eastAsia="宋体" w:cs="宋体"/>
                <w:b/>
                <w:bCs/>
                <w:color w:val="auto"/>
                <w:kern w:val="0"/>
                <w:sz w:val="21"/>
                <w:szCs w:val="21"/>
              </w:rPr>
              <w:t>一次性支付</w:t>
            </w:r>
          </w:p>
        </w:tc>
      </w:tr>
      <w:tr w14:paraId="20AA9483">
        <w:tblPrEx>
          <w:tblCellMar>
            <w:top w:w="0" w:type="dxa"/>
            <w:left w:w="108" w:type="dxa"/>
            <w:bottom w:w="0" w:type="dxa"/>
            <w:right w:w="108" w:type="dxa"/>
          </w:tblCellMar>
        </w:tblPrEx>
        <w:trPr>
          <w:trHeight w:val="270" w:hRule="atLeast"/>
        </w:trPr>
        <w:tc>
          <w:tcPr>
            <w:tcW w:w="704" w:type="dxa"/>
            <w:tcBorders>
              <w:top w:val="nil"/>
              <w:left w:val="single" w:color="auto" w:sz="4" w:space="0"/>
              <w:bottom w:val="single" w:color="auto" w:sz="4" w:space="0"/>
              <w:right w:val="single" w:color="auto" w:sz="4" w:space="0"/>
            </w:tcBorders>
            <w:noWrap/>
            <w:vAlign w:val="center"/>
          </w:tcPr>
          <w:p w14:paraId="32EB8B52">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76" w:type="dxa"/>
            <w:tcBorders>
              <w:top w:val="nil"/>
              <w:left w:val="nil"/>
              <w:bottom w:val="single" w:color="auto" w:sz="4" w:space="0"/>
              <w:right w:val="single" w:color="auto" w:sz="4" w:space="0"/>
            </w:tcBorders>
            <w:noWrap/>
            <w:vAlign w:val="center"/>
          </w:tcPr>
          <w:p w14:paraId="51770403">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8221" w:type="dxa"/>
            <w:gridSpan w:val="4"/>
            <w:tcBorders>
              <w:top w:val="single" w:color="auto" w:sz="4" w:space="0"/>
              <w:left w:val="nil"/>
              <w:bottom w:val="single" w:color="auto" w:sz="4" w:space="0"/>
              <w:right w:val="single" w:color="000000" w:sz="4" w:space="0"/>
            </w:tcBorders>
            <w:noWrap/>
            <w:vAlign w:val="center"/>
          </w:tcPr>
          <w:p w14:paraId="555450E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合  计</w:t>
            </w:r>
          </w:p>
        </w:tc>
        <w:tc>
          <w:tcPr>
            <w:tcW w:w="709" w:type="dxa"/>
            <w:tcBorders>
              <w:top w:val="nil"/>
              <w:left w:val="nil"/>
              <w:bottom w:val="single" w:color="auto" w:sz="4" w:space="0"/>
              <w:right w:val="single" w:color="auto" w:sz="4" w:space="0"/>
            </w:tcBorders>
            <w:vAlign w:val="center"/>
          </w:tcPr>
          <w:p w14:paraId="2B6CD1F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701" w:type="dxa"/>
            <w:tcBorders>
              <w:top w:val="nil"/>
              <w:left w:val="nil"/>
              <w:bottom w:val="single" w:color="auto" w:sz="4" w:space="0"/>
              <w:right w:val="single" w:color="auto" w:sz="4" w:space="0"/>
            </w:tcBorders>
            <w:vAlign w:val="center"/>
          </w:tcPr>
          <w:p w14:paraId="572C1A64">
            <w:pPr>
              <w:keepNext w:val="0"/>
              <w:keepLines w:val="0"/>
              <w:widowControl/>
              <w:suppressLineNumbers w:val="0"/>
              <w:spacing w:before="0" w:beforeAutospacing="0" w:after="0" w:afterAutospacing="0" w:line="276" w:lineRule="auto"/>
              <w:ind w:left="0" w:right="0"/>
              <w:jc w:val="righ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 </w:t>
            </w:r>
          </w:p>
        </w:tc>
        <w:tc>
          <w:tcPr>
            <w:tcW w:w="1337" w:type="dxa"/>
            <w:tcBorders>
              <w:top w:val="nil"/>
              <w:left w:val="nil"/>
              <w:bottom w:val="single" w:color="auto" w:sz="4" w:space="0"/>
              <w:right w:val="single" w:color="auto" w:sz="4" w:space="0"/>
            </w:tcBorders>
            <w:noWrap/>
            <w:vAlign w:val="center"/>
          </w:tcPr>
          <w:p w14:paraId="610E420D">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bl>
    <w:p w14:paraId="4FD05CAB">
      <w:pPr>
        <w:spacing w:line="360" w:lineRule="auto"/>
        <w:ind w:firstLine="422" w:firstLineChars="200"/>
        <w:rPr>
          <w:rFonts w:hint="eastAsia" w:ascii="宋体" w:hAnsi="宋体" w:eastAsia="宋体" w:cs="宋体"/>
          <w:b/>
          <w:bCs/>
          <w:color w:val="auto"/>
          <w:sz w:val="21"/>
          <w:szCs w:val="21"/>
        </w:rPr>
      </w:pPr>
    </w:p>
    <w:p w14:paraId="75FFA92F">
      <w:pPr>
        <w:spacing w:line="360" w:lineRule="auto"/>
        <w:ind w:firstLine="422" w:firstLineChars="200"/>
        <w:rPr>
          <w:rFonts w:hint="eastAsia" w:ascii="宋体" w:hAnsi="宋体" w:eastAsia="宋体" w:cs="宋体"/>
          <w:b/>
          <w:bCs/>
          <w:color w:val="auto"/>
          <w:sz w:val="21"/>
          <w:szCs w:val="21"/>
        </w:rPr>
        <w:sectPr>
          <w:pgSz w:w="16838" w:h="11906" w:orient="landscape"/>
          <w:pgMar w:top="1276" w:right="1440" w:bottom="1416" w:left="1440" w:header="851" w:footer="992" w:gutter="0"/>
          <w:pgNumType w:fmt="decimal"/>
          <w:cols w:space="720" w:num="1"/>
          <w:docGrid w:type="lines" w:linePitch="312" w:charSpace="0"/>
        </w:sectPr>
      </w:pPr>
    </w:p>
    <w:p w14:paraId="01CB6D08">
      <w:pPr>
        <w:numPr>
          <w:ilvl w:val="0"/>
          <w:numId w:val="0"/>
        </w:numPr>
        <w:autoSpaceDE/>
        <w:autoSpaceDN/>
        <w:snapToGrid w:val="0"/>
        <w:spacing w:after="120" w:line="360" w:lineRule="auto"/>
        <w:ind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sz w:val="21"/>
          <w:szCs w:val="21"/>
        </w:rPr>
        <w:t xml:space="preserve">第五条 </w:t>
      </w:r>
      <w:r>
        <w:rPr>
          <w:rFonts w:hint="eastAsia" w:ascii="宋体" w:hAnsi="宋体" w:eastAsia="宋体" w:cs="宋体"/>
          <w:b/>
          <w:color w:val="auto"/>
          <w:sz w:val="21"/>
          <w:szCs w:val="21"/>
          <w:highlight w:val="none"/>
        </w:rPr>
        <w:t>履约担保</w:t>
      </w:r>
    </w:p>
    <w:p w14:paraId="49929339">
      <w:pPr>
        <w:numPr>
          <w:ilvl w:val="0"/>
          <w:numId w:val="3"/>
        </w:numPr>
        <w:autoSpaceDE/>
        <w:autoSpaceDN/>
        <w:snapToGrid w:val="0"/>
        <w:spacing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乙方应当根据招标文件的规定在签订本合同前向甲方提供履约担保，履约担保形式及金额由乙方从以下方式中任选一种：</w:t>
      </w:r>
    </w:p>
    <w:p w14:paraId="7573B757">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u w:val="single"/>
        </w:rPr>
        <w:t>履约保证金（银行转账形式）金额为人民币       元；</w:t>
      </w:r>
    </w:p>
    <w:p w14:paraId="42F446AA">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人民币</w:t>
      </w:r>
      <w:r>
        <w:rPr>
          <w:rFonts w:hint="eastAsia" w:ascii="宋体" w:hAnsi="宋体" w:eastAsia="宋体" w:cs="宋体"/>
          <w:color w:val="auto"/>
          <w:sz w:val="21"/>
          <w:szCs w:val="21"/>
          <w:highlight w:val="none"/>
          <w:u w:val="single"/>
        </w:rPr>
        <w:t xml:space="preserve">       元；</w:t>
      </w:r>
    </w:p>
    <w:p w14:paraId="117101D5">
      <w:pPr>
        <w:snapToGrid w:val="0"/>
        <w:spacing w:line="360" w:lineRule="auto"/>
        <w:ind w:firstLine="371" w:firstLineChars="177"/>
        <w:contextualSpacing/>
        <w:outlineLvl w:val="9"/>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color w:val="auto"/>
          <w:highlight w:val="none"/>
          <w:u w:val="single"/>
        </w:rPr>
        <w:t>履约保证保险</w:t>
      </w:r>
      <w:r>
        <w:rPr>
          <w:rFonts w:hint="eastAsia" w:ascii="宋体" w:hAnsi="宋体" w:eastAsia="宋体" w:cs="宋体"/>
          <w:color w:val="auto"/>
          <w:highlight w:val="none"/>
          <w:u w:val="single"/>
          <w:lang w:val="en-US" w:eastAsia="zh-CN"/>
        </w:rPr>
        <w:t>凭证</w:t>
      </w:r>
      <w:r>
        <w:rPr>
          <w:rFonts w:hint="eastAsia" w:ascii="宋体" w:hAnsi="宋体" w:eastAsia="宋体" w:cs="宋体"/>
          <w:color w:val="auto"/>
          <w:highlight w:val="none"/>
          <w:u w:val="single"/>
        </w:rPr>
        <w:t>金额</w:t>
      </w:r>
      <w:r>
        <w:rPr>
          <w:rFonts w:hint="eastAsia" w:ascii="宋体" w:hAnsi="宋体" w:eastAsia="宋体" w:cs="宋体"/>
          <w:b w:val="0"/>
          <w:bCs w:val="0"/>
          <w:color w:val="auto"/>
          <w:sz w:val="21"/>
          <w:szCs w:val="21"/>
          <w:highlight w:val="none"/>
          <w:u w:val="single"/>
          <w:lang w:val="en-US"/>
        </w:rPr>
        <w:t>为</w:t>
      </w:r>
      <w:r>
        <w:rPr>
          <w:rFonts w:hint="eastAsia" w:ascii="宋体" w:hAnsi="宋体" w:eastAsia="宋体" w:cs="宋体"/>
          <w:color w:val="auto"/>
          <w:sz w:val="21"/>
          <w:szCs w:val="21"/>
          <w:highlight w:val="none"/>
          <w:u w:val="single"/>
        </w:rPr>
        <w:t>人民币       元</w:t>
      </w:r>
      <w:r>
        <w:rPr>
          <w:rFonts w:hint="eastAsia" w:ascii="宋体" w:hAnsi="宋体" w:eastAsia="宋体" w:cs="宋体"/>
          <w:b w:val="0"/>
          <w:bCs w:val="0"/>
          <w:color w:val="auto"/>
          <w:sz w:val="21"/>
          <w:szCs w:val="21"/>
          <w:highlight w:val="none"/>
          <w:u w:val="single"/>
          <w:lang w:val="en-US" w:eastAsia="zh-CN"/>
        </w:rPr>
        <w:t>；</w:t>
      </w:r>
    </w:p>
    <w:p w14:paraId="68D8FAFC">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担保公司履约担保书金额为人民币       元。</w:t>
      </w:r>
    </w:p>
    <w:p w14:paraId="6E3978E3">
      <w:pPr>
        <w:snapToGrid w:val="0"/>
        <w:spacing w:line="360" w:lineRule="auto"/>
        <w:ind w:firstLine="371" w:firstLineChars="177"/>
        <w:contextualSpacing/>
        <w:outlineLvl w:val="9"/>
        <w:rPr>
          <w:rFonts w:hint="eastAsia" w:ascii="宋体" w:hAnsi="宋体" w:eastAsia="宋体" w:cs="宋体"/>
          <w:color w:val="auto"/>
          <w:szCs w:val="21"/>
          <w:highlight w:val="none"/>
        </w:rPr>
      </w:pPr>
      <w:r>
        <w:rPr>
          <w:rFonts w:hint="eastAsia" w:ascii="宋体" w:hAnsi="宋体" w:eastAsia="宋体" w:cs="宋体"/>
          <w:b w:val="0"/>
          <w:bCs w:val="0"/>
          <w:color w:val="auto"/>
          <w:kern w:val="0"/>
          <w:sz w:val="21"/>
          <w:szCs w:val="21"/>
          <w:highlight w:val="none"/>
        </w:rPr>
        <w:t>合同履行过程中，</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给</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造成的损失超过履约担保数额的，</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还应当对超过部分予以赔偿，</w:t>
      </w:r>
      <w:r>
        <w:rPr>
          <w:rFonts w:hint="eastAsia" w:ascii="宋体" w:hAnsi="宋体" w:eastAsia="宋体" w:cs="宋体"/>
          <w:b w:val="0"/>
          <w:bCs w:val="0"/>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rPr>
        <w:t>并依法追究</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的相应责任。</w:t>
      </w:r>
    </w:p>
    <w:p w14:paraId="48E4E19B">
      <w:pPr>
        <w:numPr>
          <w:ilvl w:val="0"/>
          <w:numId w:val="3"/>
        </w:numPr>
        <w:autoSpaceDE/>
        <w:autoSpaceDN/>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履约担保用于补偿甲方因乙方不能完成其合同义务而蒙受的损失或其他合同约定的事项。如发生下列任一情况时，甲方有权依合同追究违约责任外，同时有权提取履约担保并进行相应处理：</w:t>
      </w:r>
    </w:p>
    <w:p w14:paraId="6AEE0DCD">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2808AE8B">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22515072">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w:t>
      </w:r>
      <w:r>
        <w:rPr>
          <w:rFonts w:hint="eastAsia" w:ascii="宋体" w:hAnsi="宋体" w:eastAsia="宋体" w:cs="宋体"/>
          <w:color w:val="auto"/>
          <w:kern w:val="0"/>
          <w:szCs w:val="21"/>
          <w:highlight w:val="none"/>
        </w:rPr>
        <w:t>拖欠原材料供应商货款</w:t>
      </w:r>
      <w:r>
        <w:rPr>
          <w:rFonts w:hint="eastAsia" w:ascii="宋体" w:hAnsi="宋体" w:eastAsia="宋体" w:cs="宋体"/>
          <w:color w:val="auto"/>
          <w:sz w:val="21"/>
          <w:szCs w:val="21"/>
          <w:highlight w:val="none"/>
        </w:rPr>
        <w:t>与其所雇用员工发生劳资纠纷、上访、闹事或其他影响甲方生产经营等情况而其未及时妥善处理的，甲方有权使用履约担保予以支付或作出相应处理，由此产生的一切法律后果由乙方承担。</w:t>
      </w:r>
    </w:p>
    <w:p w14:paraId="182264AD">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474EE576">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137B97A6">
      <w:pPr>
        <w:snapToGrid w:val="0"/>
        <w:spacing w:line="360" w:lineRule="auto"/>
        <w:ind w:firstLine="371" w:firstLineChars="177"/>
        <w:contextualSpacing/>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5073906B">
      <w:pPr>
        <w:numPr>
          <w:ilvl w:val="0"/>
          <w:numId w:val="3"/>
        </w:numPr>
        <w:autoSpaceDE/>
        <w:autoSpaceDN/>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以履约保证金（银行转账形式）提供履约担保的，在合同期限届满并且乙方完成本合同及本合同下所有补充协议的全部服务义务，甲方向乙方支付全部款项后二十八(28)日后经甲方确认，乙方可向甲方提交退回履约担保的申请。甲方审核无异议后，办理履约担保退还手续，履约担保金余额无息退还乙方。</w:t>
      </w:r>
    </w:p>
    <w:p w14:paraId="46554CC7">
      <w:pPr>
        <w:numPr>
          <w:ilvl w:val="0"/>
          <w:numId w:val="3"/>
        </w:numPr>
        <w:autoSpaceDE/>
        <w:autoSpaceDN/>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如乙方提供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作为履约担保的，</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应从合同签订之日起(或签订合同前)至合同期限届满并完成合同及补充协议项下全部服务义务，甲方向乙方支付全部款项后二十八(28)日内保持有效。如</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到期时乙方尚未完成合同及补充协议项下全部服务义务或甲方未支付全部款项,乙方必须在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到期15日前无条件办理办妥符合甲方要求的延期手续或重新提供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否则视为乙方违约，甲方有权在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到期前向出具履约担保的机构提取履约担保金。在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 w:val="21"/>
          <w:szCs w:val="21"/>
          <w:highlight w:val="none"/>
        </w:rPr>
        <w:t>到期后乙方未按甲方要求重新提供的，甲方有权要求乙方以履约担保金额为限承担违约金</w:t>
      </w:r>
      <w:r>
        <w:rPr>
          <w:rFonts w:hint="eastAsia" w:ascii="宋体" w:hAnsi="宋体" w:eastAsia="宋体" w:cs="宋体"/>
          <w:color w:val="auto"/>
          <w:szCs w:val="21"/>
          <w:highlight w:val="none"/>
        </w:rPr>
        <w:t>，违约金可直接从未付费用中扣除</w:t>
      </w:r>
      <w:r>
        <w:rPr>
          <w:rFonts w:hint="eastAsia" w:ascii="宋体" w:hAnsi="宋体" w:eastAsia="宋体" w:cs="宋体"/>
          <w:color w:val="auto"/>
          <w:sz w:val="21"/>
          <w:szCs w:val="21"/>
          <w:highlight w:val="none"/>
        </w:rPr>
        <w:t>。</w:t>
      </w:r>
    </w:p>
    <w:p w14:paraId="32EECF1C">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highlight w:val="none"/>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5B37C0FA">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 xml:space="preserve">第六条 </w:t>
      </w:r>
      <w:r>
        <w:rPr>
          <w:rFonts w:hint="eastAsia" w:ascii="宋体" w:hAnsi="宋体" w:eastAsia="宋体" w:cs="宋体"/>
          <w:b/>
          <w:color w:val="auto"/>
          <w:sz w:val="21"/>
          <w:szCs w:val="21"/>
        </w:rPr>
        <w:t>服务期限及地点</w:t>
      </w:r>
    </w:p>
    <w:p w14:paraId="7B9B925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1、服务期：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自</w:t>
      </w:r>
      <w:r>
        <w:rPr>
          <w:rFonts w:hint="eastAsia" w:ascii="宋体" w:hAnsi="宋体" w:eastAsia="宋体" w:cs="宋体"/>
          <w:color w:val="auto"/>
          <w:sz w:val="21"/>
          <w:szCs w:val="21"/>
        </w:rPr>
        <w:t>合同生效之日</w:t>
      </w:r>
      <w:r>
        <w:rPr>
          <w:rFonts w:hint="eastAsia" w:ascii="宋体" w:hAnsi="宋体" w:eastAsia="宋体" w:cs="宋体"/>
          <w:color w:val="auto"/>
          <w:sz w:val="21"/>
          <w:szCs w:val="21"/>
          <w:lang w:val="en-US" w:eastAsia="zh-CN"/>
        </w:rPr>
        <w:t>起一年</w:t>
      </w:r>
      <w:r>
        <w:rPr>
          <w:rFonts w:hint="eastAsia" w:ascii="宋体" w:hAnsi="宋体" w:eastAsia="宋体" w:cs="宋体"/>
          <w:color w:val="auto"/>
          <w:sz w:val="21"/>
          <w:szCs w:val="21"/>
        </w:rPr>
        <w:t>止。</w:t>
      </w:r>
    </w:p>
    <w:p w14:paraId="5A27331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2、服务地点： </w:t>
      </w:r>
      <w:r>
        <w:rPr>
          <w:rFonts w:hint="eastAsia" w:ascii="宋体" w:hAnsi="宋体" w:eastAsia="宋体" w:cs="宋体"/>
          <w:color w:val="auto"/>
          <w:sz w:val="21"/>
          <w:szCs w:val="21"/>
          <w:u w:val="single"/>
        </w:rPr>
        <w:t xml:space="preserve"> 东莞市 </w:t>
      </w:r>
    </w:p>
    <w:p w14:paraId="632D9DE5">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eastAsia="zh-CN"/>
        </w:rPr>
        <w:t>七</w:t>
      </w:r>
      <w:r>
        <w:rPr>
          <w:rFonts w:hint="eastAsia" w:ascii="宋体" w:hAnsi="宋体" w:eastAsia="宋体" w:cs="宋体"/>
          <w:b/>
          <w:color w:val="auto"/>
          <w:sz w:val="21"/>
          <w:szCs w:val="21"/>
        </w:rPr>
        <w:t>条 付款方式</w:t>
      </w:r>
    </w:p>
    <w:p w14:paraId="4EAC49E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1、本合同的付款方式为：合同签订后，服务费用按月支付，乙方每月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号前提交上个月的工作完成情况汇总及合法票据，甲方收到相关资料后于10个工作日内完成相关资料的核实及支付工作。其中电子证书USBKEY服务费用按年支付；系统等级保护测评及备案完成后一次性支付。</w:t>
      </w:r>
    </w:p>
    <w:p w14:paraId="5594873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2、付款前</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方应向甲方提出</w:t>
      </w:r>
      <w:r>
        <w:rPr>
          <w:rFonts w:hint="eastAsia" w:ascii="宋体" w:hAnsi="宋体" w:eastAsia="宋体" w:cs="宋体"/>
          <w:color w:val="auto"/>
          <w:sz w:val="21"/>
          <w:szCs w:val="21"/>
          <w:lang w:val="en-US" w:eastAsia="zh-CN"/>
        </w:rPr>
        <w:t>书面</w:t>
      </w:r>
      <w:r>
        <w:rPr>
          <w:rFonts w:hint="eastAsia" w:ascii="宋体" w:hAnsi="宋体" w:eastAsia="宋体" w:cs="宋体"/>
          <w:color w:val="auto"/>
          <w:sz w:val="21"/>
          <w:szCs w:val="21"/>
        </w:rPr>
        <w:t>请款申请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其他甲方要求的相关</w:t>
      </w:r>
      <w:r>
        <w:rPr>
          <w:rFonts w:hint="eastAsia" w:ascii="宋体" w:hAnsi="宋体" w:eastAsia="宋体" w:cs="宋体"/>
          <w:color w:val="auto"/>
          <w:sz w:val="21"/>
          <w:szCs w:val="21"/>
        </w:rPr>
        <w:t>材料和等额合格发票。因乙方逾期提供请款资料及发票或提交资料、发票不符合甲方要求的，甲方付款时间顺延，并不承担逾期付款违约责任，</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方不得以此为由而不履行本合同规定的义务。如果乙方怠于或者拒绝提供资料或者办理手续的，则因此产生的付款迟延的责任全部由乙方承担。</w:t>
      </w:r>
    </w:p>
    <w:p w14:paraId="29E7126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3、服务费用支付计划，月度维护服务费 =〔</w:t>
      </w:r>
      <w:r>
        <w:rPr>
          <w:rFonts w:hint="eastAsia" w:ascii="宋体" w:hAnsi="宋体" w:eastAsia="宋体" w:cs="宋体"/>
          <w:color w:val="auto"/>
          <w:sz w:val="21"/>
          <w:szCs w:val="21"/>
          <w:lang w:val="en-US" w:eastAsia="zh-CN"/>
        </w:rPr>
        <w:t>合同总</w:t>
      </w:r>
      <w:r>
        <w:rPr>
          <w:rFonts w:hint="eastAsia" w:ascii="宋体" w:hAnsi="宋体" w:eastAsia="宋体" w:cs="宋体"/>
          <w:color w:val="auto"/>
          <w:sz w:val="21"/>
          <w:szCs w:val="21"/>
        </w:rPr>
        <w:t>费用 –（年度</w:t>
      </w:r>
      <w:r>
        <w:rPr>
          <w:rFonts w:hint="eastAsia" w:ascii="宋体" w:hAnsi="宋体" w:eastAsia="宋体" w:cs="宋体"/>
          <w:color w:val="auto"/>
          <w:sz w:val="21"/>
          <w:szCs w:val="21"/>
          <w:lang w:val="en-US" w:eastAsia="zh-CN"/>
        </w:rPr>
        <w:t>715</w:t>
      </w:r>
      <w:r>
        <w:rPr>
          <w:rFonts w:hint="eastAsia" w:ascii="宋体" w:hAnsi="宋体" w:eastAsia="宋体" w:cs="宋体"/>
          <w:color w:val="auto"/>
          <w:sz w:val="21"/>
          <w:szCs w:val="21"/>
        </w:rPr>
        <w:t>个电子证书USBKEY服务费 + 一次性系统等级保护测评备案服务费）〕÷12（个月）。</w:t>
      </w:r>
    </w:p>
    <w:tbl>
      <w:tblPr>
        <w:tblStyle w:val="204"/>
        <w:tblW w:w="4999" w:type="pct"/>
        <w:tblInd w:w="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autofit"/>
        <w:tblCellMar>
          <w:top w:w="0" w:type="dxa"/>
          <w:left w:w="108" w:type="dxa"/>
          <w:bottom w:w="0" w:type="dxa"/>
          <w:right w:w="108" w:type="dxa"/>
        </w:tblCellMar>
      </w:tblPr>
      <w:tblGrid>
        <w:gridCol w:w="722"/>
        <w:gridCol w:w="1471"/>
        <w:gridCol w:w="2414"/>
        <w:gridCol w:w="5687"/>
      </w:tblGrid>
      <w:tr w14:paraId="48B71967">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70" w:hRule="atLeast"/>
          <w:tblHeader/>
        </w:trPr>
        <w:tc>
          <w:tcPr>
            <w:tcW w:w="351" w:type="pct"/>
          </w:tcPr>
          <w:p w14:paraId="66FB4AE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bCs/>
                <w:color w:val="auto"/>
                <w:kern w:val="0"/>
                <w:sz w:val="21"/>
                <w:szCs w:val="21"/>
              </w:rPr>
              <w:t>序号</w:t>
            </w:r>
          </w:p>
        </w:tc>
        <w:tc>
          <w:tcPr>
            <w:tcW w:w="714" w:type="pct"/>
          </w:tcPr>
          <w:p w14:paraId="7A31B9AB">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bCs/>
                <w:color w:val="auto"/>
                <w:kern w:val="0"/>
                <w:sz w:val="21"/>
                <w:szCs w:val="21"/>
              </w:rPr>
              <w:t>支付计划</w:t>
            </w:r>
          </w:p>
        </w:tc>
        <w:tc>
          <w:tcPr>
            <w:tcW w:w="1172" w:type="pct"/>
          </w:tcPr>
          <w:p w14:paraId="207E47DF">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bCs/>
                <w:color w:val="auto"/>
                <w:kern w:val="0"/>
                <w:sz w:val="21"/>
                <w:szCs w:val="21"/>
              </w:rPr>
              <w:t>支付金额</w:t>
            </w:r>
          </w:p>
        </w:tc>
        <w:tc>
          <w:tcPr>
            <w:tcW w:w="2761" w:type="pct"/>
          </w:tcPr>
          <w:p w14:paraId="6594C8A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bCs/>
                <w:color w:val="auto"/>
                <w:kern w:val="0"/>
                <w:sz w:val="21"/>
                <w:szCs w:val="21"/>
              </w:rPr>
              <w:t>备注</w:t>
            </w:r>
          </w:p>
        </w:tc>
      </w:tr>
      <w:tr w14:paraId="7D43D28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70" w:hRule="atLeast"/>
        </w:trPr>
        <w:tc>
          <w:tcPr>
            <w:tcW w:w="351" w:type="pct"/>
            <w:shd w:val="clear" w:color="auto" w:fill="F1F1F1"/>
            <w:vAlign w:val="center"/>
          </w:tcPr>
          <w:p w14:paraId="6D1C8E53">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1</w:t>
            </w:r>
          </w:p>
        </w:tc>
        <w:tc>
          <w:tcPr>
            <w:tcW w:w="714" w:type="pct"/>
            <w:shd w:val="clear" w:color="auto" w:fill="F1F1F1"/>
            <w:vAlign w:val="center"/>
          </w:tcPr>
          <w:p w14:paraId="02C5E8C9">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shd w:val="clear" w:color="auto" w:fill="F1F1F1"/>
          </w:tcPr>
          <w:p w14:paraId="6B690D70">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noWrap/>
          </w:tcPr>
          <w:p w14:paraId="66391EC8">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w:t>
            </w:r>
            <w:r>
              <w:rPr>
                <w:rFonts w:hint="eastAsia" w:ascii="宋体" w:hAnsi="宋体" w:eastAsia="宋体" w:cs="宋体"/>
                <w:color w:val="auto"/>
                <w:kern w:val="0"/>
                <w:sz w:val="21"/>
                <w:szCs w:val="21"/>
                <w:lang w:val="en-US" w:eastAsia="zh-CN"/>
              </w:rPr>
              <w:t>715</w:t>
            </w:r>
            <w:r>
              <w:rPr>
                <w:rFonts w:hint="eastAsia" w:ascii="宋体" w:hAnsi="宋体" w:eastAsia="宋体" w:cs="宋体"/>
                <w:color w:val="auto"/>
                <w:kern w:val="0"/>
                <w:sz w:val="21"/>
                <w:szCs w:val="21"/>
              </w:rPr>
              <w:t>个电子证书USBKEY服务费</w:t>
            </w:r>
          </w:p>
        </w:tc>
      </w:tr>
      <w:tr w14:paraId="4A6D616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shd w:val="clear" w:color="auto" w:fill="F1F1F1"/>
            <w:noWrap/>
          </w:tcPr>
          <w:p w14:paraId="131A10E4">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2</w:t>
            </w:r>
          </w:p>
        </w:tc>
        <w:tc>
          <w:tcPr>
            <w:tcW w:w="714" w:type="pct"/>
            <w:shd w:val="clear" w:color="auto" w:fill="F1F1F1"/>
          </w:tcPr>
          <w:p w14:paraId="17D889DC">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shd w:val="clear" w:color="auto" w:fill="F1F1F1"/>
          </w:tcPr>
          <w:p w14:paraId="7715D3A4">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tcPr>
          <w:p w14:paraId="0550DF20">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0B01A08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noWrap/>
          </w:tcPr>
          <w:p w14:paraId="0C4582E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3</w:t>
            </w:r>
          </w:p>
        </w:tc>
        <w:tc>
          <w:tcPr>
            <w:tcW w:w="714" w:type="pct"/>
          </w:tcPr>
          <w:p w14:paraId="3B1E96D0">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tcPr>
          <w:p w14:paraId="719C0AE8">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tcPr>
          <w:p w14:paraId="4BE83A6D">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49D2D93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shd w:val="clear" w:color="auto" w:fill="F1F1F1"/>
            <w:noWrap/>
          </w:tcPr>
          <w:p w14:paraId="6955C2EB">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4</w:t>
            </w:r>
          </w:p>
        </w:tc>
        <w:tc>
          <w:tcPr>
            <w:tcW w:w="714" w:type="pct"/>
            <w:shd w:val="clear" w:color="auto" w:fill="F1F1F1"/>
          </w:tcPr>
          <w:p w14:paraId="1575AC73">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shd w:val="clear" w:color="auto" w:fill="F1F1F1"/>
          </w:tcPr>
          <w:p w14:paraId="68B23A51">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tcPr>
          <w:p w14:paraId="3520C04D">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40184EB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noWrap/>
          </w:tcPr>
          <w:p w14:paraId="7001D143">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5</w:t>
            </w:r>
          </w:p>
        </w:tc>
        <w:tc>
          <w:tcPr>
            <w:tcW w:w="714" w:type="pct"/>
          </w:tcPr>
          <w:p w14:paraId="4DFF039B">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tcPr>
          <w:p w14:paraId="1DF2414D">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tcPr>
          <w:p w14:paraId="2783071E">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4621AC6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shd w:val="clear" w:color="auto" w:fill="F1F1F1"/>
            <w:noWrap/>
          </w:tcPr>
          <w:p w14:paraId="71AB7CEF">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6</w:t>
            </w:r>
          </w:p>
        </w:tc>
        <w:tc>
          <w:tcPr>
            <w:tcW w:w="714" w:type="pct"/>
            <w:shd w:val="clear" w:color="auto" w:fill="F1F1F1"/>
          </w:tcPr>
          <w:p w14:paraId="6B57432C">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shd w:val="clear" w:color="auto" w:fill="F1F1F1"/>
          </w:tcPr>
          <w:p w14:paraId="5309ABDF">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tcPr>
          <w:p w14:paraId="7AAE65E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4E307AF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noWrap/>
          </w:tcPr>
          <w:p w14:paraId="39930F1E">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7</w:t>
            </w:r>
          </w:p>
        </w:tc>
        <w:tc>
          <w:tcPr>
            <w:tcW w:w="714" w:type="pct"/>
          </w:tcPr>
          <w:p w14:paraId="79A7C866">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tcPr>
          <w:p w14:paraId="5F64C897">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tcPr>
          <w:p w14:paraId="13CB1136">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5D24059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shd w:val="clear" w:color="auto" w:fill="F1F1F1"/>
            <w:noWrap/>
          </w:tcPr>
          <w:p w14:paraId="402409DC">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8</w:t>
            </w:r>
          </w:p>
        </w:tc>
        <w:tc>
          <w:tcPr>
            <w:tcW w:w="714" w:type="pct"/>
            <w:shd w:val="clear" w:color="auto" w:fill="F1F1F1"/>
          </w:tcPr>
          <w:p w14:paraId="7A373CD0">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shd w:val="clear" w:color="auto" w:fill="F1F1F1"/>
          </w:tcPr>
          <w:p w14:paraId="76FE128E">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tcPr>
          <w:p w14:paraId="78D980D0">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2F61453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noWrap/>
          </w:tcPr>
          <w:p w14:paraId="45CF91C2">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9</w:t>
            </w:r>
          </w:p>
        </w:tc>
        <w:tc>
          <w:tcPr>
            <w:tcW w:w="714" w:type="pct"/>
          </w:tcPr>
          <w:p w14:paraId="48CFACC3">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tcPr>
          <w:p w14:paraId="3FC6B7B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tcPr>
          <w:p w14:paraId="412CB036">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1CD934A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shd w:val="clear" w:color="auto" w:fill="F1F1F1"/>
            <w:noWrap/>
          </w:tcPr>
          <w:p w14:paraId="48BB02FD">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10</w:t>
            </w:r>
          </w:p>
        </w:tc>
        <w:tc>
          <w:tcPr>
            <w:tcW w:w="714" w:type="pct"/>
            <w:shd w:val="clear" w:color="auto" w:fill="F1F1F1"/>
          </w:tcPr>
          <w:p w14:paraId="6AD153A9">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shd w:val="clear" w:color="auto" w:fill="F1F1F1"/>
          </w:tcPr>
          <w:p w14:paraId="1C0D87F0">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tcPr>
          <w:p w14:paraId="0D5EE763">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0AB8FBBC">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noWrap/>
          </w:tcPr>
          <w:p w14:paraId="56842E1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11</w:t>
            </w:r>
          </w:p>
        </w:tc>
        <w:tc>
          <w:tcPr>
            <w:tcW w:w="714" w:type="pct"/>
          </w:tcPr>
          <w:p w14:paraId="50260F0C">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tcPr>
          <w:p w14:paraId="1CA734BE">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tcPr>
          <w:p w14:paraId="0FA73049">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38525F8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shd w:val="clear" w:color="auto" w:fill="F1F1F1"/>
            <w:noWrap/>
          </w:tcPr>
          <w:p w14:paraId="681CE3BE">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12</w:t>
            </w:r>
          </w:p>
        </w:tc>
        <w:tc>
          <w:tcPr>
            <w:tcW w:w="714" w:type="pct"/>
            <w:shd w:val="clear" w:color="auto" w:fill="F1F1F1"/>
          </w:tcPr>
          <w:p w14:paraId="6CAB8717">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shd w:val="clear" w:color="auto" w:fill="F1F1F1"/>
          </w:tcPr>
          <w:p w14:paraId="14BD3707">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tcPr>
          <w:p w14:paraId="27ED9D42">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188534EC">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noWrap/>
          </w:tcPr>
          <w:p w14:paraId="666A97FF">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13</w:t>
            </w:r>
          </w:p>
        </w:tc>
        <w:tc>
          <w:tcPr>
            <w:tcW w:w="714" w:type="pct"/>
          </w:tcPr>
          <w:p w14:paraId="0EE29289">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p>
        </w:tc>
        <w:tc>
          <w:tcPr>
            <w:tcW w:w="1172" w:type="pct"/>
          </w:tcPr>
          <w:p w14:paraId="3227A138">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tcPr>
          <w:p w14:paraId="0336A546">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月度涉水收费统一征收系统平台维护服务费</w:t>
            </w:r>
          </w:p>
        </w:tc>
      </w:tr>
      <w:tr w14:paraId="1E6401B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5" w:hRule="atLeast"/>
        </w:trPr>
        <w:tc>
          <w:tcPr>
            <w:tcW w:w="351" w:type="pct"/>
            <w:shd w:val="clear" w:color="auto" w:fill="F1F1F1"/>
            <w:noWrap/>
          </w:tcPr>
          <w:p w14:paraId="4B3D854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14</w:t>
            </w:r>
          </w:p>
        </w:tc>
        <w:tc>
          <w:tcPr>
            <w:tcW w:w="714" w:type="pct"/>
            <w:shd w:val="clear" w:color="auto" w:fill="F1F1F1"/>
          </w:tcPr>
          <w:p w14:paraId="64D2109C">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72" w:type="pct"/>
            <w:shd w:val="clear" w:color="auto" w:fill="F1F1F1"/>
          </w:tcPr>
          <w:p w14:paraId="5D08C641">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2761" w:type="pct"/>
            <w:shd w:val="clear" w:color="auto" w:fill="F1F1F1"/>
          </w:tcPr>
          <w:p w14:paraId="56EB469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系统等级保护测评及备案服务费(202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年完成)</w:t>
            </w:r>
          </w:p>
        </w:tc>
      </w:tr>
      <w:tr w14:paraId="3442A05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70" w:hRule="atLeast"/>
        </w:trPr>
        <w:tc>
          <w:tcPr>
            <w:tcW w:w="351" w:type="pct"/>
            <w:shd w:val="clear" w:color="auto" w:fill="F1F1F1"/>
            <w:noWrap/>
          </w:tcPr>
          <w:p w14:paraId="2865A86E">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b/>
                <w:bCs/>
                <w:color w:val="auto"/>
                <w:kern w:val="0"/>
                <w:sz w:val="21"/>
                <w:szCs w:val="21"/>
              </w:rPr>
            </w:pPr>
            <w:r>
              <w:rPr>
                <w:rFonts w:hint="eastAsia" w:ascii="宋体" w:hAnsi="宋体" w:eastAsia="宋体" w:cs="宋体"/>
                <w:b w:val="0"/>
                <w:bCs w:val="0"/>
                <w:color w:val="auto"/>
                <w:kern w:val="0"/>
                <w:sz w:val="21"/>
                <w:szCs w:val="21"/>
              </w:rPr>
              <w:t>　</w:t>
            </w:r>
          </w:p>
        </w:tc>
        <w:tc>
          <w:tcPr>
            <w:tcW w:w="714" w:type="pct"/>
            <w:shd w:val="clear" w:color="auto" w:fill="F1F1F1"/>
            <w:noWrap/>
          </w:tcPr>
          <w:p w14:paraId="1F92775D">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合计</w:t>
            </w:r>
          </w:p>
        </w:tc>
        <w:tc>
          <w:tcPr>
            <w:tcW w:w="1172" w:type="pct"/>
            <w:shd w:val="clear" w:color="auto" w:fill="F1F1F1"/>
            <w:noWrap/>
          </w:tcPr>
          <w:p w14:paraId="2BFEA2AA">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righ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 </w:t>
            </w:r>
          </w:p>
        </w:tc>
        <w:tc>
          <w:tcPr>
            <w:tcW w:w="2761" w:type="pct"/>
            <w:shd w:val="clear" w:color="auto" w:fill="F1F1F1"/>
            <w:noWrap/>
          </w:tcPr>
          <w:p w14:paraId="78A09C55">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jc w:val="left"/>
              <w:textAlignment w:val="auto"/>
              <w:rPr>
                <w:rFonts w:hint="eastAsia" w:ascii="宋体" w:hAnsi="宋体" w:eastAsia="宋体" w:cs="宋体"/>
                <w:b/>
                <w:bCs/>
                <w:color w:val="auto"/>
                <w:kern w:val="0"/>
                <w:sz w:val="21"/>
                <w:szCs w:val="21"/>
              </w:rPr>
            </w:pPr>
          </w:p>
        </w:tc>
      </w:tr>
    </w:tbl>
    <w:p w14:paraId="7BDE410A">
      <w:pPr>
        <w:spacing w:line="360" w:lineRule="auto"/>
        <w:ind w:firstLine="420" w:firstLineChars="200"/>
        <w:rPr>
          <w:rFonts w:hint="eastAsia" w:ascii="宋体" w:hAnsi="宋体" w:eastAsia="宋体" w:cs="宋体"/>
          <w:color w:val="auto"/>
          <w:sz w:val="21"/>
          <w:szCs w:val="21"/>
        </w:rPr>
      </w:pPr>
    </w:p>
    <w:p w14:paraId="5259DF6B">
      <w:pPr>
        <w:spacing w:line="360" w:lineRule="auto"/>
        <w:ind w:firstLine="420" w:firstLineChars="200"/>
        <w:rPr>
          <w:rFonts w:ascii="宋体" w:hAnsi="宋体" w:eastAsia="宋体"/>
          <w:color w:val="auto"/>
        </w:rPr>
      </w:pPr>
      <w:r>
        <w:rPr>
          <w:rFonts w:hint="eastAsia" w:ascii="宋体" w:hAnsi="宋体" w:eastAsia="宋体"/>
          <w:color w:val="auto"/>
        </w:rPr>
        <w:t>甲方根据《服务评价表》每月对乙方负责的项目进行考核，考核周期为</w:t>
      </w:r>
      <w:r>
        <w:rPr>
          <w:rFonts w:hint="eastAsia" w:ascii="宋体" w:hAnsi="宋体" w:eastAsia="宋体"/>
          <w:color w:val="auto"/>
          <w:lang w:val="en-US" w:eastAsia="zh-CN"/>
        </w:rPr>
        <w:t>服务期1-5月以及7-11月</w:t>
      </w:r>
      <w:r>
        <w:rPr>
          <w:rFonts w:hint="eastAsia" w:ascii="宋体" w:hAnsi="宋体" w:eastAsia="宋体"/>
          <w:color w:val="auto"/>
        </w:rPr>
        <w:t>，</w:t>
      </w:r>
      <w:r>
        <w:rPr>
          <w:rFonts w:hint="eastAsia" w:ascii="宋体" w:hAnsi="宋体" w:eastAsia="宋体"/>
          <w:color w:val="auto"/>
          <w:lang w:val="en-US" w:eastAsia="zh-CN"/>
        </w:rPr>
        <w:t>考核时间分别为第6、12月，</w:t>
      </w:r>
      <w:r>
        <w:rPr>
          <w:rFonts w:hint="eastAsia" w:ascii="宋体" w:hAnsi="宋体" w:eastAsia="宋体"/>
          <w:color w:val="auto"/>
        </w:rPr>
        <w:t>考核人分别为甲方相关业务部门。</w:t>
      </w:r>
      <w:r>
        <w:rPr>
          <w:rFonts w:hint="eastAsia" w:ascii="宋体" w:hAnsi="宋体" w:eastAsia="宋体"/>
          <w:color w:val="auto"/>
          <w:lang w:val="en-US" w:eastAsia="zh-CN"/>
        </w:rPr>
        <w:t>第6、12月的</w:t>
      </w:r>
      <w:r>
        <w:rPr>
          <w:rFonts w:hint="eastAsia" w:ascii="宋体" w:hAnsi="宋体" w:eastAsia="宋体"/>
          <w:color w:val="auto"/>
        </w:rPr>
        <w:t>月度维护服务费根据考核结果计算</w:t>
      </w:r>
      <w:r>
        <w:rPr>
          <w:rFonts w:hint="eastAsia" w:ascii="宋体" w:hAnsi="宋体"/>
          <w:color w:val="auto"/>
          <w:lang w:val="en-US" w:eastAsia="zh-CN"/>
        </w:rPr>
        <w:t>费用支付</w:t>
      </w:r>
      <w:r>
        <w:rPr>
          <w:rFonts w:hint="eastAsia" w:ascii="宋体" w:hAnsi="宋体" w:eastAsia="宋体"/>
          <w:color w:val="auto"/>
        </w:rPr>
        <w:t>系数：（1）当考核分为 90分(不含)以上，服务费按月度维护服务费的100%支付；（2）当考核分为85分(不含)-90分(含)时，服务费按月度维护服务费的90%支付；（3）当考核分为</w:t>
      </w:r>
      <w:r>
        <w:rPr>
          <w:rFonts w:hint="eastAsia" w:ascii="宋体" w:hAnsi="宋体" w:eastAsia="宋体"/>
          <w:color w:val="auto"/>
          <w:lang w:val="en-US" w:eastAsia="zh-CN"/>
        </w:rPr>
        <w:t>低于</w:t>
      </w:r>
      <w:r>
        <w:rPr>
          <w:rFonts w:hint="eastAsia" w:ascii="宋体" w:hAnsi="宋体" w:eastAsia="宋体"/>
          <w:color w:val="auto"/>
        </w:rPr>
        <w:t>85(含)分时，服务费按月度维护服务费的80%支付；（4）当考核分低于80分(含)时，按对应得分作为比例，按月度维护服务费×得分比例进行支付（例如:考核得75分，当月的服务费按月度维护服务费的75%支付，以此类推）。</w:t>
      </w:r>
    </w:p>
    <w:p w14:paraId="7905704B">
      <w:pPr>
        <w:spacing w:line="360" w:lineRule="auto"/>
        <w:ind w:firstLine="420" w:firstLineChars="200"/>
        <w:rPr>
          <w:rFonts w:hint="eastAsia" w:ascii="宋体" w:hAnsi="宋体" w:eastAsia="宋体" w:cs="宋体"/>
          <w:color w:val="auto"/>
          <w:sz w:val="21"/>
          <w:szCs w:val="21"/>
        </w:rPr>
      </w:pPr>
    </w:p>
    <w:p w14:paraId="6A3640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乙方账户信息</w:t>
      </w:r>
    </w:p>
    <w:p w14:paraId="36D7464D">
      <w:pPr>
        <w:spacing w:line="360" w:lineRule="auto"/>
        <w:ind w:firstLine="420" w:firstLineChars="200"/>
        <w:rPr>
          <w:rFonts w:hint="eastAsia"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rPr>
        <w:t>开户名：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p>
    <w:p w14:paraId="76C0F273">
      <w:pPr>
        <w:spacing w:line="360" w:lineRule="auto"/>
        <w:ind w:firstLine="420" w:firstLineChars="20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纳税人识别号：</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p>
    <w:p w14:paraId="5D22AB5E">
      <w:pPr>
        <w:spacing w:line="360" w:lineRule="auto"/>
        <w:ind w:firstLine="420" w:firstLineChars="20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开户银行：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p>
    <w:p w14:paraId="0F9B8CB6">
      <w:pPr>
        <w:spacing w:line="360" w:lineRule="auto"/>
        <w:ind w:firstLine="420" w:firstLineChars="200"/>
        <w:rPr>
          <w:rFonts w:hint="eastAsia"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rPr>
        <w:t>账号：</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p>
    <w:p w14:paraId="5798DE11">
      <w:pPr>
        <w:pStyle w:val="2"/>
        <w:spacing w:line="360" w:lineRule="auto"/>
        <w:ind w:right="-28" w:firstLine="422" w:firstLineChars="2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lang w:val="en-US" w:eastAsia="zh-CN"/>
        </w:rPr>
        <w:t>如乙方收款账户需进行变更，应当提前【】个工作日以书面形式通知甲方。乙方未及时履行书面通知义务的，由此造成的损失应自行负责。</w:t>
      </w:r>
    </w:p>
    <w:p w14:paraId="78EABD5D">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条 其他约定</w:t>
      </w:r>
    </w:p>
    <w:p w14:paraId="6D655BC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严禁转包，</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未经甲方书面同意不得</w:t>
      </w:r>
      <w:r>
        <w:rPr>
          <w:rFonts w:hint="eastAsia" w:ascii="宋体" w:hAnsi="宋体" w:eastAsia="宋体" w:cs="宋体"/>
          <w:color w:val="auto"/>
          <w:sz w:val="21"/>
          <w:szCs w:val="21"/>
          <w:lang w:val="en-US" w:eastAsia="zh-CN"/>
        </w:rPr>
        <w:t>将本项目</w:t>
      </w:r>
      <w:r>
        <w:rPr>
          <w:rFonts w:hint="eastAsia" w:ascii="宋体" w:hAnsi="宋体" w:eastAsia="宋体" w:cs="宋体"/>
          <w:color w:val="auto"/>
          <w:sz w:val="21"/>
          <w:szCs w:val="21"/>
        </w:rPr>
        <w:t>分包。</w:t>
      </w:r>
    </w:p>
    <w:p w14:paraId="3AC600E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2、乙方全部工作人员，须符合东莞市用工标准要求。</w:t>
      </w:r>
    </w:p>
    <w:p w14:paraId="1FD09E1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rPr>
        <w:t>人员</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服务期间的</w:t>
      </w:r>
      <w:r>
        <w:rPr>
          <w:rFonts w:hint="eastAsia" w:ascii="宋体" w:hAnsi="宋体" w:eastAsia="宋体" w:cs="宋体"/>
          <w:color w:val="auto"/>
          <w:sz w:val="21"/>
          <w:szCs w:val="21"/>
          <w:lang w:val="en-US" w:eastAsia="zh-CN"/>
        </w:rPr>
        <w:t>如存在故意或过失行为</w:t>
      </w:r>
      <w:r>
        <w:rPr>
          <w:rFonts w:hint="eastAsia" w:ascii="宋体" w:hAnsi="宋体" w:eastAsia="宋体" w:cs="宋体"/>
          <w:color w:val="auto"/>
          <w:sz w:val="21"/>
          <w:szCs w:val="21"/>
        </w:rPr>
        <w:t>造成甲方损失的，由乙方负责赔偿。</w:t>
      </w:r>
    </w:p>
    <w:p w14:paraId="7B0BD00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服务人员的劳动关系隶属乙方，乙方负责服务人员的工资、节假日和超时加班补助费、社会保险、住宿、伙食等。</w:t>
      </w:r>
    </w:p>
    <w:p w14:paraId="7200DC3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5、乙方负责本项目服务人员购买因意外身故或伤残和因意外事故住院治疗保险，并负责办理一切保险赔偿手续。</w:t>
      </w:r>
    </w:p>
    <w:p w14:paraId="0F0C575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6、合同签订后，甲方针对本项目制定相应的工作条例和考核标准作为合同的有效组成部分，与本合同具有同等效力。</w:t>
      </w:r>
    </w:p>
    <w:p w14:paraId="3D0221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7、乙方必须做好安全保密责任和安全措施，在维护过程中的服务人员、财产安全责任全部由乙方承担。该项目内容涉及内部事项和国家规定的保密事项，乙方应承诺做好保密工作并承担如下责任：</w:t>
      </w:r>
    </w:p>
    <w:p w14:paraId="371A70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保证甲方资料和为本合同提供的条文、规格、计划、图纸、模型、样品或资料仅限于本项目，未经甲方书面同意，不得直接或间接地透露或提供给任何第三方或将其使用在其他项目中，不得将其用于履行本合同之外的其他用途。即使向与履行本合同有关的人员提供，也应注意保密并限于履行合同所必需的范围；</w:t>
      </w:r>
    </w:p>
    <w:p w14:paraId="0E122D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（2）保证本项目相关资料的内容保密，维护工作人员若泄露上述内容，责任由乙方承担；</w:t>
      </w:r>
    </w:p>
    <w:p w14:paraId="190CF6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（3）保证对相关资料不进行与项目无关的复制；</w:t>
      </w:r>
    </w:p>
    <w:p w14:paraId="1C30AFB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（4）如违反上述规定，甲方有权要求乙方承担违约金并有权依法追究其法律责任。</w:t>
      </w:r>
    </w:p>
    <w:p w14:paraId="22281CD0">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val="en-US" w:eastAsia="zh-CN"/>
        </w:rPr>
        <w:t>九</w:t>
      </w:r>
      <w:r>
        <w:rPr>
          <w:rFonts w:hint="eastAsia" w:ascii="宋体" w:hAnsi="宋体" w:eastAsia="宋体" w:cs="宋体"/>
          <w:b/>
          <w:color w:val="auto"/>
          <w:sz w:val="21"/>
          <w:szCs w:val="21"/>
        </w:rPr>
        <w:t>条 违约责任</w:t>
      </w:r>
    </w:p>
    <w:p w14:paraId="2B573F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双方任何一方不履行合同条款或不按合同约定履行条款的其它情况，均属违约，由违约方承担违约责任，赔偿因其违约造成的损失，并支付合同价款总额5%的违约金。本合同约定的服务期限内，如因甲方的上级部门、东莞市政府等上级机关的要求或者政策变更等非甲方原因，导致本服务项目取消或者中止的，甲方有权提前解除合同，而无需向乙方承担违约责任，但甲方应当向乙方结算已经履行合同部分的服务费用。</w:t>
      </w:r>
    </w:p>
    <w:p w14:paraId="4A188F4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2、若乙方未能在合同约定时间完成运维服务的，每逾期1天，应向甲方支付合同总价款0.03%的违约金，且甲方有权</w:t>
      </w:r>
      <w:r>
        <w:rPr>
          <w:rFonts w:hint="eastAsia" w:ascii="宋体" w:hAnsi="宋体" w:eastAsia="宋体" w:cs="宋体"/>
          <w:color w:val="auto"/>
          <w:sz w:val="21"/>
          <w:szCs w:val="21"/>
          <w:lang w:val="en-US" w:eastAsia="zh-CN"/>
        </w:rPr>
        <w:t>另行聘请</w:t>
      </w:r>
      <w:r>
        <w:rPr>
          <w:rFonts w:hint="eastAsia" w:ascii="宋体" w:hAnsi="宋体" w:eastAsia="宋体" w:cs="宋体"/>
          <w:color w:val="auto"/>
          <w:sz w:val="21"/>
          <w:szCs w:val="21"/>
        </w:rPr>
        <w:t>第三方提供服务，</w:t>
      </w:r>
      <w:r>
        <w:rPr>
          <w:rFonts w:hint="eastAsia" w:ascii="宋体" w:hAnsi="宋体" w:eastAsia="宋体" w:cs="宋体"/>
          <w:color w:val="auto"/>
          <w:sz w:val="21"/>
          <w:szCs w:val="21"/>
          <w:lang w:val="en-US" w:eastAsia="zh-CN"/>
        </w:rPr>
        <w:t>因此产生的一切费用及损失由</w:t>
      </w:r>
      <w:r>
        <w:rPr>
          <w:rFonts w:hint="eastAsia" w:ascii="宋体" w:hAnsi="宋体" w:eastAsia="宋体" w:cs="宋体"/>
          <w:color w:val="auto"/>
          <w:sz w:val="21"/>
          <w:szCs w:val="21"/>
        </w:rPr>
        <w:t>乙方承担；若上述情形出现三次及以上，甲方有权解除合同，乙方</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按照合同总价款的20%</w:t>
      </w:r>
      <w:r>
        <w:rPr>
          <w:rFonts w:hint="eastAsia" w:ascii="宋体" w:hAnsi="宋体" w:eastAsia="宋体" w:cs="宋体"/>
          <w:color w:val="auto"/>
          <w:sz w:val="21"/>
          <w:szCs w:val="21"/>
          <w:lang w:val="en-US" w:eastAsia="zh-CN"/>
        </w:rPr>
        <w:t>向甲方</w:t>
      </w:r>
      <w:r>
        <w:rPr>
          <w:rFonts w:hint="eastAsia" w:ascii="宋体" w:hAnsi="宋体" w:eastAsia="宋体" w:cs="宋体"/>
          <w:color w:val="auto"/>
          <w:sz w:val="21"/>
          <w:szCs w:val="21"/>
        </w:rPr>
        <w:t>支付违约金。</w:t>
      </w:r>
    </w:p>
    <w:p w14:paraId="1C4DBA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3、由于乙方的原因，未</w:t>
      </w:r>
      <w:r>
        <w:rPr>
          <w:rFonts w:hint="eastAsia" w:ascii="宋体" w:hAnsi="宋体" w:eastAsia="宋体" w:cs="宋体"/>
          <w:color w:val="auto"/>
          <w:sz w:val="21"/>
          <w:szCs w:val="21"/>
          <w:lang w:val="en-US" w:eastAsia="zh-CN"/>
        </w:rPr>
        <w:t>按合同或招标要求开展工作、履行义务</w:t>
      </w:r>
      <w:r>
        <w:rPr>
          <w:rFonts w:hint="eastAsia" w:ascii="宋体" w:hAnsi="宋体" w:eastAsia="宋体" w:cs="宋体"/>
          <w:color w:val="auto"/>
          <w:sz w:val="21"/>
          <w:szCs w:val="21"/>
        </w:rPr>
        <w:t>导致</w:t>
      </w:r>
      <w:r>
        <w:rPr>
          <w:rFonts w:hint="eastAsia" w:ascii="宋体" w:hAnsi="宋体" w:eastAsia="宋体" w:cs="宋体"/>
          <w:color w:val="auto"/>
          <w:sz w:val="21"/>
          <w:szCs w:val="21"/>
          <w:lang w:val="en-US" w:eastAsia="zh-CN"/>
        </w:rPr>
        <w:t>发生</w:t>
      </w:r>
      <w:r>
        <w:rPr>
          <w:rFonts w:hint="eastAsia" w:ascii="宋体" w:hAnsi="宋体" w:eastAsia="宋体" w:cs="宋体"/>
          <w:color w:val="auto"/>
          <w:sz w:val="21"/>
          <w:szCs w:val="21"/>
        </w:rPr>
        <w:t>重大事故并造成恶劣影响时，甲方有权按评定的损失大小从系统运行维护服务费中扣除相应费</w:t>
      </w:r>
      <w:r>
        <w:rPr>
          <w:rFonts w:hint="eastAsia" w:ascii="宋体" w:hAnsi="宋体" w:eastAsia="宋体" w:cs="宋体"/>
          <w:color w:val="auto"/>
          <w:sz w:val="21"/>
          <w:szCs w:val="21"/>
          <w:lang w:val="en-US" w:eastAsia="zh-CN"/>
        </w:rPr>
        <w:t>用作为赔偿；若服务费不足以弥补甲方所受损失的，乙方还应当予以补足</w:t>
      </w:r>
      <w:r>
        <w:rPr>
          <w:rFonts w:hint="eastAsia" w:ascii="宋体" w:hAnsi="宋体" w:eastAsia="宋体" w:cs="宋体"/>
          <w:color w:val="auto"/>
          <w:sz w:val="21"/>
          <w:szCs w:val="21"/>
        </w:rPr>
        <w:t>。</w:t>
      </w:r>
    </w:p>
    <w:p w14:paraId="1F64401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4、乙方违反本合同约定，经甲方通知后仍未</w:t>
      </w:r>
      <w:r>
        <w:rPr>
          <w:rFonts w:hint="eastAsia" w:ascii="宋体" w:hAnsi="宋体" w:eastAsia="宋体" w:cs="宋体"/>
          <w:color w:val="auto"/>
          <w:sz w:val="21"/>
          <w:szCs w:val="21"/>
          <w:lang w:val="en-US" w:eastAsia="zh-CN"/>
        </w:rPr>
        <w:t>改正</w:t>
      </w:r>
      <w:r>
        <w:rPr>
          <w:rFonts w:hint="eastAsia" w:ascii="宋体" w:hAnsi="宋体" w:eastAsia="宋体" w:cs="宋体"/>
          <w:color w:val="auto"/>
          <w:sz w:val="21"/>
          <w:szCs w:val="21"/>
        </w:rPr>
        <w:t>的，甲方有权解除本合同。造成甲方损失的，乙方应予以赔偿。</w:t>
      </w:r>
    </w:p>
    <w:p w14:paraId="04858484">
      <w:pPr>
        <w:pStyle w:val="2"/>
        <w:autoSpaceDE/>
        <w:autoSpaceDN/>
        <w:spacing w:line="360" w:lineRule="auto"/>
        <w:ind w:right="-28" w:firstLine="420" w:firstLineChars="200"/>
        <w:jc w:val="both"/>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5、合同签订后，乙方不得随意更换项目人员，否则甲方有权单方终止合同，并根据合同执行相关赔偿责任；乙方在合同履行期间，遇特殊情况需更换项目人员的，服务单位须提前书面3个工作日内告知甲方，在征得甲方同意情况下，以同等水平置换（包括个人资质、项目经验、专业背景等）方式进行人员更换、补充。</w:t>
      </w:r>
    </w:p>
    <w:p w14:paraId="23D102DE">
      <w:pPr>
        <w:pStyle w:val="2"/>
        <w:spacing w:line="360" w:lineRule="auto"/>
        <w:ind w:right="-28" w:firstLine="420" w:firstLineChars="200"/>
        <w:jc w:val="both"/>
        <w:rPr>
          <w:rFonts w:hint="eastAsia" w:hAnsi="宋体" w:eastAsia="宋体" w:cs="宋体"/>
          <w:b w:val="0"/>
          <w:bCs w:val="0"/>
          <w:color w:val="auto"/>
          <w:sz w:val="21"/>
          <w:szCs w:val="21"/>
          <w:lang w:val="en-US" w:eastAsia="zh-CN"/>
        </w:rPr>
      </w:pPr>
      <w:r>
        <w:rPr>
          <w:rFonts w:hint="eastAsia" w:hAnsi="宋体" w:cs="宋体"/>
          <w:b w:val="0"/>
          <w:bCs w:val="0"/>
          <w:color w:val="auto"/>
          <w:sz w:val="21"/>
          <w:szCs w:val="21"/>
          <w:lang w:val="en-US" w:eastAsia="zh-CN"/>
        </w:rPr>
        <w:t>6、在服务过程中，甲方发现乙方工作人员有明显不符合要求的，乙方应在甲方提出要求后3日内给予调换，每逾期一日，应按合同总价（含税）的5‰向甲方支付违约金。该部分金额不足以弥补甲方损失的，甲方还有权另行追偿。</w:t>
      </w:r>
    </w:p>
    <w:p w14:paraId="12D02F52">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val="en-US" w:eastAsia="zh-CN"/>
        </w:rPr>
        <w:t>十</w:t>
      </w:r>
      <w:r>
        <w:rPr>
          <w:rFonts w:hint="eastAsia" w:ascii="宋体" w:hAnsi="宋体" w:eastAsia="宋体" w:cs="宋体"/>
          <w:b/>
          <w:color w:val="auto"/>
          <w:sz w:val="21"/>
          <w:szCs w:val="21"/>
        </w:rPr>
        <w:t>条 争议的解决</w:t>
      </w:r>
    </w:p>
    <w:p w14:paraId="1B7A44F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1、凡与本合同有关而引起的一切争议，甲乙双方应首先通过友好协商解决，如经协商后仍不能达成协议时，任何一方可以向法院提出诉讼。</w:t>
      </w:r>
    </w:p>
    <w:p w14:paraId="2BBE722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2、本合同发生的诉讼管辖地为</w:t>
      </w:r>
      <w:r>
        <w:rPr>
          <w:rFonts w:hint="eastAsia" w:ascii="宋体" w:hAnsi="宋体" w:eastAsia="宋体" w:cs="宋体"/>
          <w:color w:val="auto"/>
          <w:sz w:val="21"/>
          <w:szCs w:val="21"/>
          <w:lang w:val="en-US" w:eastAsia="zh-CN"/>
        </w:rPr>
        <w:t>合同签订地有管辖权的法院</w:t>
      </w:r>
      <w:r>
        <w:rPr>
          <w:rFonts w:hint="eastAsia" w:ascii="宋体" w:hAnsi="宋体" w:eastAsia="宋体" w:cs="宋体"/>
          <w:color w:val="auto"/>
          <w:sz w:val="21"/>
          <w:szCs w:val="21"/>
        </w:rPr>
        <w:t>。</w:t>
      </w:r>
    </w:p>
    <w:p w14:paraId="407DFE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争议期间，各方仍应继续履行未涉争议的条款</w:t>
      </w:r>
      <w:r>
        <w:rPr>
          <w:rFonts w:hint="eastAsia" w:ascii="宋体" w:hAnsi="宋体" w:eastAsia="宋体" w:cs="宋体"/>
          <w:color w:val="auto"/>
          <w:sz w:val="21"/>
          <w:szCs w:val="21"/>
        </w:rPr>
        <w:t>。</w:t>
      </w:r>
    </w:p>
    <w:p w14:paraId="1DBA6F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4、本合同按照中华人民共和国的法律进行解释。</w:t>
      </w:r>
    </w:p>
    <w:p w14:paraId="266D991E">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条 合同生效</w:t>
      </w:r>
    </w:p>
    <w:p w14:paraId="7007A4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1、本合同由双方法定代表人或签约代表签字盖章后立即生效，具有同等法律效力，合同有效期随服务期结束而自然终止。</w:t>
      </w:r>
    </w:p>
    <w:p w14:paraId="6D489D0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份，其中甲方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bookmarkEnd w:id="406"/>
    <w:p w14:paraId="05E0D3A2">
      <w:pPr>
        <w:spacing w:line="360" w:lineRule="auto"/>
        <w:ind w:firstLine="422" w:firstLineChars="200"/>
        <w:rPr>
          <w:rFonts w:hint="eastAsia" w:ascii="宋体" w:hAnsi="宋体" w:eastAsia="宋体" w:cs="宋体"/>
          <w:b/>
          <w:color w:val="auto"/>
          <w:sz w:val="21"/>
          <w:szCs w:val="21"/>
        </w:rPr>
      </w:pPr>
      <w:bookmarkStart w:id="407" w:name="_Toc86481570"/>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条 其他</w:t>
      </w:r>
    </w:p>
    <w:p w14:paraId="180DC3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1、本合同未尽事宜，双方可签订补充合同或协议，补充合同或协议与所有附件均为合同的有效组成部分，与本合同具有同等法律效力。</w:t>
      </w:r>
    </w:p>
    <w:p w14:paraId="2AB0042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2、在执行本合同的过程中，所有经甲乙双方签署确认的文件（包括会议纪要、补充协议、往来信函、合同附件等）即成为本合同的有效组成部分，其生效日期为双方签字盖章或确认之日期。</w:t>
      </w:r>
    </w:p>
    <w:bookmarkEnd w:id="407"/>
    <w:p w14:paraId="0BA043C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本合同合计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页A4纸张，缺页之合同为无效合同。</w:t>
      </w:r>
    </w:p>
    <w:p w14:paraId="540F854A">
      <w:pPr>
        <w:spacing w:line="360" w:lineRule="auto"/>
        <w:ind w:firstLine="420" w:firstLineChars="200"/>
        <w:rPr>
          <w:rFonts w:hint="eastAsia" w:ascii="宋体" w:hAnsi="宋体" w:eastAsia="宋体" w:cs="宋体"/>
          <w:color w:val="auto"/>
          <w:sz w:val="21"/>
          <w:szCs w:val="21"/>
        </w:rPr>
      </w:pPr>
    </w:p>
    <w:p w14:paraId="07CEE15B">
      <w:pPr>
        <w:spacing w:line="360" w:lineRule="auto"/>
        <w:ind w:firstLine="420" w:firstLineChars="200"/>
        <w:rPr>
          <w:rFonts w:hint="eastAsia" w:ascii="宋体" w:hAnsi="宋体" w:eastAsia="宋体" w:cs="宋体"/>
          <w:color w:val="auto"/>
          <w:sz w:val="21"/>
          <w:szCs w:val="21"/>
        </w:rPr>
      </w:pPr>
    </w:p>
    <w:p w14:paraId="19F83AD9">
      <w:pPr>
        <w:spacing w:line="360" w:lineRule="auto"/>
        <w:ind w:firstLine="420" w:firstLineChars="200"/>
        <w:rPr>
          <w:rFonts w:hint="eastAsia" w:ascii="宋体" w:hAnsi="宋体" w:eastAsia="宋体" w:cs="宋体"/>
          <w:color w:val="auto"/>
          <w:sz w:val="21"/>
          <w:szCs w:val="21"/>
        </w:rPr>
      </w:pPr>
    </w:p>
    <w:p w14:paraId="048FBA62">
      <w:pPr>
        <w:spacing w:line="360" w:lineRule="auto"/>
        <w:ind w:firstLine="420" w:firstLineChars="200"/>
        <w:rPr>
          <w:rFonts w:hint="eastAsia" w:ascii="宋体" w:hAnsi="宋体" w:eastAsia="宋体" w:cs="宋体"/>
          <w:color w:val="auto"/>
          <w:sz w:val="21"/>
          <w:szCs w:val="21"/>
        </w:rPr>
      </w:pPr>
    </w:p>
    <w:tbl>
      <w:tblPr>
        <w:tblStyle w:val="39"/>
        <w:tblW w:w="5000" w:type="pct"/>
        <w:tblInd w:w="0" w:type="dxa"/>
        <w:tblLayout w:type="autofit"/>
        <w:tblCellMar>
          <w:top w:w="0" w:type="dxa"/>
          <w:left w:w="108" w:type="dxa"/>
          <w:bottom w:w="0" w:type="dxa"/>
          <w:right w:w="108" w:type="dxa"/>
        </w:tblCellMar>
      </w:tblPr>
      <w:tblGrid>
        <w:gridCol w:w="4876"/>
        <w:gridCol w:w="241"/>
        <w:gridCol w:w="5179"/>
      </w:tblGrid>
      <w:tr w14:paraId="6A3016D5">
        <w:tblPrEx>
          <w:tblCellMar>
            <w:top w:w="0" w:type="dxa"/>
            <w:left w:w="108" w:type="dxa"/>
            <w:bottom w:w="0" w:type="dxa"/>
            <w:right w:w="108" w:type="dxa"/>
          </w:tblCellMar>
        </w:tblPrEx>
        <w:trPr>
          <w:trHeight w:val="626" w:hRule="atLeast"/>
        </w:trPr>
        <w:tc>
          <w:tcPr>
            <w:tcW w:w="2367" w:type="pct"/>
            <w:tcBorders>
              <w:top w:val="nil"/>
              <w:left w:val="nil"/>
              <w:bottom w:val="nil"/>
              <w:right w:val="nil"/>
            </w:tcBorders>
            <w:noWrap/>
            <w:vAlign w:val="center"/>
          </w:tcPr>
          <w:p w14:paraId="3657DB3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bookmarkStart w:id="408" w:name="_Hlk88125143"/>
            <w:r>
              <w:rPr>
                <w:rFonts w:hint="eastAsia" w:ascii="宋体" w:hAnsi="宋体" w:eastAsia="宋体" w:cs="宋体"/>
                <w:b/>
                <w:bCs/>
                <w:color w:val="auto"/>
                <w:kern w:val="0"/>
                <w:sz w:val="21"/>
                <w:szCs w:val="21"/>
              </w:rPr>
              <w:t>甲方</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（盖章）</w:t>
            </w:r>
          </w:p>
          <w:p w14:paraId="049FE19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p w14:paraId="168091E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p w14:paraId="7283E0F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p w14:paraId="0D62573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p w14:paraId="7F82BD2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p w14:paraId="4AD1F41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117" w:type="pct"/>
            <w:tcBorders>
              <w:top w:val="nil"/>
              <w:left w:val="nil"/>
              <w:bottom w:val="nil"/>
              <w:right w:val="nil"/>
            </w:tcBorders>
            <w:noWrap/>
            <w:vAlign w:val="center"/>
          </w:tcPr>
          <w:p w14:paraId="5247BAE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rPr>
            </w:pPr>
          </w:p>
        </w:tc>
        <w:tc>
          <w:tcPr>
            <w:tcW w:w="2514" w:type="pct"/>
            <w:tcBorders>
              <w:top w:val="nil"/>
              <w:left w:val="nil"/>
              <w:bottom w:val="nil"/>
              <w:right w:val="nil"/>
            </w:tcBorders>
            <w:vAlign w:val="center"/>
          </w:tcPr>
          <w:p w14:paraId="30B28EF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乙方</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（盖章）</w:t>
            </w:r>
          </w:p>
          <w:p w14:paraId="1C958CD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p>
          <w:p w14:paraId="3DD40B3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p>
          <w:p w14:paraId="33D17DC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p>
          <w:p w14:paraId="197C8D2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p>
          <w:p w14:paraId="63D6F25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p>
          <w:p w14:paraId="4DB4175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p>
        </w:tc>
      </w:tr>
      <w:tr w14:paraId="1BEE7B0C">
        <w:tblPrEx>
          <w:tblCellMar>
            <w:top w:w="0" w:type="dxa"/>
            <w:left w:w="108" w:type="dxa"/>
            <w:bottom w:w="0" w:type="dxa"/>
            <w:right w:w="108" w:type="dxa"/>
          </w:tblCellMar>
        </w:tblPrEx>
        <w:trPr>
          <w:trHeight w:val="626" w:hRule="atLeast"/>
        </w:trPr>
        <w:tc>
          <w:tcPr>
            <w:tcW w:w="2367" w:type="pct"/>
            <w:tcBorders>
              <w:top w:val="nil"/>
              <w:left w:val="nil"/>
              <w:bottom w:val="nil"/>
              <w:right w:val="nil"/>
            </w:tcBorders>
            <w:noWrap/>
            <w:vAlign w:val="center"/>
          </w:tcPr>
          <w:p w14:paraId="7DDCDF9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法定代表人</w:t>
            </w:r>
            <w:r>
              <w:rPr>
                <w:rFonts w:hint="eastAsia" w:ascii="宋体" w:hAnsi="宋体" w:eastAsia="宋体" w:cs="宋体"/>
                <w:b/>
                <w:bCs/>
                <w:color w:val="auto"/>
                <w:kern w:val="0"/>
                <w:sz w:val="21"/>
                <w:szCs w:val="21"/>
                <w:lang w:val="en-US" w:eastAsia="zh-CN"/>
              </w:rPr>
              <w:t>/签约代表</w:t>
            </w:r>
            <w:r>
              <w:rPr>
                <w:rFonts w:hint="eastAsia" w:ascii="宋体" w:hAnsi="宋体" w:eastAsia="宋体" w:cs="宋体"/>
                <w:color w:val="auto"/>
                <w:kern w:val="0"/>
                <w:sz w:val="21"/>
                <w:szCs w:val="21"/>
              </w:rPr>
              <w:t>（签名）：</w:t>
            </w:r>
            <w:r>
              <w:rPr>
                <w:rFonts w:hint="eastAsia" w:ascii="宋体" w:hAnsi="宋体" w:eastAsia="宋体" w:cs="宋体"/>
                <w:color w:val="auto"/>
                <w:kern w:val="0"/>
                <w:sz w:val="21"/>
                <w:szCs w:val="21"/>
                <w:u w:val="single"/>
              </w:rPr>
              <w:t xml:space="preserve">              </w:t>
            </w:r>
          </w:p>
        </w:tc>
        <w:tc>
          <w:tcPr>
            <w:tcW w:w="117" w:type="pct"/>
            <w:tcBorders>
              <w:top w:val="nil"/>
              <w:left w:val="nil"/>
              <w:bottom w:val="nil"/>
              <w:right w:val="nil"/>
            </w:tcBorders>
            <w:noWrap/>
            <w:vAlign w:val="center"/>
          </w:tcPr>
          <w:p w14:paraId="105A962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p>
        </w:tc>
        <w:tc>
          <w:tcPr>
            <w:tcW w:w="2514" w:type="pct"/>
            <w:tcBorders>
              <w:top w:val="nil"/>
              <w:left w:val="nil"/>
              <w:bottom w:val="nil"/>
              <w:right w:val="nil"/>
            </w:tcBorders>
            <w:noWrap/>
            <w:vAlign w:val="center"/>
          </w:tcPr>
          <w:p w14:paraId="2153781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法定代表人</w:t>
            </w:r>
            <w:r>
              <w:rPr>
                <w:rFonts w:hint="eastAsia" w:ascii="宋体" w:hAnsi="宋体" w:eastAsia="宋体" w:cs="宋体"/>
                <w:b/>
                <w:bCs/>
                <w:color w:val="auto"/>
                <w:kern w:val="0"/>
                <w:sz w:val="21"/>
                <w:szCs w:val="21"/>
                <w:lang w:val="en-US" w:eastAsia="zh-CN"/>
              </w:rPr>
              <w:t>/签约代表</w:t>
            </w:r>
            <w:r>
              <w:rPr>
                <w:rFonts w:hint="eastAsia" w:ascii="宋体" w:hAnsi="宋体" w:eastAsia="宋体" w:cs="宋体"/>
                <w:color w:val="auto"/>
                <w:kern w:val="0"/>
                <w:sz w:val="21"/>
                <w:szCs w:val="21"/>
              </w:rPr>
              <w:t>（签名）：</w:t>
            </w:r>
            <w:r>
              <w:rPr>
                <w:rFonts w:hint="eastAsia" w:ascii="宋体" w:hAnsi="宋体" w:eastAsia="宋体" w:cs="宋体"/>
                <w:color w:val="auto"/>
                <w:kern w:val="0"/>
                <w:sz w:val="21"/>
                <w:szCs w:val="21"/>
                <w:u w:val="single"/>
              </w:rPr>
              <w:t xml:space="preserve">              </w:t>
            </w:r>
          </w:p>
        </w:tc>
      </w:tr>
      <w:bookmarkEnd w:id="408"/>
    </w:tbl>
    <w:p w14:paraId="7F2F70C3">
      <w:pPr>
        <w:pageBreakBefore/>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：廉洁协议书</w:t>
      </w:r>
    </w:p>
    <w:p w14:paraId="14FC0975">
      <w:pPr>
        <w:spacing w:line="360" w:lineRule="auto"/>
        <w:jc w:val="center"/>
        <w:rPr>
          <w:rFonts w:hint="eastAsia" w:ascii="宋体" w:hAnsi="宋体" w:eastAsia="宋体" w:cs="宋体"/>
          <w:color w:val="auto"/>
          <w:szCs w:val="21"/>
        </w:rPr>
      </w:pPr>
      <w:r>
        <w:rPr>
          <w:rFonts w:hint="eastAsia" w:ascii="宋体" w:hAnsi="宋体" w:eastAsia="宋体" w:cs="宋体"/>
          <w:color w:val="auto"/>
          <w:sz w:val="44"/>
          <w:szCs w:val="44"/>
        </w:rPr>
        <w:t>廉洁协议书</w:t>
      </w:r>
    </w:p>
    <w:p w14:paraId="675E782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东莞市涉水收费统一征收平台2025年度运维服务项目</w:t>
      </w:r>
      <w:r>
        <w:rPr>
          <w:rFonts w:hint="eastAsia" w:ascii="宋体" w:hAnsi="宋体" w:eastAsia="宋体" w:cs="宋体"/>
          <w:color w:val="auto"/>
          <w:kern w:val="0"/>
          <w:sz w:val="21"/>
          <w:szCs w:val="21"/>
          <w:highlight w:val="none"/>
        </w:rPr>
        <w:t>（招标编号：</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p>
    <w:p w14:paraId="074548B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甲方（业主单位）： </w:t>
      </w:r>
    </w:p>
    <w:p w14:paraId="502C1FC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w:t>
      </w:r>
    </w:p>
    <w:p w14:paraId="065BF9F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844496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甲乙双方的权利和义务</w:t>
      </w:r>
    </w:p>
    <w:p w14:paraId="7C90573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（一）严格遵守党和国家有关法律法规等有关廉洁从业规定。</w:t>
      </w:r>
    </w:p>
    <w:p w14:paraId="149A02D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（二）严格执行本项目的合同文件，自觉按合同办事。</w:t>
      </w:r>
    </w:p>
    <w:p w14:paraId="0F4F0BE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4F786D9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（四）建立健全廉洁制度，开展廉洁教育，设立廉洁监督公示牌，公布举报电话，监督并认真查处违法违纪行为。</w:t>
      </w:r>
    </w:p>
    <w:p w14:paraId="3827FF3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（五）发现对方在业务活动中有违反廉洁规定的行为，有及时提醒对方纠正的权利和义务。</w:t>
      </w:r>
    </w:p>
    <w:p w14:paraId="443ED0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（六）发现对方严重违反本协议义务条款的行为，有向其上级有关部门举报、建议给予处理并要求告知处理结果的权利。</w:t>
      </w:r>
    </w:p>
    <w:p w14:paraId="5AD8F2D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甲方的义务</w:t>
      </w:r>
    </w:p>
    <w:p w14:paraId="460416A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（一）甲方及其工作人员不得索要或接受乙方的礼金、有价证券和贵重物品，不得在乙方报销任何应由甲方或个人支付的费用。</w:t>
      </w:r>
    </w:p>
    <w:p w14:paraId="56F321F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（二）甲方工作人员不得参加乙方安排的高消费宴请和娱乐活动；不得接受乙方提供的通讯工具、交通工具和高档办公用品。</w:t>
      </w:r>
    </w:p>
    <w:p w14:paraId="6E91AFE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（三）甲方及其工作人员不得要求或者接受乙方为其住房装修、婚丧嫁娶活动、家属或亲友的工作安排以及出国出境、旅游等提供方便。</w:t>
      </w:r>
    </w:p>
    <w:p w14:paraId="5A326AE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（四）甲方工作人员不得向乙方介绍其家属或者亲友（包括家属或亲友开办的公司企业）从事于本项目涉及的经济业务活动。</w:t>
      </w:r>
    </w:p>
    <w:p w14:paraId="1E8C7CC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（五）甲方及其工作人员不得以任何理由向乙方推荐分包单位，不得要求乙方购买合同规定外的材料和设备。</w:t>
      </w:r>
    </w:p>
    <w:p w14:paraId="0119513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（六）甲方及其工作人员不得进行违反廉洁规定的其他活动。</w:t>
      </w:r>
    </w:p>
    <w:p w14:paraId="78482D8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6A5DBF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乙方义务</w:t>
      </w:r>
    </w:p>
    <w:p w14:paraId="41A0D3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（一）乙方不得以任何理由向甲方及其工作人员馈赠礼金、有价证券、贵重礼品，或报销应由甲方单位或个人支付的任何费用。</w:t>
      </w:r>
    </w:p>
    <w:p w14:paraId="6837F89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（二）乙方及其工作人员不得以考察、参观、洽谈业务、签订合同等的借口邀请甲方及其工作人员参加高消费的宴请、娱乐和健身等活动。</w:t>
      </w:r>
    </w:p>
    <w:p w14:paraId="158FE8C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（三）乙方不得为甲方单位和个人购置或提供通讯工具、交通工具和高档办公用品等。</w:t>
      </w:r>
    </w:p>
    <w:p w14:paraId="4C04469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（四）乙方及其工作人员不得为甲方工作人员购买、装修、维修私人住房、汽车等。</w:t>
      </w:r>
    </w:p>
    <w:p w14:paraId="119A6FE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（五）乙方及其工作人员不得为甲方工作人员的婚丧嫁娶、家属或亲友的工作安排，及出国出境提供方便以及报销任何私人消费的费用。</w:t>
      </w:r>
    </w:p>
    <w:p w14:paraId="69C3423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（六）乙方及其工作人员不得进行影响甲方及其工作人员公正执行合同和履行职务的其他活动。</w:t>
      </w:r>
    </w:p>
    <w:p w14:paraId="30FA1DA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B79C83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493FF3A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（一）甲方违反本协议第一、第二条给乙方单位造成经济损失的，应予以赔偿。</w:t>
      </w:r>
    </w:p>
    <w:p w14:paraId="5C0CDF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（二）乙方违反本协议第一、第三条给甲方单位造成经济损失的，应予以赔偿。</w:t>
      </w:r>
    </w:p>
    <w:p w14:paraId="5FDC3D8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监督检查</w:t>
      </w:r>
    </w:p>
    <w:p w14:paraId="051A5C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甲乙双方的廉洁从业行为由双方或双方上级单位的纪检、监察负责监督，对本协议履行情况进行检查。</w:t>
      </w:r>
    </w:p>
    <w:p w14:paraId="42C75A2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举报信访受理</w:t>
      </w:r>
    </w:p>
    <w:p w14:paraId="03C7D1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举报受理部门: 东莞市水务集团有限公司纪检监察部。</w:t>
      </w:r>
    </w:p>
    <w:p w14:paraId="477EE6B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(二)举报电话: ( 0769 ) 23076092</w:t>
      </w:r>
    </w:p>
    <w:p w14:paraId="13A08A6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 举报邮箱:jcsi@dgswit.cn.</w:t>
      </w:r>
    </w:p>
    <w:p w14:paraId="7703369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四) 信访地址: 广东省东莞市东城街道育华路 1 号 </w:t>
      </w:r>
    </w:p>
    <w:p w14:paraId="2140B7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第七条  其他</w:t>
      </w:r>
    </w:p>
    <w:p w14:paraId="0118EA6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份，甲、乙双方各执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份，甲、乙双方上级主管部门各执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14:paraId="707BBF33">
      <w:pPr>
        <w:keepNext w:val="0"/>
        <w:keepLines w:val="0"/>
        <w:pageBreakBefore w:val="0"/>
        <w:widowControl w:val="0"/>
        <w:kinsoku/>
        <w:wordWrap/>
        <w:overflowPunct/>
        <w:topLinePunct w:val="0"/>
        <w:autoSpaceDE w:val="0"/>
        <w:bidi w:val="0"/>
        <w:snapToGrid/>
        <w:spacing w:before="48" w:beforeLines="20" w:after="48" w:afterLines="2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C20377C">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4D09F90">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C91D554">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法定代表（或负责）人：          </w:t>
      </w:r>
      <w:r>
        <w:rPr>
          <w:rFonts w:hint="eastAsia" w:ascii="宋体" w:hAnsi="宋体" w:eastAsia="宋体" w:cs="宋体"/>
          <w:color w:val="auto"/>
          <w:sz w:val="21"/>
          <w:szCs w:val="21"/>
          <w:highlight w:val="none"/>
          <w:lang w:val="zh-CN"/>
        </w:rPr>
        <w:t>法定代表人/执行事务合伙人/负责人</w:t>
      </w:r>
      <w:r>
        <w:rPr>
          <w:rFonts w:hint="eastAsia" w:ascii="宋体" w:hAnsi="宋体" w:eastAsia="宋体" w:cs="宋体"/>
          <w:color w:val="auto"/>
          <w:sz w:val="21"/>
          <w:szCs w:val="21"/>
          <w:highlight w:val="none"/>
        </w:rPr>
        <w:t>：</w:t>
      </w:r>
    </w:p>
    <w:p w14:paraId="1C84D2A0">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39D0388">
      <w:pPr>
        <w:autoSpaceDE w:val="0"/>
        <w:autoSpaceDN/>
        <w:adjustRightInd/>
        <w:snapToGrid/>
        <w:spacing w:before="48" w:beforeLines="20" w:after="48" w:afterLines="2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                      乙方代表：</w:t>
      </w:r>
    </w:p>
    <w:p w14:paraId="6DF03E48">
      <w:pPr>
        <w:autoSpaceDE w:val="0"/>
        <w:autoSpaceDN/>
        <w:adjustRightInd/>
        <w:snapToGrid/>
        <w:spacing w:before="48" w:beforeLines="20" w:after="48" w:afterLines="20" w:line="360" w:lineRule="auto"/>
        <w:ind w:firstLine="420" w:firstLineChars="200"/>
        <w:jc w:val="left"/>
        <w:rPr>
          <w:rFonts w:hint="eastAsia" w:ascii="宋体" w:hAnsi="宋体" w:eastAsia="宋体" w:cs="宋体"/>
          <w:color w:val="auto"/>
        </w:rPr>
      </w:pPr>
      <w:r>
        <w:rPr>
          <w:rFonts w:hint="eastAsia" w:ascii="宋体" w:hAnsi="宋体" w:eastAsia="宋体" w:cs="宋体"/>
          <w:color w:val="auto"/>
          <w:sz w:val="21"/>
          <w:szCs w:val="21"/>
          <w:highlight w:val="none"/>
        </w:rPr>
        <w:t>签订日期：    年  月  日         年  月  日</w:t>
      </w:r>
    </w:p>
    <w:p w14:paraId="143898DF">
      <w:pPr>
        <w:pageBreakBefore/>
        <w:rPr>
          <w:rFonts w:ascii="宋体" w:hAnsi="宋体" w:eastAsia="宋体" w:cs="宋体"/>
          <w:b/>
          <w:color w:val="auto"/>
          <w:szCs w:val="21"/>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：安全生产管理协议</w:t>
      </w:r>
    </w:p>
    <w:p w14:paraId="0F41C6FC">
      <w:pPr>
        <w:spacing w:before="184" w:line="210" w:lineRule="auto"/>
        <w:jc w:val="center"/>
        <w:rPr>
          <w:rFonts w:ascii="宋体" w:hAnsi="宋体" w:eastAsia="宋体" w:cs="宋体"/>
          <w:b/>
          <w:bCs/>
          <w:color w:val="auto"/>
          <w:sz w:val="30"/>
          <w:szCs w:val="30"/>
        </w:rPr>
      </w:pPr>
      <w:r>
        <w:rPr>
          <w:rFonts w:hint="eastAsia" w:ascii="宋体" w:hAnsi="宋体" w:eastAsia="宋体" w:cs="宋体"/>
          <w:b/>
          <w:bCs/>
          <w:color w:val="auto"/>
          <w:spacing w:val="30"/>
          <w:sz w:val="30"/>
          <w:szCs w:val="30"/>
        </w:rPr>
        <w:t>安</w:t>
      </w:r>
      <w:r>
        <w:rPr>
          <w:rFonts w:hint="eastAsia" w:ascii="宋体" w:hAnsi="宋体" w:eastAsia="宋体" w:cs="宋体"/>
          <w:b/>
          <w:bCs/>
          <w:color w:val="auto"/>
          <w:spacing w:val="25"/>
          <w:sz w:val="30"/>
          <w:szCs w:val="30"/>
        </w:rPr>
        <w:t>全生产管理协议</w:t>
      </w:r>
    </w:p>
    <w:p w14:paraId="09B8F5D5">
      <w:pPr>
        <w:spacing w:line="334" w:lineRule="auto"/>
        <w:rPr>
          <w:rFonts w:ascii="宋体" w:hAnsi="宋体" w:eastAsia="宋体" w:cs="宋体"/>
          <w:color w:val="auto"/>
        </w:rPr>
      </w:pPr>
    </w:p>
    <w:p w14:paraId="1D03E2C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以下简称甲方)</w:t>
      </w:r>
    </w:p>
    <w:p w14:paraId="5EEBCB25">
      <w:pPr>
        <w:spacing w:line="360" w:lineRule="auto"/>
        <w:ind w:firstLine="420" w:firstLineChars="200"/>
        <w:rPr>
          <w:rFonts w:ascii="宋体" w:hAnsi="宋体" w:eastAsia="宋体" w:cs="宋体"/>
          <w:color w:val="auto"/>
          <w:szCs w:val="21"/>
        </w:rPr>
      </w:pPr>
    </w:p>
    <w:p w14:paraId="65CD390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以下简称乙方)</w:t>
      </w:r>
    </w:p>
    <w:p w14:paraId="727AFBEC">
      <w:pPr>
        <w:spacing w:line="360" w:lineRule="auto"/>
        <w:ind w:left="36"/>
        <w:rPr>
          <w:rFonts w:ascii="宋体" w:hAnsi="宋体" w:eastAsia="宋体" w:cs="宋体"/>
          <w:color w:val="auto"/>
          <w:szCs w:val="21"/>
        </w:rPr>
      </w:pPr>
    </w:p>
    <w:p w14:paraId="1FAA33E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甲乙双方为了全面履行双方已经签订的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合同，明确双方在合同履行过程中各自应承担的安全责任，保护有关人员的人身安全，防止工伤事故的发生，依据《中华人民共和国安全生产法》及《中华人民共和国劳动法》等有关法律法规的 规定，达成以下一致意见：</w:t>
      </w:r>
    </w:p>
    <w:p w14:paraId="6BE3A6B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第一章  甲、乙双方的共同责任</w:t>
      </w:r>
    </w:p>
    <w:p w14:paraId="742AE90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一、甲、乙双方共同遵守国家有关安全生产的法律、法规和规定，认真执行国家、 行业、公司安全生产规章制度。</w:t>
      </w:r>
    </w:p>
    <w:p w14:paraId="497B5CA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二、坚持 “安全第一、预防为主”的安全生产方针，不得违章指挥和违章作业。在开展工作、从事生产时应当先落实安全保护措施，防止事故发生。</w:t>
      </w:r>
    </w:p>
    <w:p w14:paraId="525A8E56">
      <w:pPr>
        <w:spacing w:line="360" w:lineRule="auto"/>
        <w:ind w:firstLine="420" w:firstLineChars="200"/>
        <w:outlineLvl w:val="9"/>
        <w:rPr>
          <w:rFonts w:ascii="宋体" w:hAnsi="宋体" w:eastAsia="宋体" w:cs="宋体"/>
          <w:color w:val="auto"/>
          <w:szCs w:val="21"/>
        </w:rPr>
      </w:pPr>
      <w:bookmarkStart w:id="409" w:name="_Toc21957"/>
      <w:bookmarkStart w:id="410" w:name="_Toc24021"/>
      <w:r>
        <w:rPr>
          <w:rFonts w:hint="eastAsia" w:ascii="宋体" w:hAnsi="宋体" w:eastAsia="宋体" w:cs="宋体"/>
          <w:color w:val="auto"/>
          <w:szCs w:val="21"/>
        </w:rPr>
        <w:t>三、抓好安全教育，严肃劳动纪律，规范安全行为，净化作业环境。</w:t>
      </w:r>
      <w:bookmarkEnd w:id="409"/>
      <w:bookmarkEnd w:id="410"/>
    </w:p>
    <w:p w14:paraId="19302C7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四、发生事故立即采取措施抢救伤员，防止事故扩大，保护好现场，并应分别及时报告上级主管部门组织事故调查小组，查清事故原因，确定事故责任，按照 “四不 放过”的原则拟定改进措施，提出对事故责任者的处理意见。</w:t>
      </w:r>
    </w:p>
    <w:p w14:paraId="5F6074A5">
      <w:pPr>
        <w:spacing w:line="360" w:lineRule="auto"/>
        <w:ind w:firstLine="420" w:firstLineChars="200"/>
        <w:outlineLvl w:val="9"/>
        <w:rPr>
          <w:rFonts w:ascii="宋体" w:hAnsi="宋体" w:eastAsia="宋体" w:cs="宋体"/>
          <w:color w:val="auto"/>
          <w:szCs w:val="21"/>
        </w:rPr>
      </w:pPr>
      <w:bookmarkStart w:id="411" w:name="_Toc20009"/>
      <w:bookmarkStart w:id="412" w:name="_Toc12871"/>
      <w:r>
        <w:rPr>
          <w:rFonts w:hint="eastAsia" w:ascii="宋体" w:hAnsi="宋体" w:eastAsia="宋体" w:cs="宋体"/>
          <w:color w:val="auto"/>
          <w:szCs w:val="21"/>
        </w:rPr>
        <w:t>第二章  甲方的具体责任</w:t>
      </w:r>
      <w:bookmarkEnd w:id="411"/>
      <w:bookmarkEnd w:id="412"/>
    </w:p>
    <w:p w14:paraId="6B22DD6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一、向乙方公布本企业现场安全生产规章制度，检查乙方安全生产保证体系和规章制度，对乙方安全生产实施监督。</w:t>
      </w:r>
    </w:p>
    <w:p w14:paraId="2DAA46A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二、监督乙方工作中涉及安全内容的安全操作、管理方案，安全技术措施等。</w:t>
      </w:r>
    </w:p>
    <w:p w14:paraId="5AA30BB8">
      <w:pPr>
        <w:spacing w:line="360" w:lineRule="auto"/>
        <w:ind w:firstLine="420" w:firstLineChars="200"/>
        <w:outlineLvl w:val="9"/>
        <w:rPr>
          <w:rFonts w:ascii="宋体" w:hAnsi="宋体" w:eastAsia="宋体" w:cs="宋体"/>
          <w:color w:val="auto"/>
          <w:szCs w:val="21"/>
        </w:rPr>
      </w:pPr>
      <w:bookmarkStart w:id="413" w:name="_Toc27698"/>
      <w:bookmarkStart w:id="414" w:name="_Toc776"/>
      <w:r>
        <w:rPr>
          <w:rFonts w:hint="eastAsia" w:ascii="宋体" w:hAnsi="宋体" w:eastAsia="宋体" w:cs="宋体"/>
          <w:color w:val="auto"/>
          <w:szCs w:val="21"/>
        </w:rPr>
        <w:t>三、向乙方提供良好的、确保生产安全的劳动作业环境。</w:t>
      </w:r>
      <w:bookmarkEnd w:id="413"/>
      <w:bookmarkEnd w:id="414"/>
    </w:p>
    <w:p w14:paraId="4438D0F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四、监督乙方对自带机具、设备、安全防护用品等进行技术指标、安全性能检验， 合格者方可进入施工现场，并监督乙方正确安装、使用和拆除。</w:t>
      </w:r>
    </w:p>
    <w:p w14:paraId="4003938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五、对乙方作业工序、操作岗位的安全操作进行日常监督检查，纠正违章指挥和 违章作业。发现违章违规和事故隐患，立即责令停止作业，并向乙方发出《安全隐患 整改通知》，要求乙方限期整改。乙方整改完成并经甲方确认后方可再进行作业。如果乙方拒不改正或者违章作业情况严重者，甲方有权立即终止有关合同，将乙方清退出场，由此所造成的一切经济损失由乙方承担。</w:t>
      </w:r>
    </w:p>
    <w:p w14:paraId="2CDFDEFC">
      <w:pPr>
        <w:spacing w:line="360" w:lineRule="auto"/>
        <w:ind w:firstLine="420" w:firstLineChars="200"/>
        <w:outlineLvl w:val="1"/>
        <w:rPr>
          <w:rFonts w:ascii="宋体" w:hAnsi="宋体" w:eastAsia="宋体" w:cs="宋体"/>
          <w:color w:val="auto"/>
          <w:szCs w:val="21"/>
        </w:rPr>
      </w:pPr>
      <w:bookmarkStart w:id="415" w:name="_Toc16202"/>
      <w:bookmarkStart w:id="416" w:name="_Toc26442"/>
      <w:r>
        <w:rPr>
          <w:rFonts w:hint="eastAsia" w:ascii="宋体" w:hAnsi="宋体" w:eastAsia="宋体" w:cs="宋体"/>
          <w:color w:val="auto"/>
          <w:szCs w:val="21"/>
        </w:rPr>
        <w:t>六、监督乙方对工作现场的各种安全设施和劳动保护用品定期检查，及时消除隐</w:t>
      </w:r>
      <w:bookmarkEnd w:id="415"/>
      <w:bookmarkEnd w:id="416"/>
    </w:p>
    <w:p w14:paraId="4F15570F">
      <w:pPr>
        <w:spacing w:line="360" w:lineRule="auto"/>
        <w:rPr>
          <w:rFonts w:ascii="宋体" w:hAnsi="宋体" w:eastAsia="宋体" w:cs="宋体"/>
          <w:color w:val="auto"/>
          <w:szCs w:val="21"/>
        </w:rPr>
      </w:pPr>
      <w:r>
        <w:rPr>
          <w:rFonts w:hint="eastAsia" w:ascii="宋体" w:hAnsi="宋体" w:eastAsia="宋体" w:cs="宋体"/>
          <w:color w:val="auto"/>
          <w:szCs w:val="21"/>
        </w:rPr>
        <w:t>患，保证其安全有效。</w:t>
      </w:r>
    </w:p>
    <w:p w14:paraId="1E4AE9D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七、对乙方工作人员进行上岗前安全生产培训和技术交底，监督乙方对用工人员 进行有效的安全操作培训，并检查其培训文件及培训记录。</w:t>
      </w:r>
    </w:p>
    <w:p w14:paraId="4AD6805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八、监督乙方建立设备检查记录，如各项用电设备的检测、使用情况等。</w:t>
      </w:r>
    </w:p>
    <w:p w14:paraId="7261C2D9">
      <w:pPr>
        <w:spacing w:line="360" w:lineRule="auto"/>
        <w:ind w:firstLine="420" w:firstLineChars="200"/>
        <w:outlineLvl w:val="1"/>
        <w:rPr>
          <w:rFonts w:ascii="宋体" w:hAnsi="宋体" w:eastAsia="宋体" w:cs="宋体"/>
          <w:color w:val="auto"/>
          <w:szCs w:val="21"/>
        </w:rPr>
      </w:pPr>
      <w:bookmarkStart w:id="417" w:name="_Toc13797"/>
      <w:bookmarkStart w:id="418" w:name="_Toc13457"/>
      <w:r>
        <w:rPr>
          <w:rFonts w:hint="eastAsia" w:ascii="宋体" w:hAnsi="宋体" w:eastAsia="宋体" w:cs="宋体"/>
          <w:color w:val="auto"/>
          <w:szCs w:val="21"/>
        </w:rPr>
        <w:t>九、监督乙方制定工作计划，包括用电工作、高空作业等工作计划。</w:t>
      </w:r>
      <w:bookmarkEnd w:id="417"/>
      <w:bookmarkEnd w:id="418"/>
    </w:p>
    <w:p w14:paraId="4300CF7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十、涉及人员安全、财产安全的各项工作 (含且不限于第九项) 甲方须进行现场 监管，监管情况记录在相关专业的值班日志中。</w:t>
      </w:r>
    </w:p>
    <w:p w14:paraId="1F0E2943">
      <w:pPr>
        <w:spacing w:line="360" w:lineRule="auto"/>
        <w:ind w:firstLine="420" w:firstLineChars="200"/>
        <w:outlineLvl w:val="1"/>
        <w:rPr>
          <w:rFonts w:ascii="宋体" w:hAnsi="宋体" w:eastAsia="宋体" w:cs="宋体"/>
          <w:color w:val="auto"/>
          <w:szCs w:val="21"/>
        </w:rPr>
      </w:pPr>
      <w:bookmarkStart w:id="419" w:name="_Toc27421"/>
      <w:bookmarkStart w:id="420" w:name="_Toc5766"/>
      <w:r>
        <w:rPr>
          <w:rFonts w:hint="eastAsia" w:ascii="宋体" w:hAnsi="宋体" w:eastAsia="宋体" w:cs="宋体"/>
          <w:color w:val="auto"/>
          <w:szCs w:val="21"/>
        </w:rPr>
        <w:t>十一、发生伤亡事故按规定立即报告属地安全生产监督部门。</w:t>
      </w:r>
      <w:bookmarkEnd w:id="419"/>
      <w:bookmarkEnd w:id="420"/>
    </w:p>
    <w:p w14:paraId="70662E83">
      <w:pPr>
        <w:spacing w:line="360" w:lineRule="auto"/>
        <w:ind w:firstLine="420" w:firstLineChars="200"/>
        <w:outlineLvl w:val="9"/>
        <w:rPr>
          <w:rFonts w:ascii="宋体" w:hAnsi="宋体" w:eastAsia="宋体" w:cs="宋体"/>
          <w:color w:val="auto"/>
          <w:szCs w:val="21"/>
        </w:rPr>
      </w:pPr>
      <w:bookmarkStart w:id="421" w:name="_Toc11133"/>
      <w:bookmarkStart w:id="422" w:name="_Toc1610"/>
      <w:r>
        <w:rPr>
          <w:rFonts w:hint="eastAsia" w:ascii="宋体" w:hAnsi="宋体" w:eastAsia="宋体" w:cs="宋体"/>
          <w:color w:val="auto"/>
          <w:szCs w:val="21"/>
        </w:rPr>
        <w:t>第三章  乙方的责任</w:t>
      </w:r>
      <w:bookmarkEnd w:id="421"/>
      <w:bookmarkEnd w:id="422"/>
    </w:p>
    <w:p w14:paraId="10A79A4F">
      <w:pPr>
        <w:spacing w:line="360" w:lineRule="auto"/>
        <w:ind w:firstLine="420" w:firstLineChars="200"/>
        <w:outlineLvl w:val="1"/>
        <w:rPr>
          <w:rFonts w:ascii="宋体" w:hAnsi="宋体" w:eastAsia="宋体" w:cs="宋体"/>
          <w:color w:val="auto"/>
          <w:szCs w:val="21"/>
        </w:rPr>
      </w:pPr>
      <w:bookmarkStart w:id="423" w:name="_Toc13186"/>
      <w:bookmarkStart w:id="424" w:name="_Toc12914"/>
      <w:r>
        <w:rPr>
          <w:rFonts w:hint="eastAsia" w:ascii="宋体" w:hAnsi="宋体" w:eastAsia="宋体" w:cs="宋体"/>
          <w:color w:val="auto"/>
          <w:szCs w:val="21"/>
        </w:rPr>
        <w:t>一、按照相关安全生产法规要求，配备合格安全管理人员。</w:t>
      </w:r>
      <w:bookmarkEnd w:id="423"/>
      <w:bookmarkEnd w:id="424"/>
    </w:p>
    <w:p w14:paraId="347626D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二、制定本单位安全目标责任、管理规章制度及安全作业规程等，并向甲方备案。</w:t>
      </w:r>
    </w:p>
    <w:p w14:paraId="3703F660">
      <w:pPr>
        <w:spacing w:line="360" w:lineRule="auto"/>
        <w:ind w:firstLine="420" w:firstLineChars="200"/>
        <w:outlineLvl w:val="1"/>
        <w:rPr>
          <w:rFonts w:ascii="宋体" w:hAnsi="宋体" w:eastAsia="宋体" w:cs="宋体"/>
          <w:color w:val="auto"/>
          <w:szCs w:val="21"/>
        </w:rPr>
      </w:pPr>
      <w:bookmarkStart w:id="425" w:name="_Toc27231"/>
      <w:bookmarkStart w:id="426" w:name="_Toc8293"/>
      <w:r>
        <w:rPr>
          <w:rFonts w:hint="eastAsia" w:ascii="宋体" w:hAnsi="宋体" w:eastAsia="宋体" w:cs="宋体"/>
          <w:color w:val="auto"/>
          <w:szCs w:val="21"/>
        </w:rPr>
        <w:t>三、编制作业范围内的安全施工方案和安全技术措施。</w:t>
      </w:r>
      <w:bookmarkEnd w:id="425"/>
      <w:bookmarkEnd w:id="426"/>
    </w:p>
    <w:p w14:paraId="4E5B851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五、向甲方申报自带的劳动保护用品及机具、设备，经甲乙双方验收合格后使用。 禁止任何人私自拆除安全防护设备或设施。</w:t>
      </w:r>
    </w:p>
    <w:p w14:paraId="7C732C4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六、乙方人员登记造册，如实向甲方报告，由乙方进行入场前的安全教育。同时， 还应提交现场《安全生产培训记录》给甲方审核并留存复印件。</w:t>
      </w:r>
    </w:p>
    <w:p w14:paraId="33641E7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如有人员调整时，立即报告甲方，并进行安全教育，未经安全教育的，不得进入 甲方现场。不得录用无身份证的人员和未满 16 岁的童工，不得安排 50 岁以上的人员 从事高空、用电等高危工作。</w:t>
      </w:r>
    </w:p>
    <w:p w14:paraId="1277A3A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七、人员首次进场前须向甲方提交相关特种作业资质证明 (复印件盖乙方红章)， 无相关特种作业证明不得进入甲方现场。</w:t>
      </w:r>
    </w:p>
    <w:p w14:paraId="16FE8D7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八、乙方必须具有相应的有效从业资质，资质复印件盖红章交甲方备案。</w:t>
      </w:r>
    </w:p>
    <w:p w14:paraId="6B1C982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九、乙方每年至少一次对自用的用电设备进行绝缘测试，并提供绝缘测试的合格证据 (可张贴于用电设备上)。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248D603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十、教育乙方职工遵章守纪，不违章指挥和违章操作。工作中如因乙方工作人员 违章指挥、违章作业、违反安全纪律、违反安全技术操作规程而发生伤亡事故及财产损失的，由乙方承担全部责任。</w:t>
      </w:r>
    </w:p>
    <w:p w14:paraId="50517AA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十一、储存、使用易燃易爆器材、物品时，应当采用有效的消防安全措施。</w:t>
      </w:r>
    </w:p>
    <w:p w14:paraId="5FD0A21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十二、乙方要在工作中采取必需的一切安全防护措施以保障乙方员工的劳动安全。</w:t>
      </w:r>
    </w:p>
    <w:p w14:paraId="59D7CEA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十三、乙方依法参加工伤保险，为从业人员缴纳保险费，并应当为从事危险作业的人员办理意外伤害保险</w:t>
      </w:r>
    </w:p>
    <w:p w14:paraId="47F599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四、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15E3739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五、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2B60D3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十六、乙方在履行合同过程中，给甲方或第三方造成人身或财产损失的，由乙方承担全部的赔偿责任。</w:t>
      </w:r>
    </w:p>
    <w:p w14:paraId="6D5F018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十七、乙方在作业前与甲方完成作业安全交底，双方将作业风险辨识及风险管 控措施形成作业交底记录，严格执行。</w:t>
      </w:r>
    </w:p>
    <w:p w14:paraId="5216E47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十八、乙方必须接受甲方的检查与监督，并应主动配合，做好安全工作，凡有违反上述协议的即视为乙方违约，甲方有权视情况从服务价款中扣除2000元/次作为违约金</w:t>
      </w:r>
    </w:p>
    <w:p w14:paraId="30EEA27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十九、乙方如违反本协议规定，造成甲方损失或被第三方追偿的，甲方有权向乙方追偿，甲方可直接从工程结算款/服务价款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34CED316">
      <w:pPr>
        <w:spacing w:line="360" w:lineRule="auto"/>
        <w:ind w:firstLine="420" w:firstLineChars="200"/>
        <w:rPr>
          <w:rFonts w:ascii="宋体" w:hAnsi="宋体" w:eastAsia="宋体" w:cs="宋体"/>
          <w:color w:val="auto"/>
          <w:spacing w:val="6"/>
          <w:szCs w:val="21"/>
        </w:rPr>
      </w:pPr>
      <w:r>
        <w:rPr>
          <w:rFonts w:hint="eastAsia" w:ascii="宋体" w:hAnsi="宋体" w:eastAsia="宋体" w:cs="宋体"/>
          <w:color w:val="auto"/>
          <w:szCs w:val="21"/>
        </w:rPr>
        <w:t>本协议一式五份，甲方执二份、乙方执二份，招标代理执一份，具有同等法律效力，自双方签字盖章之日起生效。</w:t>
      </w:r>
    </w:p>
    <w:p w14:paraId="1E1CA420">
      <w:pPr>
        <w:pStyle w:val="47"/>
        <w:spacing w:line="360" w:lineRule="auto"/>
        <w:ind w:firstLine="0" w:firstLineChars="0"/>
        <w:rPr>
          <w:rFonts w:ascii="宋体" w:hAnsi="宋体" w:eastAsia="宋体" w:cs="宋体"/>
          <w:color w:val="auto"/>
          <w:spacing w:val="-1"/>
          <w:position w:val="28"/>
          <w:szCs w:val="21"/>
        </w:rPr>
      </w:pPr>
    </w:p>
    <w:p w14:paraId="39440DE4">
      <w:pPr>
        <w:spacing w:line="360" w:lineRule="auto"/>
        <w:rPr>
          <w:rFonts w:ascii="宋体" w:hAnsi="宋体" w:eastAsia="宋体" w:cs="宋体"/>
          <w:color w:val="auto"/>
          <w:szCs w:val="21"/>
        </w:rPr>
      </w:pPr>
      <w:r>
        <w:rPr>
          <w:rFonts w:hint="eastAsia" w:ascii="宋体" w:hAnsi="宋体" w:eastAsia="宋体" w:cs="宋体"/>
          <w:color w:val="auto"/>
          <w:spacing w:val="-1"/>
          <w:position w:val="28"/>
          <w:szCs w:val="21"/>
        </w:rPr>
        <w:t xml:space="preserve">甲    </w:t>
      </w:r>
      <w:r>
        <w:rPr>
          <w:rFonts w:hint="eastAsia" w:ascii="宋体" w:hAnsi="宋体" w:eastAsia="宋体" w:cs="宋体"/>
          <w:color w:val="auto"/>
          <w:position w:val="28"/>
          <w:szCs w:val="21"/>
        </w:rPr>
        <w:t xml:space="preserve">方：                                       </w:t>
      </w:r>
      <w:r>
        <w:rPr>
          <w:rFonts w:hint="eastAsia" w:ascii="宋体" w:hAnsi="宋体" w:eastAsia="宋体" w:cs="宋体"/>
          <w:color w:val="auto"/>
          <w:spacing w:val="-1"/>
          <w:position w:val="28"/>
          <w:szCs w:val="21"/>
        </w:rPr>
        <w:t xml:space="preserve">乙    </w:t>
      </w:r>
      <w:r>
        <w:rPr>
          <w:rFonts w:hint="eastAsia" w:ascii="宋体" w:hAnsi="宋体" w:eastAsia="宋体" w:cs="宋体"/>
          <w:color w:val="auto"/>
          <w:position w:val="28"/>
          <w:szCs w:val="21"/>
        </w:rPr>
        <w:t>方：</w:t>
      </w:r>
    </w:p>
    <w:p w14:paraId="04B4409D">
      <w:pPr>
        <w:spacing w:line="360" w:lineRule="auto"/>
        <w:ind w:left="27"/>
        <w:rPr>
          <w:rFonts w:ascii="宋体" w:hAnsi="宋体" w:eastAsia="宋体" w:cs="宋体"/>
          <w:color w:val="auto"/>
          <w:szCs w:val="21"/>
        </w:rPr>
      </w:pPr>
      <w:r>
        <w:rPr>
          <w:rFonts w:hint="eastAsia" w:ascii="宋体" w:hAnsi="宋体" w:eastAsia="宋体" w:cs="宋体"/>
          <w:color w:val="auto"/>
          <w:spacing w:val="-1"/>
          <w:szCs w:val="21"/>
        </w:rPr>
        <w:t>甲方代表：                                       乙方代表：</w:t>
      </w:r>
    </w:p>
    <w:p w14:paraId="2DCAA1AA">
      <w:pPr>
        <w:spacing w:line="360" w:lineRule="auto"/>
        <w:rPr>
          <w:rFonts w:ascii="宋体" w:hAnsi="宋体" w:eastAsia="宋体" w:cs="宋体"/>
          <w:color w:val="auto"/>
          <w:szCs w:val="21"/>
        </w:rPr>
      </w:pPr>
    </w:p>
    <w:p w14:paraId="5E683B7A">
      <w:pPr>
        <w:spacing w:line="360" w:lineRule="auto"/>
        <w:rPr>
          <w:rFonts w:hint="eastAsia" w:ascii="宋体" w:hAnsi="宋体" w:eastAsia="宋体" w:cs="宋体"/>
          <w:color w:val="auto"/>
          <w:spacing w:val="1"/>
          <w:sz w:val="23"/>
          <w:szCs w:val="23"/>
        </w:rPr>
      </w:pPr>
      <w:r>
        <w:rPr>
          <w:rFonts w:hint="eastAsia" w:ascii="宋体" w:hAnsi="宋体" w:eastAsia="宋体" w:cs="宋体"/>
          <w:color w:val="auto"/>
          <w:spacing w:val="2"/>
          <w:szCs w:val="21"/>
        </w:rPr>
        <w:t>时</w:t>
      </w:r>
      <w:r>
        <w:rPr>
          <w:rFonts w:hint="eastAsia" w:ascii="宋体" w:hAnsi="宋体" w:eastAsia="宋体" w:cs="宋体"/>
          <w:color w:val="auto"/>
          <w:spacing w:val="1"/>
          <w:szCs w:val="21"/>
        </w:rPr>
        <w:t xml:space="preserve">    间：                                      </w:t>
      </w:r>
      <w:r>
        <w:rPr>
          <w:rFonts w:hint="eastAsia" w:ascii="宋体" w:hAnsi="宋体" w:eastAsia="宋体" w:cs="宋体"/>
          <w:color w:val="auto"/>
          <w:spacing w:val="2"/>
          <w:szCs w:val="21"/>
        </w:rPr>
        <w:t xml:space="preserve">时  </w:t>
      </w:r>
      <w:r>
        <w:rPr>
          <w:rFonts w:hint="eastAsia" w:ascii="宋体" w:hAnsi="宋体" w:eastAsia="宋体" w:cs="宋体"/>
          <w:color w:val="auto"/>
          <w:spacing w:val="1"/>
          <w:szCs w:val="21"/>
        </w:rPr>
        <w:t xml:space="preserve"> 间： </w:t>
      </w:r>
      <w:r>
        <w:rPr>
          <w:rFonts w:hint="eastAsia" w:ascii="宋体" w:hAnsi="宋体" w:eastAsia="宋体" w:cs="宋体"/>
          <w:color w:val="auto"/>
          <w:spacing w:val="1"/>
          <w:sz w:val="23"/>
          <w:szCs w:val="23"/>
        </w:rPr>
        <w:t xml:space="preserve">  </w:t>
      </w:r>
    </w:p>
    <w:p w14:paraId="7378FF5C">
      <w:pPr>
        <w:pStyle w:val="2"/>
        <w:rPr>
          <w:rFonts w:hint="eastAsia" w:ascii="宋体" w:hAnsi="宋体" w:eastAsia="宋体" w:cs="宋体"/>
          <w:color w:val="auto"/>
          <w:spacing w:val="1"/>
          <w:sz w:val="23"/>
          <w:szCs w:val="23"/>
        </w:rPr>
      </w:pPr>
    </w:p>
    <w:p w14:paraId="504FD444">
      <w:pPr>
        <w:pStyle w:val="2"/>
        <w:rPr>
          <w:rFonts w:hint="eastAsia" w:ascii="宋体" w:hAnsi="宋体" w:eastAsia="宋体" w:cs="宋体"/>
          <w:color w:val="auto"/>
          <w:spacing w:val="1"/>
          <w:sz w:val="23"/>
          <w:szCs w:val="23"/>
        </w:rPr>
      </w:pPr>
    </w:p>
    <w:p w14:paraId="4A253CE2">
      <w:pPr>
        <w:pStyle w:val="2"/>
        <w:rPr>
          <w:rFonts w:hint="eastAsia" w:ascii="宋体" w:hAnsi="宋体" w:eastAsia="宋体" w:cs="宋体"/>
          <w:color w:val="auto"/>
          <w:spacing w:val="1"/>
          <w:sz w:val="23"/>
          <w:szCs w:val="23"/>
        </w:rPr>
      </w:pPr>
    </w:p>
    <w:p w14:paraId="260F0F1A">
      <w:pPr>
        <w:pStyle w:val="2"/>
        <w:rPr>
          <w:rFonts w:hint="eastAsia" w:ascii="宋体" w:hAnsi="宋体" w:eastAsia="宋体" w:cs="宋体"/>
          <w:color w:val="auto"/>
          <w:spacing w:val="1"/>
          <w:sz w:val="23"/>
          <w:szCs w:val="23"/>
        </w:rPr>
      </w:pPr>
    </w:p>
    <w:p w14:paraId="7A1F4AAB">
      <w:pPr>
        <w:pStyle w:val="2"/>
        <w:rPr>
          <w:rFonts w:hint="eastAsia" w:ascii="宋体" w:hAnsi="宋体" w:eastAsia="宋体" w:cs="宋体"/>
          <w:color w:val="auto"/>
          <w:spacing w:val="1"/>
          <w:sz w:val="23"/>
          <w:szCs w:val="23"/>
        </w:rPr>
      </w:pPr>
    </w:p>
    <w:p w14:paraId="35DFD32B">
      <w:pPr>
        <w:pStyle w:val="2"/>
        <w:rPr>
          <w:rFonts w:hint="eastAsia" w:ascii="宋体" w:hAnsi="宋体" w:eastAsia="宋体" w:cs="宋体"/>
          <w:color w:val="auto"/>
          <w:spacing w:val="1"/>
          <w:sz w:val="23"/>
          <w:szCs w:val="23"/>
        </w:rPr>
      </w:pPr>
    </w:p>
    <w:p w14:paraId="26AAB3C7">
      <w:pPr>
        <w:pStyle w:val="2"/>
        <w:rPr>
          <w:rFonts w:hint="eastAsia" w:ascii="宋体" w:hAnsi="宋体" w:eastAsia="宋体" w:cs="宋体"/>
          <w:color w:val="auto"/>
          <w:spacing w:val="1"/>
          <w:sz w:val="23"/>
          <w:szCs w:val="23"/>
        </w:rPr>
      </w:pPr>
    </w:p>
    <w:p w14:paraId="1D958A94">
      <w:pPr>
        <w:pStyle w:val="2"/>
        <w:rPr>
          <w:rFonts w:hint="eastAsia" w:ascii="宋体" w:hAnsi="宋体" w:eastAsia="宋体" w:cs="宋体"/>
          <w:color w:val="auto"/>
          <w:spacing w:val="1"/>
          <w:sz w:val="23"/>
          <w:szCs w:val="23"/>
        </w:rPr>
      </w:pPr>
    </w:p>
    <w:p w14:paraId="71710F9B">
      <w:pPr>
        <w:pStyle w:val="2"/>
        <w:rPr>
          <w:rFonts w:hint="eastAsia" w:ascii="宋体" w:hAnsi="宋体" w:eastAsia="宋体" w:cs="宋体"/>
          <w:color w:val="auto"/>
          <w:spacing w:val="1"/>
          <w:sz w:val="23"/>
          <w:szCs w:val="23"/>
        </w:rPr>
      </w:pPr>
    </w:p>
    <w:p w14:paraId="454C64AB">
      <w:pPr>
        <w:pStyle w:val="2"/>
        <w:rPr>
          <w:rFonts w:hint="eastAsia" w:ascii="宋体" w:hAnsi="宋体" w:eastAsia="宋体" w:cs="宋体"/>
          <w:color w:val="auto"/>
          <w:spacing w:val="1"/>
          <w:sz w:val="23"/>
          <w:szCs w:val="23"/>
        </w:rPr>
      </w:pPr>
    </w:p>
    <w:p w14:paraId="31105259">
      <w:pPr>
        <w:pStyle w:val="2"/>
        <w:rPr>
          <w:rFonts w:hint="eastAsia" w:ascii="宋体" w:hAnsi="宋体" w:eastAsia="宋体" w:cs="宋体"/>
          <w:color w:val="auto"/>
          <w:spacing w:val="1"/>
          <w:sz w:val="23"/>
          <w:szCs w:val="23"/>
        </w:rPr>
      </w:pPr>
    </w:p>
    <w:p w14:paraId="79885AB2">
      <w:pPr>
        <w:pStyle w:val="2"/>
        <w:rPr>
          <w:rFonts w:hint="eastAsia" w:ascii="宋体" w:hAnsi="宋体" w:eastAsia="宋体" w:cs="宋体"/>
          <w:color w:val="auto"/>
          <w:spacing w:val="1"/>
          <w:sz w:val="23"/>
          <w:szCs w:val="23"/>
        </w:rPr>
      </w:pPr>
    </w:p>
    <w:p w14:paraId="63062A8F">
      <w:pPr>
        <w:pStyle w:val="2"/>
        <w:rPr>
          <w:rFonts w:hint="eastAsia" w:ascii="宋体" w:hAnsi="宋体" w:eastAsia="宋体" w:cs="宋体"/>
          <w:color w:val="auto"/>
          <w:spacing w:val="1"/>
          <w:sz w:val="23"/>
          <w:szCs w:val="23"/>
        </w:rPr>
      </w:pPr>
    </w:p>
    <w:p w14:paraId="643E3D9E">
      <w:pPr>
        <w:pStyle w:val="2"/>
        <w:rPr>
          <w:rFonts w:hint="eastAsia" w:ascii="宋体" w:hAnsi="宋体" w:eastAsia="宋体" w:cs="宋体"/>
          <w:color w:val="auto"/>
          <w:spacing w:val="1"/>
          <w:sz w:val="23"/>
          <w:szCs w:val="23"/>
        </w:rPr>
      </w:pPr>
    </w:p>
    <w:p w14:paraId="13F3A9AA">
      <w:pPr>
        <w:pStyle w:val="2"/>
        <w:rPr>
          <w:rFonts w:hint="eastAsia" w:ascii="宋体" w:hAnsi="宋体" w:eastAsia="宋体" w:cs="宋体"/>
          <w:color w:val="auto"/>
          <w:spacing w:val="1"/>
          <w:sz w:val="23"/>
          <w:szCs w:val="23"/>
        </w:rPr>
      </w:pPr>
    </w:p>
    <w:p w14:paraId="338C5CD3">
      <w:pPr>
        <w:pStyle w:val="2"/>
        <w:rPr>
          <w:rFonts w:hint="eastAsia" w:ascii="宋体" w:hAnsi="宋体" w:eastAsia="宋体" w:cs="宋体"/>
          <w:color w:val="auto"/>
          <w:spacing w:val="1"/>
          <w:sz w:val="23"/>
          <w:szCs w:val="23"/>
        </w:rPr>
      </w:pPr>
    </w:p>
    <w:p w14:paraId="0F59C138">
      <w:pPr>
        <w:pStyle w:val="2"/>
        <w:rPr>
          <w:rFonts w:hint="eastAsia" w:ascii="宋体" w:hAnsi="宋体" w:eastAsia="宋体" w:cs="宋体"/>
          <w:color w:val="auto"/>
          <w:spacing w:val="1"/>
          <w:sz w:val="23"/>
          <w:szCs w:val="23"/>
        </w:rPr>
      </w:pPr>
    </w:p>
    <w:p w14:paraId="78BB00E0">
      <w:pPr>
        <w:pStyle w:val="2"/>
        <w:rPr>
          <w:rFonts w:hint="eastAsia" w:ascii="宋体" w:hAnsi="宋体" w:eastAsia="宋体" w:cs="宋体"/>
          <w:color w:val="auto"/>
          <w:spacing w:val="1"/>
          <w:sz w:val="23"/>
          <w:szCs w:val="23"/>
        </w:rPr>
      </w:pPr>
    </w:p>
    <w:p w14:paraId="6CF5D2F2">
      <w:pPr>
        <w:pStyle w:val="2"/>
        <w:rPr>
          <w:rFonts w:hint="eastAsia" w:ascii="宋体" w:hAnsi="宋体" w:eastAsia="宋体" w:cs="宋体"/>
          <w:color w:val="auto"/>
          <w:spacing w:val="1"/>
          <w:sz w:val="23"/>
          <w:szCs w:val="23"/>
        </w:rPr>
      </w:pPr>
    </w:p>
    <w:p w14:paraId="302E729C">
      <w:pPr>
        <w:pStyle w:val="2"/>
        <w:rPr>
          <w:rFonts w:hint="eastAsia" w:ascii="宋体" w:hAnsi="宋体" w:eastAsia="宋体" w:cs="宋体"/>
          <w:color w:val="auto"/>
          <w:spacing w:val="1"/>
          <w:sz w:val="23"/>
          <w:szCs w:val="23"/>
        </w:rPr>
      </w:pPr>
    </w:p>
    <w:p w14:paraId="5BC505C3">
      <w:pPr>
        <w:pStyle w:val="2"/>
        <w:rPr>
          <w:rFonts w:hint="eastAsia" w:ascii="宋体" w:hAnsi="宋体" w:eastAsia="宋体" w:cs="宋体"/>
          <w:color w:val="auto"/>
          <w:spacing w:val="1"/>
          <w:sz w:val="23"/>
          <w:szCs w:val="23"/>
        </w:rPr>
      </w:pPr>
    </w:p>
    <w:p w14:paraId="2F66DA88">
      <w:pPr>
        <w:pStyle w:val="2"/>
        <w:rPr>
          <w:rFonts w:hint="eastAsia" w:ascii="宋体" w:hAnsi="宋体" w:eastAsia="宋体" w:cs="宋体"/>
          <w:color w:val="auto"/>
          <w:spacing w:val="1"/>
          <w:sz w:val="23"/>
          <w:szCs w:val="23"/>
        </w:rPr>
      </w:pPr>
    </w:p>
    <w:p w14:paraId="4D28FF49">
      <w:pPr>
        <w:pStyle w:val="2"/>
        <w:rPr>
          <w:rFonts w:hint="eastAsia" w:ascii="宋体" w:hAnsi="宋体" w:eastAsia="宋体" w:cs="宋体"/>
          <w:color w:val="auto"/>
          <w:spacing w:val="1"/>
          <w:sz w:val="23"/>
          <w:szCs w:val="23"/>
        </w:rPr>
      </w:pPr>
    </w:p>
    <w:p w14:paraId="1B0B1D08">
      <w:pPr>
        <w:pStyle w:val="2"/>
        <w:rPr>
          <w:rFonts w:hint="eastAsia" w:ascii="宋体" w:hAnsi="宋体" w:eastAsia="宋体" w:cs="宋体"/>
          <w:color w:val="auto"/>
          <w:spacing w:val="1"/>
          <w:sz w:val="23"/>
          <w:szCs w:val="23"/>
        </w:rPr>
      </w:pPr>
    </w:p>
    <w:p w14:paraId="4E127E2C">
      <w:pPr>
        <w:pStyle w:val="2"/>
        <w:rPr>
          <w:rFonts w:hint="eastAsia" w:ascii="宋体" w:hAnsi="宋体" w:eastAsia="宋体" w:cs="宋体"/>
          <w:color w:val="auto"/>
          <w:spacing w:val="1"/>
          <w:sz w:val="23"/>
          <w:szCs w:val="23"/>
        </w:rPr>
      </w:pPr>
    </w:p>
    <w:p w14:paraId="1782EDBA">
      <w:pPr>
        <w:pStyle w:val="2"/>
        <w:jc w:val="left"/>
        <w:rPr>
          <w:rFonts w:hint="eastAsia" w:hAnsi="宋体" w:cs="宋体"/>
          <w:color w:val="auto"/>
          <w:spacing w:val="1"/>
          <w:sz w:val="21"/>
          <w:szCs w:val="21"/>
          <w:lang w:val="en-US" w:eastAsia="zh-CN"/>
        </w:rPr>
      </w:pPr>
      <w:r>
        <w:rPr>
          <w:rFonts w:hint="eastAsia" w:hAnsi="宋体" w:cs="宋体"/>
          <w:color w:val="auto"/>
          <w:spacing w:val="1"/>
          <w:sz w:val="21"/>
          <w:szCs w:val="21"/>
          <w:lang w:val="en-US" w:eastAsia="zh-CN"/>
        </w:rPr>
        <w:t>附件3：中标通知书</w:t>
      </w:r>
    </w:p>
    <w:p w14:paraId="14B20A83">
      <w:pPr>
        <w:pStyle w:val="2"/>
        <w:jc w:val="left"/>
        <w:rPr>
          <w:rFonts w:hint="eastAsia" w:hAnsi="宋体" w:cs="宋体"/>
          <w:color w:val="auto"/>
          <w:spacing w:val="1"/>
          <w:sz w:val="21"/>
          <w:szCs w:val="21"/>
          <w:lang w:val="en-US" w:eastAsia="zh-CN"/>
        </w:rPr>
      </w:pPr>
    </w:p>
    <w:p w14:paraId="54D89B30">
      <w:pPr>
        <w:pStyle w:val="2"/>
        <w:jc w:val="left"/>
        <w:rPr>
          <w:rFonts w:hint="eastAsia" w:hAnsi="宋体" w:cs="宋体"/>
          <w:color w:val="auto"/>
          <w:spacing w:val="1"/>
          <w:sz w:val="21"/>
          <w:szCs w:val="21"/>
          <w:lang w:val="en-US" w:eastAsia="zh-CN"/>
        </w:rPr>
      </w:pPr>
    </w:p>
    <w:p w14:paraId="2C3E6DBA">
      <w:pPr>
        <w:pStyle w:val="2"/>
        <w:jc w:val="left"/>
        <w:rPr>
          <w:rFonts w:hint="eastAsia" w:hAnsi="宋体" w:cs="宋体"/>
          <w:color w:val="auto"/>
          <w:spacing w:val="1"/>
          <w:sz w:val="21"/>
          <w:szCs w:val="21"/>
          <w:lang w:val="en-US" w:eastAsia="zh-CN"/>
        </w:rPr>
      </w:pPr>
    </w:p>
    <w:p w14:paraId="34E0B444">
      <w:pPr>
        <w:pStyle w:val="2"/>
        <w:jc w:val="left"/>
        <w:rPr>
          <w:rFonts w:hint="eastAsia" w:hAnsi="宋体" w:cs="宋体"/>
          <w:color w:val="auto"/>
          <w:spacing w:val="1"/>
          <w:sz w:val="21"/>
          <w:szCs w:val="21"/>
          <w:lang w:val="en-US" w:eastAsia="zh-CN"/>
        </w:rPr>
      </w:pPr>
    </w:p>
    <w:p w14:paraId="443CBC64">
      <w:pPr>
        <w:pStyle w:val="2"/>
        <w:jc w:val="left"/>
        <w:rPr>
          <w:rFonts w:hint="eastAsia" w:hAnsi="宋体" w:cs="宋体"/>
          <w:color w:val="auto"/>
          <w:spacing w:val="1"/>
          <w:sz w:val="21"/>
          <w:szCs w:val="21"/>
          <w:lang w:val="en-US" w:eastAsia="zh-CN"/>
        </w:rPr>
      </w:pPr>
    </w:p>
    <w:p w14:paraId="11AEE082">
      <w:pPr>
        <w:pStyle w:val="2"/>
        <w:jc w:val="left"/>
        <w:rPr>
          <w:rFonts w:hint="eastAsia" w:hAnsi="宋体" w:cs="宋体"/>
          <w:color w:val="auto"/>
          <w:spacing w:val="1"/>
          <w:sz w:val="21"/>
          <w:szCs w:val="21"/>
          <w:lang w:val="en-US" w:eastAsia="zh-CN"/>
        </w:rPr>
      </w:pPr>
    </w:p>
    <w:p w14:paraId="7993678E">
      <w:pPr>
        <w:pStyle w:val="2"/>
        <w:jc w:val="left"/>
        <w:rPr>
          <w:rFonts w:hint="eastAsia" w:hAnsi="宋体" w:cs="宋体"/>
          <w:color w:val="auto"/>
          <w:spacing w:val="1"/>
          <w:sz w:val="21"/>
          <w:szCs w:val="21"/>
          <w:lang w:val="en-US" w:eastAsia="zh-CN"/>
        </w:rPr>
      </w:pPr>
    </w:p>
    <w:p w14:paraId="57F12AF1">
      <w:pPr>
        <w:pStyle w:val="2"/>
        <w:jc w:val="left"/>
        <w:rPr>
          <w:rFonts w:hint="eastAsia" w:hAnsi="宋体" w:cs="宋体"/>
          <w:color w:val="auto"/>
          <w:spacing w:val="1"/>
          <w:sz w:val="21"/>
          <w:szCs w:val="21"/>
          <w:lang w:val="en-US" w:eastAsia="zh-CN"/>
        </w:rPr>
      </w:pPr>
    </w:p>
    <w:p w14:paraId="0835557B">
      <w:pPr>
        <w:pStyle w:val="2"/>
        <w:jc w:val="left"/>
        <w:rPr>
          <w:rFonts w:hint="eastAsia" w:hAnsi="宋体" w:cs="宋体"/>
          <w:color w:val="auto"/>
          <w:spacing w:val="1"/>
          <w:sz w:val="21"/>
          <w:szCs w:val="21"/>
          <w:lang w:val="en-US" w:eastAsia="zh-CN"/>
        </w:rPr>
      </w:pPr>
    </w:p>
    <w:p w14:paraId="1488C9DF">
      <w:pPr>
        <w:pStyle w:val="2"/>
        <w:jc w:val="left"/>
        <w:rPr>
          <w:rFonts w:hint="eastAsia" w:hAnsi="宋体" w:cs="宋体"/>
          <w:color w:val="auto"/>
          <w:spacing w:val="1"/>
          <w:sz w:val="21"/>
          <w:szCs w:val="21"/>
          <w:lang w:val="en-US" w:eastAsia="zh-CN"/>
        </w:rPr>
      </w:pPr>
    </w:p>
    <w:p w14:paraId="29CB70A3">
      <w:pPr>
        <w:pStyle w:val="2"/>
        <w:jc w:val="left"/>
        <w:rPr>
          <w:rFonts w:hint="eastAsia" w:hAnsi="宋体" w:cs="宋体"/>
          <w:color w:val="auto"/>
          <w:spacing w:val="1"/>
          <w:sz w:val="21"/>
          <w:szCs w:val="21"/>
          <w:lang w:val="en-US" w:eastAsia="zh-CN"/>
        </w:rPr>
      </w:pPr>
    </w:p>
    <w:p w14:paraId="247CFEE3">
      <w:pPr>
        <w:pStyle w:val="2"/>
        <w:jc w:val="left"/>
        <w:rPr>
          <w:rFonts w:hint="eastAsia" w:hAnsi="宋体" w:cs="宋体"/>
          <w:color w:val="auto"/>
          <w:spacing w:val="1"/>
          <w:sz w:val="21"/>
          <w:szCs w:val="21"/>
          <w:lang w:val="en-US" w:eastAsia="zh-CN"/>
        </w:rPr>
      </w:pPr>
    </w:p>
    <w:p w14:paraId="4B961B2D">
      <w:pPr>
        <w:pStyle w:val="2"/>
        <w:jc w:val="left"/>
        <w:rPr>
          <w:rFonts w:hint="eastAsia" w:hAnsi="宋体" w:cs="宋体"/>
          <w:color w:val="auto"/>
          <w:spacing w:val="1"/>
          <w:sz w:val="21"/>
          <w:szCs w:val="21"/>
          <w:lang w:val="en-US" w:eastAsia="zh-CN"/>
        </w:rPr>
      </w:pPr>
    </w:p>
    <w:p w14:paraId="6A128E47">
      <w:pPr>
        <w:pStyle w:val="2"/>
        <w:jc w:val="left"/>
        <w:rPr>
          <w:rFonts w:hint="eastAsia" w:hAnsi="宋体" w:cs="宋体"/>
          <w:color w:val="auto"/>
          <w:spacing w:val="1"/>
          <w:sz w:val="21"/>
          <w:szCs w:val="21"/>
          <w:lang w:val="en-US" w:eastAsia="zh-CN"/>
        </w:rPr>
      </w:pPr>
    </w:p>
    <w:p w14:paraId="43B047FF">
      <w:pPr>
        <w:pStyle w:val="2"/>
        <w:jc w:val="left"/>
        <w:rPr>
          <w:rFonts w:hint="eastAsia" w:hAnsi="宋体" w:cs="宋体"/>
          <w:color w:val="auto"/>
          <w:spacing w:val="1"/>
          <w:sz w:val="21"/>
          <w:szCs w:val="21"/>
          <w:lang w:val="en-US" w:eastAsia="zh-CN"/>
        </w:rPr>
      </w:pPr>
    </w:p>
    <w:p w14:paraId="24A32BA3">
      <w:pPr>
        <w:pStyle w:val="2"/>
        <w:jc w:val="left"/>
        <w:rPr>
          <w:rFonts w:hint="eastAsia" w:hAnsi="宋体" w:cs="宋体"/>
          <w:color w:val="auto"/>
          <w:spacing w:val="1"/>
          <w:sz w:val="21"/>
          <w:szCs w:val="21"/>
          <w:lang w:val="en-US" w:eastAsia="zh-CN"/>
        </w:rPr>
      </w:pPr>
    </w:p>
    <w:p w14:paraId="3279DBDA">
      <w:pPr>
        <w:pStyle w:val="2"/>
        <w:jc w:val="left"/>
        <w:rPr>
          <w:rFonts w:hint="eastAsia" w:hAnsi="宋体" w:cs="宋体"/>
          <w:color w:val="auto"/>
          <w:spacing w:val="1"/>
          <w:sz w:val="21"/>
          <w:szCs w:val="21"/>
          <w:lang w:val="en-US" w:eastAsia="zh-CN"/>
        </w:rPr>
      </w:pPr>
    </w:p>
    <w:p w14:paraId="4D279B8F">
      <w:pPr>
        <w:pStyle w:val="2"/>
        <w:jc w:val="left"/>
        <w:rPr>
          <w:rFonts w:hint="eastAsia" w:hAnsi="宋体" w:cs="宋体"/>
          <w:color w:val="auto"/>
          <w:spacing w:val="1"/>
          <w:sz w:val="21"/>
          <w:szCs w:val="21"/>
          <w:lang w:val="en-US" w:eastAsia="zh-CN"/>
        </w:rPr>
      </w:pPr>
    </w:p>
    <w:p w14:paraId="6029CCA5">
      <w:pPr>
        <w:pStyle w:val="2"/>
        <w:jc w:val="left"/>
        <w:rPr>
          <w:rFonts w:hint="eastAsia" w:hAnsi="宋体" w:cs="宋体"/>
          <w:color w:val="auto"/>
          <w:spacing w:val="1"/>
          <w:sz w:val="21"/>
          <w:szCs w:val="21"/>
          <w:lang w:val="en-US" w:eastAsia="zh-CN"/>
        </w:rPr>
      </w:pPr>
    </w:p>
    <w:p w14:paraId="77D8E08A">
      <w:pPr>
        <w:pStyle w:val="2"/>
        <w:jc w:val="left"/>
        <w:rPr>
          <w:rFonts w:hint="eastAsia" w:hAnsi="宋体" w:cs="宋体"/>
          <w:color w:val="auto"/>
          <w:spacing w:val="1"/>
          <w:sz w:val="21"/>
          <w:szCs w:val="21"/>
          <w:lang w:val="en-US" w:eastAsia="zh-CN"/>
        </w:rPr>
      </w:pPr>
    </w:p>
    <w:p w14:paraId="3B547351">
      <w:pPr>
        <w:pStyle w:val="2"/>
        <w:jc w:val="left"/>
        <w:rPr>
          <w:rFonts w:hint="eastAsia" w:hAnsi="宋体" w:cs="宋体"/>
          <w:color w:val="auto"/>
          <w:spacing w:val="1"/>
          <w:sz w:val="21"/>
          <w:szCs w:val="21"/>
          <w:lang w:val="en-US" w:eastAsia="zh-CN"/>
        </w:rPr>
      </w:pPr>
    </w:p>
    <w:p w14:paraId="104BD75C">
      <w:pPr>
        <w:pStyle w:val="2"/>
        <w:jc w:val="left"/>
        <w:rPr>
          <w:rFonts w:hint="eastAsia" w:hAnsi="宋体" w:cs="宋体"/>
          <w:color w:val="auto"/>
          <w:spacing w:val="1"/>
          <w:sz w:val="21"/>
          <w:szCs w:val="21"/>
          <w:lang w:val="en-US" w:eastAsia="zh-CN"/>
        </w:rPr>
      </w:pPr>
    </w:p>
    <w:p w14:paraId="00F461D8">
      <w:pPr>
        <w:pStyle w:val="2"/>
        <w:jc w:val="left"/>
        <w:rPr>
          <w:rFonts w:hint="eastAsia" w:hAnsi="宋体" w:cs="宋体"/>
          <w:color w:val="auto"/>
          <w:spacing w:val="1"/>
          <w:sz w:val="21"/>
          <w:szCs w:val="21"/>
          <w:lang w:val="en-US" w:eastAsia="zh-CN"/>
        </w:rPr>
      </w:pPr>
    </w:p>
    <w:p w14:paraId="2AE13897">
      <w:pPr>
        <w:pStyle w:val="2"/>
        <w:jc w:val="left"/>
        <w:rPr>
          <w:rFonts w:hint="eastAsia" w:hAnsi="宋体" w:cs="宋体"/>
          <w:color w:val="auto"/>
          <w:spacing w:val="1"/>
          <w:sz w:val="21"/>
          <w:szCs w:val="21"/>
          <w:lang w:val="en-US" w:eastAsia="zh-CN"/>
        </w:rPr>
      </w:pPr>
    </w:p>
    <w:p w14:paraId="4A77D7E3">
      <w:pPr>
        <w:pStyle w:val="2"/>
        <w:jc w:val="left"/>
        <w:rPr>
          <w:rFonts w:hint="eastAsia" w:hAnsi="宋体" w:cs="宋体"/>
          <w:color w:val="auto"/>
          <w:spacing w:val="1"/>
          <w:sz w:val="21"/>
          <w:szCs w:val="21"/>
          <w:lang w:val="en-US" w:eastAsia="zh-CN"/>
        </w:rPr>
      </w:pPr>
    </w:p>
    <w:p w14:paraId="314123FA">
      <w:pPr>
        <w:pStyle w:val="2"/>
        <w:jc w:val="left"/>
        <w:rPr>
          <w:rFonts w:hint="eastAsia" w:hAnsi="宋体" w:cs="宋体"/>
          <w:color w:val="auto"/>
          <w:spacing w:val="1"/>
          <w:sz w:val="21"/>
          <w:szCs w:val="21"/>
          <w:lang w:val="en-US" w:eastAsia="zh-CN"/>
        </w:rPr>
      </w:pPr>
    </w:p>
    <w:p w14:paraId="763ACD43">
      <w:pPr>
        <w:pStyle w:val="2"/>
        <w:jc w:val="left"/>
        <w:rPr>
          <w:rFonts w:hint="eastAsia" w:hAnsi="宋体" w:cs="宋体"/>
          <w:color w:val="auto"/>
          <w:spacing w:val="1"/>
          <w:sz w:val="21"/>
          <w:szCs w:val="21"/>
          <w:lang w:val="en-US" w:eastAsia="zh-CN"/>
        </w:rPr>
      </w:pPr>
    </w:p>
    <w:p w14:paraId="1DB6B2D5">
      <w:pPr>
        <w:pStyle w:val="2"/>
        <w:jc w:val="left"/>
        <w:rPr>
          <w:rFonts w:hint="eastAsia" w:hAnsi="宋体" w:cs="宋体"/>
          <w:color w:val="auto"/>
          <w:spacing w:val="1"/>
          <w:sz w:val="21"/>
          <w:szCs w:val="21"/>
          <w:lang w:val="en-US" w:eastAsia="zh-CN"/>
        </w:rPr>
      </w:pPr>
    </w:p>
    <w:p w14:paraId="1FE8EEDE">
      <w:pPr>
        <w:pStyle w:val="2"/>
        <w:jc w:val="left"/>
        <w:rPr>
          <w:rFonts w:hint="eastAsia" w:hAnsi="宋体" w:cs="宋体"/>
          <w:color w:val="auto"/>
          <w:spacing w:val="1"/>
          <w:sz w:val="21"/>
          <w:szCs w:val="21"/>
          <w:lang w:val="en-US" w:eastAsia="zh-CN"/>
        </w:rPr>
      </w:pPr>
    </w:p>
    <w:p w14:paraId="5C8463B1">
      <w:pPr>
        <w:pStyle w:val="2"/>
        <w:jc w:val="left"/>
        <w:rPr>
          <w:rFonts w:hint="eastAsia" w:hAnsi="宋体" w:cs="宋体"/>
          <w:color w:val="auto"/>
          <w:spacing w:val="1"/>
          <w:sz w:val="21"/>
          <w:szCs w:val="21"/>
          <w:lang w:val="en-US" w:eastAsia="zh-CN"/>
        </w:rPr>
      </w:pPr>
    </w:p>
    <w:p w14:paraId="4E8D967E">
      <w:pPr>
        <w:pStyle w:val="2"/>
        <w:jc w:val="left"/>
        <w:rPr>
          <w:rFonts w:hint="eastAsia" w:hAnsi="宋体" w:cs="宋体"/>
          <w:color w:val="auto"/>
          <w:spacing w:val="1"/>
          <w:sz w:val="21"/>
          <w:szCs w:val="21"/>
          <w:lang w:val="en-US" w:eastAsia="zh-CN"/>
        </w:rPr>
      </w:pPr>
    </w:p>
    <w:p w14:paraId="7F9C78F9">
      <w:pPr>
        <w:pStyle w:val="2"/>
        <w:jc w:val="left"/>
        <w:rPr>
          <w:rFonts w:hint="eastAsia" w:hAnsi="宋体" w:cs="宋体"/>
          <w:color w:val="auto"/>
          <w:spacing w:val="1"/>
          <w:sz w:val="21"/>
          <w:szCs w:val="21"/>
          <w:lang w:val="en-US" w:eastAsia="zh-CN"/>
        </w:rPr>
      </w:pPr>
    </w:p>
    <w:p w14:paraId="4ECEC051">
      <w:pPr>
        <w:pStyle w:val="2"/>
        <w:jc w:val="left"/>
        <w:rPr>
          <w:rFonts w:hint="eastAsia" w:hAnsi="宋体" w:cs="宋体"/>
          <w:color w:val="auto"/>
          <w:spacing w:val="1"/>
          <w:sz w:val="21"/>
          <w:szCs w:val="21"/>
          <w:lang w:val="en-US" w:eastAsia="zh-CN"/>
        </w:rPr>
      </w:pPr>
    </w:p>
    <w:p w14:paraId="7DC34CDD">
      <w:pPr>
        <w:pStyle w:val="2"/>
        <w:jc w:val="left"/>
        <w:rPr>
          <w:rFonts w:hint="eastAsia" w:hAnsi="宋体" w:cs="宋体"/>
          <w:color w:val="auto"/>
          <w:spacing w:val="1"/>
          <w:sz w:val="21"/>
          <w:szCs w:val="21"/>
          <w:lang w:val="en-US" w:eastAsia="zh-CN"/>
        </w:rPr>
      </w:pPr>
    </w:p>
    <w:p w14:paraId="07E51E7E">
      <w:pPr>
        <w:pStyle w:val="2"/>
        <w:jc w:val="left"/>
        <w:rPr>
          <w:rFonts w:hint="eastAsia" w:hAnsi="宋体" w:cs="宋体"/>
          <w:color w:val="auto"/>
          <w:spacing w:val="1"/>
          <w:sz w:val="21"/>
          <w:szCs w:val="21"/>
          <w:lang w:val="en-US" w:eastAsia="zh-CN"/>
        </w:rPr>
      </w:pPr>
    </w:p>
    <w:p w14:paraId="2D899994">
      <w:pPr>
        <w:pStyle w:val="2"/>
        <w:jc w:val="left"/>
        <w:rPr>
          <w:rFonts w:hint="eastAsia" w:hAnsi="宋体" w:cs="宋体"/>
          <w:color w:val="auto"/>
          <w:spacing w:val="1"/>
          <w:sz w:val="21"/>
          <w:szCs w:val="21"/>
          <w:lang w:val="en-US" w:eastAsia="zh-CN"/>
        </w:rPr>
      </w:pPr>
    </w:p>
    <w:p w14:paraId="56C18BF2">
      <w:pPr>
        <w:pStyle w:val="2"/>
        <w:jc w:val="left"/>
        <w:rPr>
          <w:rFonts w:hint="eastAsia" w:hAnsi="宋体" w:cs="宋体"/>
          <w:color w:val="auto"/>
          <w:spacing w:val="1"/>
          <w:sz w:val="21"/>
          <w:szCs w:val="21"/>
          <w:lang w:val="en-US" w:eastAsia="zh-CN"/>
        </w:rPr>
      </w:pPr>
    </w:p>
    <w:p w14:paraId="305306AD">
      <w:pPr>
        <w:pStyle w:val="2"/>
        <w:jc w:val="left"/>
        <w:rPr>
          <w:rFonts w:hint="eastAsia" w:hAnsi="宋体" w:cs="宋体"/>
          <w:color w:val="auto"/>
          <w:spacing w:val="1"/>
          <w:sz w:val="21"/>
          <w:szCs w:val="21"/>
          <w:lang w:val="en-US" w:eastAsia="zh-CN"/>
        </w:rPr>
      </w:pPr>
    </w:p>
    <w:p w14:paraId="3BD71F96">
      <w:pPr>
        <w:pStyle w:val="2"/>
        <w:jc w:val="left"/>
        <w:rPr>
          <w:rFonts w:hint="eastAsia" w:hAnsi="宋体" w:cs="宋体"/>
          <w:color w:val="auto"/>
          <w:spacing w:val="1"/>
          <w:sz w:val="21"/>
          <w:szCs w:val="21"/>
          <w:lang w:val="en-US" w:eastAsia="zh-CN"/>
        </w:rPr>
      </w:pPr>
    </w:p>
    <w:p w14:paraId="3D239640">
      <w:pPr>
        <w:pStyle w:val="2"/>
        <w:jc w:val="left"/>
        <w:rPr>
          <w:rFonts w:hint="eastAsia" w:hAnsi="宋体" w:cs="宋体"/>
          <w:color w:val="auto"/>
          <w:spacing w:val="1"/>
          <w:sz w:val="21"/>
          <w:szCs w:val="21"/>
          <w:lang w:val="en-US" w:eastAsia="zh-CN"/>
        </w:rPr>
      </w:pPr>
    </w:p>
    <w:p w14:paraId="5B6DBEE4">
      <w:pPr>
        <w:pStyle w:val="2"/>
        <w:jc w:val="left"/>
        <w:rPr>
          <w:rFonts w:hint="eastAsia" w:hAnsi="宋体" w:cs="宋体"/>
          <w:color w:val="auto"/>
          <w:spacing w:val="1"/>
          <w:sz w:val="21"/>
          <w:szCs w:val="21"/>
          <w:lang w:val="en-US" w:eastAsia="zh-CN"/>
        </w:rPr>
      </w:pPr>
    </w:p>
    <w:p w14:paraId="0FD858D2">
      <w:pPr>
        <w:pStyle w:val="2"/>
        <w:jc w:val="left"/>
        <w:rPr>
          <w:rFonts w:hint="eastAsia" w:hAnsi="宋体" w:cs="宋体"/>
          <w:color w:val="auto"/>
          <w:spacing w:val="1"/>
          <w:sz w:val="21"/>
          <w:szCs w:val="21"/>
          <w:lang w:val="en-US" w:eastAsia="zh-CN"/>
        </w:rPr>
      </w:pPr>
    </w:p>
    <w:p w14:paraId="57085B50">
      <w:pPr>
        <w:pStyle w:val="2"/>
        <w:jc w:val="left"/>
        <w:rPr>
          <w:rFonts w:hint="eastAsia" w:hAnsi="宋体" w:cs="宋体"/>
          <w:color w:val="auto"/>
          <w:spacing w:val="1"/>
          <w:sz w:val="21"/>
          <w:szCs w:val="21"/>
          <w:lang w:val="en-US" w:eastAsia="zh-CN"/>
        </w:rPr>
      </w:pPr>
    </w:p>
    <w:p w14:paraId="42822824">
      <w:pPr>
        <w:pStyle w:val="2"/>
        <w:jc w:val="left"/>
        <w:rPr>
          <w:rFonts w:hint="eastAsia" w:hAnsi="宋体" w:cs="宋体"/>
          <w:color w:val="auto"/>
          <w:spacing w:val="1"/>
          <w:sz w:val="21"/>
          <w:szCs w:val="21"/>
          <w:lang w:val="en-US" w:eastAsia="zh-CN"/>
        </w:rPr>
      </w:pPr>
    </w:p>
    <w:p w14:paraId="6A0C3E34">
      <w:pPr>
        <w:pStyle w:val="2"/>
        <w:jc w:val="left"/>
        <w:rPr>
          <w:rFonts w:hint="eastAsia" w:hAnsi="宋体" w:cs="宋体"/>
          <w:color w:val="auto"/>
          <w:spacing w:val="1"/>
          <w:sz w:val="21"/>
          <w:szCs w:val="21"/>
          <w:lang w:val="en-US" w:eastAsia="zh-CN"/>
        </w:rPr>
      </w:pPr>
    </w:p>
    <w:p w14:paraId="77C549F7">
      <w:pPr>
        <w:pStyle w:val="2"/>
        <w:jc w:val="left"/>
        <w:rPr>
          <w:rFonts w:hint="eastAsia" w:hAnsi="宋体" w:cs="宋体"/>
          <w:color w:val="auto"/>
          <w:spacing w:val="1"/>
          <w:sz w:val="21"/>
          <w:szCs w:val="21"/>
          <w:lang w:val="en-US" w:eastAsia="zh-CN"/>
        </w:rPr>
      </w:pPr>
    </w:p>
    <w:p w14:paraId="3F1A4576">
      <w:pPr>
        <w:pStyle w:val="2"/>
        <w:jc w:val="left"/>
        <w:rPr>
          <w:rFonts w:hint="eastAsia" w:hAnsi="宋体" w:cs="宋体"/>
          <w:color w:val="auto"/>
          <w:spacing w:val="1"/>
          <w:sz w:val="21"/>
          <w:szCs w:val="21"/>
          <w:lang w:val="en-US" w:eastAsia="zh-CN"/>
        </w:rPr>
      </w:pPr>
    </w:p>
    <w:p w14:paraId="16560F50">
      <w:pPr>
        <w:pStyle w:val="2"/>
        <w:jc w:val="left"/>
        <w:rPr>
          <w:rFonts w:hint="eastAsia" w:hAnsi="宋体" w:cs="宋体"/>
          <w:color w:val="auto"/>
          <w:spacing w:val="1"/>
          <w:sz w:val="21"/>
          <w:szCs w:val="21"/>
          <w:lang w:val="en-US" w:eastAsia="zh-CN"/>
        </w:rPr>
      </w:pPr>
    </w:p>
    <w:p w14:paraId="52D1953A">
      <w:pPr>
        <w:pStyle w:val="2"/>
        <w:jc w:val="left"/>
        <w:rPr>
          <w:rFonts w:hint="eastAsia" w:hAnsi="宋体" w:cs="宋体"/>
          <w:color w:val="auto"/>
          <w:spacing w:val="1"/>
          <w:sz w:val="21"/>
          <w:szCs w:val="21"/>
          <w:lang w:val="en-US" w:eastAsia="zh-CN"/>
        </w:rPr>
      </w:pPr>
    </w:p>
    <w:p w14:paraId="1A744F1C">
      <w:pPr>
        <w:pStyle w:val="2"/>
        <w:jc w:val="left"/>
        <w:rPr>
          <w:rFonts w:hint="eastAsia" w:hAnsi="宋体" w:cs="宋体"/>
          <w:color w:val="auto"/>
          <w:spacing w:val="1"/>
          <w:sz w:val="21"/>
          <w:szCs w:val="21"/>
          <w:lang w:val="en-US" w:eastAsia="zh-CN"/>
        </w:rPr>
      </w:pPr>
    </w:p>
    <w:p w14:paraId="6386915A">
      <w:pPr>
        <w:pStyle w:val="2"/>
        <w:jc w:val="left"/>
        <w:rPr>
          <w:rFonts w:hint="eastAsia" w:hAnsi="宋体" w:cs="宋体"/>
          <w:color w:val="auto"/>
          <w:spacing w:val="1"/>
          <w:sz w:val="21"/>
          <w:szCs w:val="21"/>
          <w:lang w:val="en-US" w:eastAsia="zh-CN"/>
        </w:rPr>
      </w:pPr>
    </w:p>
    <w:p w14:paraId="4DA64567">
      <w:pPr>
        <w:pStyle w:val="2"/>
        <w:jc w:val="left"/>
        <w:rPr>
          <w:rFonts w:hint="eastAsia" w:hAnsi="宋体" w:cs="宋体"/>
          <w:color w:val="auto"/>
          <w:spacing w:val="1"/>
          <w:sz w:val="21"/>
          <w:szCs w:val="21"/>
          <w:lang w:val="en-US" w:eastAsia="zh-CN"/>
        </w:rPr>
      </w:pPr>
      <w:r>
        <w:rPr>
          <w:rFonts w:hint="eastAsia" w:hAnsi="宋体" w:cs="宋体"/>
          <w:color w:val="auto"/>
          <w:spacing w:val="1"/>
          <w:sz w:val="21"/>
          <w:szCs w:val="21"/>
          <w:lang w:val="en-US" w:eastAsia="zh-CN"/>
        </w:rPr>
        <w:t>附件4：服务评价表</w:t>
      </w:r>
    </w:p>
    <w:p w14:paraId="4C1C6AAD">
      <w:pPr>
        <w:pStyle w:val="2"/>
        <w:jc w:val="left"/>
        <w:rPr>
          <w:rFonts w:hint="eastAsia" w:hAnsi="宋体" w:cs="宋体"/>
          <w:color w:val="auto"/>
          <w:spacing w:val="1"/>
          <w:sz w:val="21"/>
          <w:szCs w:val="21"/>
          <w:lang w:val="en-US" w:eastAsia="zh-CN"/>
        </w:rPr>
      </w:pPr>
    </w:p>
    <w:tbl>
      <w:tblPr>
        <w:tblStyle w:val="39"/>
        <w:tblW w:w="10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8"/>
        <w:gridCol w:w="1947"/>
        <w:gridCol w:w="5074"/>
        <w:gridCol w:w="920"/>
        <w:gridCol w:w="961"/>
      </w:tblGrid>
      <w:tr w14:paraId="0E29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0180" w:type="dxa"/>
            <w:gridSpan w:val="5"/>
            <w:tcBorders>
              <w:top w:val="nil"/>
              <w:left w:val="nil"/>
              <w:bottom w:val="nil"/>
              <w:right w:val="nil"/>
            </w:tcBorders>
            <w:shd w:val="clear" w:color="auto" w:fill="auto"/>
            <w:noWrap/>
            <w:vAlign w:val="center"/>
          </w:tcPr>
          <w:p w14:paraId="09AC1CD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服务评价表</w:t>
            </w:r>
          </w:p>
        </w:tc>
      </w:tr>
      <w:tr w14:paraId="26E7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0180" w:type="dxa"/>
            <w:gridSpan w:val="5"/>
            <w:tcBorders>
              <w:top w:val="nil"/>
              <w:left w:val="nil"/>
              <w:bottom w:val="nil"/>
              <w:right w:val="nil"/>
            </w:tcBorders>
            <w:shd w:val="clear" w:color="auto" w:fill="auto"/>
            <w:noWrap/>
            <w:vAlign w:val="center"/>
          </w:tcPr>
          <w:p w14:paraId="6247BBBA">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项目名称：东莞市涉水收费统一征收平台2025年度运维服务项目  所属年月：</w:t>
            </w:r>
          </w:p>
        </w:tc>
      </w:tr>
      <w:tr w14:paraId="7E27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7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324CE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3BB84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评分项目</w:t>
            </w:r>
          </w:p>
        </w:tc>
        <w:tc>
          <w:tcPr>
            <w:tcW w:w="507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1517D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评分指标</w:t>
            </w:r>
          </w:p>
        </w:tc>
        <w:tc>
          <w:tcPr>
            <w:tcW w:w="92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2D200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分值</w:t>
            </w:r>
          </w:p>
        </w:tc>
        <w:tc>
          <w:tcPr>
            <w:tcW w:w="96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408E5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得分</w:t>
            </w:r>
          </w:p>
        </w:tc>
      </w:tr>
      <w:tr w14:paraId="6A95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9C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16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服务响应</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E0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7*24小时服务热线通畅、运维人员实时接听，每次服务响应时间及时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8A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7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71A1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28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FE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服务人员态度</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476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服务态度礼貌、热情、周到、细致、耐心听取用户意见</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93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F4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3F94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FB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D0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系统运行状况</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A2A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系统正常运行，无卡顿，登录正常</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83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77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7D35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48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6E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数据准确性</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D8B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保障系统所有数据的生成、计算符合采购人制定的业务准则</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35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FB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541C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9D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2D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故障处理</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D77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现场服务有效解决问题，故障处理及时、服务规范</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5C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59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5F39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25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EB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上门服务</w:t>
            </w:r>
          </w:p>
        </w:tc>
        <w:tc>
          <w:tcPr>
            <w:tcW w:w="5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F40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按采购人的业务需求实施上门服务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EA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1D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417D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76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60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服务资料</w:t>
            </w:r>
          </w:p>
        </w:tc>
        <w:tc>
          <w:tcPr>
            <w:tcW w:w="5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4AD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上门服务有书面记录和日志</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8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8C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347B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AC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20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驻点服务</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13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驻点人员耐心解答系统使用问题，有效完成采购人的服务需求</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B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B2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08C7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3B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D7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通知服务</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F66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系统更新或因其他外部原因的维护计划，服务提供方能及时、有效提醒</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5B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DE9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7D11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68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CD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沟通协调</w:t>
            </w:r>
          </w:p>
        </w:tc>
        <w:tc>
          <w:tcPr>
            <w:tcW w:w="5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2A8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对采购人提出的相关问题，若涉及多个系统使用单位，能及时进行有效沟通</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E7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9B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u w:val="none"/>
              </w:rPr>
            </w:pPr>
          </w:p>
        </w:tc>
      </w:tr>
      <w:tr w14:paraId="125F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2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04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总分</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44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5096">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iCs w:val="0"/>
                <w:color w:val="auto"/>
                <w:sz w:val="21"/>
                <w:szCs w:val="21"/>
                <w:u w:val="none"/>
              </w:rPr>
            </w:pPr>
          </w:p>
        </w:tc>
      </w:tr>
      <w:tr w14:paraId="38A7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1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E625">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备注：根据服务情况，综合评估，总分90分（不含）以上合格。</w:t>
            </w:r>
          </w:p>
        </w:tc>
      </w:tr>
      <w:tr w14:paraId="0A6F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278" w:type="dxa"/>
            <w:tcBorders>
              <w:top w:val="nil"/>
              <w:left w:val="nil"/>
              <w:bottom w:val="nil"/>
              <w:right w:val="nil"/>
            </w:tcBorders>
            <w:shd w:val="clear" w:color="auto" w:fill="auto"/>
            <w:noWrap/>
            <w:vAlign w:val="center"/>
          </w:tcPr>
          <w:p w14:paraId="517AE811">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填表单位：</w:t>
            </w:r>
          </w:p>
        </w:tc>
        <w:tc>
          <w:tcPr>
            <w:tcW w:w="1947" w:type="dxa"/>
            <w:tcBorders>
              <w:top w:val="nil"/>
              <w:left w:val="nil"/>
              <w:bottom w:val="nil"/>
              <w:right w:val="nil"/>
            </w:tcBorders>
            <w:shd w:val="clear" w:color="auto" w:fill="auto"/>
            <w:noWrap/>
            <w:vAlign w:val="center"/>
          </w:tcPr>
          <w:p w14:paraId="72FAD144">
            <w:pPr>
              <w:keepNext w:val="0"/>
              <w:keepLines w:val="0"/>
              <w:suppressLineNumbers w:val="0"/>
              <w:spacing w:before="0" w:beforeAutospacing="0" w:after="0" w:afterAutospacing="0"/>
              <w:ind w:left="0" w:right="0"/>
              <w:rPr>
                <w:rFonts w:hint="default" w:asciiTheme="minorEastAsia" w:hAnsiTheme="minorEastAsia" w:eastAsiaTheme="minorEastAsia" w:cstheme="minorEastAsia"/>
                <w:i w:val="0"/>
                <w:iCs w:val="0"/>
                <w:color w:val="auto"/>
                <w:sz w:val="21"/>
                <w:szCs w:val="21"/>
                <w:u w:val="none"/>
              </w:rPr>
            </w:pPr>
          </w:p>
        </w:tc>
        <w:tc>
          <w:tcPr>
            <w:tcW w:w="5074" w:type="dxa"/>
            <w:tcBorders>
              <w:top w:val="nil"/>
              <w:left w:val="nil"/>
              <w:bottom w:val="nil"/>
              <w:right w:val="nil"/>
            </w:tcBorders>
            <w:shd w:val="clear" w:color="auto" w:fill="auto"/>
            <w:noWrap/>
            <w:vAlign w:val="center"/>
          </w:tcPr>
          <w:p w14:paraId="5E064059">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签名：</w:t>
            </w:r>
          </w:p>
        </w:tc>
        <w:tc>
          <w:tcPr>
            <w:tcW w:w="920" w:type="dxa"/>
            <w:tcBorders>
              <w:top w:val="nil"/>
              <w:left w:val="nil"/>
              <w:bottom w:val="nil"/>
              <w:right w:val="nil"/>
            </w:tcBorders>
            <w:shd w:val="clear" w:color="auto" w:fill="auto"/>
            <w:noWrap/>
            <w:vAlign w:val="center"/>
          </w:tcPr>
          <w:p w14:paraId="47BEE601">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日期：</w:t>
            </w:r>
          </w:p>
        </w:tc>
        <w:tc>
          <w:tcPr>
            <w:tcW w:w="961" w:type="dxa"/>
            <w:tcBorders>
              <w:top w:val="nil"/>
              <w:left w:val="nil"/>
              <w:bottom w:val="nil"/>
              <w:right w:val="nil"/>
            </w:tcBorders>
            <w:shd w:val="clear" w:color="auto" w:fill="auto"/>
            <w:noWrap/>
            <w:vAlign w:val="center"/>
          </w:tcPr>
          <w:p w14:paraId="686AA561">
            <w:pPr>
              <w:keepNext w:val="0"/>
              <w:keepLines w:val="0"/>
              <w:suppressLineNumbers w:val="0"/>
              <w:spacing w:before="0" w:beforeAutospacing="0" w:after="0" w:afterAutospacing="0"/>
              <w:ind w:left="0" w:right="0"/>
              <w:rPr>
                <w:rFonts w:hint="default" w:asciiTheme="minorEastAsia" w:hAnsiTheme="minorEastAsia" w:eastAsiaTheme="minorEastAsia" w:cstheme="minorEastAsia"/>
                <w:i w:val="0"/>
                <w:iCs w:val="0"/>
                <w:color w:val="auto"/>
                <w:sz w:val="21"/>
                <w:szCs w:val="21"/>
                <w:u w:val="none"/>
              </w:rPr>
            </w:pPr>
          </w:p>
        </w:tc>
      </w:tr>
    </w:tbl>
    <w:p w14:paraId="2F0AFEE5">
      <w:pPr>
        <w:pStyle w:val="2"/>
        <w:jc w:val="left"/>
        <w:rPr>
          <w:rFonts w:hint="eastAsia" w:ascii="宋体" w:hAnsi="宋体" w:eastAsia="宋体" w:cs="宋体"/>
          <w:color w:val="auto"/>
          <w:spacing w:val="1"/>
          <w:sz w:val="21"/>
          <w:szCs w:val="21"/>
          <w:lang w:val="en-US" w:eastAsia="zh-CN"/>
        </w:rPr>
        <w:sectPr>
          <w:footerReference r:id="rId4" w:type="default"/>
          <w:pgSz w:w="11906" w:h="16839"/>
          <w:pgMar w:top="1431" w:right="858" w:bottom="1142" w:left="968" w:header="0" w:footer="966" w:gutter="0"/>
          <w:pgNumType w:fmt="decimal"/>
          <w:cols w:space="720" w:num="1"/>
        </w:sectPr>
      </w:pPr>
    </w:p>
    <w:p w14:paraId="13AF0EB1">
      <w:pPr>
        <w:pageBreakBefore/>
        <w:spacing w:before="120" w:beforeLines="50" w:after="120" w:afterLines="50" w:line="360" w:lineRule="auto"/>
        <w:ind w:firstLine="640"/>
        <w:jc w:val="center"/>
        <w:outlineLvl w:val="0"/>
        <w:rPr>
          <w:rFonts w:hint="eastAsia" w:ascii="宋体" w:hAnsi="宋体" w:eastAsia="宋体" w:cs="宋体"/>
          <w:b/>
          <w:bCs/>
          <w:color w:val="auto"/>
          <w:sz w:val="21"/>
          <w:szCs w:val="21"/>
          <w:highlight w:val="none"/>
          <w:lang w:val="zh-CN"/>
        </w:rPr>
      </w:pPr>
      <w:bookmarkStart w:id="427" w:name="_Toc447044603"/>
      <w:bookmarkStart w:id="428" w:name="_Toc24427_WPSOffice_Level1"/>
      <w:bookmarkStart w:id="429" w:name="_Toc25564"/>
      <w:bookmarkStart w:id="430" w:name="_Toc512353083"/>
      <w:bookmarkStart w:id="431" w:name="_Toc447045090"/>
      <w:bookmarkStart w:id="432" w:name="_Toc447044479"/>
      <w:bookmarkStart w:id="433" w:name="_Toc30025"/>
      <w:bookmarkStart w:id="434" w:name="_Toc142508360"/>
      <w:bookmarkStart w:id="435" w:name="_Toc8475"/>
      <w:r>
        <w:rPr>
          <w:rFonts w:hint="eastAsia" w:ascii="宋体" w:hAnsi="宋体" w:eastAsia="宋体" w:cs="宋体"/>
          <w:b/>
          <w:bCs/>
          <w:color w:val="auto"/>
          <w:sz w:val="21"/>
          <w:szCs w:val="21"/>
          <w:highlight w:val="none"/>
          <w:lang w:val="zh-CN"/>
        </w:rPr>
        <w:t>第五篇 相关保函格式</w:t>
      </w:r>
      <w:bookmarkEnd w:id="427"/>
      <w:bookmarkEnd w:id="428"/>
      <w:bookmarkEnd w:id="429"/>
      <w:bookmarkEnd w:id="430"/>
      <w:bookmarkEnd w:id="431"/>
      <w:bookmarkEnd w:id="432"/>
      <w:bookmarkEnd w:id="433"/>
      <w:bookmarkEnd w:id="434"/>
      <w:bookmarkEnd w:id="435"/>
      <w:bookmarkStart w:id="436" w:name="_Toc447044604"/>
      <w:bookmarkStart w:id="437" w:name="_Toc447045091"/>
      <w:bookmarkStart w:id="438" w:name="_Toc447044480"/>
    </w:p>
    <w:p w14:paraId="3AB37BB5">
      <w:pPr>
        <w:autoSpaceDE w:val="0"/>
        <w:autoSpaceDN w:val="0"/>
        <w:adjustRightInd w:val="0"/>
        <w:spacing w:after="120" w:afterLines="50" w:line="360" w:lineRule="auto"/>
        <w:jc w:val="left"/>
        <w:outlineLvl w:val="1"/>
        <w:rPr>
          <w:rFonts w:hint="eastAsia" w:ascii="宋体" w:hAnsi="宋体" w:eastAsia="宋体" w:cs="宋体"/>
          <w:b/>
          <w:color w:val="auto"/>
          <w:kern w:val="0"/>
          <w:sz w:val="21"/>
          <w:szCs w:val="21"/>
          <w:highlight w:val="none"/>
        </w:rPr>
      </w:pPr>
      <w:bookmarkStart w:id="439" w:name="_Toc12009"/>
      <w:bookmarkStart w:id="440" w:name="_Toc26521_WPSOffice_Level2"/>
      <w:r>
        <w:rPr>
          <w:rFonts w:hint="eastAsia" w:ascii="宋体" w:hAnsi="宋体" w:eastAsia="宋体" w:cs="宋体"/>
          <w:b/>
          <w:color w:val="auto"/>
          <w:kern w:val="0"/>
          <w:sz w:val="21"/>
          <w:szCs w:val="21"/>
          <w:highlight w:val="none"/>
        </w:rPr>
        <w:t>一、不可撤销银行履约保函格式</w:t>
      </w:r>
      <w:bookmarkEnd w:id="436"/>
      <w:bookmarkEnd w:id="437"/>
      <w:bookmarkEnd w:id="438"/>
      <w:bookmarkEnd w:id="439"/>
      <w:bookmarkEnd w:id="440"/>
    </w:p>
    <w:p w14:paraId="10DB2CEF">
      <w:pPr>
        <w:autoSpaceDE w:val="0"/>
        <w:autoSpaceDN w:val="0"/>
        <w:adjustRightInd w:val="0"/>
        <w:jc w:val="center"/>
        <w:outlineLvl w:val="2"/>
        <w:rPr>
          <w:rFonts w:hint="eastAsia" w:ascii="宋体" w:hAnsi="宋体" w:eastAsia="宋体" w:cs="宋体"/>
          <w:b/>
          <w:color w:val="auto"/>
          <w:kern w:val="0"/>
          <w:sz w:val="21"/>
          <w:szCs w:val="21"/>
          <w:highlight w:val="none"/>
        </w:rPr>
      </w:pPr>
      <w:bookmarkStart w:id="441" w:name="_Toc7182"/>
      <w:r>
        <w:rPr>
          <w:rFonts w:hint="eastAsia" w:ascii="宋体" w:hAnsi="宋体" w:eastAsia="宋体" w:cs="宋体"/>
          <w:b/>
          <w:color w:val="auto"/>
          <w:kern w:val="0"/>
          <w:sz w:val="21"/>
          <w:szCs w:val="21"/>
          <w:highlight w:val="none"/>
        </w:rPr>
        <w:t>不可撤销银行履约保函</w:t>
      </w:r>
      <w:bookmarkEnd w:id="441"/>
    </w:p>
    <w:p w14:paraId="601C43AA">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2D77D3C5">
      <w:pPr>
        <w:autoSpaceDE w:val="0"/>
        <w:autoSpaceDN w:val="0"/>
        <w:adjustRightInd w:val="0"/>
        <w:spacing w:line="360" w:lineRule="auto"/>
        <w:ind w:firstLine="63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银行编号：</w:t>
      </w:r>
    </w:p>
    <w:p w14:paraId="3204AC93">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（下称“受益人”）</w:t>
      </w:r>
    </w:p>
    <w:p w14:paraId="3D6D197B">
      <w:pPr>
        <w:widowControl/>
        <w:autoSpaceDE w:val="0"/>
        <w:autoSpaceDN w:val="0"/>
        <w:adjustRightInd w:val="0"/>
        <w:spacing w:line="360" w:lineRule="auto"/>
        <w:ind w:firstLine="567" w:firstLineChars="2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（申请人的名称与地址）  </w:t>
      </w:r>
      <w:r>
        <w:rPr>
          <w:rFonts w:hint="eastAsia" w:ascii="宋体" w:hAnsi="宋体" w:eastAsia="宋体" w:cs="宋体"/>
          <w:color w:val="auto"/>
          <w:kern w:val="0"/>
          <w:sz w:val="21"/>
          <w:szCs w:val="21"/>
          <w:highlight w:val="none"/>
        </w:rPr>
        <w:t>（下称“申请人”），已保证按拟签订的</w:t>
      </w:r>
      <w:r>
        <w:rPr>
          <w:rFonts w:hint="eastAsia" w:ascii="宋体" w:hAnsi="宋体" w:eastAsia="宋体" w:cs="宋体"/>
          <w:color w:val="auto"/>
          <w:kern w:val="0"/>
          <w:sz w:val="21"/>
          <w:szCs w:val="21"/>
          <w:highlight w:val="none"/>
          <w:u w:val="single"/>
        </w:rPr>
        <w:t xml:space="preserve"> 项目名称       （招标编号：         ）</w:t>
      </w:r>
      <w:r>
        <w:rPr>
          <w:rFonts w:hint="eastAsia" w:ascii="宋体" w:hAnsi="宋体" w:eastAsia="宋体" w:cs="宋体"/>
          <w:color w:val="auto"/>
          <w:kern w:val="0"/>
          <w:sz w:val="21"/>
          <w:szCs w:val="21"/>
          <w:highlight w:val="none"/>
        </w:rPr>
        <w:t>合同（招标文件）中规定的义务履行合同。</w:t>
      </w:r>
    </w:p>
    <w:p w14:paraId="7E0EE478">
      <w:pPr>
        <w:widowControl/>
        <w:autoSpaceDE w:val="0"/>
        <w:autoSpaceDN w:val="0"/>
        <w:adjustRightInd w:val="0"/>
        <w:spacing w:line="360" w:lineRule="auto"/>
        <w:ind w:firstLine="567" w:firstLineChars="2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根据上述合同（招标文件）规定，申请人应向受益人提供一份金额为人民币（大写）</w:t>
      </w:r>
      <w:r>
        <w:rPr>
          <w:rFonts w:hint="eastAsia" w:ascii="宋体" w:hAnsi="宋体" w:eastAsia="宋体" w:cs="宋体"/>
          <w:color w:val="auto"/>
          <w:kern w:val="0"/>
          <w:sz w:val="21"/>
          <w:szCs w:val="21"/>
          <w:highlight w:val="none"/>
          <w:u w:val="single"/>
        </w:rPr>
        <w:t xml:space="preserve">      （RMB元）</w:t>
      </w:r>
      <w:r>
        <w:rPr>
          <w:rFonts w:hint="eastAsia" w:ascii="宋体" w:hAnsi="宋体" w:eastAsia="宋体" w:cs="宋体"/>
          <w:color w:val="auto"/>
          <w:kern w:val="0"/>
          <w:sz w:val="21"/>
          <w:szCs w:val="21"/>
          <w:highlight w:val="none"/>
        </w:rPr>
        <w:t>的无条件、不可撤销银行履约保函，作为申请人履行上述合同的担保。</w:t>
      </w:r>
    </w:p>
    <w:p w14:paraId="67090B88">
      <w:pPr>
        <w:widowControl/>
        <w:autoSpaceDE w:val="0"/>
        <w:autoSpaceDN w:val="0"/>
        <w:adjustRightInd w:val="0"/>
        <w:spacing w:line="360" w:lineRule="auto"/>
        <w:ind w:firstLine="567" w:firstLineChars="2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（银行名称）</w:t>
      </w:r>
      <w:r>
        <w:rPr>
          <w:rFonts w:hint="eastAsia" w:ascii="宋体" w:hAnsi="宋体" w:eastAsia="宋体" w:cs="宋体"/>
          <w:color w:val="auto"/>
          <w:kern w:val="0"/>
          <w:sz w:val="21"/>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 w:val="21"/>
          <w:szCs w:val="21"/>
          <w:highlight w:val="none"/>
          <w:lang w:val="en-US" w:eastAsia="zh-CN"/>
        </w:rPr>
        <w:t>后，</w:t>
      </w:r>
      <w:r>
        <w:rPr>
          <w:rFonts w:hint="eastAsia" w:ascii="宋体" w:hAnsi="宋体" w:eastAsia="宋体" w:cs="宋体"/>
          <w:color w:val="auto"/>
          <w:kern w:val="0"/>
          <w:sz w:val="21"/>
          <w:szCs w:val="21"/>
          <w:highlight w:val="none"/>
        </w:rPr>
        <w:t>在保函限额内向受益人支付不超过人民币（大写）_________（¥_______元）的款项。</w:t>
      </w:r>
    </w:p>
    <w:p w14:paraId="52A7A33F">
      <w:pPr>
        <w:widowControl/>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在向我行提出要求前，我行将不坚持要求受益人首先向申请人提出上述款项的索赔。</w:t>
      </w:r>
    </w:p>
    <w:p w14:paraId="48B8F338">
      <w:pPr>
        <w:widowControl/>
        <w:autoSpaceDE w:val="0"/>
        <w:autoSpaceDN w:val="0"/>
        <w:adjustRightInd w:val="0"/>
        <w:spacing w:line="360" w:lineRule="auto"/>
        <w:ind w:firstLine="43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1E71214">
      <w:pPr>
        <w:widowControl/>
        <w:autoSpaceDE w:val="0"/>
        <w:autoSpaceDN w:val="0"/>
        <w:adjustRightInd w:val="0"/>
        <w:spacing w:line="360" w:lineRule="auto"/>
        <w:ind w:firstLine="43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本保函</w:t>
      </w:r>
      <w:r>
        <w:rPr>
          <w:rFonts w:hint="eastAsia" w:ascii="宋体" w:hAnsi="宋体" w:eastAsia="宋体" w:cs="宋体"/>
          <w:color w:val="auto"/>
          <w:kern w:val="0"/>
          <w:szCs w:val="21"/>
        </w:rPr>
        <w:t>应自合同签订之日起至合同期限届满并完成合同及补充协议项下全部服务义务，受益人向申请人支付全部款项后二十八（28）日内保持有效</w:t>
      </w:r>
      <w:r>
        <w:rPr>
          <w:rFonts w:hint="eastAsia" w:ascii="宋体" w:hAnsi="宋体" w:eastAsia="宋体" w:cs="宋体"/>
          <w:color w:val="auto"/>
          <w:kern w:val="0"/>
          <w:sz w:val="21"/>
          <w:szCs w:val="21"/>
          <w:highlight w:val="none"/>
        </w:rPr>
        <w:t>。</w:t>
      </w:r>
    </w:p>
    <w:p w14:paraId="1A26F806">
      <w:pPr>
        <w:widowControl/>
        <w:autoSpaceDE w:val="0"/>
        <w:autoSpaceDN w:val="0"/>
        <w:adjustRightInd w:val="0"/>
        <w:spacing w:line="360" w:lineRule="auto"/>
        <w:ind w:firstLine="437"/>
        <w:jc w:val="left"/>
        <w:rPr>
          <w:rFonts w:hint="eastAsia" w:ascii="宋体" w:hAnsi="宋体" w:eastAsia="宋体" w:cs="宋体"/>
          <w:color w:val="auto"/>
          <w:kern w:val="0"/>
          <w:sz w:val="21"/>
          <w:szCs w:val="21"/>
          <w:highlight w:val="none"/>
        </w:rPr>
      </w:pPr>
    </w:p>
    <w:p w14:paraId="527B51E9">
      <w:pPr>
        <w:widowControl/>
        <w:autoSpaceDE w:val="0"/>
        <w:autoSpaceDN w:val="0"/>
        <w:adjustRightInd w:val="0"/>
        <w:spacing w:line="360" w:lineRule="auto"/>
        <w:ind w:firstLine="2520" w:firstLineChars="1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担 保 银 行：</w:t>
      </w:r>
      <w:r>
        <w:rPr>
          <w:rFonts w:hint="eastAsia" w:ascii="宋体" w:hAnsi="宋体" w:eastAsia="宋体" w:cs="宋体"/>
          <w:color w:val="auto"/>
          <w:kern w:val="0"/>
          <w:sz w:val="21"/>
          <w:szCs w:val="21"/>
          <w:highlight w:val="none"/>
          <w:u w:val="single"/>
        </w:rPr>
        <w:t xml:space="preserve">          银行全称          (盖章)   </w:t>
      </w:r>
    </w:p>
    <w:p w14:paraId="2BDC90B0">
      <w:pPr>
        <w:widowControl/>
        <w:autoSpaceDE w:val="0"/>
        <w:autoSpaceDN w:val="0"/>
        <w:adjustRightInd w:val="0"/>
        <w:spacing w:line="360" w:lineRule="auto"/>
        <w:ind w:firstLine="2520" w:firstLineChars="1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法定代表人或其授权的代表人：</w:t>
      </w:r>
      <w:r>
        <w:rPr>
          <w:rFonts w:hint="eastAsia" w:ascii="宋体" w:hAnsi="宋体" w:eastAsia="宋体" w:cs="宋体"/>
          <w:color w:val="auto"/>
          <w:kern w:val="0"/>
          <w:sz w:val="21"/>
          <w:szCs w:val="21"/>
          <w:highlight w:val="none"/>
          <w:u w:val="single"/>
        </w:rPr>
        <w:t xml:space="preserve">       (职务)         </w:t>
      </w:r>
    </w:p>
    <w:p w14:paraId="5323F247">
      <w:pPr>
        <w:widowControl/>
        <w:autoSpaceDE w:val="0"/>
        <w:autoSpaceDN w:val="0"/>
        <w:adjustRightInd w:val="0"/>
        <w:spacing w:line="360" w:lineRule="auto"/>
        <w:ind w:firstLine="5502" w:firstLineChars="262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       (姓名)         </w:t>
      </w:r>
    </w:p>
    <w:p w14:paraId="7E064B21">
      <w:pPr>
        <w:widowControl/>
        <w:autoSpaceDE w:val="0"/>
        <w:autoSpaceDN w:val="0"/>
        <w:adjustRightInd w:val="0"/>
        <w:spacing w:line="360" w:lineRule="auto"/>
        <w:ind w:firstLine="5502" w:firstLineChars="262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       (签章)         </w:t>
      </w:r>
    </w:p>
    <w:p w14:paraId="486DCFCA">
      <w:pPr>
        <w:autoSpaceDE w:val="0"/>
        <w:autoSpaceDN w:val="0"/>
        <w:adjustRightInd w:val="0"/>
        <w:spacing w:line="360" w:lineRule="auto"/>
        <w:ind w:left="84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8EA17A6">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47993D92">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6F231D59">
      <w:pPr>
        <w:autoSpaceDE w:val="0"/>
        <w:autoSpaceDN w:val="0"/>
        <w:adjustRightInd w:val="0"/>
        <w:spacing w:line="360" w:lineRule="auto"/>
        <w:ind w:right="368" w:rightChars="175"/>
        <w:jc w:val="left"/>
        <w:rPr>
          <w:rFonts w:hint="eastAsia" w:ascii="宋体" w:hAnsi="宋体" w:eastAsia="宋体" w:cs="宋体"/>
          <w:color w:val="auto"/>
          <w:kern w:val="0"/>
          <w:sz w:val="21"/>
          <w:szCs w:val="21"/>
          <w:highlight w:val="none"/>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p>
    <w:p w14:paraId="27CE393F">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442" w:name="_Toc14690"/>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442"/>
    </w:p>
    <w:p w14:paraId="3A604DCC">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17D3398A">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3E7A71D2">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77915808">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3B47C0C3">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45D3E781">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48D0185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5C56EE19">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3" w:name="_Toc31184"/>
      <w:r>
        <w:rPr>
          <w:rFonts w:hint="eastAsia" w:ascii="宋体" w:hAnsi="宋体" w:eastAsia="宋体" w:cs="宋体"/>
          <w:color w:val="auto"/>
          <w:kern w:val="0"/>
          <w:szCs w:val="21"/>
          <w:highlight w:val="none"/>
          <w:lang w:val="en-US" w:eastAsia="zh-CN"/>
        </w:rPr>
        <w:t>一、保证保险金额</w:t>
      </w:r>
      <w:bookmarkEnd w:id="443"/>
      <w:r>
        <w:rPr>
          <w:rFonts w:hint="eastAsia" w:ascii="宋体" w:hAnsi="宋体" w:eastAsia="宋体" w:cs="宋体"/>
          <w:color w:val="auto"/>
          <w:kern w:val="0"/>
          <w:szCs w:val="21"/>
          <w:highlight w:val="none"/>
          <w:lang w:val="en-US" w:eastAsia="zh-CN"/>
        </w:rPr>
        <w:t xml:space="preserve"> </w:t>
      </w:r>
    </w:p>
    <w:p w14:paraId="4363D80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462D132C">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4" w:name="_Toc23352"/>
      <w:r>
        <w:rPr>
          <w:rFonts w:hint="eastAsia" w:ascii="宋体" w:hAnsi="宋体" w:eastAsia="宋体" w:cs="宋体"/>
          <w:color w:val="auto"/>
          <w:kern w:val="0"/>
          <w:szCs w:val="21"/>
          <w:highlight w:val="none"/>
          <w:lang w:val="en-US" w:eastAsia="zh-CN"/>
        </w:rPr>
        <w:t>二、保证保险的责任范围</w:t>
      </w:r>
      <w:bookmarkEnd w:id="444"/>
      <w:r>
        <w:rPr>
          <w:rFonts w:hint="eastAsia" w:ascii="宋体" w:hAnsi="宋体" w:eastAsia="宋体" w:cs="宋体"/>
          <w:color w:val="auto"/>
          <w:kern w:val="0"/>
          <w:szCs w:val="21"/>
          <w:highlight w:val="none"/>
          <w:lang w:val="en-US" w:eastAsia="zh-CN"/>
        </w:rPr>
        <w:t xml:space="preserve"> </w:t>
      </w:r>
    </w:p>
    <w:p w14:paraId="21C36FF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00EDF437">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5" w:name="_Toc19226"/>
      <w:r>
        <w:rPr>
          <w:rFonts w:hint="eastAsia" w:ascii="宋体" w:hAnsi="宋体" w:eastAsia="宋体" w:cs="宋体"/>
          <w:color w:val="auto"/>
          <w:kern w:val="0"/>
          <w:szCs w:val="21"/>
          <w:highlight w:val="none"/>
          <w:lang w:val="en-US" w:eastAsia="zh-CN"/>
        </w:rPr>
        <w:t>三、代偿的安排</w:t>
      </w:r>
      <w:bookmarkEnd w:id="445"/>
      <w:r>
        <w:rPr>
          <w:rFonts w:hint="eastAsia" w:ascii="宋体" w:hAnsi="宋体" w:eastAsia="宋体" w:cs="宋体"/>
          <w:color w:val="auto"/>
          <w:kern w:val="0"/>
          <w:szCs w:val="21"/>
          <w:highlight w:val="none"/>
          <w:lang w:val="en-US" w:eastAsia="zh-CN"/>
        </w:rPr>
        <w:t xml:space="preserve"> </w:t>
      </w:r>
    </w:p>
    <w:p w14:paraId="0CED6EC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BBFD1DD">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6" w:name="_Toc2704"/>
      <w:r>
        <w:rPr>
          <w:rFonts w:hint="eastAsia" w:ascii="宋体" w:hAnsi="宋体" w:eastAsia="宋体" w:cs="宋体"/>
          <w:color w:val="auto"/>
          <w:kern w:val="0"/>
          <w:szCs w:val="21"/>
          <w:highlight w:val="none"/>
          <w:lang w:val="en-US" w:eastAsia="zh-CN"/>
        </w:rPr>
        <w:t>四、生效时间</w:t>
      </w:r>
      <w:bookmarkEnd w:id="446"/>
      <w:r>
        <w:rPr>
          <w:rFonts w:hint="eastAsia" w:ascii="宋体" w:hAnsi="宋体" w:eastAsia="宋体" w:cs="宋体"/>
          <w:color w:val="auto"/>
          <w:kern w:val="0"/>
          <w:szCs w:val="21"/>
          <w:highlight w:val="none"/>
          <w:lang w:val="en-US" w:eastAsia="zh-CN"/>
        </w:rPr>
        <w:t xml:space="preserve"> </w:t>
      </w:r>
    </w:p>
    <w:p w14:paraId="12E6C6A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13EE3168">
      <w:pPr>
        <w:numPr>
          <w:ilvl w:val="0"/>
          <w:numId w:val="0"/>
        </w:numPr>
        <w:autoSpaceDE w:val="0"/>
        <w:autoSpaceDN w:val="0"/>
        <w:adjustRightInd w:val="0"/>
        <w:spacing w:line="360" w:lineRule="auto"/>
        <w:ind w:firstLine="437" w:firstLineChars="0"/>
        <w:jc w:val="left"/>
        <w:outlineLvl w:val="1"/>
        <w:rPr>
          <w:rFonts w:hint="eastAsia" w:ascii="宋体" w:hAnsi="宋体" w:eastAsia="宋体" w:cs="宋体"/>
          <w:color w:val="auto"/>
          <w:kern w:val="0"/>
          <w:szCs w:val="21"/>
          <w:highlight w:val="none"/>
          <w:lang w:val="en-US" w:eastAsia="zh-CN"/>
        </w:rPr>
      </w:pPr>
      <w:bookmarkStart w:id="447" w:name="_Toc31883"/>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bookmarkEnd w:id="447"/>
    </w:p>
    <w:p w14:paraId="2C283D8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rPr>
        <w:t>应自合同签订之日起至合同期限届满并完成合同及补充协议项下全部服务义务，受益人向申请人支付全部款项后二十八（28）日内保持有效</w:t>
      </w:r>
      <w:r>
        <w:rPr>
          <w:rFonts w:hint="eastAsia" w:ascii="宋体" w:hAnsi="宋体" w:eastAsia="宋体" w:cs="Times New Roman"/>
          <w:color w:val="auto"/>
          <w:kern w:val="0"/>
          <w:szCs w:val="21"/>
          <w:highlight w:val="none"/>
        </w:rPr>
        <w:t>。</w:t>
      </w:r>
    </w:p>
    <w:p w14:paraId="565325C2">
      <w:pPr>
        <w:pStyle w:val="5"/>
        <w:numPr>
          <w:ilvl w:val="0"/>
          <w:numId w:val="0"/>
        </w:numPr>
        <w:outlineLvl w:val="9"/>
        <w:rPr>
          <w:rFonts w:hint="default"/>
          <w:color w:val="auto"/>
          <w:highlight w:val="none"/>
          <w:lang w:val="en-US" w:eastAsia="zh-CN"/>
        </w:rPr>
      </w:pPr>
    </w:p>
    <w:p w14:paraId="08A655B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1693519F">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491C681">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14F2887A">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48C98A36">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16D07C62">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21130E95">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48" w:name="_Toc15476"/>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448"/>
    </w:p>
    <w:p w14:paraId="231C4AA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53E6CF1D">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6444E4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76945F1F">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在本合同项下的保证责任为连带责任保证。</w:t>
      </w:r>
    </w:p>
    <w:p w14:paraId="04AC2AE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1E1B16F7">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2831808">
      <w:pPr>
        <w:autoSpaceDE w:val="0"/>
        <w:autoSpaceDN w:val="0"/>
        <w:adjustRightInd w:val="0"/>
        <w:spacing w:line="360" w:lineRule="auto"/>
        <w:ind w:firstLine="437"/>
        <w:jc w:val="left"/>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rPr>
        <w:t>应自合同签订之日起至合同期限届满并完成合同及补充协议项下全部服务义务，受益人向申请人支付全部款项后二十八（28）日内保持有效</w:t>
      </w:r>
      <w:r>
        <w:rPr>
          <w:rFonts w:hint="eastAsia" w:ascii="宋体" w:hAnsi="宋体" w:eastAsia="宋体" w:cs="宋体"/>
          <w:color w:val="auto"/>
          <w:kern w:val="0"/>
          <w:szCs w:val="21"/>
          <w:lang w:eastAsia="zh-CN"/>
        </w:rPr>
        <w:t>。</w:t>
      </w:r>
    </w:p>
    <w:p w14:paraId="66EC64C0">
      <w:pPr>
        <w:autoSpaceDE w:val="0"/>
        <w:autoSpaceDN w:val="0"/>
        <w:adjustRightInd w:val="0"/>
        <w:spacing w:line="360" w:lineRule="auto"/>
        <w:jc w:val="left"/>
        <w:rPr>
          <w:rFonts w:ascii="宋体" w:hAnsi="宋体" w:eastAsia="宋体" w:cs="Times New Roman"/>
          <w:color w:val="auto"/>
          <w:kern w:val="0"/>
          <w:szCs w:val="21"/>
          <w:highlight w:val="none"/>
        </w:rPr>
      </w:pPr>
    </w:p>
    <w:p w14:paraId="6FABF73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3AEA5C6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2320C82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4E1DA2D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2910933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5A0433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3105EA75">
      <w:pPr>
        <w:autoSpaceDE w:val="0"/>
        <w:autoSpaceDN w:val="0"/>
        <w:adjustRightInd w:val="0"/>
        <w:spacing w:line="360" w:lineRule="auto"/>
        <w:jc w:val="left"/>
        <w:rPr>
          <w:rFonts w:ascii="宋体" w:hAnsi="宋体" w:eastAsia="宋体" w:cs="Times New Roman"/>
          <w:color w:val="auto"/>
          <w:kern w:val="0"/>
          <w:szCs w:val="21"/>
          <w:highlight w:val="none"/>
        </w:rPr>
      </w:pPr>
    </w:p>
    <w:p w14:paraId="1909191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D2FC30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9D340D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C32807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252113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89C3FD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5F5CE2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083BE8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E7C6781">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highlight w:val="none"/>
        </w:rPr>
      </w:pPr>
      <w:bookmarkStart w:id="449" w:name="_Toc32761_WPSOffice_Level1"/>
      <w:bookmarkStart w:id="450" w:name="_Toc142508361"/>
      <w:bookmarkStart w:id="451" w:name="_Toc9840"/>
      <w:bookmarkStart w:id="452" w:name="_Toc486167708"/>
      <w:bookmarkStart w:id="453" w:name="_Toc450662895"/>
      <w:bookmarkStart w:id="454" w:name="_Toc15817"/>
      <w:bookmarkStart w:id="455" w:name="_Toc1630"/>
      <w:r>
        <w:rPr>
          <w:rFonts w:hint="eastAsia" w:ascii="宋体" w:hAnsi="宋体" w:eastAsia="宋体" w:cs="宋体"/>
          <w:b/>
          <w:bCs/>
          <w:color w:val="auto"/>
          <w:kern w:val="44"/>
          <w:sz w:val="32"/>
          <w:szCs w:val="32"/>
          <w:highlight w:val="none"/>
          <w:lang w:val="zh-CN"/>
        </w:rPr>
        <w:t>第六篇 投标文件格式</w:t>
      </w:r>
      <w:bookmarkEnd w:id="449"/>
      <w:bookmarkEnd w:id="450"/>
      <w:bookmarkEnd w:id="451"/>
      <w:bookmarkEnd w:id="452"/>
      <w:bookmarkEnd w:id="453"/>
      <w:bookmarkEnd w:id="454"/>
      <w:bookmarkEnd w:id="455"/>
    </w:p>
    <w:p w14:paraId="55989FD7">
      <w:pPr>
        <w:rPr>
          <w:rFonts w:hint="eastAsia" w:ascii="宋体" w:hAnsi="宋体" w:eastAsia="宋体" w:cs="宋体"/>
          <w:color w:val="auto"/>
          <w:sz w:val="84"/>
          <w:highlight w:val="none"/>
        </w:rPr>
      </w:pPr>
      <w:bookmarkStart w:id="456" w:name="_Toc486167709"/>
      <w:bookmarkStart w:id="457" w:name="_Toc533708121"/>
      <w:bookmarkStart w:id="458" w:name="_Toc142508362"/>
      <w:bookmarkStart w:id="459" w:name="_Toc102860067"/>
      <w:bookmarkStart w:id="460" w:name="_Toc1977721"/>
      <w:bookmarkStart w:id="461" w:name="_Toc140596921"/>
      <w:bookmarkStart w:id="462" w:name="_Toc94107202"/>
      <w:bookmarkStart w:id="463" w:name="_Toc102860411"/>
      <w:bookmarkStart w:id="464" w:name="_Toc21133_WPSOffice_Level2"/>
      <w:bookmarkStart w:id="465" w:name="_Toc104991868"/>
      <w:r>
        <w:rPr>
          <w:rFonts w:hint="eastAsia" w:ascii="宋体" w:hAnsi="宋体" w:eastAsia="宋体" w:cs="宋体"/>
          <w:b/>
          <w:color w:val="auto"/>
          <w:kern w:val="0"/>
          <w:sz w:val="32"/>
          <w:szCs w:val="32"/>
          <w:highlight w:val="none"/>
        </w:rPr>
        <w:br w:type="page"/>
      </w:r>
    </w:p>
    <w:p w14:paraId="4CC1380E">
      <w:pPr>
        <w:pStyle w:val="19"/>
        <w:spacing w:line="360" w:lineRule="auto"/>
        <w:jc w:val="center"/>
        <w:rPr>
          <w:rFonts w:hint="eastAsia" w:ascii="宋体" w:hAnsi="宋体" w:eastAsia="宋体" w:cs="宋体"/>
          <w:color w:val="auto"/>
          <w:sz w:val="84"/>
          <w:highlight w:val="none"/>
        </w:rPr>
      </w:pPr>
    </w:p>
    <w:p w14:paraId="1B11EB89">
      <w:pPr>
        <w:pStyle w:val="19"/>
        <w:spacing w:line="360" w:lineRule="auto"/>
        <w:jc w:val="center"/>
        <w:rPr>
          <w:rFonts w:hint="eastAsia" w:ascii="宋体" w:hAnsi="宋体" w:eastAsia="宋体" w:cs="宋体"/>
          <w:color w:val="auto"/>
          <w:sz w:val="84"/>
          <w:highlight w:val="none"/>
        </w:rPr>
      </w:pPr>
    </w:p>
    <w:p w14:paraId="256793C9">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1584BCB">
      <w:pPr>
        <w:pStyle w:val="19"/>
        <w:spacing w:line="360" w:lineRule="auto"/>
        <w:rPr>
          <w:rFonts w:hint="eastAsia" w:ascii="宋体" w:hAnsi="宋体" w:eastAsia="宋体" w:cs="宋体"/>
          <w:color w:val="auto"/>
          <w:highlight w:val="none"/>
        </w:rPr>
      </w:pPr>
    </w:p>
    <w:p w14:paraId="688A4C94">
      <w:pPr>
        <w:pStyle w:val="19"/>
        <w:spacing w:line="360" w:lineRule="auto"/>
        <w:rPr>
          <w:rFonts w:hint="eastAsia" w:ascii="宋体" w:hAnsi="宋体" w:eastAsia="宋体" w:cs="宋体"/>
          <w:color w:val="auto"/>
          <w:highlight w:val="none"/>
        </w:rPr>
      </w:pPr>
    </w:p>
    <w:p w14:paraId="7A474F5C">
      <w:pPr>
        <w:pStyle w:val="19"/>
        <w:spacing w:line="360" w:lineRule="auto"/>
        <w:rPr>
          <w:rFonts w:hint="eastAsia" w:ascii="宋体" w:hAnsi="宋体" w:eastAsia="宋体" w:cs="宋体"/>
          <w:color w:val="auto"/>
          <w:highlight w:val="none"/>
        </w:rPr>
      </w:pPr>
    </w:p>
    <w:p w14:paraId="534FBE72">
      <w:pPr>
        <w:pStyle w:val="19"/>
        <w:spacing w:line="360" w:lineRule="auto"/>
        <w:rPr>
          <w:rFonts w:hint="eastAsia" w:ascii="宋体" w:hAnsi="宋体" w:eastAsia="宋体" w:cs="宋体"/>
          <w:color w:val="auto"/>
          <w:highlight w:val="none"/>
        </w:rPr>
      </w:pPr>
    </w:p>
    <w:p w14:paraId="0DAE35B6">
      <w:pPr>
        <w:pStyle w:val="19"/>
        <w:spacing w:line="360" w:lineRule="auto"/>
        <w:rPr>
          <w:rFonts w:hint="eastAsia" w:ascii="宋体" w:hAnsi="宋体" w:eastAsia="宋体" w:cs="宋体"/>
          <w:color w:val="auto"/>
          <w:highlight w:val="none"/>
        </w:rPr>
      </w:pPr>
    </w:p>
    <w:p w14:paraId="551A2218">
      <w:pPr>
        <w:pStyle w:val="19"/>
        <w:spacing w:line="360" w:lineRule="auto"/>
        <w:rPr>
          <w:rFonts w:hint="eastAsia" w:ascii="宋体" w:hAnsi="宋体" w:eastAsia="宋体" w:cs="宋体"/>
          <w:color w:val="auto"/>
          <w:highlight w:val="none"/>
        </w:rPr>
      </w:pPr>
    </w:p>
    <w:p w14:paraId="34ED7715">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D15F2F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1C2C5DB">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733A855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536C612">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C8D0ED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03C3DCF1">
      <w:pPr>
        <w:pStyle w:val="19"/>
        <w:spacing w:line="360" w:lineRule="auto"/>
        <w:rPr>
          <w:rFonts w:hint="eastAsia" w:ascii="宋体" w:hAnsi="宋体" w:eastAsia="宋体" w:cs="宋体"/>
          <w:color w:val="auto"/>
          <w:highlight w:val="none"/>
        </w:rPr>
      </w:pPr>
    </w:p>
    <w:p w14:paraId="5431B4A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395209">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highlight w:val="none"/>
        </w:rPr>
      </w:pPr>
    </w:p>
    <w:p w14:paraId="3F054C0F">
      <w:pPr>
        <w:pBdr>
          <w:top w:val="none" w:color="auto" w:sz="0" w:space="0"/>
          <w:left w:val="none" w:color="auto" w:sz="0" w:space="0"/>
          <w:bottom w:val="none" w:color="auto" w:sz="0" w:space="0"/>
          <w:right w:val="none" w:color="auto" w:sz="0" w:space="0"/>
          <w:between w:val="none" w:color="auto" w:sz="0" w:space="0"/>
        </w:pBdr>
        <w:spacing w:line="480" w:lineRule="auto"/>
        <w:ind w:firstLine="630" w:firstLineChars="224"/>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193C67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FE6463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E2728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3F21FA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501D4C9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1E52C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4E2BC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394B72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0" w:type="pct"/>
            <w:vAlign w:val="center"/>
          </w:tcPr>
          <w:p w14:paraId="7AD2833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2E67A32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B4241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D7B1BF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5706E498">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0" w:type="pct"/>
            <w:vAlign w:val="center"/>
          </w:tcPr>
          <w:p w14:paraId="25B9448B">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7FC50499">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72E03F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AB071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772CF05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vAlign w:val="center"/>
          </w:tcPr>
          <w:p w14:paraId="3CBFFCE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042D7A7">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2DE67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6A1A0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2AFB47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0DDC3CA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43113A6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09A832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3A006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434D34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7489017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1F6089F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1AA33B9">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466" w:name="_Toc23782"/>
      <w:bookmarkStart w:id="467" w:name="_Toc27170"/>
      <w:bookmarkStart w:id="468" w:name="_Toc27679"/>
      <w:bookmarkStart w:id="469" w:name="_Toc13281"/>
      <w:r>
        <w:rPr>
          <w:rFonts w:hint="eastAsia" w:ascii="宋体" w:hAnsi="宋体" w:eastAsia="宋体" w:cs="宋体"/>
          <w:b/>
          <w:color w:val="auto"/>
          <w:kern w:val="0"/>
          <w:sz w:val="32"/>
          <w:szCs w:val="32"/>
          <w:highlight w:val="none"/>
        </w:rPr>
        <w:t>一、投标函格式</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BE363E9">
      <w:pPr>
        <w:autoSpaceDE w:val="0"/>
        <w:autoSpaceDN w:val="0"/>
        <w:adjustRightInd w:val="0"/>
        <w:spacing w:line="360" w:lineRule="auto"/>
        <w:jc w:val="center"/>
        <w:rPr>
          <w:rFonts w:ascii="宋体" w:hAnsi="宋体" w:eastAsia="宋体" w:cs="宋体"/>
          <w:b/>
          <w:bCs/>
          <w:color w:val="auto"/>
          <w:sz w:val="30"/>
          <w:szCs w:val="30"/>
          <w:highlight w:val="none"/>
        </w:rPr>
      </w:pPr>
      <w:bookmarkStart w:id="470" w:name="_Toc16695_WPSOffice_Level3"/>
      <w:r>
        <w:rPr>
          <w:rFonts w:hint="eastAsia" w:ascii="宋体" w:hAnsi="宋体" w:eastAsia="宋体" w:cs="宋体"/>
          <w:b/>
          <w:bCs/>
          <w:color w:val="auto"/>
          <w:sz w:val="30"/>
          <w:szCs w:val="30"/>
          <w:highlight w:val="none"/>
          <w:lang w:val="zh-CN"/>
        </w:rPr>
        <w:t>投 标 函</w:t>
      </w:r>
      <w:bookmarkEnd w:id="470"/>
    </w:p>
    <w:p w14:paraId="27E7319E">
      <w:pPr>
        <w:autoSpaceDE w:val="0"/>
        <w:autoSpaceDN w:val="0"/>
        <w:adjustRightInd w:val="0"/>
        <w:spacing w:line="360" w:lineRule="auto"/>
        <w:rPr>
          <w:rFonts w:ascii="宋体" w:hAnsi="宋体" w:eastAsia="宋体" w:cs="宋体"/>
          <w:color w:val="auto"/>
          <w:szCs w:val="21"/>
          <w:highlight w:val="none"/>
          <w:lang w:val="zh-CN"/>
        </w:rPr>
      </w:pPr>
    </w:p>
    <w:p w14:paraId="7F841B89">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东莞市水务集团有限公司</w:t>
      </w:r>
    </w:p>
    <w:p w14:paraId="7695ABE0">
      <w:pPr>
        <w:autoSpaceDE w:val="0"/>
        <w:autoSpaceDN w:val="0"/>
        <w:adjustRightInd w:val="0"/>
        <w:spacing w:line="360" w:lineRule="auto"/>
        <w:rPr>
          <w:rFonts w:ascii="宋体" w:hAnsi="宋体" w:eastAsia="宋体" w:cs="宋体"/>
          <w:color w:val="auto"/>
          <w:szCs w:val="21"/>
          <w:highlight w:val="none"/>
        </w:rPr>
      </w:pPr>
    </w:p>
    <w:p w14:paraId="4C89FF18">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东莞市涉水收费统一征收平台2025年度运维服务项目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YDZB24DGQY0208</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2126FCD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50E7457D">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4CF3A2C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4231F1D5">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27877B5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YDZB24DGQY0208</w:t>
      </w:r>
      <w:r>
        <w:rPr>
          <w:rFonts w:hint="eastAsia" w:ascii="宋体" w:hAnsi="宋体" w:eastAsia="宋体" w:cs="宋体"/>
          <w:color w:val="auto"/>
          <w:szCs w:val="21"/>
          <w:highlight w:val="none"/>
          <w:lang w:val="zh-CN"/>
        </w:rPr>
        <w:t>的投标；</w:t>
      </w:r>
    </w:p>
    <w:p w14:paraId="4F03FF4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FB3550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6E94694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5A67382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E64408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2E96FC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14831A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143B7C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CD6437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799AC1F9">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471" w:name="_Toc7937"/>
      <w:r>
        <w:rPr>
          <w:rFonts w:hint="eastAsia" w:ascii="宋体" w:hAnsi="宋体" w:eastAsia="宋体" w:cs="宋体"/>
          <w:color w:val="auto"/>
          <w:szCs w:val="21"/>
          <w:highlight w:val="none"/>
          <w:lang w:val="zh-CN"/>
        </w:rPr>
        <w:t>（十一）所有与本投标有关的函件请发往下列地址：</w:t>
      </w:r>
      <w:bookmarkEnd w:id="471"/>
    </w:p>
    <w:p w14:paraId="7E0B4489">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5D9EFEBE">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4B51B54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946B48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BA7BD39">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682B9038">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130E954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848CDC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FE93AD6">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107647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72" w:name="_Toc1977722"/>
      <w:bookmarkStart w:id="473" w:name="_Toc3104"/>
      <w:bookmarkStart w:id="474" w:name="_Toc533708122"/>
      <w:bookmarkStart w:id="475" w:name="_Toc94107203"/>
      <w:bookmarkStart w:id="476" w:name="_Toc102860068"/>
      <w:bookmarkStart w:id="477" w:name="_Toc486167710"/>
      <w:bookmarkStart w:id="478" w:name="_Toc28613_WPSOffice_Level2"/>
      <w:bookmarkStart w:id="479" w:name="_Toc142508363"/>
      <w:bookmarkStart w:id="480" w:name="_Toc30995"/>
      <w:bookmarkStart w:id="481" w:name="_Toc12417"/>
      <w:bookmarkStart w:id="482" w:name="_Toc140596922"/>
      <w:bookmarkStart w:id="483" w:name="_Toc102860412"/>
      <w:bookmarkStart w:id="484" w:name="_Toc12753"/>
      <w:bookmarkStart w:id="485" w:name="_Toc104991869"/>
      <w:r>
        <w:rPr>
          <w:rFonts w:hint="eastAsia" w:ascii="宋体" w:hAnsi="宋体" w:eastAsia="宋体" w:cs="宋体"/>
          <w:b/>
          <w:color w:val="auto"/>
          <w:kern w:val="0"/>
          <w:sz w:val="32"/>
          <w:szCs w:val="32"/>
          <w:highlight w:val="none"/>
        </w:rPr>
        <w:t>二、投标承诺书格式</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4BB354A">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486" w:name="_Toc12107"/>
      <w:r>
        <w:rPr>
          <w:rFonts w:hint="eastAsia" w:ascii="宋体" w:hAnsi="宋体" w:eastAsia="宋体" w:cs="Times New Roman"/>
          <w:b/>
          <w:bCs/>
          <w:color w:val="auto"/>
          <w:sz w:val="30"/>
          <w:szCs w:val="30"/>
          <w:highlight w:val="none"/>
          <w:lang w:val="zh-CN"/>
        </w:rPr>
        <w:t>投标承诺书</w:t>
      </w:r>
      <w:bookmarkEnd w:id="486"/>
    </w:p>
    <w:p w14:paraId="6D1FFF1F">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5E39B2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东莞市涉水收费统一征收平台2025年度运维服务项目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YDZB24DGQY0208</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78D5D3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26299EC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FDA273B">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101A7CF3">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6A857E2">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251FB494">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388741EA">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595BDA72">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25B6EFF0">
      <w:pPr>
        <w:autoSpaceDE w:val="0"/>
        <w:autoSpaceDN w:val="0"/>
        <w:adjustRightInd w:val="0"/>
        <w:spacing w:line="360" w:lineRule="auto"/>
        <w:jc w:val="left"/>
        <w:rPr>
          <w:rFonts w:ascii="宋体" w:hAnsi="宋体" w:eastAsia="宋体" w:cs="宋体"/>
          <w:color w:val="auto"/>
          <w:kern w:val="0"/>
          <w:sz w:val="24"/>
          <w:szCs w:val="24"/>
          <w:highlight w:val="none"/>
        </w:rPr>
      </w:pPr>
    </w:p>
    <w:p w14:paraId="6E025A1C">
      <w:pPr>
        <w:autoSpaceDE w:val="0"/>
        <w:autoSpaceDN w:val="0"/>
        <w:adjustRightInd w:val="0"/>
        <w:spacing w:line="360" w:lineRule="auto"/>
        <w:jc w:val="left"/>
        <w:rPr>
          <w:rFonts w:ascii="宋体" w:hAnsi="宋体" w:eastAsia="宋体" w:cs="宋体"/>
          <w:color w:val="auto"/>
          <w:kern w:val="0"/>
          <w:sz w:val="24"/>
          <w:szCs w:val="24"/>
          <w:highlight w:val="none"/>
        </w:rPr>
      </w:pPr>
      <w:bookmarkStart w:id="487" w:name="_Toc316896755"/>
      <w:bookmarkStart w:id="488" w:name="_Toc311032584"/>
      <w:bookmarkStart w:id="489" w:name="_Toc326768876"/>
    </w:p>
    <w:p w14:paraId="11F775C2">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490" w:name="_Toc30352"/>
      <w:bookmarkStart w:id="491" w:name="_Toc142508364"/>
      <w:bookmarkStart w:id="492" w:name="_Toc29910"/>
      <w:bookmarkStart w:id="493" w:name="_Toc102860069"/>
      <w:bookmarkStart w:id="494" w:name="_Toc5075"/>
      <w:bookmarkStart w:id="495" w:name="_Toc86764083"/>
      <w:bookmarkStart w:id="496" w:name="_Toc94107204"/>
      <w:bookmarkStart w:id="497" w:name="_Toc24336"/>
      <w:bookmarkStart w:id="498" w:name="_Toc102860413"/>
      <w:bookmarkStart w:id="499" w:name="_Toc82182546"/>
      <w:bookmarkStart w:id="500" w:name="_Toc104991870"/>
      <w:bookmarkStart w:id="501" w:name="_Toc140596923"/>
      <w:bookmarkStart w:id="502" w:name="_Toc533708123"/>
      <w:bookmarkStart w:id="503" w:name="_Toc1977723"/>
      <w:bookmarkStart w:id="504" w:name="_Toc486167711"/>
      <w:bookmarkStart w:id="505" w:name="_Toc7024_WPSOffice_Level2"/>
      <w:r>
        <w:rPr>
          <w:rFonts w:hint="eastAsia" w:ascii="宋体" w:hAnsi="宋体" w:eastAsia="宋体" w:cs="宋体"/>
          <w:b/>
          <w:color w:val="auto"/>
          <w:kern w:val="44"/>
          <w:sz w:val="32"/>
          <w:szCs w:val="32"/>
          <w:highlight w:val="none"/>
        </w:rPr>
        <w:t>三、供货及/或提供服务过程承诺函格式</w:t>
      </w:r>
      <w:bookmarkEnd w:id="490"/>
      <w:bookmarkEnd w:id="491"/>
      <w:bookmarkEnd w:id="492"/>
      <w:bookmarkEnd w:id="493"/>
      <w:bookmarkEnd w:id="494"/>
      <w:bookmarkEnd w:id="495"/>
      <w:bookmarkEnd w:id="496"/>
      <w:bookmarkEnd w:id="497"/>
      <w:bookmarkEnd w:id="498"/>
      <w:bookmarkEnd w:id="499"/>
      <w:bookmarkEnd w:id="500"/>
      <w:bookmarkEnd w:id="501"/>
    </w:p>
    <w:p w14:paraId="72A8191E">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F8D47B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东莞市水务集团有限公司</w:t>
      </w:r>
      <w:r>
        <w:rPr>
          <w:rFonts w:hint="eastAsia" w:ascii="宋体" w:hAnsi="宋体" w:eastAsia="宋体" w:cs="宋体"/>
          <w:color w:val="auto"/>
          <w:kern w:val="0"/>
          <w:szCs w:val="21"/>
          <w:highlight w:val="none"/>
        </w:rPr>
        <w:t>：</w:t>
      </w:r>
    </w:p>
    <w:p w14:paraId="0783AFC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东莞市涉水收费统一征收平台2025年度运维服务项目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YDZB24DGQY0208</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5993B6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ECC5C8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645203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0EA238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7E0A7EE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ED3073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5C3C2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F1C16C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764CC62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DD7976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2B6A448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47B5A8A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4A0B18F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7B153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1A315E7">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506" w:name="_Toc32088"/>
      <w:r>
        <w:rPr>
          <w:rFonts w:hint="eastAsia" w:ascii="宋体" w:hAnsi="宋体" w:eastAsia="宋体" w:cs="宋体"/>
          <w:color w:val="auto"/>
          <w:kern w:val="0"/>
          <w:szCs w:val="21"/>
          <w:highlight w:val="none"/>
        </w:rPr>
        <w:t>③我方承诺不在厂内道路、消防通道内搭建临时建筑或堆放物资。</w:t>
      </w:r>
      <w:bookmarkEnd w:id="506"/>
    </w:p>
    <w:p w14:paraId="62E9CC5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0DBB378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A17E281">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507" w:name="_Toc16428"/>
      <w:r>
        <w:rPr>
          <w:rFonts w:hint="eastAsia" w:ascii="宋体" w:hAnsi="宋体" w:eastAsia="宋体" w:cs="宋体"/>
          <w:color w:val="auto"/>
          <w:kern w:val="0"/>
          <w:szCs w:val="21"/>
          <w:highlight w:val="none"/>
        </w:rPr>
        <w:t>⑥我方承诺防雷、防静电设施及用电设施有良好接地。</w:t>
      </w:r>
      <w:bookmarkEnd w:id="507"/>
    </w:p>
    <w:p w14:paraId="652A26E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5CE780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541827C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6E3F0D8A">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9C923BB">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24C89F71">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19AA27D">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2EB8412D">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508" w:name="_Toc102860071"/>
      <w:bookmarkStart w:id="509" w:name="_Toc1140"/>
      <w:bookmarkStart w:id="510" w:name="_Toc18346"/>
      <w:bookmarkStart w:id="511" w:name="_Toc94107206"/>
      <w:bookmarkStart w:id="512" w:name="_Toc140596925"/>
      <w:bookmarkStart w:id="513" w:name="_Toc142508366"/>
      <w:bookmarkStart w:id="514" w:name="_Toc102860415"/>
      <w:bookmarkStart w:id="515" w:name="_Toc13416"/>
      <w:bookmarkStart w:id="516" w:name="_Toc27480"/>
      <w:bookmarkStart w:id="517" w:name="_Toc104991872"/>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02"/>
      <w:bookmarkEnd w:id="503"/>
      <w:bookmarkEnd w:id="504"/>
      <w:bookmarkEnd w:id="505"/>
      <w:bookmarkEnd w:id="508"/>
      <w:bookmarkEnd w:id="509"/>
      <w:bookmarkEnd w:id="510"/>
      <w:bookmarkEnd w:id="511"/>
      <w:bookmarkEnd w:id="512"/>
      <w:bookmarkEnd w:id="513"/>
      <w:bookmarkEnd w:id="514"/>
      <w:bookmarkEnd w:id="515"/>
      <w:bookmarkEnd w:id="516"/>
      <w:bookmarkEnd w:id="517"/>
    </w:p>
    <w:p w14:paraId="7FD88F2E">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518" w:name="_Toc140596926"/>
      <w:bookmarkStart w:id="519" w:name="_Toc2395_WPSOffice_Level3"/>
      <w:bookmarkStart w:id="520" w:name="_Toc15425"/>
      <w:bookmarkStart w:id="521" w:name="_Toc102860072"/>
      <w:bookmarkStart w:id="522" w:name="_Toc94107207"/>
      <w:bookmarkStart w:id="523" w:name="_Toc104991873"/>
      <w:bookmarkStart w:id="524" w:name="_Toc1294"/>
      <w:bookmarkStart w:id="525" w:name="_Toc25413"/>
      <w:bookmarkStart w:id="526" w:name="_Toc24175"/>
      <w:bookmarkStart w:id="527" w:name="_Toc142508367"/>
      <w:bookmarkStart w:id="528" w:name="_Toc102860416"/>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18"/>
      <w:bookmarkEnd w:id="519"/>
      <w:bookmarkEnd w:id="520"/>
      <w:bookmarkEnd w:id="521"/>
      <w:bookmarkEnd w:id="522"/>
      <w:bookmarkEnd w:id="523"/>
      <w:bookmarkEnd w:id="524"/>
      <w:bookmarkEnd w:id="525"/>
      <w:bookmarkEnd w:id="526"/>
      <w:bookmarkEnd w:id="527"/>
      <w:bookmarkEnd w:id="528"/>
    </w:p>
    <w:p w14:paraId="7A79C719">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2D3C8170">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东莞市涉水收费统一征收平台2025年度运维服务项目</w:t>
      </w:r>
    </w:p>
    <w:p w14:paraId="5DDC02A0">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YDZB24DGQY0208</w:t>
      </w:r>
    </w:p>
    <w:tbl>
      <w:tblPr>
        <w:tblStyle w:val="3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061DE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318F97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06F3AB4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499A2BC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10A2F8A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06C4C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7A3A502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287EF3F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东莞市涉水收费统一征收平台2025年度运维服务项目</w:t>
            </w:r>
          </w:p>
        </w:tc>
        <w:tc>
          <w:tcPr>
            <w:tcW w:w="1578" w:type="pct"/>
            <w:tcBorders>
              <w:top w:val="single" w:color="auto" w:sz="4" w:space="0"/>
              <w:left w:val="single" w:color="auto" w:sz="4" w:space="0"/>
              <w:right w:val="single" w:color="auto" w:sz="4" w:space="0"/>
            </w:tcBorders>
            <w:vAlign w:val="center"/>
          </w:tcPr>
          <w:p w14:paraId="2A2699DC">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tc>
        <w:tc>
          <w:tcPr>
            <w:tcW w:w="642" w:type="pct"/>
            <w:tcBorders>
              <w:top w:val="single" w:color="auto" w:sz="4" w:space="0"/>
              <w:left w:val="single" w:color="auto" w:sz="4" w:space="0"/>
              <w:right w:val="single" w:color="auto" w:sz="4" w:space="0"/>
            </w:tcBorders>
            <w:vAlign w:val="center"/>
          </w:tcPr>
          <w:p w14:paraId="788C7D6A">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1A9BF170">
      <w:pPr>
        <w:rPr>
          <w:rFonts w:ascii="宋体" w:hAnsi="宋体" w:eastAsia="宋体" w:cs="宋体"/>
          <w:color w:val="auto"/>
          <w:kern w:val="0"/>
          <w:sz w:val="20"/>
          <w:szCs w:val="21"/>
          <w:highlight w:val="none"/>
        </w:rPr>
      </w:pPr>
    </w:p>
    <w:p w14:paraId="279725D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A35C784">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1FB0065A">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投标</w:t>
      </w:r>
      <w:r>
        <w:rPr>
          <w:rFonts w:hint="eastAsia" w:ascii="宋体" w:hAnsi="宋体" w:eastAsia="宋体" w:cs="Times New Roman"/>
          <w:b/>
          <w:bCs/>
          <w:color w:val="auto"/>
          <w:kern w:val="0"/>
          <w:szCs w:val="24"/>
          <w:highlight w:val="none"/>
          <w:u w:val="none"/>
        </w:rPr>
        <w:t>限价</w:t>
      </w:r>
      <w:r>
        <w:rPr>
          <w:rFonts w:hint="eastAsia" w:ascii="宋体" w:hAnsi="宋体" w:eastAsia="宋体" w:cs="Times New Roman"/>
          <w:b/>
          <w:bCs/>
          <w:color w:val="auto"/>
          <w:kern w:val="0"/>
          <w:szCs w:val="21"/>
          <w:highlight w:val="none"/>
        </w:rPr>
        <w:t>的，该投标人的投标文件将被视为无效投标。</w:t>
      </w:r>
    </w:p>
    <w:p w14:paraId="29A1CEDC">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）本投标报价表报价与分项报价明细表报价不一致的，以本投标报价表为准。对不同文字文本投标文件的解释发生异议的，以中文文本为准。</w:t>
      </w:r>
    </w:p>
    <w:p w14:paraId="28D4EDAB">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5C77B82C">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2708DA1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5284E08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8F9DBAB">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8B97D98">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auto"/>
          <w:sz w:val="30"/>
          <w:szCs w:val="30"/>
          <w:highlight w:val="none"/>
          <w:lang w:val="zh-CN"/>
        </w:rPr>
      </w:pPr>
      <w:r>
        <w:rPr>
          <w:rFonts w:ascii="宋体" w:hAnsi="宋体" w:eastAsia="宋体" w:cs="Times New Roman"/>
          <w:color w:val="auto"/>
          <w:szCs w:val="24"/>
          <w:highlight w:val="none"/>
          <w:lang w:val="zh-CN"/>
        </w:rPr>
        <w:br w:type="page"/>
      </w:r>
      <w:bookmarkStart w:id="529" w:name="_Toc20955"/>
      <w:bookmarkStart w:id="530" w:name="_Toc140596927"/>
      <w:bookmarkStart w:id="531" w:name="_Toc102860073"/>
      <w:bookmarkStart w:id="532" w:name="_Toc94107208"/>
      <w:bookmarkStart w:id="533" w:name="_Toc21142"/>
      <w:bookmarkStart w:id="534" w:name="_Toc142508368"/>
      <w:bookmarkStart w:id="535" w:name="_Toc104991874"/>
      <w:bookmarkStart w:id="536" w:name="_Toc102860417"/>
      <w:bookmarkStart w:id="537" w:name="_Toc5265"/>
      <w:bookmarkStart w:id="538" w:name="_Toc15059"/>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rPr>
        <w:t>分项</w:t>
      </w:r>
      <w:r>
        <w:rPr>
          <w:rFonts w:ascii="宋体" w:hAnsi="宋体" w:eastAsia="宋体" w:cs="宋体"/>
          <w:b/>
          <w:color w:val="auto"/>
          <w:kern w:val="0"/>
          <w:sz w:val="30"/>
          <w:szCs w:val="30"/>
          <w:highlight w:val="none"/>
        </w:rPr>
        <w:t>报价表</w:t>
      </w:r>
      <w:bookmarkEnd w:id="529"/>
      <w:bookmarkEnd w:id="530"/>
      <w:bookmarkEnd w:id="531"/>
      <w:bookmarkEnd w:id="532"/>
      <w:bookmarkEnd w:id="533"/>
      <w:bookmarkEnd w:id="534"/>
      <w:bookmarkEnd w:id="535"/>
      <w:bookmarkEnd w:id="536"/>
      <w:bookmarkEnd w:id="537"/>
      <w:bookmarkEnd w:id="538"/>
    </w:p>
    <w:p w14:paraId="10BA6F03">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375ED9D7">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东莞市涉水收费统一征收平台2025年度运维服务项目</w:t>
      </w:r>
    </w:p>
    <w:p w14:paraId="20B2110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YDZB24DGQY0208</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117"/>
        <w:gridCol w:w="910"/>
        <w:gridCol w:w="1126"/>
        <w:gridCol w:w="2345"/>
        <w:gridCol w:w="1901"/>
        <w:gridCol w:w="974"/>
      </w:tblGrid>
      <w:tr w14:paraId="0260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8" w:type="pct"/>
            <w:tcBorders>
              <w:top w:val="single" w:color="auto" w:sz="4" w:space="0"/>
              <w:left w:val="single" w:color="auto" w:sz="4" w:space="0"/>
              <w:bottom w:val="single" w:color="auto" w:sz="4" w:space="0"/>
              <w:right w:val="single" w:color="auto" w:sz="4" w:space="0"/>
            </w:tcBorders>
            <w:vAlign w:val="center"/>
          </w:tcPr>
          <w:p w14:paraId="3F32887D">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021" w:type="pct"/>
            <w:tcBorders>
              <w:top w:val="single" w:color="auto" w:sz="4" w:space="0"/>
              <w:left w:val="single" w:color="auto" w:sz="4" w:space="0"/>
              <w:bottom w:val="single" w:color="auto" w:sz="4" w:space="0"/>
              <w:right w:val="single" w:color="auto" w:sz="4" w:space="0"/>
            </w:tcBorders>
            <w:vAlign w:val="center"/>
          </w:tcPr>
          <w:p w14:paraId="73394AD5">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服务内容</w:t>
            </w:r>
          </w:p>
        </w:tc>
        <w:tc>
          <w:tcPr>
            <w:tcW w:w="439" w:type="pct"/>
            <w:tcBorders>
              <w:top w:val="single" w:color="auto" w:sz="4" w:space="0"/>
              <w:left w:val="single" w:color="auto" w:sz="4" w:space="0"/>
              <w:bottom w:val="single" w:color="auto" w:sz="4" w:space="0"/>
              <w:right w:val="single" w:color="auto" w:sz="4" w:space="0"/>
            </w:tcBorders>
            <w:vAlign w:val="center"/>
          </w:tcPr>
          <w:p w14:paraId="45F2E497">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543" w:type="pct"/>
            <w:tcBorders>
              <w:top w:val="single" w:color="auto" w:sz="4" w:space="0"/>
              <w:left w:val="single" w:color="auto" w:sz="4" w:space="0"/>
              <w:bottom w:val="single" w:color="auto" w:sz="4" w:space="0"/>
              <w:right w:val="single" w:color="auto" w:sz="4" w:space="0"/>
            </w:tcBorders>
            <w:vAlign w:val="center"/>
          </w:tcPr>
          <w:p w14:paraId="59C3CC9D">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1131" w:type="pct"/>
            <w:tcBorders>
              <w:top w:val="single" w:color="auto" w:sz="4" w:space="0"/>
              <w:left w:val="single" w:color="auto" w:sz="4" w:space="0"/>
              <w:bottom w:val="single" w:color="auto" w:sz="4" w:space="0"/>
              <w:right w:val="single" w:color="auto" w:sz="4" w:space="0"/>
            </w:tcBorders>
            <w:vAlign w:val="center"/>
          </w:tcPr>
          <w:p w14:paraId="1F757E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不含税综合</w:t>
            </w:r>
            <w:r>
              <w:rPr>
                <w:rFonts w:hint="default" w:ascii="宋体" w:hAnsi="宋体" w:eastAsia="宋体" w:cs="Times New Roman"/>
                <w:b/>
                <w:color w:val="auto"/>
                <w:kern w:val="0"/>
                <w:szCs w:val="21"/>
                <w:highlight w:val="none"/>
              </w:rPr>
              <w:t>单价（元）</w:t>
            </w:r>
          </w:p>
        </w:tc>
        <w:tc>
          <w:tcPr>
            <w:tcW w:w="917" w:type="pct"/>
            <w:tcBorders>
              <w:top w:val="single" w:color="auto" w:sz="4" w:space="0"/>
              <w:left w:val="single" w:color="auto" w:sz="4" w:space="0"/>
              <w:bottom w:val="single" w:color="auto" w:sz="4" w:space="0"/>
              <w:right w:val="single" w:color="auto" w:sz="4" w:space="0"/>
            </w:tcBorders>
            <w:vAlign w:val="center"/>
          </w:tcPr>
          <w:p w14:paraId="6C19457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不含税</w:t>
            </w:r>
            <w:r>
              <w:rPr>
                <w:rFonts w:hint="default" w:ascii="宋体" w:hAnsi="宋体" w:eastAsia="宋体" w:cs="Times New Roman"/>
                <w:b/>
                <w:color w:val="auto"/>
                <w:kern w:val="0"/>
                <w:szCs w:val="21"/>
                <w:highlight w:val="none"/>
              </w:rPr>
              <w:t>小计（元）</w:t>
            </w:r>
          </w:p>
        </w:tc>
        <w:tc>
          <w:tcPr>
            <w:tcW w:w="469" w:type="pct"/>
            <w:tcBorders>
              <w:top w:val="single" w:color="auto" w:sz="4" w:space="0"/>
              <w:left w:val="single" w:color="auto" w:sz="4" w:space="0"/>
              <w:bottom w:val="single" w:color="auto" w:sz="4" w:space="0"/>
              <w:right w:val="single" w:color="auto" w:sz="4" w:space="0"/>
            </w:tcBorders>
            <w:vAlign w:val="center"/>
          </w:tcPr>
          <w:p w14:paraId="5172C66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default" w:ascii="宋体" w:hAnsi="宋体" w:eastAsia="宋体" w:cs="Times New Roman"/>
                <w:b/>
                <w:color w:val="auto"/>
                <w:kern w:val="0"/>
                <w:szCs w:val="21"/>
                <w:highlight w:val="none"/>
              </w:rPr>
              <w:t>备注</w:t>
            </w:r>
          </w:p>
        </w:tc>
      </w:tr>
      <w:tr w14:paraId="5F6D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8" w:type="pct"/>
            <w:tcBorders>
              <w:top w:val="single" w:color="auto" w:sz="4" w:space="0"/>
              <w:left w:val="single" w:color="auto" w:sz="4" w:space="0"/>
              <w:bottom w:val="single" w:color="auto" w:sz="4" w:space="0"/>
              <w:right w:val="single" w:color="auto" w:sz="4" w:space="0"/>
            </w:tcBorders>
            <w:vAlign w:val="center"/>
          </w:tcPr>
          <w:p w14:paraId="268897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1</w:t>
            </w:r>
          </w:p>
        </w:tc>
        <w:tc>
          <w:tcPr>
            <w:tcW w:w="1021" w:type="pct"/>
            <w:tcBorders>
              <w:top w:val="single" w:color="auto" w:sz="4" w:space="0"/>
              <w:left w:val="single" w:color="auto" w:sz="4" w:space="0"/>
              <w:bottom w:val="single" w:color="auto" w:sz="4" w:space="0"/>
              <w:right w:val="single" w:color="auto" w:sz="4" w:space="0"/>
            </w:tcBorders>
          </w:tcPr>
          <w:p w14:paraId="1CE30F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系统维护服务</w:t>
            </w:r>
          </w:p>
        </w:tc>
        <w:tc>
          <w:tcPr>
            <w:tcW w:w="910" w:type="dxa"/>
            <w:tcBorders>
              <w:top w:val="single" w:color="auto" w:sz="4" w:space="0"/>
              <w:left w:val="single" w:color="auto" w:sz="4" w:space="0"/>
              <w:bottom w:val="single" w:color="auto" w:sz="4" w:space="0"/>
              <w:right w:val="single" w:color="auto" w:sz="4" w:space="0"/>
            </w:tcBorders>
            <w:vAlign w:val="center"/>
          </w:tcPr>
          <w:p w14:paraId="23692FE2">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57F7FA59">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套</w:t>
            </w:r>
          </w:p>
        </w:tc>
        <w:tc>
          <w:tcPr>
            <w:tcW w:w="1131" w:type="pct"/>
            <w:tcBorders>
              <w:top w:val="single" w:color="auto" w:sz="4" w:space="0"/>
              <w:left w:val="single" w:color="auto" w:sz="4" w:space="0"/>
              <w:bottom w:val="single" w:color="auto" w:sz="4" w:space="0"/>
              <w:right w:val="single" w:color="auto" w:sz="4" w:space="0"/>
            </w:tcBorders>
            <w:vAlign w:val="center"/>
          </w:tcPr>
          <w:p w14:paraId="3020A0C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65F3341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2E07770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35C5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8" w:type="pct"/>
            <w:tcBorders>
              <w:top w:val="single" w:color="auto" w:sz="4" w:space="0"/>
              <w:left w:val="single" w:color="auto" w:sz="4" w:space="0"/>
              <w:bottom w:val="single" w:color="auto" w:sz="4" w:space="0"/>
              <w:right w:val="single" w:color="auto" w:sz="4" w:space="0"/>
            </w:tcBorders>
            <w:vAlign w:val="center"/>
          </w:tcPr>
          <w:p w14:paraId="5D9A60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2</w:t>
            </w:r>
          </w:p>
        </w:tc>
        <w:tc>
          <w:tcPr>
            <w:tcW w:w="1021" w:type="pct"/>
            <w:tcBorders>
              <w:top w:val="single" w:color="auto" w:sz="4" w:space="0"/>
              <w:left w:val="single" w:color="auto" w:sz="4" w:space="0"/>
              <w:bottom w:val="single" w:color="auto" w:sz="4" w:space="0"/>
              <w:right w:val="single" w:color="auto" w:sz="4" w:space="0"/>
            </w:tcBorders>
          </w:tcPr>
          <w:p w14:paraId="3F8843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bCs w:val="0"/>
                <w:i w:val="0"/>
                <w:iCs w:val="0"/>
                <w:snapToGrid/>
                <w:color w:val="auto"/>
                <w:kern w:val="0"/>
                <w:sz w:val="21"/>
                <w:szCs w:val="21"/>
                <w:lang w:val="en-US" w:eastAsia="zh-CN"/>
              </w:rPr>
              <w:t>应急管理及安全保障支撑服务</w:t>
            </w:r>
          </w:p>
        </w:tc>
        <w:tc>
          <w:tcPr>
            <w:tcW w:w="910" w:type="dxa"/>
            <w:tcBorders>
              <w:top w:val="single" w:color="auto" w:sz="4" w:space="0"/>
              <w:left w:val="single" w:color="auto" w:sz="4" w:space="0"/>
              <w:bottom w:val="single" w:color="auto" w:sz="4" w:space="0"/>
              <w:right w:val="single" w:color="auto" w:sz="4" w:space="0"/>
            </w:tcBorders>
            <w:vAlign w:val="center"/>
          </w:tcPr>
          <w:p w14:paraId="2FBC7B6F">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675CF4DB">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套</w:t>
            </w:r>
          </w:p>
        </w:tc>
        <w:tc>
          <w:tcPr>
            <w:tcW w:w="1131" w:type="pct"/>
            <w:tcBorders>
              <w:top w:val="single" w:color="auto" w:sz="4" w:space="0"/>
              <w:left w:val="single" w:color="auto" w:sz="4" w:space="0"/>
              <w:bottom w:val="single" w:color="auto" w:sz="4" w:space="0"/>
              <w:right w:val="single" w:color="auto" w:sz="4" w:space="0"/>
            </w:tcBorders>
            <w:vAlign w:val="center"/>
          </w:tcPr>
          <w:p w14:paraId="078D7E5B">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05A1225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4B06B7B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1D57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78" w:type="pct"/>
            <w:tcBorders>
              <w:top w:val="single" w:color="auto" w:sz="4" w:space="0"/>
              <w:left w:val="single" w:color="auto" w:sz="4" w:space="0"/>
              <w:bottom w:val="single" w:color="auto" w:sz="4" w:space="0"/>
              <w:right w:val="single" w:color="auto" w:sz="4" w:space="0"/>
            </w:tcBorders>
            <w:vAlign w:val="center"/>
          </w:tcPr>
          <w:p w14:paraId="1584FB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021" w:type="pct"/>
            <w:tcBorders>
              <w:top w:val="single" w:color="auto" w:sz="4" w:space="0"/>
              <w:left w:val="single" w:color="auto" w:sz="4" w:space="0"/>
              <w:bottom w:val="single" w:color="auto" w:sz="4" w:space="0"/>
              <w:right w:val="single" w:color="auto" w:sz="4" w:space="0"/>
            </w:tcBorders>
          </w:tcPr>
          <w:p w14:paraId="05072E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网点上门现场服务</w:t>
            </w:r>
          </w:p>
        </w:tc>
        <w:tc>
          <w:tcPr>
            <w:tcW w:w="910" w:type="dxa"/>
            <w:tcBorders>
              <w:top w:val="single" w:color="auto" w:sz="4" w:space="0"/>
              <w:left w:val="single" w:color="auto" w:sz="4" w:space="0"/>
              <w:bottom w:val="single" w:color="auto" w:sz="4" w:space="0"/>
              <w:right w:val="single" w:color="auto" w:sz="4" w:space="0"/>
            </w:tcBorders>
            <w:vAlign w:val="center"/>
          </w:tcPr>
          <w:p w14:paraId="6FE7ED47">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33A1B3A4">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套</w:t>
            </w:r>
          </w:p>
        </w:tc>
        <w:tc>
          <w:tcPr>
            <w:tcW w:w="1131" w:type="pct"/>
            <w:tcBorders>
              <w:top w:val="single" w:color="auto" w:sz="4" w:space="0"/>
              <w:left w:val="single" w:color="auto" w:sz="4" w:space="0"/>
              <w:bottom w:val="single" w:color="auto" w:sz="4" w:space="0"/>
              <w:right w:val="single" w:color="auto" w:sz="4" w:space="0"/>
            </w:tcBorders>
            <w:vAlign w:val="center"/>
          </w:tcPr>
          <w:p w14:paraId="5B89B59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4E2665CF">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1DBDB8F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7A24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78" w:type="pct"/>
            <w:tcBorders>
              <w:top w:val="single" w:color="auto" w:sz="4" w:space="0"/>
              <w:left w:val="single" w:color="auto" w:sz="4" w:space="0"/>
              <w:bottom w:val="single" w:color="auto" w:sz="4" w:space="0"/>
              <w:right w:val="single" w:color="auto" w:sz="4" w:space="0"/>
            </w:tcBorders>
            <w:vAlign w:val="center"/>
          </w:tcPr>
          <w:p w14:paraId="3714DE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021" w:type="pct"/>
            <w:tcBorders>
              <w:top w:val="single" w:color="auto" w:sz="4" w:space="0"/>
              <w:left w:val="single" w:color="auto" w:sz="4" w:space="0"/>
              <w:bottom w:val="single" w:color="auto" w:sz="4" w:space="0"/>
              <w:right w:val="single" w:color="auto" w:sz="4" w:space="0"/>
            </w:tcBorders>
          </w:tcPr>
          <w:p w14:paraId="20E5A7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现场驻点支撑服务</w:t>
            </w:r>
          </w:p>
        </w:tc>
        <w:tc>
          <w:tcPr>
            <w:tcW w:w="910" w:type="dxa"/>
            <w:tcBorders>
              <w:top w:val="single" w:color="auto" w:sz="4" w:space="0"/>
              <w:left w:val="single" w:color="auto" w:sz="4" w:space="0"/>
              <w:bottom w:val="single" w:color="auto" w:sz="4" w:space="0"/>
              <w:right w:val="single" w:color="auto" w:sz="4" w:space="0"/>
            </w:tcBorders>
            <w:vAlign w:val="center"/>
          </w:tcPr>
          <w:p w14:paraId="0FB4EE5C">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319CF1C8">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套</w:t>
            </w:r>
          </w:p>
        </w:tc>
        <w:tc>
          <w:tcPr>
            <w:tcW w:w="1131" w:type="pct"/>
            <w:tcBorders>
              <w:top w:val="single" w:color="auto" w:sz="4" w:space="0"/>
              <w:left w:val="single" w:color="auto" w:sz="4" w:space="0"/>
              <w:bottom w:val="single" w:color="auto" w:sz="4" w:space="0"/>
              <w:right w:val="single" w:color="auto" w:sz="4" w:space="0"/>
            </w:tcBorders>
            <w:vAlign w:val="center"/>
          </w:tcPr>
          <w:p w14:paraId="3D458D8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617B0DF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4C89A88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1B1C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78" w:type="pct"/>
            <w:tcBorders>
              <w:top w:val="single" w:color="auto" w:sz="4" w:space="0"/>
              <w:left w:val="single" w:color="auto" w:sz="4" w:space="0"/>
              <w:bottom w:val="single" w:color="auto" w:sz="4" w:space="0"/>
              <w:right w:val="single" w:color="auto" w:sz="4" w:space="0"/>
            </w:tcBorders>
            <w:vAlign w:val="center"/>
          </w:tcPr>
          <w:p w14:paraId="15EF06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021" w:type="pct"/>
            <w:tcBorders>
              <w:top w:val="single" w:color="auto" w:sz="4" w:space="0"/>
              <w:left w:val="single" w:color="auto" w:sz="4" w:space="0"/>
              <w:bottom w:val="single" w:color="auto" w:sz="4" w:space="0"/>
              <w:right w:val="single" w:color="auto" w:sz="4" w:space="0"/>
            </w:tcBorders>
          </w:tcPr>
          <w:p w14:paraId="57A5A8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业务支撑服务</w:t>
            </w:r>
          </w:p>
        </w:tc>
        <w:tc>
          <w:tcPr>
            <w:tcW w:w="910" w:type="dxa"/>
            <w:tcBorders>
              <w:top w:val="single" w:color="auto" w:sz="4" w:space="0"/>
              <w:left w:val="single" w:color="auto" w:sz="4" w:space="0"/>
              <w:bottom w:val="single" w:color="auto" w:sz="4" w:space="0"/>
              <w:right w:val="single" w:color="auto" w:sz="4" w:space="0"/>
            </w:tcBorders>
            <w:vAlign w:val="center"/>
          </w:tcPr>
          <w:p w14:paraId="23B9EE16">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425F2A67">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套</w:t>
            </w:r>
          </w:p>
        </w:tc>
        <w:tc>
          <w:tcPr>
            <w:tcW w:w="1131" w:type="pct"/>
            <w:tcBorders>
              <w:top w:val="single" w:color="auto" w:sz="4" w:space="0"/>
              <w:left w:val="single" w:color="auto" w:sz="4" w:space="0"/>
              <w:bottom w:val="single" w:color="auto" w:sz="4" w:space="0"/>
              <w:right w:val="single" w:color="auto" w:sz="4" w:space="0"/>
            </w:tcBorders>
            <w:vAlign w:val="center"/>
          </w:tcPr>
          <w:p w14:paraId="23C8D27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376B84D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616B1D5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48E5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8" w:type="pct"/>
            <w:tcBorders>
              <w:top w:val="single" w:color="auto" w:sz="4" w:space="0"/>
              <w:left w:val="single" w:color="auto" w:sz="4" w:space="0"/>
              <w:bottom w:val="single" w:color="auto" w:sz="4" w:space="0"/>
              <w:right w:val="single" w:color="auto" w:sz="4" w:space="0"/>
            </w:tcBorders>
            <w:vAlign w:val="center"/>
          </w:tcPr>
          <w:p w14:paraId="07A6AE8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6</w:t>
            </w:r>
          </w:p>
        </w:tc>
        <w:tc>
          <w:tcPr>
            <w:tcW w:w="1021" w:type="pct"/>
            <w:tcBorders>
              <w:top w:val="single" w:color="auto" w:sz="4" w:space="0"/>
              <w:left w:val="single" w:color="auto" w:sz="4" w:space="0"/>
              <w:bottom w:val="single" w:color="auto" w:sz="4" w:space="0"/>
              <w:right w:val="single" w:color="auto" w:sz="4" w:space="0"/>
            </w:tcBorders>
            <w:vAlign w:val="center"/>
          </w:tcPr>
          <w:p w14:paraId="4F1971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技术支撑服务</w:t>
            </w:r>
          </w:p>
        </w:tc>
        <w:tc>
          <w:tcPr>
            <w:tcW w:w="910" w:type="dxa"/>
            <w:tcBorders>
              <w:top w:val="single" w:color="auto" w:sz="4" w:space="0"/>
              <w:left w:val="single" w:color="auto" w:sz="4" w:space="0"/>
              <w:bottom w:val="single" w:color="auto" w:sz="4" w:space="0"/>
              <w:right w:val="single" w:color="auto" w:sz="4" w:space="0"/>
            </w:tcBorders>
            <w:vAlign w:val="center"/>
          </w:tcPr>
          <w:p w14:paraId="03235BFB">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091B70C6">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套</w:t>
            </w:r>
          </w:p>
        </w:tc>
        <w:tc>
          <w:tcPr>
            <w:tcW w:w="1131" w:type="pct"/>
            <w:tcBorders>
              <w:top w:val="single" w:color="auto" w:sz="4" w:space="0"/>
              <w:left w:val="single" w:color="auto" w:sz="4" w:space="0"/>
              <w:bottom w:val="single" w:color="auto" w:sz="4" w:space="0"/>
              <w:right w:val="single" w:color="auto" w:sz="4" w:space="0"/>
            </w:tcBorders>
            <w:vAlign w:val="center"/>
          </w:tcPr>
          <w:p w14:paraId="714B2D5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2B37ECB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597F04C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5B46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8" w:type="pct"/>
            <w:tcBorders>
              <w:top w:val="single" w:color="auto" w:sz="4" w:space="0"/>
              <w:left w:val="single" w:color="auto" w:sz="4" w:space="0"/>
              <w:bottom w:val="single" w:color="auto" w:sz="4" w:space="0"/>
              <w:right w:val="single" w:color="auto" w:sz="4" w:space="0"/>
            </w:tcBorders>
            <w:vAlign w:val="center"/>
          </w:tcPr>
          <w:p w14:paraId="64B0E0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7</w:t>
            </w:r>
          </w:p>
        </w:tc>
        <w:tc>
          <w:tcPr>
            <w:tcW w:w="1021" w:type="pct"/>
            <w:tcBorders>
              <w:top w:val="single" w:color="auto" w:sz="4" w:space="0"/>
              <w:left w:val="single" w:color="auto" w:sz="4" w:space="0"/>
              <w:bottom w:val="single" w:color="auto" w:sz="4" w:space="0"/>
              <w:right w:val="single" w:color="auto" w:sz="4" w:space="0"/>
            </w:tcBorders>
            <w:vAlign w:val="center"/>
          </w:tcPr>
          <w:p w14:paraId="462B288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电子证书USB-KEY授权服务</w:t>
            </w:r>
          </w:p>
        </w:tc>
        <w:tc>
          <w:tcPr>
            <w:tcW w:w="910" w:type="dxa"/>
            <w:tcBorders>
              <w:top w:val="single" w:color="auto" w:sz="4" w:space="0"/>
              <w:left w:val="single" w:color="auto" w:sz="4" w:space="0"/>
              <w:bottom w:val="single" w:color="auto" w:sz="4" w:space="0"/>
              <w:right w:val="single" w:color="auto" w:sz="4" w:space="0"/>
            </w:tcBorders>
            <w:vAlign w:val="center"/>
          </w:tcPr>
          <w:p w14:paraId="20D7AE8A">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715</w:t>
            </w:r>
          </w:p>
        </w:tc>
        <w:tc>
          <w:tcPr>
            <w:tcW w:w="1126" w:type="dxa"/>
            <w:tcBorders>
              <w:top w:val="single" w:color="auto" w:sz="4" w:space="0"/>
              <w:left w:val="single" w:color="auto" w:sz="4" w:space="0"/>
              <w:bottom w:val="single" w:color="auto" w:sz="4" w:space="0"/>
              <w:right w:val="single" w:color="auto" w:sz="4" w:space="0"/>
            </w:tcBorders>
            <w:vAlign w:val="center"/>
          </w:tcPr>
          <w:p w14:paraId="37F1F42C">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个</w:t>
            </w:r>
          </w:p>
        </w:tc>
        <w:tc>
          <w:tcPr>
            <w:tcW w:w="1131" w:type="pct"/>
            <w:tcBorders>
              <w:top w:val="single" w:color="auto" w:sz="4" w:space="0"/>
              <w:left w:val="single" w:color="auto" w:sz="4" w:space="0"/>
              <w:bottom w:val="single" w:color="auto" w:sz="4" w:space="0"/>
              <w:right w:val="single" w:color="auto" w:sz="4" w:space="0"/>
            </w:tcBorders>
            <w:vAlign w:val="center"/>
          </w:tcPr>
          <w:p w14:paraId="51F37C6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75DB495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69EEAB2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67C6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8" w:type="pct"/>
            <w:tcBorders>
              <w:top w:val="single" w:color="auto" w:sz="4" w:space="0"/>
              <w:left w:val="single" w:color="auto" w:sz="4" w:space="0"/>
              <w:bottom w:val="single" w:color="auto" w:sz="4" w:space="0"/>
              <w:right w:val="single" w:color="auto" w:sz="4" w:space="0"/>
            </w:tcBorders>
            <w:vAlign w:val="center"/>
          </w:tcPr>
          <w:p w14:paraId="7C3A4C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8</w:t>
            </w:r>
          </w:p>
        </w:tc>
        <w:tc>
          <w:tcPr>
            <w:tcW w:w="1021" w:type="pct"/>
            <w:tcBorders>
              <w:top w:val="single" w:color="auto" w:sz="4" w:space="0"/>
              <w:left w:val="single" w:color="auto" w:sz="4" w:space="0"/>
              <w:bottom w:val="single" w:color="auto" w:sz="4" w:space="0"/>
              <w:right w:val="single" w:color="auto" w:sz="4" w:space="0"/>
            </w:tcBorders>
            <w:vAlign w:val="center"/>
          </w:tcPr>
          <w:p w14:paraId="46FE35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等保测评</w:t>
            </w:r>
          </w:p>
        </w:tc>
        <w:tc>
          <w:tcPr>
            <w:tcW w:w="910" w:type="dxa"/>
            <w:tcBorders>
              <w:top w:val="single" w:color="auto" w:sz="4" w:space="0"/>
              <w:left w:val="single" w:color="auto" w:sz="4" w:space="0"/>
              <w:bottom w:val="single" w:color="auto" w:sz="4" w:space="0"/>
              <w:right w:val="single" w:color="auto" w:sz="4" w:space="0"/>
            </w:tcBorders>
            <w:vAlign w:val="center"/>
          </w:tcPr>
          <w:p w14:paraId="27C03756">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olor w:val="auto"/>
                <w:szCs w:val="21"/>
                <w:highlight w:val="none"/>
              </w:rPr>
            </w:pPr>
            <w:r>
              <w:rPr>
                <w:rFonts w:hint="eastAsia" w:ascii="宋体" w:hAnsi="宋体" w:eastAsia="宋体" w:cs="宋体"/>
                <w:snapToGrid/>
                <w:color w:val="auto"/>
                <w:kern w:val="0"/>
                <w:sz w:val="21"/>
                <w:szCs w:val="21"/>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311BF899">
            <w:pPr>
              <w:pStyle w:val="35"/>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0" w:afterAutospacing="0" w:line="360" w:lineRule="auto"/>
              <w:ind w:left="0" w:leftChars="0" w:right="0" w:rightChars="0"/>
              <w:jc w:val="center"/>
              <w:textAlignment w:val="baseline"/>
              <w:rPr>
                <w:rFonts w:hint="default" w:ascii="宋体" w:hAnsi="宋体" w:eastAsia="宋体" w:cs="Times New Roman"/>
                <w:color w:val="auto"/>
                <w:kern w:val="0"/>
                <w:szCs w:val="21"/>
                <w:highlight w:val="none"/>
              </w:rPr>
            </w:pPr>
            <w:r>
              <w:rPr>
                <w:rFonts w:hint="eastAsia" w:ascii="宋体" w:hAnsi="宋体" w:eastAsia="宋体" w:cs="宋体"/>
                <w:snapToGrid/>
                <w:color w:val="auto"/>
                <w:kern w:val="0"/>
                <w:sz w:val="21"/>
                <w:szCs w:val="21"/>
                <w:lang w:val="en-US" w:eastAsia="zh-CN"/>
              </w:rPr>
              <w:t>套</w:t>
            </w:r>
          </w:p>
        </w:tc>
        <w:tc>
          <w:tcPr>
            <w:tcW w:w="1131" w:type="pct"/>
            <w:tcBorders>
              <w:top w:val="single" w:color="auto" w:sz="4" w:space="0"/>
              <w:left w:val="single" w:color="auto" w:sz="4" w:space="0"/>
              <w:bottom w:val="single" w:color="auto" w:sz="4" w:space="0"/>
              <w:right w:val="single" w:color="auto" w:sz="4" w:space="0"/>
            </w:tcBorders>
            <w:vAlign w:val="center"/>
          </w:tcPr>
          <w:p w14:paraId="3FDAAE2B">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14:paraId="5401C474">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6DA106D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58BC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612" w:type="pct"/>
            <w:gridSpan w:val="5"/>
            <w:tcBorders>
              <w:top w:val="single" w:color="auto" w:sz="4" w:space="0"/>
              <w:left w:val="single" w:color="auto" w:sz="4" w:space="0"/>
              <w:bottom w:val="single" w:color="auto" w:sz="4" w:space="0"/>
              <w:right w:val="single" w:color="auto" w:sz="4" w:space="0"/>
            </w:tcBorders>
            <w:vAlign w:val="center"/>
          </w:tcPr>
          <w:p w14:paraId="0E12AD9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合计（不含税，元）</w:t>
            </w:r>
          </w:p>
        </w:tc>
        <w:tc>
          <w:tcPr>
            <w:tcW w:w="1387" w:type="pct"/>
            <w:gridSpan w:val="2"/>
            <w:tcBorders>
              <w:top w:val="single" w:color="auto" w:sz="4" w:space="0"/>
              <w:left w:val="single" w:color="auto" w:sz="4" w:space="0"/>
              <w:bottom w:val="single" w:color="auto" w:sz="4" w:space="0"/>
              <w:right w:val="single" w:color="auto" w:sz="4" w:space="0"/>
            </w:tcBorders>
            <w:vAlign w:val="center"/>
          </w:tcPr>
          <w:p w14:paraId="3A9A6157">
            <w:pPr>
              <w:keepNext w:val="0"/>
              <w:keepLines w:val="0"/>
              <w:suppressLineNumbers w:val="0"/>
              <w:spacing w:before="0" w:beforeAutospacing="0" w:after="0" w:afterAutospacing="0" w:line="400" w:lineRule="exact"/>
              <w:ind w:left="0" w:right="0"/>
              <w:rPr>
                <w:rFonts w:hint="default" w:ascii="宋体" w:hAnsi="宋体" w:eastAsia="宋体" w:cs="Times New Roman"/>
                <w:color w:val="auto"/>
                <w:kern w:val="0"/>
                <w:szCs w:val="21"/>
                <w:highlight w:val="none"/>
              </w:rPr>
            </w:pPr>
          </w:p>
        </w:tc>
      </w:tr>
    </w:tbl>
    <w:p w14:paraId="74866008">
      <w:pPr>
        <w:autoSpaceDE w:val="0"/>
        <w:autoSpaceDN w:val="0"/>
        <w:adjustRightInd w:val="0"/>
        <w:spacing w:line="360" w:lineRule="auto"/>
        <w:jc w:val="left"/>
        <w:rPr>
          <w:rFonts w:ascii="宋体" w:hAnsi="宋体" w:eastAsia="宋体" w:cs="宋体"/>
          <w:b/>
          <w:color w:val="auto"/>
          <w:kern w:val="0"/>
          <w:szCs w:val="21"/>
          <w:highlight w:val="none"/>
        </w:rPr>
      </w:pPr>
    </w:p>
    <w:p w14:paraId="55A1AD6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E2F53BD">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（1）此表为投标报价表的分项报价表，投标人应根据项目招标范围内分项实际内容的数量填写和扩展本报价表。</w:t>
      </w:r>
    </w:p>
    <w:p w14:paraId="777261E4">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该项目招标范围内全部服务的价格明细。投标人未填单价或合价或漏量或漏项的项目，在实施后，招标人将不予以支付，并视为该费用已包括在其他有价款的单价或合价内。</w:t>
      </w:r>
    </w:p>
    <w:p w14:paraId="2F9C1250">
      <w:pPr>
        <w:autoSpaceDE w:val="0"/>
        <w:autoSpaceDN w:val="0"/>
        <w:adjustRightInd w:val="0"/>
        <w:spacing w:line="360" w:lineRule="auto"/>
        <w:ind w:left="462" w:leftChars="18"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（3）报价保留小数点后两位。</w:t>
      </w:r>
    </w:p>
    <w:p w14:paraId="035040BB">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3444E078">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14283D3B">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1ED9B249">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539" w:name="_Toc104991875"/>
      <w:bookmarkStart w:id="540" w:name="_Toc31474"/>
      <w:bookmarkStart w:id="541" w:name="_Toc102860074"/>
      <w:bookmarkStart w:id="542" w:name="_Toc142508369"/>
      <w:bookmarkStart w:id="543" w:name="_Toc102860418"/>
      <w:bookmarkStart w:id="544" w:name="_Toc1977725"/>
      <w:bookmarkStart w:id="545" w:name="_Toc26516"/>
      <w:bookmarkStart w:id="546" w:name="_Toc140596928"/>
      <w:bookmarkStart w:id="547" w:name="_Toc94107209"/>
      <w:bookmarkStart w:id="548" w:name="_Toc6190"/>
      <w:bookmarkStart w:id="549" w:name="_Toc23083"/>
      <w:bookmarkStart w:id="550" w:name="_Toc20759_WPSOffice_Level2"/>
      <w:bookmarkStart w:id="551" w:name="_Toc486167712"/>
      <w:bookmarkStart w:id="552"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39"/>
      <w:bookmarkEnd w:id="540"/>
      <w:bookmarkEnd w:id="541"/>
      <w:bookmarkEnd w:id="542"/>
      <w:bookmarkEnd w:id="543"/>
      <w:bookmarkEnd w:id="544"/>
      <w:bookmarkEnd w:id="545"/>
      <w:bookmarkEnd w:id="546"/>
      <w:bookmarkEnd w:id="547"/>
      <w:bookmarkEnd w:id="548"/>
      <w:bookmarkEnd w:id="549"/>
    </w:p>
    <w:p w14:paraId="4EFDC493">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53" w:name="_Toc140596929"/>
      <w:bookmarkStart w:id="554" w:name="_Toc142508370"/>
      <w:bookmarkStart w:id="555" w:name="_Toc17358"/>
      <w:bookmarkStart w:id="556" w:name="_Toc31061"/>
      <w:bookmarkStart w:id="557" w:name="_Toc94107210"/>
      <w:bookmarkStart w:id="558" w:name="_Toc25267"/>
      <w:bookmarkStart w:id="559" w:name="_Toc102860419"/>
      <w:bookmarkStart w:id="560" w:name="_Toc104991876"/>
      <w:bookmarkStart w:id="561" w:name="_Toc102860075"/>
      <w:bookmarkStart w:id="562" w:name="_Toc29874"/>
      <w:bookmarkStart w:id="56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53"/>
      <w:bookmarkEnd w:id="554"/>
      <w:bookmarkEnd w:id="555"/>
      <w:bookmarkEnd w:id="556"/>
      <w:bookmarkEnd w:id="557"/>
      <w:bookmarkEnd w:id="558"/>
      <w:bookmarkEnd w:id="559"/>
      <w:bookmarkEnd w:id="560"/>
      <w:bookmarkEnd w:id="561"/>
      <w:bookmarkEnd w:id="562"/>
    </w:p>
    <w:p w14:paraId="6D81AF5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B66BCA0">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pgNumType w:fmt="decimal"/>
          <w:cols w:space="720" w:num="1"/>
          <w:titlePg/>
          <w:docGrid w:linePitch="326" w:charSpace="0"/>
        </w:sectPr>
      </w:pPr>
    </w:p>
    <w:p w14:paraId="0AF3704D">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64" w:name="_Toc25013"/>
      <w:bookmarkStart w:id="565" w:name="_Toc104991877"/>
      <w:bookmarkStart w:id="566" w:name="_Toc18598"/>
      <w:bookmarkStart w:id="567" w:name="_Toc94107211"/>
      <w:bookmarkStart w:id="568" w:name="_Toc142508371"/>
      <w:bookmarkStart w:id="569" w:name="_Toc102860076"/>
      <w:bookmarkStart w:id="570" w:name="_Toc7756"/>
      <w:bookmarkStart w:id="571" w:name="_Toc27861"/>
      <w:bookmarkStart w:id="572" w:name="_Toc102860420"/>
      <w:bookmarkStart w:id="573" w:name="_Toc14059693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64"/>
      <w:bookmarkEnd w:id="565"/>
      <w:bookmarkEnd w:id="566"/>
      <w:bookmarkEnd w:id="567"/>
      <w:bookmarkEnd w:id="568"/>
      <w:bookmarkEnd w:id="569"/>
      <w:bookmarkEnd w:id="570"/>
      <w:bookmarkEnd w:id="571"/>
      <w:bookmarkEnd w:id="572"/>
      <w:bookmarkEnd w:id="573"/>
    </w:p>
    <w:p w14:paraId="155C7478">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74" w:name="_Toc9132"/>
      <w:bookmarkStart w:id="575" w:name="_Toc7441"/>
      <w:bookmarkStart w:id="576" w:name="_Toc5363"/>
      <w:bookmarkStart w:id="577" w:name="_Toc102860421"/>
      <w:bookmarkStart w:id="578" w:name="_Toc104991878"/>
      <w:bookmarkStart w:id="579" w:name="_Toc140596931"/>
      <w:bookmarkStart w:id="580" w:name="_Toc102860077"/>
      <w:bookmarkStart w:id="581" w:name="_Toc17499"/>
      <w:bookmarkStart w:id="582" w:name="_Toc94107212"/>
      <w:bookmarkStart w:id="583" w:name="_Toc14250837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74"/>
      <w:bookmarkEnd w:id="575"/>
      <w:bookmarkEnd w:id="576"/>
      <w:bookmarkEnd w:id="577"/>
      <w:bookmarkEnd w:id="578"/>
      <w:bookmarkEnd w:id="579"/>
      <w:bookmarkEnd w:id="580"/>
      <w:bookmarkEnd w:id="581"/>
      <w:bookmarkEnd w:id="582"/>
      <w:bookmarkEnd w:id="583"/>
    </w:p>
    <w:p w14:paraId="25A56EE9">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50"/>
      <w:bookmarkEnd w:id="551"/>
      <w:bookmarkEnd w:id="552"/>
      <w:bookmarkEnd w:id="563"/>
    </w:p>
    <w:p w14:paraId="4626C42B">
      <w:pPr>
        <w:spacing w:before="120" w:after="120" w:line="360" w:lineRule="auto"/>
        <w:ind w:firstLine="608" w:firstLineChars="202"/>
        <w:jc w:val="center"/>
        <w:rPr>
          <w:rFonts w:ascii="宋体" w:hAnsi="宋体" w:eastAsia="宋体" w:cs="宋体"/>
          <w:b/>
          <w:color w:val="auto"/>
          <w:sz w:val="30"/>
          <w:szCs w:val="30"/>
          <w:highlight w:val="none"/>
        </w:rPr>
      </w:pPr>
    </w:p>
    <w:p w14:paraId="51CE68CA">
      <w:pPr>
        <w:spacing w:before="120" w:after="120" w:line="360" w:lineRule="auto"/>
        <w:ind w:firstLine="608" w:firstLineChars="202"/>
        <w:jc w:val="center"/>
        <w:rPr>
          <w:rFonts w:ascii="宋体" w:hAnsi="宋体" w:eastAsia="宋体" w:cs="宋体"/>
          <w:b/>
          <w:bCs/>
          <w:color w:val="auto"/>
          <w:sz w:val="30"/>
          <w:szCs w:val="30"/>
          <w:highlight w:val="none"/>
        </w:rPr>
      </w:pPr>
      <w:bookmarkStart w:id="584" w:name="_Toc11033_WPSOffice_Level3"/>
      <w:r>
        <w:rPr>
          <w:rFonts w:hint="eastAsia" w:ascii="宋体" w:hAnsi="宋体" w:eastAsia="宋体" w:cs="宋体"/>
          <w:b/>
          <w:color w:val="auto"/>
          <w:sz w:val="30"/>
          <w:szCs w:val="30"/>
          <w:highlight w:val="none"/>
        </w:rPr>
        <w:t>法定代</w:t>
      </w:r>
      <w:bookmarkStart w:id="585" w:name="_Toc45995270"/>
      <w:bookmarkStart w:id="586" w:name="_Toc36971359"/>
      <w:r>
        <w:rPr>
          <w:rFonts w:hint="eastAsia" w:ascii="宋体" w:hAnsi="宋体" w:eastAsia="宋体" w:cs="宋体"/>
          <w:b/>
          <w:color w:val="auto"/>
          <w:sz w:val="30"/>
          <w:szCs w:val="30"/>
          <w:highlight w:val="none"/>
        </w:rPr>
        <w:t>表人身份证明书</w:t>
      </w:r>
      <w:bookmarkEnd w:id="584"/>
    </w:p>
    <w:bookmarkEnd w:id="585"/>
    <w:bookmarkEnd w:id="586"/>
    <w:p w14:paraId="0F9F4CA0">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F0F64D3">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1A04424">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1370C3ED">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E8B8106">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0597A0A1">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66BA0DD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24ED0E1">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1503C432">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883A793">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paragraph">
                  <wp:posOffset>109220</wp:posOffset>
                </wp:positionV>
                <wp:extent cx="2790825" cy="1962150"/>
                <wp:effectExtent l="9525" t="6985" r="9525" b="12065"/>
                <wp:wrapNone/>
                <wp:docPr id="1027" name="文本框 7"/>
                <wp:cNvGraphicFramePr/>
                <a:graphic xmlns:a="http://schemas.openxmlformats.org/drawingml/2006/main">
                  <a:graphicData uri="http://schemas.microsoft.com/office/word/2010/wordprocessingShape">
                    <wps:wsp>
                      <wps:cNvSpPr/>
                      <wps:spPr>
                        <a:xfrm>
                          <a:off x="0" y="0"/>
                          <a:ext cx="2790825" cy="19621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0F52C"/>
                          <w:p w14:paraId="0868204D"/>
                          <w:p w14:paraId="4050FB39"/>
                          <w:p w14:paraId="5D56AE4B"/>
                          <w:p w14:paraId="25EFBE3B">
                            <w:pPr>
                              <w:jc w:val="center"/>
                              <w:rPr>
                                <w:szCs w:val="21"/>
                              </w:rPr>
                            </w:pPr>
                            <w:r>
                              <w:rPr>
                                <w:rFonts w:hint="eastAsia"/>
                                <w:szCs w:val="21"/>
                              </w:rPr>
                              <w:t>法定代表人身份证正面</w:t>
                            </w:r>
                          </w:p>
                        </w:txbxContent>
                      </wps:txbx>
                      <wps:bodyPr vert="horz" wrap="square" lIns="91440" tIns="45720" rIns="91440" bIns="45720" anchor="t" upright="1">
                        <a:noAutofit/>
                      </wps:bodyPr>
                    </wps:wsp>
                  </a:graphicData>
                </a:graphic>
              </wp:anchor>
            </w:drawing>
          </mc:Choice>
          <mc:Fallback>
            <w:pict>
              <v:rect id="文本框 7" o:spid="_x0000_s1026" o:spt="1" style="position:absolute;left:0pt;margin-left:4.8pt;margin-top:8.6pt;height:154.5pt;width:219.75pt;z-index:251659264;mso-width-relative:page;mso-height-relative:page;" fillcolor="#FFFFFF" filled="t" stroked="t" coordsize="21600,21600" o:gfxdata="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R39FdcAAAAIAQAADwAAAAAAAAABACAAAAAiAAAA&#10;ZHJzL2Rvd25yZXYueG1sUEsBAhQAFAAAAAgAh07iQJ0wz7lBAgAAowQAAA4AAAAAAAAAAQAgAAAA&#10;JgEAAGRycy9lMm9Eb2MueG1sUEsFBgAAAAAGAAYAWQEAANkFAAAAAA==&#10;">
                <v:fill on="t" focussize="0,0"/>
                <v:stroke color="#000000" joinstyle="miter"/>
                <v:imagedata o:title=""/>
                <o:lock v:ext="edit" aspectratio="f"/>
                <v:textbox>
                  <w:txbxContent>
                    <w:p w14:paraId="4E20F52C"/>
                    <w:p w14:paraId="0868204D"/>
                    <w:p w14:paraId="4050FB39"/>
                    <w:p w14:paraId="5D56AE4B"/>
                    <w:p w14:paraId="25EFBE3B">
                      <w:pPr>
                        <w:jc w:val="center"/>
                        <w:rPr>
                          <w:szCs w:val="21"/>
                        </w:rPr>
                      </w:pPr>
                      <w:r>
                        <w:rPr>
                          <w:rFonts w:hint="eastAsia"/>
                          <w:szCs w:val="21"/>
                        </w:rPr>
                        <w:t>法定代表人身份证正面</w:t>
                      </w:r>
                    </w:p>
                  </w:txbxContent>
                </v:textbox>
              </v:rect>
            </w:pict>
          </mc:Fallback>
        </mc:AlternateContent>
      </w:r>
      <w:r>
        <w:rPr>
          <w:rFonts w:ascii="宋体" w:hAnsi="宋体" w:eastAsia="宋体" w:cs="宋体"/>
          <w:color w:val="auto"/>
          <w:kern w:val="0"/>
          <w:sz w:val="24"/>
          <w:szCs w:val="24"/>
          <w:highlight w:val="none"/>
        </w:rPr>
        <mc:AlternateContent>
          <mc:Choice Requires="wps">
            <w:drawing>
              <wp:anchor distT="0" distB="0" distL="0" distR="0" simplePos="0" relativeHeight="251659264"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1028" name="文本框 6"/>
                <wp:cNvGraphicFramePr/>
                <a:graphic xmlns:a="http://schemas.openxmlformats.org/drawingml/2006/main">
                  <a:graphicData uri="http://schemas.microsoft.com/office/word/2010/wordprocessingShape">
                    <wps:wsp>
                      <wps:cNvSpPr/>
                      <wps:spPr>
                        <a:xfrm>
                          <a:off x="0" y="0"/>
                          <a:ext cx="2790825" cy="19621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94CE19"/>
                          <w:p w14:paraId="22B387D6"/>
                          <w:p w14:paraId="50B914BB"/>
                          <w:p w14:paraId="44B02336"/>
                          <w:p w14:paraId="6BFB869C">
                            <w:pPr>
                              <w:jc w:val="center"/>
                              <w:rPr>
                                <w:szCs w:val="21"/>
                              </w:rPr>
                            </w:pPr>
                            <w:r>
                              <w:rPr>
                                <w:rFonts w:hint="eastAsia"/>
                                <w:szCs w:val="21"/>
                              </w:rPr>
                              <w:t>法定代表人身份证反面</w:t>
                            </w:r>
                          </w:p>
                          <w:p w14:paraId="186BF864">
                            <w:pPr>
                              <w:jc w:val="center"/>
                              <w:rPr>
                                <w:szCs w:val="21"/>
                              </w:rPr>
                            </w:pPr>
                          </w:p>
                        </w:txbxContent>
                      </wps:txbx>
                      <wps:bodyPr vert="horz" wrap="square" lIns="91440" tIns="45720" rIns="91440" bIns="45720" anchor="t" upright="1">
                        <a:noAutofit/>
                      </wps:bodyPr>
                    </wps:wsp>
                  </a:graphicData>
                </a:graphic>
              </wp:anchor>
            </w:drawing>
          </mc:Choice>
          <mc:Fallback>
            <w:pict>
              <v:rect id="文本框 6" o:spid="_x0000_s1026" o:spt="1" style="position:absolute;left:0pt;margin-left:246.35pt;margin-top:8.6pt;height:154.5pt;width:219.75pt;z-index:251659264;mso-width-relative:page;mso-height-relative:page;" fillcolor="#FFFFFF" filled="t" stroked="t" coordsize="21600,21600" o:gfxdata="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jRgpbYAAAACgEAAA8AAAAAAAAAAQAgAAAAIgAA&#10;AGRycy9kb3ducmV2LnhtbFBLAQIUABQAAAAIAIdO4kAGKLTlQQIAAKMEAAAOAAAAAAAAAAEAIAAA&#10;ACcBAABkcnMvZTJvRG9jLnhtbFBLBQYAAAAABgAGAFkBAADaBQAAAAA=&#10;">
                <v:fill on="t" focussize="0,0"/>
                <v:stroke color="#000000" joinstyle="miter"/>
                <v:imagedata o:title=""/>
                <o:lock v:ext="edit" aspectratio="f"/>
                <v:textbox>
                  <w:txbxContent>
                    <w:p w14:paraId="6394CE19"/>
                    <w:p w14:paraId="22B387D6"/>
                    <w:p w14:paraId="50B914BB"/>
                    <w:p w14:paraId="44B02336"/>
                    <w:p w14:paraId="6BFB869C">
                      <w:pPr>
                        <w:jc w:val="center"/>
                        <w:rPr>
                          <w:szCs w:val="21"/>
                        </w:rPr>
                      </w:pPr>
                      <w:r>
                        <w:rPr>
                          <w:rFonts w:hint="eastAsia"/>
                          <w:szCs w:val="21"/>
                        </w:rPr>
                        <w:t>法定代表人身份证反面</w:t>
                      </w:r>
                    </w:p>
                    <w:p w14:paraId="186BF864">
                      <w:pPr>
                        <w:jc w:val="center"/>
                        <w:rPr>
                          <w:szCs w:val="21"/>
                        </w:rPr>
                      </w:pPr>
                    </w:p>
                  </w:txbxContent>
                </v:textbox>
              </v:rect>
            </w:pict>
          </mc:Fallback>
        </mc:AlternateContent>
      </w:r>
      <w:r>
        <w:rPr>
          <w:rFonts w:ascii="宋体" w:hAnsi="宋体" w:eastAsia="宋体" w:cs="宋体"/>
          <w:color w:val="auto"/>
          <w:kern w:val="0"/>
          <w:sz w:val="24"/>
          <w:szCs w:val="24"/>
          <w:highlight w:val="none"/>
        </w:rP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paragraph">
                  <wp:posOffset>109220</wp:posOffset>
                </wp:positionV>
                <wp:extent cx="2790825" cy="1962150"/>
                <wp:effectExtent l="9525" t="6985" r="9525" b="12065"/>
                <wp:wrapNone/>
                <wp:docPr id="1029" name="文本框 5"/>
                <wp:cNvGraphicFramePr/>
                <a:graphic xmlns:a="http://schemas.openxmlformats.org/drawingml/2006/main">
                  <a:graphicData uri="http://schemas.microsoft.com/office/word/2010/wordprocessingShape">
                    <wps:wsp>
                      <wps:cNvSpPr/>
                      <wps:spPr>
                        <a:xfrm>
                          <a:off x="0" y="0"/>
                          <a:ext cx="2790825" cy="19621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A9CA86"/>
                          <w:p w14:paraId="119B204B"/>
                          <w:p w14:paraId="5EB084A6"/>
                          <w:p w14:paraId="0036B381"/>
                          <w:p w14:paraId="24C0B148">
                            <w:pPr>
                              <w:jc w:val="center"/>
                            </w:pPr>
                            <w:r>
                              <w:rPr>
                                <w:rFonts w:hint="eastAsia"/>
                              </w:rPr>
                              <w:t>身份证正面</w:t>
                            </w:r>
                          </w:p>
                        </w:txbxContent>
                      </wps:txbx>
                      <wps:bodyPr vert="horz" wrap="square" lIns="91440" tIns="45720" rIns="91440" bIns="45720" anchor="t" upright="1">
                        <a:noAutofit/>
                      </wps:bodyPr>
                    </wps:wsp>
                  </a:graphicData>
                </a:graphic>
              </wp:anchor>
            </w:drawing>
          </mc:Choice>
          <mc:Fallback>
            <w:pict>
              <v:rect id="文本框 5" o:spid="_x0000_s1026" o:spt="1" style="position:absolute;left:0pt;margin-left:4.8pt;margin-top:8.6pt;height:154.5pt;width:219.75pt;z-index:251659264;mso-width-relative:page;mso-height-relative:page;" fillcolor="#FFFFFF" filled="t" stroked="t" coordsize="21600,21600" o:gfxdata="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Ud/RXXAAAACAEAAA8AAAAAAAAAAQAgAAAAIgAA&#10;AGRycy9kb3ducmV2LnhtbFBLAQIUABQAAAAIAIdO4kCSBjkkQgIAAKMEAAAOAAAAAAAAAAEAIAAA&#10;ACYBAABkcnMvZTJvRG9jLnhtbFBLBQYAAAAABgAGAFkBAADaBQAAAAA=&#10;">
                <v:fill on="t" focussize="0,0"/>
                <v:stroke color="#000000" joinstyle="miter"/>
                <v:imagedata o:title=""/>
                <o:lock v:ext="edit" aspectratio="f"/>
                <v:textbox>
                  <w:txbxContent>
                    <w:p w14:paraId="4FA9CA86"/>
                    <w:p w14:paraId="119B204B"/>
                    <w:p w14:paraId="5EB084A6"/>
                    <w:p w14:paraId="0036B381"/>
                    <w:p w14:paraId="24C0B148">
                      <w:pPr>
                        <w:jc w:val="center"/>
                      </w:pPr>
                      <w:r>
                        <w:rPr>
                          <w:rFonts w:hint="eastAsia"/>
                        </w:rPr>
                        <w:t>身份证正面</w:t>
                      </w:r>
                    </w:p>
                  </w:txbxContent>
                </v:textbox>
              </v:rect>
            </w:pict>
          </mc:Fallback>
        </mc:AlternateContent>
      </w:r>
    </w:p>
    <w:p w14:paraId="1B3E915D">
      <w:pPr>
        <w:autoSpaceDE w:val="0"/>
        <w:autoSpaceDN w:val="0"/>
        <w:adjustRightInd w:val="0"/>
        <w:jc w:val="left"/>
        <w:rPr>
          <w:rFonts w:ascii="宋体" w:hAnsi="宋体" w:eastAsia="宋体" w:cs="宋体"/>
          <w:color w:val="auto"/>
          <w:kern w:val="0"/>
          <w:sz w:val="24"/>
          <w:szCs w:val="24"/>
          <w:highlight w:val="none"/>
        </w:rPr>
      </w:pPr>
    </w:p>
    <w:p w14:paraId="1E734C48">
      <w:pPr>
        <w:autoSpaceDE w:val="0"/>
        <w:autoSpaceDN w:val="0"/>
        <w:adjustRightInd w:val="0"/>
        <w:jc w:val="left"/>
        <w:rPr>
          <w:rFonts w:ascii="宋体" w:hAnsi="宋体" w:eastAsia="宋体" w:cs="宋体"/>
          <w:color w:val="auto"/>
          <w:kern w:val="0"/>
          <w:sz w:val="24"/>
          <w:szCs w:val="24"/>
          <w:highlight w:val="none"/>
        </w:rPr>
      </w:pPr>
    </w:p>
    <w:p w14:paraId="4404660C">
      <w:pPr>
        <w:autoSpaceDE w:val="0"/>
        <w:autoSpaceDN w:val="0"/>
        <w:adjustRightInd w:val="0"/>
        <w:jc w:val="left"/>
        <w:rPr>
          <w:rFonts w:ascii="宋体" w:hAnsi="宋体" w:eastAsia="宋体" w:cs="宋体"/>
          <w:color w:val="auto"/>
          <w:kern w:val="0"/>
          <w:sz w:val="24"/>
          <w:szCs w:val="24"/>
          <w:highlight w:val="none"/>
        </w:rPr>
      </w:pPr>
    </w:p>
    <w:p w14:paraId="4C3BE280">
      <w:pPr>
        <w:autoSpaceDE w:val="0"/>
        <w:autoSpaceDN w:val="0"/>
        <w:adjustRightInd w:val="0"/>
        <w:jc w:val="left"/>
        <w:rPr>
          <w:rFonts w:ascii="宋体" w:hAnsi="宋体" w:eastAsia="宋体" w:cs="宋体"/>
          <w:color w:val="auto"/>
          <w:kern w:val="0"/>
          <w:sz w:val="24"/>
          <w:szCs w:val="24"/>
          <w:highlight w:val="none"/>
        </w:rPr>
      </w:pPr>
    </w:p>
    <w:p w14:paraId="248842B3">
      <w:pPr>
        <w:autoSpaceDE w:val="0"/>
        <w:autoSpaceDN w:val="0"/>
        <w:adjustRightInd w:val="0"/>
        <w:jc w:val="left"/>
        <w:rPr>
          <w:rFonts w:ascii="宋体" w:hAnsi="宋体" w:eastAsia="宋体" w:cs="宋体"/>
          <w:color w:val="auto"/>
          <w:kern w:val="0"/>
          <w:sz w:val="24"/>
          <w:szCs w:val="24"/>
          <w:highlight w:val="none"/>
        </w:rPr>
      </w:pPr>
    </w:p>
    <w:p w14:paraId="077D18B0">
      <w:pPr>
        <w:autoSpaceDE w:val="0"/>
        <w:autoSpaceDN w:val="0"/>
        <w:adjustRightInd w:val="0"/>
        <w:jc w:val="left"/>
        <w:rPr>
          <w:rFonts w:ascii="宋体" w:hAnsi="宋体" w:eastAsia="宋体" w:cs="宋体"/>
          <w:color w:val="auto"/>
          <w:kern w:val="0"/>
          <w:sz w:val="24"/>
          <w:szCs w:val="24"/>
          <w:highlight w:val="none"/>
        </w:rPr>
      </w:pPr>
    </w:p>
    <w:p w14:paraId="651A6984">
      <w:pPr>
        <w:autoSpaceDE w:val="0"/>
        <w:autoSpaceDN w:val="0"/>
        <w:adjustRightInd w:val="0"/>
        <w:jc w:val="left"/>
        <w:rPr>
          <w:rFonts w:ascii="宋体" w:hAnsi="宋体" w:eastAsia="宋体" w:cs="宋体"/>
          <w:color w:val="auto"/>
          <w:kern w:val="0"/>
          <w:sz w:val="24"/>
          <w:szCs w:val="24"/>
          <w:highlight w:val="none"/>
        </w:rPr>
      </w:pPr>
    </w:p>
    <w:p w14:paraId="52DD2DA8">
      <w:pPr>
        <w:autoSpaceDE w:val="0"/>
        <w:autoSpaceDN w:val="0"/>
        <w:adjustRightInd w:val="0"/>
        <w:jc w:val="left"/>
        <w:rPr>
          <w:rFonts w:ascii="宋体" w:hAnsi="宋体" w:eastAsia="宋体" w:cs="宋体"/>
          <w:color w:val="auto"/>
          <w:kern w:val="0"/>
          <w:sz w:val="24"/>
          <w:szCs w:val="24"/>
          <w:highlight w:val="none"/>
        </w:rPr>
      </w:pPr>
    </w:p>
    <w:p w14:paraId="496A7CC0">
      <w:pPr>
        <w:autoSpaceDE w:val="0"/>
        <w:autoSpaceDN w:val="0"/>
        <w:adjustRightInd w:val="0"/>
        <w:jc w:val="left"/>
        <w:rPr>
          <w:rFonts w:ascii="宋体" w:hAnsi="宋体" w:eastAsia="宋体" w:cs="宋体"/>
          <w:color w:val="auto"/>
          <w:kern w:val="0"/>
          <w:sz w:val="24"/>
          <w:szCs w:val="24"/>
          <w:highlight w:val="none"/>
        </w:rPr>
      </w:pPr>
    </w:p>
    <w:p w14:paraId="4F78C3A8">
      <w:pPr>
        <w:autoSpaceDE w:val="0"/>
        <w:autoSpaceDN w:val="0"/>
        <w:adjustRightInd w:val="0"/>
        <w:jc w:val="left"/>
        <w:rPr>
          <w:rFonts w:ascii="宋体" w:hAnsi="宋体" w:eastAsia="宋体" w:cs="宋体"/>
          <w:b/>
          <w:color w:val="auto"/>
          <w:kern w:val="0"/>
          <w:szCs w:val="21"/>
          <w:highlight w:val="none"/>
        </w:rPr>
      </w:pPr>
    </w:p>
    <w:p w14:paraId="6AE5AACF">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632809CF">
      <w:pPr>
        <w:autoSpaceDE w:val="0"/>
        <w:autoSpaceDN w:val="0"/>
        <w:adjustRightInd w:val="0"/>
        <w:jc w:val="left"/>
        <w:rPr>
          <w:rFonts w:ascii="宋体" w:hAnsi="宋体" w:eastAsia="宋体" w:cs="宋体"/>
          <w:color w:val="auto"/>
          <w:kern w:val="0"/>
          <w:szCs w:val="21"/>
          <w:highlight w:val="none"/>
        </w:rPr>
      </w:pPr>
    </w:p>
    <w:p w14:paraId="24F29D65">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87"/>
      <w:bookmarkEnd w:id="488"/>
      <w:bookmarkEnd w:id="489"/>
      <w:bookmarkStart w:id="587" w:name="_Toc1977727"/>
      <w:bookmarkStart w:id="588" w:name="_Toc486167713"/>
      <w:bookmarkStart w:id="589" w:name="_Toc533708125"/>
      <w:bookmarkStart w:id="590" w:name="_Toc6240_WPSOffice_Level2"/>
      <w:r>
        <w:rPr>
          <w:rFonts w:hint="eastAsia" w:ascii="宋体" w:hAnsi="宋体" w:eastAsia="宋体" w:cs="宋体"/>
          <w:b/>
          <w:color w:val="auto"/>
          <w:szCs w:val="24"/>
          <w:highlight w:val="none"/>
        </w:rPr>
        <w:t>（2）法定代表人授权书格式</w:t>
      </w:r>
      <w:bookmarkEnd w:id="587"/>
      <w:bookmarkEnd w:id="588"/>
      <w:bookmarkEnd w:id="589"/>
      <w:bookmarkEnd w:id="590"/>
    </w:p>
    <w:p w14:paraId="0D782432">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D21D904">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91" w:name="_Toc29146_WPSOffice_Level3"/>
      <w:r>
        <w:rPr>
          <w:rFonts w:hint="eastAsia" w:ascii="宋体" w:hAnsi="宋体" w:eastAsia="宋体" w:cs="宋体"/>
          <w:b/>
          <w:bCs/>
          <w:color w:val="auto"/>
          <w:sz w:val="30"/>
          <w:szCs w:val="30"/>
          <w:highlight w:val="none"/>
          <w:lang w:val="zh-CN"/>
        </w:rPr>
        <w:t>法定代表人授权书</w:t>
      </w:r>
      <w:bookmarkEnd w:id="591"/>
    </w:p>
    <w:p w14:paraId="11C97E9A">
      <w:pPr>
        <w:autoSpaceDE w:val="0"/>
        <w:autoSpaceDN w:val="0"/>
        <w:adjustRightInd w:val="0"/>
        <w:spacing w:line="360" w:lineRule="auto"/>
        <w:jc w:val="center"/>
        <w:rPr>
          <w:rFonts w:ascii="宋体" w:hAnsi="宋体" w:eastAsia="宋体" w:cs="宋体"/>
          <w:color w:val="auto"/>
          <w:szCs w:val="28"/>
          <w:highlight w:val="none"/>
          <w:lang w:val="zh-CN"/>
        </w:rPr>
      </w:pPr>
    </w:p>
    <w:p w14:paraId="69553E35">
      <w:pPr>
        <w:spacing w:before="120" w:after="120" w:line="360" w:lineRule="auto"/>
        <w:outlineLvl w:val="2"/>
        <w:rPr>
          <w:rFonts w:ascii="宋体" w:hAnsi="宋体" w:eastAsia="宋体" w:cs="宋体"/>
          <w:color w:val="auto"/>
          <w:szCs w:val="24"/>
          <w:highlight w:val="none"/>
          <w:lang w:val="zh-CN"/>
        </w:rPr>
      </w:pPr>
      <w:bookmarkStart w:id="592" w:name="_Toc28924"/>
      <w:r>
        <w:rPr>
          <w:rFonts w:hint="eastAsia" w:ascii="宋体" w:hAnsi="宋体" w:eastAsia="宋体" w:cs="宋体"/>
          <w:color w:val="auto"/>
          <w:szCs w:val="24"/>
          <w:highlight w:val="none"/>
          <w:lang w:val="zh-CN"/>
        </w:rPr>
        <w:t>致：</w:t>
      </w:r>
      <w:bookmarkEnd w:id="592"/>
      <w:r>
        <w:rPr>
          <w:rFonts w:hint="eastAsia" w:ascii="宋体" w:hAnsi="宋体" w:eastAsia="宋体" w:cs="宋体"/>
          <w:color w:val="auto"/>
          <w:szCs w:val="24"/>
          <w:highlight w:val="none"/>
          <w:lang w:val="zh-CN"/>
        </w:rPr>
        <w:t>东莞市水务集团有限公司</w:t>
      </w:r>
    </w:p>
    <w:p w14:paraId="09AE177E">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东莞市涉水收费统一征收平台2025年度运维服务项目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YDZB24DGQY0208</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282D5BC3">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1F4ECA40">
      <w:pPr>
        <w:spacing w:before="120" w:after="120" w:line="360" w:lineRule="auto"/>
        <w:ind w:left="348" w:leftChars="136" w:hanging="62"/>
        <w:rPr>
          <w:rFonts w:ascii="宋体" w:hAnsi="宋体" w:eastAsia="宋体" w:cs="宋体"/>
          <w:color w:val="auto"/>
          <w:szCs w:val="24"/>
          <w:highlight w:val="none"/>
        </w:rPr>
      </w:pPr>
    </w:p>
    <w:p w14:paraId="2E09320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78F71F1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0949D77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375F63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E2088B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49733C7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07F6630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103DE8B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38AF6DB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69DF1B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1030" name="文本框 4"/>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D665F"/>
                          <w:p w14:paraId="052E53F0"/>
                          <w:p w14:paraId="65AB6EDB"/>
                          <w:p w14:paraId="41B004F4"/>
                          <w:p w14:paraId="1682D355">
                            <w:pPr>
                              <w:jc w:val="center"/>
                              <w:rPr>
                                <w:rFonts w:hAnsi="宋体"/>
                              </w:rPr>
                            </w:pPr>
                            <w:r>
                              <w:rPr>
                                <w:rFonts w:hint="eastAsia" w:hAnsi="宋体"/>
                              </w:rPr>
                              <w:t>法定代表人身份证反面</w:t>
                            </w:r>
                          </w:p>
                        </w:txbxContent>
                      </wps:txbx>
                      <wps:bodyPr vert="horz" wrap="square" lIns="91440" tIns="45720" rIns="91440" bIns="45720" anchor="t" upright="1">
                        <a:noAutofit/>
                      </wps:bodyPr>
                    </wps:wsp>
                  </a:graphicData>
                </a:graphic>
              </wp:anchor>
            </w:drawing>
          </mc:Choice>
          <mc:Fallback>
            <w:pict>
              <v:rect id="文本框 4" o:spid="_x0000_s1026" o:spt="1" style="position:absolute;left:0pt;margin-left:265.1pt;margin-top:5.5pt;height:138.75pt;width:219.75pt;z-index:251659264;mso-width-relative:page;mso-height-relative:page;" fillcolor="#FFFFFF" filled="t" stroked="t" coordsize="21600,21600" o:gfxdata="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SE6T7YAAAACgEAAA8AAAAAAAAAAQAgAAAAIgAA&#10;AGRycy9kb3ducmV2LnhtbFBLAQIUABQAAAAIAIdO4kAdt1mZQQIAAKMEAAAOAAAAAAAAAAEAIAAA&#10;ACcBAABkcnMvZTJvRG9jLnhtbFBLBQYAAAAABgAGAFkBAADaBQAAAAA=&#10;">
                <v:fill on="t" focussize="0,0"/>
                <v:stroke color="#000000" joinstyle="miter"/>
                <v:imagedata o:title=""/>
                <o:lock v:ext="edit" aspectratio="f"/>
                <v:textbox>
                  <w:txbxContent>
                    <w:p w14:paraId="282D665F"/>
                    <w:p w14:paraId="052E53F0"/>
                    <w:p w14:paraId="65AB6EDB"/>
                    <w:p w14:paraId="41B004F4"/>
                    <w:p w14:paraId="1682D355">
                      <w:pPr>
                        <w:jc w:val="center"/>
                        <w:rPr>
                          <w:rFonts w:hAnsi="宋体"/>
                        </w:rPr>
                      </w:pPr>
                      <w:r>
                        <w:rPr>
                          <w:rFonts w:hint="eastAsia" w:hAnsi="宋体"/>
                        </w:rPr>
                        <w:t>法定代表人身份证反面</w:t>
                      </w:r>
                    </w:p>
                  </w:txbxContent>
                </v:textbox>
              </v:rect>
            </w:pict>
          </mc:Fallback>
        </mc:AlternateContent>
      </w:r>
      <w:r>
        <w:rPr>
          <w:rFonts w:ascii="宋体" w:hAnsi="宋体" w:eastAsia="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1031" name="文本框 3"/>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5CFB1"/>
                          <w:p w14:paraId="65348E00"/>
                          <w:p w14:paraId="46045EC8"/>
                          <w:p w14:paraId="28D782A1"/>
                          <w:p w14:paraId="0643CB1C">
                            <w:pPr>
                              <w:jc w:val="center"/>
                              <w:rPr>
                                <w:rFonts w:hAnsi="宋体"/>
                              </w:rPr>
                            </w:pPr>
                            <w:r>
                              <w:rPr>
                                <w:rFonts w:hint="eastAsia" w:hAnsi="宋体"/>
                              </w:rPr>
                              <w:t>法定代表人身份证正面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24.35pt;margin-top:5.5pt;height:138.75pt;width:219.75pt;z-index:251659264;mso-width-relative:page;mso-height-relative:page;" fillcolor="#FFFFFF" filled="t" stroked="t" coordsize="21600,21600" o:gfxdata="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w46ozXAAAACQEAAA8AAAAAAAAAAQAgAAAAIgAA&#10;AGRycy9kb3ducmV2LnhtbFBLAQIUABQAAAAIAIdO4kANNO0dQgIAAKMEAAAOAAAAAAAAAAEAIAAA&#10;ACYBAABkcnMvZTJvRG9jLnhtbFBLBQYAAAAABgAGAFkBAADaBQAAAAA=&#10;">
                <v:fill on="t" focussize="0,0"/>
                <v:stroke color="#000000" joinstyle="miter"/>
                <v:imagedata o:title=""/>
                <o:lock v:ext="edit" aspectratio="f"/>
                <v:textbox>
                  <w:txbxContent>
                    <w:p w14:paraId="4F95CFB1"/>
                    <w:p w14:paraId="65348E00"/>
                    <w:p w14:paraId="46045EC8"/>
                    <w:p w14:paraId="28D782A1"/>
                    <w:p w14:paraId="0643CB1C">
                      <w:pPr>
                        <w:jc w:val="center"/>
                        <w:rPr>
                          <w:rFonts w:hAnsi="宋体"/>
                        </w:rPr>
                      </w:pPr>
                      <w:r>
                        <w:rPr>
                          <w:rFonts w:hint="eastAsia" w:hAnsi="宋体"/>
                        </w:rPr>
                        <w:t>法定代表人身份证正面</w:t>
                      </w:r>
                    </w:p>
                  </w:txbxContent>
                </v:textbox>
              </v:rect>
            </w:pict>
          </mc:Fallback>
        </mc:AlternateContent>
      </w:r>
    </w:p>
    <w:p w14:paraId="51D4428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EC77C7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B98F26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A1D202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2A9B62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F9DE46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50D70A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7C743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E9E7E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1032" name="文本框 2"/>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FAC0BB"/>
                          <w:p w14:paraId="61328CC5">
                            <w:pPr>
                              <w:jc w:val="center"/>
                              <w:rPr>
                                <w:rFonts w:hAnsi="宋体"/>
                                <w:color w:val="FF0000"/>
                              </w:rPr>
                            </w:pPr>
                          </w:p>
                          <w:p w14:paraId="7B857E3B">
                            <w:pPr>
                              <w:jc w:val="center"/>
                              <w:rPr>
                                <w:rFonts w:hAnsi="宋体"/>
                                <w:color w:val="FF0000"/>
                              </w:rPr>
                            </w:pPr>
                          </w:p>
                          <w:p w14:paraId="07BE7CDA">
                            <w:pPr>
                              <w:jc w:val="center"/>
                              <w:rPr>
                                <w:rFonts w:hAnsi="宋体"/>
                                <w:color w:val="FF0000"/>
                              </w:rPr>
                            </w:pPr>
                          </w:p>
                          <w:p w14:paraId="55521992">
                            <w:pPr>
                              <w:jc w:val="center"/>
                            </w:pPr>
                            <w:r>
                              <w:rPr>
                                <w:rFonts w:hint="eastAsia" w:hAnsi="宋体"/>
                              </w:rPr>
                              <w:t>被授权人身份证反面</w:t>
                            </w:r>
                          </w:p>
                          <w:p w14:paraId="3966BC6C"/>
                          <w:p w14:paraId="61A8DE8E"/>
                        </w:txbxContent>
                      </wps:txbx>
                      <wps:bodyPr vert="horz" wrap="square" lIns="91440" tIns="45720" rIns="91440" bIns="45720" anchor="t" upright="1">
                        <a:noAutofit/>
                      </wps:bodyPr>
                    </wps:wsp>
                  </a:graphicData>
                </a:graphic>
              </wp:anchor>
            </w:drawing>
          </mc:Choice>
          <mc:Fallback>
            <w:pict>
              <v:rect id="文本框 2" o:spid="_x0000_s1026" o:spt="1" style="position:absolute;left:0pt;margin-left:265.1pt;margin-top:8.05pt;height:139.5pt;width:216pt;z-index:251659264;mso-width-relative:page;mso-height-relative:page;" fillcolor="#FFFFFF" filled="t" stroked="t" coordsize="21600,21600" o:gfxdata="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UEUZNgAAAAKAQAADwAAAAAAAAABACAA&#10;AAAiAAAAZHJzL2Rvd25yZXYueG1sUEsBAhQAFAAAAAgAh07iQIhv4JVGAgAAowQAAA4AAAAAAAAA&#10;AQAgAAAAJwEAAGRycy9lMm9Eb2MueG1sUEsFBgAAAAAGAAYAWQEAAN8FAAAAAA==&#10;">
                <v:fill on="t" focussize="0,0"/>
                <v:stroke color="#000000" joinstyle="miter"/>
                <v:imagedata o:title=""/>
                <o:lock v:ext="edit" aspectratio="f"/>
                <v:textbox>
                  <w:txbxContent>
                    <w:p w14:paraId="4FFAC0BB"/>
                    <w:p w14:paraId="61328CC5">
                      <w:pPr>
                        <w:jc w:val="center"/>
                        <w:rPr>
                          <w:rFonts w:hAnsi="宋体"/>
                          <w:color w:val="FF0000"/>
                        </w:rPr>
                      </w:pPr>
                    </w:p>
                    <w:p w14:paraId="7B857E3B">
                      <w:pPr>
                        <w:jc w:val="center"/>
                        <w:rPr>
                          <w:rFonts w:hAnsi="宋体"/>
                          <w:color w:val="FF0000"/>
                        </w:rPr>
                      </w:pPr>
                    </w:p>
                    <w:p w14:paraId="07BE7CDA">
                      <w:pPr>
                        <w:jc w:val="center"/>
                        <w:rPr>
                          <w:rFonts w:hAnsi="宋体"/>
                          <w:color w:val="FF0000"/>
                        </w:rPr>
                      </w:pPr>
                    </w:p>
                    <w:p w14:paraId="55521992">
                      <w:pPr>
                        <w:jc w:val="center"/>
                      </w:pPr>
                      <w:r>
                        <w:rPr>
                          <w:rFonts w:hint="eastAsia" w:hAnsi="宋体"/>
                        </w:rPr>
                        <w:t>被授权人身份证反面</w:t>
                      </w:r>
                    </w:p>
                    <w:p w14:paraId="3966BC6C"/>
                    <w:p w14:paraId="61A8DE8E"/>
                  </w:txbxContent>
                </v:textbox>
              </v:rect>
            </w:pict>
          </mc:Fallback>
        </mc:AlternateContent>
      </w:r>
      <w:r>
        <w:rPr>
          <w:rFonts w:ascii="宋体" w:hAnsi="宋体" w:eastAsia="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033" name="文本框 1"/>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7EC281"/>
                          <w:p w14:paraId="7CEC07BC">
                            <w:pPr>
                              <w:jc w:val="center"/>
                              <w:rPr>
                                <w:rFonts w:hAnsi="宋体"/>
                                <w:color w:val="FF0000"/>
                              </w:rPr>
                            </w:pPr>
                          </w:p>
                          <w:p w14:paraId="3CDECA68">
                            <w:pPr>
                              <w:jc w:val="center"/>
                              <w:rPr>
                                <w:rFonts w:hAnsi="宋体"/>
                                <w:color w:val="FF0000"/>
                              </w:rPr>
                            </w:pPr>
                          </w:p>
                          <w:p w14:paraId="57F93603">
                            <w:pPr>
                              <w:jc w:val="center"/>
                              <w:rPr>
                                <w:rFonts w:hAnsi="宋体"/>
                                <w:color w:val="FF0000"/>
                              </w:rPr>
                            </w:pPr>
                          </w:p>
                          <w:p w14:paraId="79628F1A">
                            <w:pPr>
                              <w:jc w:val="center"/>
                            </w:pPr>
                            <w:r>
                              <w:rPr>
                                <w:rFonts w:hint="eastAsia" w:hAnsi="宋体"/>
                              </w:rPr>
                              <w:t>被授权人身份证正面</w:t>
                            </w:r>
                          </w:p>
                          <w:p w14:paraId="7BBD1743"/>
                          <w:p w14:paraId="0133BB40"/>
                        </w:txbxContent>
                      </wps:txbx>
                      <wps:bodyPr vert="horz" wrap="square" lIns="91440" tIns="45720" rIns="91440" bIns="45720" anchor="t" upright="1">
                        <a:noAutofit/>
                      </wps:bodyPr>
                    </wps:wsp>
                  </a:graphicData>
                </a:graphic>
              </wp:anchor>
            </w:drawing>
          </mc:Choice>
          <mc:Fallback>
            <w:pict>
              <v:rect id="文本框 1" o:spid="_x0000_s1026" o:spt="1" style="position:absolute;left:0pt;margin-left:24.35pt;margin-top:8.05pt;height:139.5pt;width:216pt;z-index:251659264;mso-width-relative:page;mso-height-relative:page;" fillcolor="#FFFFFF" filled="t" stroked="t" coordsize="21600,21600" o:gfxdata="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lh9z1wAAAAkBAAAPAAAAAAAAAAEAIAAA&#10;ACIAAABkcnMvZG93bnJldi54bWxQSwECFAAUAAAACACHTuJAHEFtVEYCAACjBAAADgAAAAAAAAAB&#10;ACAAAAAmAQAAZHJzL2Uyb0RvYy54bWxQSwUGAAAAAAYABgBZAQAA3gUAAAAA&#10;">
                <v:fill on="t" focussize="0,0"/>
                <v:stroke color="#000000" joinstyle="miter"/>
                <v:imagedata o:title=""/>
                <o:lock v:ext="edit" aspectratio="f"/>
                <v:textbox>
                  <w:txbxContent>
                    <w:p w14:paraId="177EC281"/>
                    <w:p w14:paraId="7CEC07BC">
                      <w:pPr>
                        <w:jc w:val="center"/>
                        <w:rPr>
                          <w:rFonts w:hAnsi="宋体"/>
                          <w:color w:val="FF0000"/>
                        </w:rPr>
                      </w:pPr>
                    </w:p>
                    <w:p w14:paraId="3CDECA68">
                      <w:pPr>
                        <w:jc w:val="center"/>
                        <w:rPr>
                          <w:rFonts w:hAnsi="宋体"/>
                          <w:color w:val="FF0000"/>
                        </w:rPr>
                      </w:pPr>
                    </w:p>
                    <w:p w14:paraId="57F93603">
                      <w:pPr>
                        <w:jc w:val="center"/>
                        <w:rPr>
                          <w:rFonts w:hAnsi="宋体"/>
                          <w:color w:val="FF0000"/>
                        </w:rPr>
                      </w:pPr>
                    </w:p>
                    <w:p w14:paraId="79628F1A">
                      <w:pPr>
                        <w:jc w:val="center"/>
                      </w:pPr>
                      <w:r>
                        <w:rPr>
                          <w:rFonts w:hint="eastAsia" w:hAnsi="宋体"/>
                        </w:rPr>
                        <w:t>被授权人身份证正面</w:t>
                      </w:r>
                    </w:p>
                    <w:p w14:paraId="7BBD1743"/>
                    <w:p w14:paraId="0133BB40"/>
                  </w:txbxContent>
                </v:textbox>
              </v:rect>
            </w:pict>
          </mc:Fallback>
        </mc:AlternateContent>
      </w:r>
    </w:p>
    <w:p w14:paraId="0C67B1D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32E178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FB2760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0C91CE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026761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420716">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03963EC6">
      <w:pPr>
        <w:pStyle w:val="5"/>
        <w:pageBreakBefore/>
        <w:spacing w:line="360" w:lineRule="auto"/>
        <w:rPr>
          <w:rFonts w:hint="eastAsia" w:hAnsi="宋体" w:eastAsia="宋体"/>
          <w:b/>
          <w:color w:val="auto"/>
          <w:sz w:val="30"/>
          <w:szCs w:val="30"/>
          <w:highlight w:val="none"/>
          <w:lang w:val="zh-CN" w:eastAsia="zh-CN"/>
        </w:rPr>
      </w:pPr>
      <w:bookmarkStart w:id="593" w:name="_Toc15716"/>
      <w:bookmarkStart w:id="594" w:name="_Toc32328"/>
      <w:bookmarkStart w:id="595" w:name="_Toc12400"/>
      <w:bookmarkStart w:id="596" w:name="_Toc13649"/>
      <w:bookmarkStart w:id="597" w:name="_Toc140596933"/>
      <w:bookmarkStart w:id="598" w:name="_Toc142508373"/>
      <w:bookmarkStart w:id="599" w:name="_Toc1977730"/>
      <w:bookmarkStart w:id="600" w:name="_Toc104991880"/>
      <w:bookmarkStart w:id="601" w:name="_Toc94107214"/>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w:t>
      </w:r>
      <w:r>
        <w:rPr>
          <w:rFonts w:hint="eastAsia" w:hAnsi="宋体"/>
          <w:b/>
          <w:bCs/>
          <w:color w:val="auto"/>
          <w:sz w:val="32"/>
          <w:szCs w:val="32"/>
          <w:highlight w:val="none"/>
          <w:lang w:val="en-US" w:eastAsia="zh-CN"/>
        </w:rPr>
        <w:t>2018</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w:t>
      </w:r>
      <w:r>
        <w:rPr>
          <w:rFonts w:hint="eastAsia" w:ascii="宋体" w:hAnsi="宋体" w:eastAsia="宋体" w:cs="宋体"/>
          <w:b/>
          <w:bCs/>
          <w:color w:val="auto"/>
          <w:sz w:val="32"/>
          <w:szCs w:val="32"/>
          <w:highlight w:val="none"/>
          <w:lang w:val="en-US" w:eastAsia="zh-CN"/>
        </w:rPr>
        <w:t>信息系统运行维护项目</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hAnsi="宋体"/>
          <w:b/>
          <w:bCs/>
          <w:color w:val="auto"/>
          <w:sz w:val="32"/>
          <w:szCs w:val="32"/>
          <w:highlight w:val="none"/>
          <w:lang w:val="en-US" w:eastAsia="zh-CN"/>
        </w:rPr>
        <w:t>2</w:t>
      </w:r>
      <w:r>
        <w:rPr>
          <w:rFonts w:hint="eastAsia" w:ascii="宋体" w:hAnsi="宋体" w:eastAsia="宋体"/>
          <w:b/>
          <w:bCs/>
          <w:color w:val="auto"/>
          <w:sz w:val="32"/>
          <w:szCs w:val="32"/>
          <w:highlight w:val="none"/>
          <w:lang w:val="en-US" w:eastAsia="zh-CN"/>
        </w:rPr>
        <w:t>0</w:t>
      </w:r>
      <w:r>
        <w:rPr>
          <w:rFonts w:hint="eastAsia" w:hAnsi="宋体"/>
          <w:b/>
          <w:bCs/>
          <w:color w:val="auto"/>
          <w:sz w:val="32"/>
          <w:szCs w:val="32"/>
          <w:highlight w:val="none"/>
          <w:lang w:val="en-US" w:eastAsia="zh-CN"/>
        </w:rPr>
        <w:t>18</w:t>
      </w:r>
      <w:r>
        <w:rPr>
          <w:rFonts w:hint="eastAsia" w:ascii="宋体" w:hAnsi="宋体" w:eastAsia="宋体"/>
          <w:b/>
          <w:bCs/>
          <w:color w:val="auto"/>
          <w:sz w:val="32"/>
          <w:szCs w:val="32"/>
          <w:highlight w:val="none"/>
          <w:lang w:val="en-US" w:eastAsia="zh-CN"/>
        </w:rPr>
        <w:t>年1月1日</w:t>
      </w:r>
      <w:r>
        <w:rPr>
          <w:rFonts w:hint="eastAsia" w:ascii="宋体" w:hAnsi="宋体" w:eastAsia="宋体"/>
          <w:b/>
          <w:bCs/>
          <w:color w:val="auto"/>
          <w:sz w:val="32"/>
          <w:szCs w:val="32"/>
          <w:highlight w:val="none"/>
        </w:rPr>
        <w:t>或以后）</w:t>
      </w:r>
      <w:bookmarkEnd w:id="593"/>
      <w:bookmarkEnd w:id="594"/>
      <w:bookmarkEnd w:id="595"/>
      <w:bookmarkEnd w:id="596"/>
      <w:r>
        <w:rPr>
          <w:rFonts w:hint="eastAsia" w:hAnsi="宋体"/>
          <w:b/>
          <w:bCs/>
          <w:color w:val="auto"/>
          <w:sz w:val="32"/>
          <w:szCs w:val="32"/>
          <w:highlight w:val="none"/>
          <w:lang w:eastAsia="zh-CN"/>
        </w:rPr>
        <w:t>】</w:t>
      </w:r>
    </w:p>
    <w:p w14:paraId="730FDE19">
      <w:pPr>
        <w:spacing w:line="360" w:lineRule="auto"/>
        <w:rPr>
          <w:rFonts w:hint="eastAsia" w:ascii="宋体" w:hAnsi="宋体" w:eastAsia="宋体" w:cs="宋体"/>
          <w:b/>
          <w:color w:val="auto"/>
          <w:szCs w:val="21"/>
          <w:highlight w:val="none"/>
          <w:lang w:val="zh-CN"/>
        </w:rPr>
      </w:pP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0"/>
        <w:gridCol w:w="853"/>
        <w:gridCol w:w="853"/>
        <w:gridCol w:w="855"/>
        <w:gridCol w:w="855"/>
        <w:gridCol w:w="855"/>
        <w:gridCol w:w="995"/>
        <w:gridCol w:w="855"/>
        <w:gridCol w:w="855"/>
        <w:gridCol w:w="855"/>
        <w:gridCol w:w="703"/>
      </w:tblGrid>
      <w:tr w14:paraId="1ECE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vAlign w:val="center"/>
          </w:tcPr>
          <w:p w14:paraId="2C9B23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vAlign w:val="center"/>
          </w:tcPr>
          <w:p w14:paraId="7CDC2C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vAlign w:val="center"/>
          </w:tcPr>
          <w:p w14:paraId="7F60EC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vAlign w:val="center"/>
          </w:tcPr>
          <w:p w14:paraId="256A2E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vAlign w:val="center"/>
          </w:tcPr>
          <w:p w14:paraId="5603B5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vAlign w:val="center"/>
          </w:tcPr>
          <w:p w14:paraId="2D6378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vAlign w:val="center"/>
          </w:tcPr>
          <w:p w14:paraId="02BF8C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vAlign w:val="center"/>
          </w:tcPr>
          <w:p w14:paraId="0BAA41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vAlign w:val="center"/>
          </w:tcPr>
          <w:p w14:paraId="27AA19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vAlign w:val="center"/>
          </w:tcPr>
          <w:p w14:paraId="49F976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vAlign w:val="center"/>
          </w:tcPr>
          <w:p w14:paraId="4B232E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488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740DD5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7" w:type="pct"/>
            <w:vAlign w:val="center"/>
          </w:tcPr>
          <w:p w14:paraId="3086DF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vAlign w:val="center"/>
          </w:tcPr>
          <w:p w14:paraId="25A81B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015670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6785A8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191237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vAlign w:val="center"/>
          </w:tcPr>
          <w:p w14:paraId="38B385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tcPr>
          <w:p w14:paraId="2EFB9C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00D773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221DA8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vAlign w:val="center"/>
          </w:tcPr>
          <w:p w14:paraId="163375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D4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0DAA4E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7" w:type="pct"/>
            <w:vAlign w:val="center"/>
          </w:tcPr>
          <w:p w14:paraId="7B492F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vAlign w:val="center"/>
          </w:tcPr>
          <w:p w14:paraId="0915B6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420697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3F42C1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41662C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vAlign w:val="center"/>
          </w:tcPr>
          <w:p w14:paraId="47480D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tcPr>
          <w:p w14:paraId="146724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581C0B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69DFC6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vAlign w:val="center"/>
          </w:tcPr>
          <w:p w14:paraId="5FE61D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61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79A849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7" w:type="pct"/>
            <w:vAlign w:val="center"/>
          </w:tcPr>
          <w:p w14:paraId="2C98DD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vAlign w:val="center"/>
          </w:tcPr>
          <w:p w14:paraId="4D7B94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0D7C18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39BB58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463499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vAlign w:val="center"/>
          </w:tcPr>
          <w:p w14:paraId="07E5DD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tcPr>
          <w:p w14:paraId="359AAC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367EFD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05C897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vAlign w:val="center"/>
          </w:tcPr>
          <w:p w14:paraId="620128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DC5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vAlign w:val="center"/>
          </w:tcPr>
          <w:p w14:paraId="14AFBC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default" w:ascii="宋体" w:hAnsi="宋体" w:eastAsia="宋体" w:cs="Courier New"/>
                <w:color w:val="auto"/>
                <w:kern w:val="0"/>
                <w:szCs w:val="21"/>
                <w:highlight w:val="none"/>
              </w:rPr>
              <w:t>…</w:t>
            </w:r>
          </w:p>
        </w:tc>
        <w:tc>
          <w:tcPr>
            <w:tcW w:w="467" w:type="pct"/>
            <w:vAlign w:val="center"/>
          </w:tcPr>
          <w:p w14:paraId="27219A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vAlign w:val="center"/>
          </w:tcPr>
          <w:p w14:paraId="1365A2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0450A1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7E0A3A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747181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vAlign w:val="center"/>
          </w:tcPr>
          <w:p w14:paraId="63973B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tcPr>
          <w:p w14:paraId="20D883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41D2FD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vAlign w:val="center"/>
          </w:tcPr>
          <w:p w14:paraId="1AC866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vAlign w:val="center"/>
          </w:tcPr>
          <w:p w14:paraId="6FD61F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3A379E84">
      <w:pPr>
        <w:spacing w:line="360" w:lineRule="auto"/>
        <w:ind w:left="424" w:hanging="424" w:hangingChars="201"/>
        <w:rPr>
          <w:rFonts w:hint="eastAsia" w:ascii="宋体" w:hAnsi="宋体" w:eastAsia="宋体" w:cs="宋体"/>
          <w:b/>
          <w:color w:val="auto"/>
          <w:szCs w:val="21"/>
          <w:highlight w:val="none"/>
          <w:lang w:val="zh-CN"/>
        </w:rPr>
      </w:pPr>
    </w:p>
    <w:p w14:paraId="2ADFB5E4">
      <w:pPr>
        <w:spacing w:line="360" w:lineRule="auto"/>
        <w:ind w:left="422" w:hanging="424" w:hangingChars="201"/>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资格业绩证明材料提交要求：</w:t>
      </w:r>
    </w:p>
    <w:p w14:paraId="6F7837EF">
      <w:pPr>
        <w:spacing w:line="360" w:lineRule="auto"/>
        <w:ind w:left="422" w:hanging="424" w:hangingChars="201"/>
        <w:rPr>
          <w:rFonts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（1）作为投标人资格条件证明的业绩放置在此处；</w:t>
      </w:r>
    </w:p>
    <w:p w14:paraId="5A112EF1">
      <w:pPr>
        <w:spacing w:line="360" w:lineRule="auto"/>
        <w:ind w:left="422" w:hanging="424" w:hangingChars="201"/>
        <w:rPr>
          <w:rFonts w:hint="eastAsia" w:ascii="宋体" w:hAnsi="宋体" w:eastAsia="宋体" w:cs="宋体"/>
          <w:b/>
          <w:bCs/>
          <w:color w:val="auto"/>
          <w:szCs w:val="21"/>
          <w:highlight w:val="none"/>
          <w:lang w:val="zh-CN" w:eastAsia="zh-CN"/>
        </w:rPr>
      </w:pP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w:t>
      </w:r>
      <w:r>
        <w:rPr>
          <w:rFonts w:hint="eastAsia" w:ascii="宋体" w:hAnsi="宋体" w:eastAsia="宋体" w:cs="宋体"/>
          <w:b/>
          <w:color w:val="auto"/>
          <w:szCs w:val="21"/>
        </w:rPr>
        <w:t>业绩须附合同复印件（合同服务提供方为投标人）</w:t>
      </w:r>
      <w:r>
        <w:rPr>
          <w:rFonts w:hint="eastAsia" w:ascii="宋体" w:hAnsi="宋体" w:eastAsia="宋体" w:cs="宋体"/>
          <w:b/>
          <w:color w:val="auto"/>
          <w:szCs w:val="21"/>
          <w:lang w:eastAsia="zh-CN"/>
        </w:rPr>
        <w:t>；</w:t>
      </w:r>
    </w:p>
    <w:p w14:paraId="5591087B">
      <w:pPr>
        <w:spacing w:line="360" w:lineRule="auto"/>
        <w:ind w:left="422" w:hanging="424" w:hangingChars="201"/>
        <w:rPr>
          <w:rFonts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w:t>
      </w:r>
      <w:r>
        <w:rPr>
          <w:rFonts w:hint="eastAsia" w:ascii="宋体" w:hAnsi="宋体" w:eastAsia="宋体" w:cs="宋体"/>
          <w:b/>
          <w:color w:val="auto"/>
          <w:szCs w:val="21"/>
          <w:lang w:val="en-US" w:eastAsia="zh-CN"/>
        </w:rPr>
        <w:t>业绩证明材料必须能</w:t>
      </w:r>
      <w:r>
        <w:rPr>
          <w:rFonts w:hint="eastAsia" w:ascii="宋体" w:hAnsi="宋体" w:eastAsia="宋体" w:cs="宋体"/>
          <w:b/>
          <w:color w:val="auto"/>
          <w:szCs w:val="21"/>
        </w:rPr>
        <w:t>反映</w:t>
      </w:r>
      <w:r>
        <w:rPr>
          <w:rFonts w:hint="eastAsia" w:ascii="宋体" w:hAnsi="宋体" w:eastAsia="宋体" w:cs="宋体"/>
          <w:b/>
          <w:color w:val="auto"/>
          <w:szCs w:val="21"/>
          <w:lang w:val="en-US" w:eastAsia="zh-CN"/>
        </w:rPr>
        <w:t>资格</w:t>
      </w:r>
      <w:r>
        <w:rPr>
          <w:rFonts w:hint="eastAsia" w:ascii="宋体" w:hAnsi="宋体" w:eastAsia="宋体" w:cs="宋体"/>
          <w:b/>
          <w:color w:val="auto"/>
          <w:szCs w:val="21"/>
        </w:rPr>
        <w:t>条件（合同签订日期为20</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年1月1日或以后、合同服务内容必须具有</w:t>
      </w:r>
      <w:r>
        <w:rPr>
          <w:rFonts w:hint="eastAsia" w:ascii="宋体" w:hAnsi="宋体" w:eastAsia="宋体" w:cs="Times New Roman"/>
          <w:b/>
          <w:color w:val="auto"/>
          <w:kern w:val="0"/>
          <w:szCs w:val="21"/>
          <w:highlight w:val="none"/>
          <w:lang w:val="en-US" w:eastAsia="zh-CN"/>
        </w:rPr>
        <w:t>信息系统运行维护项目</w:t>
      </w:r>
      <w:r>
        <w:rPr>
          <w:rFonts w:hint="eastAsia" w:ascii="宋体" w:hAnsi="宋体" w:eastAsia="宋体" w:cs="宋体"/>
          <w:b/>
          <w:color w:val="auto"/>
          <w:szCs w:val="21"/>
        </w:rPr>
        <w:t>）的，</w:t>
      </w:r>
      <w:r>
        <w:rPr>
          <w:rFonts w:hint="eastAsia" w:ascii="宋体" w:hAnsi="宋体" w:eastAsia="宋体" w:cs="宋体"/>
          <w:b/>
          <w:color w:val="auto"/>
          <w:szCs w:val="21"/>
          <w:lang w:val="en-US" w:eastAsia="zh-CN"/>
        </w:rPr>
        <w:t>否则</w:t>
      </w:r>
      <w:r>
        <w:rPr>
          <w:rFonts w:hint="eastAsia" w:ascii="宋体" w:hAnsi="宋体" w:eastAsia="宋体" w:cs="宋体"/>
          <w:b/>
          <w:color w:val="auto"/>
          <w:szCs w:val="21"/>
        </w:rPr>
        <w:t>还需提供服务购买方出具的书面补充说明文件复印件作为辅助证明（</w:t>
      </w:r>
      <w:r>
        <w:rPr>
          <w:rFonts w:hint="eastAsia" w:ascii="宋体" w:hAnsi="宋体" w:eastAsia="宋体" w:cs="宋体"/>
          <w:b/>
          <w:bCs/>
          <w:color w:val="auto"/>
          <w:szCs w:val="21"/>
          <w:shd w:val="clear" w:color="auto" w:fill="FFFFFF"/>
        </w:rPr>
        <w:t>补充情况说明文件复印件能显示服务购买方公章</w:t>
      </w:r>
      <w:r>
        <w:rPr>
          <w:rFonts w:hint="eastAsia" w:ascii="宋体" w:hAnsi="宋体" w:eastAsia="宋体" w:cs="宋体"/>
          <w:b/>
          <w:color w:val="auto"/>
          <w:szCs w:val="21"/>
        </w:rPr>
        <w:t>）</w:t>
      </w:r>
      <w:r>
        <w:rPr>
          <w:rFonts w:hint="eastAsia" w:ascii="宋体" w:hAnsi="宋体" w:eastAsia="宋体" w:cs="Times New Roman"/>
          <w:b/>
          <w:color w:val="auto"/>
          <w:kern w:val="0"/>
          <w:sz w:val="21"/>
          <w:szCs w:val="21"/>
          <w:highlight w:val="none"/>
          <w:lang w:val="en-US" w:eastAsia="zh-CN"/>
        </w:rPr>
        <w:t>否则</w:t>
      </w:r>
      <w:r>
        <w:rPr>
          <w:rFonts w:hint="eastAsia" w:ascii="宋体" w:hAnsi="宋体" w:eastAsia="宋体" w:cs="宋体"/>
          <w:b/>
          <w:color w:val="auto"/>
          <w:szCs w:val="21"/>
          <w:highlight w:val="none"/>
          <w:lang w:val="zh-CN"/>
        </w:rPr>
        <w:t>按无效投标文件处理</w:t>
      </w:r>
      <w:r>
        <w:rPr>
          <w:rFonts w:hint="eastAsia" w:ascii="宋体" w:hAnsi="宋体" w:eastAsia="宋体" w:cs="宋体"/>
          <w:color w:val="auto"/>
          <w:szCs w:val="21"/>
          <w:highlight w:val="none"/>
          <w:lang w:val="zh-CN"/>
        </w:rPr>
        <w:t>；</w:t>
      </w:r>
    </w:p>
    <w:p w14:paraId="706D2C66">
      <w:pPr>
        <w:spacing w:line="360" w:lineRule="auto"/>
        <w:ind w:left="422" w:hanging="424" w:hangingChars="201"/>
        <w:rPr>
          <w:rFonts w:ascii="宋体" w:hAnsi="宋体" w:eastAsia="宋体" w:cs="宋体"/>
          <w:b/>
          <w:color w:val="auto"/>
          <w:kern w:val="0"/>
          <w:sz w:val="30"/>
          <w:szCs w:val="30"/>
          <w:highlight w:val="none"/>
        </w:rPr>
      </w:pPr>
      <w:bookmarkStart w:id="602" w:name="_Toc24862"/>
      <w:bookmarkStart w:id="603" w:name="_Toc12931"/>
      <w:bookmarkStart w:id="604" w:name="_Toc20010"/>
      <w:bookmarkStart w:id="605" w:name="_Toc22866"/>
      <w:r>
        <w:rPr>
          <w:rFonts w:hint="eastAsia" w:ascii="宋体" w:hAnsi="宋体" w:eastAsia="宋体" w:cs="宋体"/>
          <w:b/>
          <w:bCs/>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602"/>
      <w:bookmarkEnd w:id="603"/>
      <w:bookmarkEnd w:id="604"/>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05"/>
    </w:p>
    <w:p w14:paraId="3E97D4C3">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2AD3DC55">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06" w:name="_Toc30785"/>
      <w:bookmarkStart w:id="607" w:name="_Toc21843"/>
      <w:bookmarkStart w:id="608" w:name="_Toc8121"/>
      <w:bookmarkStart w:id="609" w:name="_Toc7508"/>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97"/>
      <w:bookmarkEnd w:id="598"/>
      <w:bookmarkEnd w:id="599"/>
      <w:bookmarkEnd w:id="600"/>
      <w:bookmarkEnd w:id="601"/>
      <w:bookmarkEnd w:id="606"/>
      <w:bookmarkEnd w:id="607"/>
      <w:bookmarkEnd w:id="608"/>
      <w:bookmarkEnd w:id="609"/>
    </w:p>
    <w:p w14:paraId="67624C12">
      <w:pPr>
        <w:autoSpaceDE w:val="0"/>
        <w:autoSpaceDN w:val="0"/>
        <w:adjustRightInd w:val="0"/>
        <w:spacing w:line="360" w:lineRule="auto"/>
        <w:jc w:val="center"/>
        <w:outlineLvl w:val="1"/>
        <w:rPr>
          <w:rFonts w:ascii="宋体" w:hAnsi="宋体" w:eastAsia="宋体" w:cs="宋体"/>
          <w:color w:val="auto"/>
          <w:kern w:val="0"/>
          <w:sz w:val="24"/>
          <w:szCs w:val="24"/>
          <w:highlight w:val="none"/>
        </w:rPr>
      </w:pPr>
      <w:bookmarkStart w:id="610" w:name="_Toc8394"/>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bookmarkEnd w:id="61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BB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574448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10C06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5DFF71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CAEB45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09C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6AE31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7AD5A25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A4221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523C4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E53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11BB4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3ACBAE0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16643F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08C242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009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31F509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043D131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231C3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9FCCC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8717CCA">
      <w:pPr>
        <w:autoSpaceDE w:val="0"/>
        <w:autoSpaceDN w:val="0"/>
        <w:adjustRightInd w:val="0"/>
        <w:spacing w:line="360" w:lineRule="auto"/>
        <w:jc w:val="left"/>
        <w:rPr>
          <w:rFonts w:ascii="宋体" w:hAnsi="宋体" w:eastAsia="宋体" w:cs="宋体"/>
          <w:color w:val="auto"/>
          <w:kern w:val="0"/>
          <w:szCs w:val="21"/>
          <w:highlight w:val="none"/>
        </w:rPr>
      </w:pPr>
    </w:p>
    <w:p w14:paraId="1A986389">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571BF102">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3F4D4FAC">
      <w:pPr>
        <w:autoSpaceDE w:val="0"/>
        <w:autoSpaceDN w:val="0"/>
        <w:adjustRightInd w:val="0"/>
        <w:spacing w:line="360" w:lineRule="auto"/>
        <w:jc w:val="center"/>
        <w:rPr>
          <w:rFonts w:ascii="宋体" w:hAnsi="宋体" w:eastAsia="宋体" w:cs="宋体"/>
          <w:color w:val="auto"/>
          <w:kern w:val="0"/>
          <w:sz w:val="24"/>
          <w:szCs w:val="24"/>
          <w:highlight w:val="none"/>
        </w:rPr>
      </w:pPr>
    </w:p>
    <w:p w14:paraId="72C5D815">
      <w:pPr>
        <w:spacing w:line="360" w:lineRule="auto"/>
        <w:ind w:firstLine="494" w:firstLineChars="206"/>
        <w:rPr>
          <w:rFonts w:ascii="宋体" w:hAnsi="宋体" w:eastAsia="宋体" w:cs="宋体"/>
          <w:color w:val="auto"/>
          <w:kern w:val="0"/>
          <w:sz w:val="24"/>
          <w:szCs w:val="24"/>
          <w:highlight w:val="none"/>
        </w:rPr>
      </w:pPr>
    </w:p>
    <w:p w14:paraId="4C9D212B">
      <w:pPr>
        <w:spacing w:line="360" w:lineRule="auto"/>
        <w:ind w:firstLine="494" w:firstLineChars="206"/>
        <w:rPr>
          <w:rFonts w:ascii="宋体" w:hAnsi="宋体" w:eastAsia="宋体" w:cs="宋体"/>
          <w:color w:val="auto"/>
          <w:kern w:val="0"/>
          <w:sz w:val="24"/>
          <w:szCs w:val="24"/>
          <w:highlight w:val="none"/>
        </w:rPr>
      </w:pPr>
    </w:p>
    <w:p w14:paraId="11F23105">
      <w:pPr>
        <w:spacing w:line="360" w:lineRule="auto"/>
        <w:ind w:firstLine="494" w:firstLineChars="206"/>
        <w:rPr>
          <w:rFonts w:ascii="宋体" w:hAnsi="宋体" w:eastAsia="宋体" w:cs="宋体"/>
          <w:color w:val="auto"/>
          <w:kern w:val="0"/>
          <w:sz w:val="24"/>
          <w:szCs w:val="24"/>
          <w:highlight w:val="none"/>
        </w:rPr>
      </w:pPr>
    </w:p>
    <w:p w14:paraId="5DC49AFC">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2C941D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6344C493">
      <w:pPr>
        <w:rPr>
          <w:rFonts w:ascii="宋体" w:hAnsi="宋体" w:eastAsia="宋体" w:cs="宋体"/>
          <w:color w:val="auto"/>
          <w:szCs w:val="24"/>
          <w:highlight w:val="none"/>
          <w:lang w:val="zh-CN"/>
        </w:rPr>
      </w:pPr>
      <w:bookmarkStart w:id="611" w:name="_Toc140596934"/>
      <w:bookmarkStart w:id="612" w:name="_Toc142508374"/>
      <w:bookmarkStart w:id="613" w:name="_Toc104991881"/>
      <w:bookmarkStart w:id="614" w:name="_Toc6412"/>
      <w:bookmarkStart w:id="615" w:name="_Toc94107215"/>
      <w:bookmarkStart w:id="616" w:name="_Toc102860079"/>
      <w:bookmarkStart w:id="617" w:name="_Toc2031_WPSOffice_Level2"/>
      <w:bookmarkStart w:id="618" w:name="_Toc486167714"/>
      <w:bookmarkStart w:id="619" w:name="_Toc533708126"/>
      <w:bookmarkStart w:id="620" w:name="_Toc30939"/>
      <w:bookmarkStart w:id="621" w:name="_Toc102860423"/>
      <w:bookmarkStart w:id="622" w:name="_Toc1977731"/>
      <w:r>
        <w:rPr>
          <w:rFonts w:ascii="宋体" w:hAnsi="宋体" w:eastAsia="宋体" w:cs="宋体"/>
          <w:color w:val="auto"/>
          <w:szCs w:val="24"/>
          <w:highlight w:val="none"/>
          <w:lang w:val="zh-CN"/>
        </w:rPr>
        <w:br w:type="page"/>
      </w:r>
    </w:p>
    <w:p w14:paraId="0177C335">
      <w:pPr>
        <w:tabs>
          <w:tab w:val="left" w:pos="567"/>
        </w:tabs>
        <w:autoSpaceDE w:val="0"/>
        <w:autoSpaceDN w:val="0"/>
        <w:adjustRightInd w:val="0"/>
        <w:spacing w:line="360" w:lineRule="auto"/>
        <w:jc w:val="left"/>
        <w:outlineLvl w:val="1"/>
        <w:rPr>
          <w:rFonts w:ascii="宋体" w:hAnsi="宋体" w:eastAsia="宋体" w:cs="Times New Roman"/>
          <w:color w:val="auto"/>
          <w:kern w:val="0"/>
          <w:szCs w:val="21"/>
          <w:highlight w:val="none"/>
          <w:u w:val="single"/>
        </w:rPr>
      </w:pPr>
      <w:bookmarkStart w:id="623" w:name="_Toc25762"/>
      <w:bookmarkStart w:id="624"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0E283AF">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625" w:name="_Toc2773_WPSOffice_Level3"/>
      <w:bookmarkStart w:id="626" w:name="_Toc14450"/>
      <w:r>
        <w:rPr>
          <w:rFonts w:hint="eastAsia" w:ascii="宋体" w:hAnsi="宋体" w:eastAsia="宋体" w:cs="宋体"/>
          <w:b/>
          <w:bCs/>
          <w:color w:val="auto"/>
          <w:sz w:val="30"/>
          <w:szCs w:val="30"/>
          <w:highlight w:val="none"/>
          <w:lang w:val="zh-CN"/>
        </w:rPr>
        <w:t>投标人基本情况一览表</w:t>
      </w:r>
      <w:bookmarkEnd w:id="625"/>
      <w:bookmarkEnd w:id="626"/>
    </w:p>
    <w:p w14:paraId="29C0B63D">
      <w:pPr>
        <w:autoSpaceDE w:val="0"/>
        <w:autoSpaceDN w:val="0"/>
        <w:adjustRightInd w:val="0"/>
        <w:spacing w:line="360" w:lineRule="auto"/>
        <w:ind w:firstLine="420"/>
        <w:outlineLvl w:val="0"/>
        <w:rPr>
          <w:rFonts w:ascii="宋体" w:hAnsi="宋体" w:eastAsia="宋体" w:cs="宋体"/>
          <w:color w:val="auto"/>
          <w:szCs w:val="21"/>
          <w:highlight w:val="none"/>
        </w:rPr>
      </w:pPr>
      <w:bookmarkStart w:id="627" w:name="_Toc6119"/>
      <w:r>
        <w:rPr>
          <w:rFonts w:hint="eastAsia" w:ascii="宋体" w:hAnsi="宋体" w:eastAsia="宋体" w:cs="宋体"/>
          <w:color w:val="auto"/>
          <w:szCs w:val="21"/>
          <w:highlight w:val="none"/>
          <w:lang w:val="zh-CN"/>
        </w:rPr>
        <w:t>1．名称及概况：</w:t>
      </w:r>
      <w:bookmarkEnd w:id="627"/>
    </w:p>
    <w:p w14:paraId="5EB9AE9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528F032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B6EBBAC">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3876FEB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4CE33E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2F2BAF5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F732EB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F50AA3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458FE8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1B1D842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454D0C5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5A5840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3CE5C5E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243B6E08">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3E0BB8A8">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C9FE9F5">
      <w:pPr>
        <w:autoSpaceDE w:val="0"/>
        <w:autoSpaceDN w:val="0"/>
        <w:adjustRightInd w:val="0"/>
        <w:spacing w:line="360" w:lineRule="auto"/>
        <w:ind w:firstLine="420"/>
        <w:outlineLvl w:val="0"/>
        <w:rPr>
          <w:rFonts w:ascii="宋体" w:hAnsi="宋体" w:eastAsia="宋体" w:cs="宋体"/>
          <w:color w:val="auto"/>
          <w:szCs w:val="24"/>
          <w:highlight w:val="none"/>
        </w:rPr>
      </w:pPr>
      <w:bookmarkStart w:id="628" w:name="_Toc32269"/>
      <w:r>
        <w:rPr>
          <w:rFonts w:hint="eastAsia" w:ascii="宋体" w:hAnsi="宋体" w:eastAsia="宋体" w:cs="宋体"/>
          <w:color w:val="auto"/>
          <w:szCs w:val="24"/>
          <w:highlight w:val="none"/>
          <w:lang w:val="zh-CN"/>
        </w:rPr>
        <w:t>4. 提交资料（包括但不限于组织架构、公司简介等）：</w:t>
      </w:r>
      <w:bookmarkEnd w:id="628"/>
    </w:p>
    <w:p w14:paraId="5DC7BFB6">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29" w:name="_Toc15996"/>
      <w:r>
        <w:rPr>
          <w:rFonts w:hint="eastAsia" w:ascii="宋体" w:hAnsi="宋体" w:eastAsia="宋体" w:cs="宋体"/>
          <w:color w:val="auto"/>
          <w:szCs w:val="24"/>
          <w:highlight w:val="none"/>
          <w:lang w:val="zh-CN"/>
        </w:rPr>
        <w:t>（1）公司简介；</w:t>
      </w:r>
      <w:bookmarkEnd w:id="629"/>
    </w:p>
    <w:p w14:paraId="705C972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0ACF49F4">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30" w:name="_Toc25406"/>
      <w:r>
        <w:rPr>
          <w:rFonts w:hint="eastAsia" w:ascii="宋体" w:hAnsi="宋体" w:eastAsia="宋体" w:cs="宋体"/>
          <w:color w:val="auto"/>
          <w:szCs w:val="24"/>
          <w:highlight w:val="none"/>
          <w:lang w:val="zh-CN"/>
        </w:rPr>
        <w:t>（2）公司组织架构；</w:t>
      </w:r>
      <w:bookmarkEnd w:id="630"/>
    </w:p>
    <w:p w14:paraId="29C0B422">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12380B2E">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13062CD3">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572F8282">
      <w:pPr>
        <w:autoSpaceDE w:val="0"/>
        <w:autoSpaceDN w:val="0"/>
        <w:adjustRightInd w:val="0"/>
        <w:spacing w:line="360" w:lineRule="auto"/>
        <w:ind w:firstLine="420" w:firstLineChars="200"/>
        <w:rPr>
          <w:rFonts w:ascii="宋体" w:hAnsi="宋体" w:eastAsia="宋体" w:cs="宋体"/>
          <w:color w:val="auto"/>
          <w:szCs w:val="24"/>
          <w:highlight w:val="none"/>
        </w:rPr>
      </w:pPr>
    </w:p>
    <w:p w14:paraId="4883481C">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740BC0B8">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E85B13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31" w:name="_Toc10443"/>
      <w:bookmarkStart w:id="632" w:name="_Toc102860080"/>
      <w:bookmarkStart w:id="633" w:name="_Toc142508375"/>
      <w:bookmarkStart w:id="634" w:name="_Toc104991882"/>
      <w:bookmarkStart w:id="635" w:name="_Toc18103"/>
      <w:bookmarkStart w:id="636" w:name="_Toc4023"/>
      <w:bookmarkStart w:id="637" w:name="_Toc29014"/>
      <w:bookmarkStart w:id="638" w:name="_Toc102860424"/>
      <w:bookmarkStart w:id="639" w:name="_Toc140596935"/>
      <w:bookmarkStart w:id="640" w:name="_Toc94107216"/>
      <w:bookmarkStart w:id="641" w:name="_Toc1977733"/>
      <w:bookmarkStart w:id="642" w:name="_Toc486167715"/>
      <w:bookmarkStart w:id="643" w:name="_Toc9051_WPSOffice_Level2"/>
      <w:bookmarkStart w:id="644"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31"/>
      <w:bookmarkEnd w:id="632"/>
      <w:bookmarkEnd w:id="633"/>
      <w:bookmarkEnd w:id="634"/>
      <w:bookmarkEnd w:id="635"/>
      <w:bookmarkEnd w:id="636"/>
      <w:bookmarkEnd w:id="637"/>
      <w:bookmarkEnd w:id="638"/>
      <w:bookmarkEnd w:id="639"/>
      <w:bookmarkEnd w:id="640"/>
    </w:p>
    <w:p w14:paraId="484CB647">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54C0A58E">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B3A6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FD9D2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43F569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D73238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7C11D3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09A56D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4720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DC3717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5EDB8D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0AB88D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36B08D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76AB8C8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6BC4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91AF2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46C398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88EF8A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75B227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B5E35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7773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501B1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789CA2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7267DB5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260A9B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0220A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A3E6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DEBD89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49BE7D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C4316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34FC48FE">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EF3EBD4">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ECB789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B73BD95">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7853731B">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pgNumType w:fmt="decimal"/>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41"/>
    <w:bookmarkEnd w:id="642"/>
    <w:bookmarkEnd w:id="643"/>
    <w:bookmarkEnd w:id="644"/>
    <w:p w14:paraId="2AE09096">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45" w:name="_Toc17995"/>
      <w:bookmarkStart w:id="646" w:name="_Toc142508376"/>
      <w:bookmarkStart w:id="647" w:name="_Toc739_WPSOffice_Level2"/>
      <w:bookmarkStart w:id="648" w:name="_Toc104991883"/>
      <w:bookmarkStart w:id="649" w:name="_Toc140596936"/>
      <w:bookmarkStart w:id="650" w:name="_Toc102860081"/>
      <w:bookmarkStart w:id="651" w:name="_Toc533708130"/>
      <w:bookmarkStart w:id="652" w:name="_Toc94107217"/>
      <w:bookmarkStart w:id="653" w:name="_Toc26821"/>
      <w:bookmarkStart w:id="654" w:name="_Toc23357"/>
      <w:bookmarkStart w:id="655" w:name="_Toc1977736"/>
      <w:bookmarkStart w:id="656" w:name="_Toc102860425"/>
      <w:bookmarkStart w:id="657" w:name="_Toc333"/>
      <w:bookmarkStart w:id="658" w:name="_Toc48616771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4F4B65D5">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59" w:name="_Toc26412_WPSOffice_Level3"/>
      <w:r>
        <w:rPr>
          <w:rFonts w:hint="eastAsia" w:ascii="宋体" w:hAnsi="宋体" w:eastAsia="宋体" w:cs="宋体"/>
          <w:b/>
          <w:bCs/>
          <w:color w:val="auto"/>
          <w:kern w:val="0"/>
          <w:sz w:val="28"/>
          <w:szCs w:val="30"/>
          <w:highlight w:val="none"/>
          <w:lang w:val="zh-CN"/>
        </w:rPr>
        <w:t>东莞市涉水收费统一征收平台2025年度运维服务项目合同条款偏离表</w:t>
      </w:r>
      <w:bookmarkEnd w:id="659"/>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4181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08C71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47522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ED2FCF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77C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EE6E3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2B06E2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3FFE89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474A14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3E3910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F3D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1D957BB">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6DC2FD82">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第一条</w:t>
            </w:r>
          </w:p>
        </w:tc>
        <w:tc>
          <w:tcPr>
            <w:tcW w:w="3055" w:type="dxa"/>
            <w:vAlign w:val="center"/>
          </w:tcPr>
          <w:p w14:paraId="41589084">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合同项目</w:t>
            </w:r>
          </w:p>
        </w:tc>
        <w:tc>
          <w:tcPr>
            <w:tcW w:w="1346" w:type="dxa"/>
            <w:vAlign w:val="center"/>
          </w:tcPr>
          <w:p w14:paraId="59F289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1985B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3C0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46BEFE">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D2DB3E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第二条</w:t>
            </w:r>
          </w:p>
        </w:tc>
        <w:tc>
          <w:tcPr>
            <w:tcW w:w="3055" w:type="dxa"/>
            <w:vAlign w:val="center"/>
          </w:tcPr>
          <w:p w14:paraId="626DFAC3">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合同组成</w:t>
            </w:r>
          </w:p>
        </w:tc>
        <w:tc>
          <w:tcPr>
            <w:tcW w:w="1346" w:type="dxa"/>
            <w:vAlign w:val="center"/>
          </w:tcPr>
          <w:p w14:paraId="49DF11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F0AA18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EC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08148D">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6DB7819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w:t>
            </w:r>
            <w:r>
              <w:rPr>
                <w:rFonts w:hint="eastAsia" w:ascii="宋体" w:hAnsi="宋体" w:eastAsia="宋体" w:cs="Times New Roman"/>
                <w:color w:val="auto"/>
                <w:kern w:val="0"/>
                <w:szCs w:val="21"/>
                <w:highlight w:val="none"/>
                <w:lang w:val="en-US" w:eastAsia="zh-CN"/>
              </w:rPr>
              <w:t>三</w:t>
            </w:r>
            <w:r>
              <w:rPr>
                <w:rFonts w:hint="default" w:ascii="宋体" w:hAnsi="宋体" w:eastAsia="宋体" w:cs="Times New Roman"/>
                <w:color w:val="auto"/>
                <w:kern w:val="0"/>
                <w:szCs w:val="21"/>
                <w:highlight w:val="none"/>
              </w:rPr>
              <w:t>条</w:t>
            </w:r>
          </w:p>
        </w:tc>
        <w:tc>
          <w:tcPr>
            <w:tcW w:w="3055" w:type="dxa"/>
            <w:vAlign w:val="center"/>
          </w:tcPr>
          <w:p w14:paraId="3A3975A3">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服务内容、标准及要求</w:t>
            </w:r>
            <w:r>
              <w:rPr>
                <w:rFonts w:hint="default" w:ascii="宋体" w:hAnsi="宋体" w:eastAsia="宋体" w:cs="Times New Roman"/>
                <w:color w:val="auto"/>
                <w:kern w:val="0"/>
                <w:szCs w:val="21"/>
                <w:highlight w:val="none"/>
                <w:lang w:eastAsia="zh-CN"/>
              </w:rPr>
              <w:t>、</w:t>
            </w:r>
            <w:r>
              <w:rPr>
                <w:rFonts w:hint="default" w:ascii="宋体" w:hAnsi="宋体" w:eastAsia="宋体" w:cs="Times New Roman"/>
                <w:color w:val="auto"/>
                <w:kern w:val="0"/>
                <w:szCs w:val="21"/>
                <w:highlight w:val="none"/>
                <w:lang w:val="en-US" w:eastAsia="zh-CN"/>
              </w:rPr>
              <w:t>响应时间</w:t>
            </w:r>
          </w:p>
        </w:tc>
        <w:tc>
          <w:tcPr>
            <w:tcW w:w="1346" w:type="dxa"/>
            <w:vAlign w:val="center"/>
          </w:tcPr>
          <w:p w14:paraId="3E3879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49B51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E3E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15DDD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073B87F">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第四条</w:t>
            </w:r>
          </w:p>
        </w:tc>
        <w:tc>
          <w:tcPr>
            <w:tcW w:w="3055" w:type="dxa"/>
            <w:vAlign w:val="center"/>
          </w:tcPr>
          <w:p w14:paraId="22C889A2">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价格</w:t>
            </w:r>
          </w:p>
        </w:tc>
        <w:tc>
          <w:tcPr>
            <w:tcW w:w="1346" w:type="dxa"/>
            <w:vAlign w:val="center"/>
          </w:tcPr>
          <w:p w14:paraId="7770DF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5763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49A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267A25">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3C49193">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第五条</w:t>
            </w:r>
          </w:p>
        </w:tc>
        <w:tc>
          <w:tcPr>
            <w:tcW w:w="3055" w:type="dxa"/>
            <w:vAlign w:val="center"/>
          </w:tcPr>
          <w:p w14:paraId="17978DE2">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履约担保</w:t>
            </w:r>
          </w:p>
        </w:tc>
        <w:tc>
          <w:tcPr>
            <w:tcW w:w="1346" w:type="dxa"/>
            <w:vAlign w:val="center"/>
          </w:tcPr>
          <w:p w14:paraId="1B8779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74DA6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F7E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94E913">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4146C0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lang w:val="en-US" w:eastAsia="zh-CN"/>
              </w:rPr>
              <w:t>第六条</w:t>
            </w:r>
          </w:p>
        </w:tc>
        <w:tc>
          <w:tcPr>
            <w:tcW w:w="3055" w:type="dxa"/>
            <w:vAlign w:val="center"/>
          </w:tcPr>
          <w:p w14:paraId="76EB532B">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服务期限及地点</w:t>
            </w:r>
          </w:p>
        </w:tc>
        <w:tc>
          <w:tcPr>
            <w:tcW w:w="1346" w:type="dxa"/>
            <w:vAlign w:val="center"/>
          </w:tcPr>
          <w:p w14:paraId="1FF19A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D9F5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A62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F7926B">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25A423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w:t>
            </w:r>
            <w:r>
              <w:rPr>
                <w:rFonts w:hint="default" w:ascii="宋体" w:hAnsi="宋体" w:eastAsia="宋体" w:cs="Times New Roman"/>
                <w:color w:val="auto"/>
                <w:kern w:val="0"/>
                <w:szCs w:val="21"/>
                <w:highlight w:val="none"/>
                <w:lang w:eastAsia="zh-CN"/>
              </w:rPr>
              <w:t>七</w:t>
            </w:r>
            <w:r>
              <w:rPr>
                <w:rFonts w:hint="default" w:ascii="宋体" w:hAnsi="宋体" w:eastAsia="宋体" w:cs="Times New Roman"/>
                <w:color w:val="auto"/>
                <w:kern w:val="0"/>
                <w:szCs w:val="21"/>
                <w:highlight w:val="none"/>
              </w:rPr>
              <w:t>条</w:t>
            </w:r>
          </w:p>
        </w:tc>
        <w:tc>
          <w:tcPr>
            <w:tcW w:w="3055" w:type="dxa"/>
            <w:vAlign w:val="center"/>
          </w:tcPr>
          <w:p w14:paraId="0442FC8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付款方式</w:t>
            </w:r>
          </w:p>
        </w:tc>
        <w:tc>
          <w:tcPr>
            <w:tcW w:w="1346" w:type="dxa"/>
            <w:vAlign w:val="center"/>
          </w:tcPr>
          <w:p w14:paraId="3D306F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C027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94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747C01">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7A2CAA8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w:t>
            </w:r>
            <w:r>
              <w:rPr>
                <w:rFonts w:hint="default" w:ascii="宋体" w:hAnsi="宋体" w:eastAsia="宋体" w:cs="Times New Roman"/>
                <w:color w:val="auto"/>
                <w:kern w:val="0"/>
                <w:szCs w:val="21"/>
                <w:highlight w:val="none"/>
                <w:lang w:val="en-US" w:eastAsia="zh-CN"/>
              </w:rPr>
              <w:t>八</w:t>
            </w:r>
            <w:r>
              <w:rPr>
                <w:rFonts w:hint="default" w:ascii="宋体" w:hAnsi="宋体" w:eastAsia="宋体" w:cs="Times New Roman"/>
                <w:color w:val="auto"/>
                <w:kern w:val="0"/>
                <w:szCs w:val="21"/>
                <w:highlight w:val="none"/>
              </w:rPr>
              <w:t>条</w:t>
            </w:r>
          </w:p>
        </w:tc>
        <w:tc>
          <w:tcPr>
            <w:tcW w:w="3055" w:type="dxa"/>
            <w:vAlign w:val="center"/>
          </w:tcPr>
          <w:p w14:paraId="776CD520">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其他约定</w:t>
            </w:r>
          </w:p>
        </w:tc>
        <w:tc>
          <w:tcPr>
            <w:tcW w:w="1346" w:type="dxa"/>
            <w:vAlign w:val="center"/>
          </w:tcPr>
          <w:p w14:paraId="18B6C3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EB916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08B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74569B">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1CEFD8C">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w:t>
            </w:r>
            <w:r>
              <w:rPr>
                <w:rFonts w:hint="default" w:ascii="宋体" w:hAnsi="宋体" w:eastAsia="宋体" w:cs="Times New Roman"/>
                <w:color w:val="auto"/>
                <w:kern w:val="0"/>
                <w:szCs w:val="21"/>
                <w:highlight w:val="none"/>
                <w:lang w:val="en-US" w:eastAsia="zh-CN"/>
              </w:rPr>
              <w:t>九</w:t>
            </w:r>
            <w:r>
              <w:rPr>
                <w:rFonts w:hint="default" w:ascii="宋体" w:hAnsi="宋体" w:eastAsia="宋体" w:cs="Times New Roman"/>
                <w:color w:val="auto"/>
                <w:kern w:val="0"/>
                <w:szCs w:val="21"/>
                <w:highlight w:val="none"/>
              </w:rPr>
              <w:t>条</w:t>
            </w:r>
          </w:p>
        </w:tc>
        <w:tc>
          <w:tcPr>
            <w:tcW w:w="3055" w:type="dxa"/>
            <w:vAlign w:val="center"/>
          </w:tcPr>
          <w:p w14:paraId="3E9F093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违约责任</w:t>
            </w:r>
          </w:p>
        </w:tc>
        <w:tc>
          <w:tcPr>
            <w:tcW w:w="1346" w:type="dxa"/>
            <w:vAlign w:val="center"/>
          </w:tcPr>
          <w:p w14:paraId="1E65F2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3E4F4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F93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75B1E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5EA1C9D3">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w:t>
            </w:r>
            <w:r>
              <w:rPr>
                <w:rFonts w:hint="default" w:ascii="宋体" w:hAnsi="宋体" w:eastAsia="宋体" w:cs="Times New Roman"/>
                <w:color w:val="auto"/>
                <w:kern w:val="0"/>
                <w:szCs w:val="21"/>
                <w:highlight w:val="none"/>
                <w:lang w:val="en-US" w:eastAsia="zh-CN"/>
              </w:rPr>
              <w:t>十</w:t>
            </w:r>
            <w:r>
              <w:rPr>
                <w:rFonts w:hint="default" w:ascii="宋体" w:hAnsi="宋体" w:eastAsia="宋体" w:cs="Times New Roman"/>
                <w:color w:val="auto"/>
                <w:kern w:val="0"/>
                <w:szCs w:val="21"/>
                <w:highlight w:val="none"/>
              </w:rPr>
              <w:t>条</w:t>
            </w:r>
          </w:p>
        </w:tc>
        <w:tc>
          <w:tcPr>
            <w:tcW w:w="3055" w:type="dxa"/>
            <w:vAlign w:val="center"/>
          </w:tcPr>
          <w:p w14:paraId="5AE08ACE">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争议的解决</w:t>
            </w:r>
          </w:p>
        </w:tc>
        <w:tc>
          <w:tcPr>
            <w:tcW w:w="1346" w:type="dxa"/>
            <w:vAlign w:val="center"/>
          </w:tcPr>
          <w:p w14:paraId="2573ED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13C12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1A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49C48F">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6A031456">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第十</w:t>
            </w:r>
            <w:r>
              <w:rPr>
                <w:rFonts w:hint="default" w:ascii="宋体" w:hAnsi="宋体" w:eastAsia="宋体" w:cs="Times New Roman"/>
                <w:color w:val="auto"/>
                <w:kern w:val="0"/>
                <w:szCs w:val="21"/>
                <w:highlight w:val="none"/>
                <w:lang w:val="en-US" w:eastAsia="zh-CN"/>
              </w:rPr>
              <w:t>一</w:t>
            </w:r>
            <w:r>
              <w:rPr>
                <w:rFonts w:hint="default" w:ascii="宋体" w:hAnsi="宋体" w:eastAsia="宋体" w:cs="Times New Roman"/>
                <w:color w:val="auto"/>
                <w:kern w:val="0"/>
                <w:szCs w:val="21"/>
                <w:highlight w:val="none"/>
              </w:rPr>
              <w:t>条</w:t>
            </w:r>
          </w:p>
        </w:tc>
        <w:tc>
          <w:tcPr>
            <w:tcW w:w="3055" w:type="dxa"/>
            <w:vAlign w:val="center"/>
          </w:tcPr>
          <w:p w14:paraId="5B960124">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合同生效</w:t>
            </w:r>
          </w:p>
        </w:tc>
        <w:tc>
          <w:tcPr>
            <w:tcW w:w="1346" w:type="dxa"/>
            <w:vAlign w:val="center"/>
          </w:tcPr>
          <w:p w14:paraId="7539A8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EA46A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FA3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4DAAB6">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04BA7D7F">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第十</w:t>
            </w:r>
            <w:r>
              <w:rPr>
                <w:rFonts w:hint="default" w:ascii="宋体" w:hAnsi="宋体" w:eastAsia="宋体" w:cs="Times New Roman"/>
                <w:color w:val="auto"/>
                <w:kern w:val="0"/>
                <w:szCs w:val="21"/>
                <w:highlight w:val="none"/>
                <w:lang w:val="en-US" w:eastAsia="zh-CN"/>
              </w:rPr>
              <w:t>二</w:t>
            </w:r>
            <w:r>
              <w:rPr>
                <w:rFonts w:hint="default" w:ascii="宋体" w:hAnsi="宋体" w:eastAsia="宋体" w:cs="Times New Roman"/>
                <w:color w:val="auto"/>
                <w:kern w:val="0"/>
                <w:szCs w:val="21"/>
                <w:highlight w:val="none"/>
              </w:rPr>
              <w:t>条</w:t>
            </w:r>
          </w:p>
        </w:tc>
        <w:tc>
          <w:tcPr>
            <w:tcW w:w="3055" w:type="dxa"/>
            <w:vAlign w:val="center"/>
          </w:tcPr>
          <w:p w14:paraId="3BFB89D5">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其他</w:t>
            </w:r>
          </w:p>
        </w:tc>
        <w:tc>
          <w:tcPr>
            <w:tcW w:w="1346" w:type="dxa"/>
            <w:vAlign w:val="center"/>
          </w:tcPr>
          <w:p w14:paraId="2B665F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4CC12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E03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98C3CC">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53B2B836">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附件</w:t>
            </w:r>
            <w:r>
              <w:rPr>
                <w:rFonts w:hint="default" w:ascii="宋体" w:hAnsi="宋体" w:eastAsia="宋体" w:cs="Times New Roman"/>
                <w:color w:val="auto"/>
                <w:kern w:val="0"/>
                <w:szCs w:val="21"/>
                <w:highlight w:val="none"/>
                <w:lang w:val="en-US" w:eastAsia="zh-CN"/>
              </w:rPr>
              <w:t>1</w:t>
            </w:r>
          </w:p>
        </w:tc>
        <w:tc>
          <w:tcPr>
            <w:tcW w:w="3055" w:type="dxa"/>
            <w:vAlign w:val="center"/>
          </w:tcPr>
          <w:p w14:paraId="1838117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廉洁协议书</w:t>
            </w:r>
          </w:p>
        </w:tc>
        <w:tc>
          <w:tcPr>
            <w:tcW w:w="1346" w:type="dxa"/>
            <w:vAlign w:val="center"/>
          </w:tcPr>
          <w:p w14:paraId="196E31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52999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362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7674F7">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4CC2EEDF">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附件</w:t>
            </w:r>
            <w:r>
              <w:rPr>
                <w:rFonts w:hint="default" w:ascii="宋体" w:hAnsi="宋体" w:eastAsia="宋体" w:cs="宋体"/>
                <w:color w:val="auto"/>
                <w:kern w:val="0"/>
                <w:szCs w:val="21"/>
                <w:highlight w:val="none"/>
                <w:lang w:val="en-US" w:eastAsia="zh-CN"/>
              </w:rPr>
              <w:t>2</w:t>
            </w:r>
          </w:p>
        </w:tc>
        <w:tc>
          <w:tcPr>
            <w:tcW w:w="3055" w:type="dxa"/>
            <w:vAlign w:val="center"/>
          </w:tcPr>
          <w:p w14:paraId="39C0270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安全生产管理协议</w:t>
            </w:r>
          </w:p>
        </w:tc>
        <w:tc>
          <w:tcPr>
            <w:tcW w:w="1346" w:type="dxa"/>
            <w:vAlign w:val="center"/>
          </w:tcPr>
          <w:p w14:paraId="116E47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2CB3B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30F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2CD2C7">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5F9621A1">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w:t>
            </w:r>
          </w:p>
        </w:tc>
        <w:tc>
          <w:tcPr>
            <w:tcW w:w="3055" w:type="dxa"/>
            <w:vAlign w:val="center"/>
          </w:tcPr>
          <w:p w14:paraId="2ACF468D">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b w:val="0"/>
                <w:bCs/>
                <w:color w:val="auto"/>
                <w:kern w:val="0"/>
                <w:sz w:val="21"/>
                <w:szCs w:val="21"/>
                <w:highlight w:val="none"/>
              </w:rPr>
              <w:t>不可撤销银行履约保函格式</w:t>
            </w:r>
          </w:p>
        </w:tc>
        <w:tc>
          <w:tcPr>
            <w:tcW w:w="1346" w:type="dxa"/>
            <w:vAlign w:val="center"/>
          </w:tcPr>
          <w:p w14:paraId="0708A8E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7BD0A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D86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44DA4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785E3BDB">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二</w:t>
            </w:r>
          </w:p>
        </w:tc>
        <w:tc>
          <w:tcPr>
            <w:tcW w:w="3055" w:type="dxa"/>
            <w:vAlign w:val="center"/>
          </w:tcPr>
          <w:p w14:paraId="590F0420">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履约保证保险凭证格式</w:t>
            </w:r>
          </w:p>
        </w:tc>
        <w:tc>
          <w:tcPr>
            <w:tcW w:w="1346" w:type="dxa"/>
            <w:vAlign w:val="center"/>
          </w:tcPr>
          <w:p w14:paraId="4583B0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436A4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020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0588B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17</w:t>
            </w:r>
          </w:p>
        </w:tc>
        <w:tc>
          <w:tcPr>
            <w:tcW w:w="1425" w:type="dxa"/>
            <w:vAlign w:val="center"/>
          </w:tcPr>
          <w:p w14:paraId="4230C74B">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三</w:t>
            </w:r>
          </w:p>
        </w:tc>
        <w:tc>
          <w:tcPr>
            <w:tcW w:w="3055" w:type="dxa"/>
            <w:vAlign w:val="center"/>
          </w:tcPr>
          <w:p w14:paraId="58F1DE55">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担保公司履约担保书格式</w:t>
            </w:r>
          </w:p>
        </w:tc>
        <w:tc>
          <w:tcPr>
            <w:tcW w:w="1346" w:type="dxa"/>
            <w:vAlign w:val="center"/>
          </w:tcPr>
          <w:p w14:paraId="6B86AC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B857C8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497B4E3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571DA81">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0CA7AA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398E46D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6561150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DB9DB77">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59AFF25D">
      <w:pPr>
        <w:spacing w:line="360" w:lineRule="auto"/>
        <w:ind w:left="357" w:leftChars="-100" w:hanging="567" w:hangingChars="270"/>
        <w:rPr>
          <w:rFonts w:ascii="宋体" w:hAnsi="宋体" w:eastAsia="宋体" w:cs="宋体"/>
          <w:color w:val="auto"/>
          <w:szCs w:val="21"/>
          <w:highlight w:val="none"/>
        </w:rPr>
      </w:pPr>
    </w:p>
    <w:p w14:paraId="3A95823D">
      <w:pPr>
        <w:spacing w:line="360" w:lineRule="auto"/>
        <w:ind w:left="357" w:leftChars="-100" w:hanging="567" w:hangingChars="270"/>
        <w:rPr>
          <w:rFonts w:ascii="宋体" w:hAnsi="宋体" w:eastAsia="宋体" w:cs="宋体"/>
          <w:color w:val="auto"/>
          <w:szCs w:val="21"/>
          <w:highlight w:val="none"/>
        </w:rPr>
      </w:pPr>
    </w:p>
    <w:p w14:paraId="4530A000">
      <w:pPr>
        <w:spacing w:line="360" w:lineRule="auto"/>
        <w:ind w:left="357" w:leftChars="-100" w:hanging="567" w:hangingChars="270"/>
        <w:rPr>
          <w:rFonts w:ascii="宋体" w:hAnsi="宋体" w:eastAsia="宋体" w:cs="宋体"/>
          <w:color w:val="auto"/>
          <w:szCs w:val="21"/>
          <w:highlight w:val="none"/>
        </w:rPr>
      </w:pPr>
    </w:p>
    <w:p w14:paraId="66FA25AB">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FF9EFF3">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839DA6F">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60" w:name="_Toc102860426"/>
      <w:bookmarkStart w:id="661" w:name="_Toc142508377"/>
      <w:bookmarkStart w:id="662" w:name="_Toc102860082"/>
      <w:bookmarkStart w:id="663" w:name="_Toc5473"/>
      <w:bookmarkStart w:id="664" w:name="_Toc1094"/>
      <w:bookmarkStart w:id="665" w:name="_Toc13179"/>
      <w:bookmarkStart w:id="666" w:name="_Toc140596937"/>
      <w:bookmarkStart w:id="667" w:name="_Toc29505"/>
      <w:bookmarkStart w:id="668" w:name="_Toc94107218"/>
      <w:bookmarkStart w:id="669" w:name="_Toc104991884"/>
      <w:bookmarkStart w:id="670" w:name="_Toc486167717"/>
      <w:bookmarkStart w:id="671"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60"/>
      <w:bookmarkEnd w:id="661"/>
      <w:bookmarkEnd w:id="662"/>
      <w:bookmarkEnd w:id="663"/>
      <w:bookmarkEnd w:id="664"/>
      <w:bookmarkEnd w:id="665"/>
      <w:bookmarkEnd w:id="666"/>
      <w:bookmarkEnd w:id="667"/>
      <w:bookmarkEnd w:id="668"/>
      <w:bookmarkEnd w:id="669"/>
    </w:p>
    <w:p w14:paraId="48B2EF83">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lang w:val="en-US" w:eastAsia="zh-CN"/>
        </w:rPr>
        <w:t>具有涉水收费统一征收系统（平台）类相关项目维护经验</w:t>
      </w:r>
      <w:r>
        <w:rPr>
          <w:rFonts w:hint="eastAsia" w:ascii="宋体" w:hAnsi="宋体" w:eastAsia="宋体" w:cs="宋体"/>
          <w:b/>
          <w:bCs/>
          <w:color w:val="auto"/>
          <w:sz w:val="32"/>
          <w:szCs w:val="32"/>
          <w:highlight w:val="none"/>
        </w:rPr>
        <w:t>业绩</w:t>
      </w:r>
      <w:r>
        <w:rPr>
          <w:rFonts w:hint="eastAsia" w:ascii="宋体" w:hAnsi="宋体" w:eastAsia="宋体" w:cs="宋体"/>
          <w:b/>
          <w:bCs/>
          <w:color w:val="auto"/>
          <w:sz w:val="32"/>
          <w:szCs w:val="32"/>
          <w:highlight w:val="none"/>
          <w:lang w:val="en-US" w:eastAsia="zh-CN"/>
        </w:rPr>
        <w:t>表</w:t>
      </w:r>
    </w:p>
    <w:tbl>
      <w:tblPr>
        <w:tblStyle w:val="39"/>
        <w:tblW w:w="4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03"/>
        <w:gridCol w:w="1018"/>
        <w:gridCol w:w="1018"/>
        <w:gridCol w:w="1020"/>
        <w:gridCol w:w="1021"/>
        <w:gridCol w:w="1191"/>
        <w:gridCol w:w="1021"/>
        <w:gridCol w:w="1021"/>
        <w:gridCol w:w="1021"/>
        <w:gridCol w:w="841"/>
      </w:tblGrid>
      <w:tr w14:paraId="2745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42" w:hRule="exact"/>
          <w:jc w:val="center"/>
        </w:trPr>
        <w:tc>
          <w:tcPr>
            <w:tcW w:w="356" w:type="pct"/>
            <w:vAlign w:val="center"/>
          </w:tcPr>
          <w:p w14:paraId="3788DE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5" w:type="pct"/>
            <w:vAlign w:val="center"/>
          </w:tcPr>
          <w:p w14:paraId="506189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15" w:type="pct"/>
            <w:vAlign w:val="center"/>
          </w:tcPr>
          <w:p w14:paraId="3259F1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516" w:type="pct"/>
            <w:vAlign w:val="center"/>
          </w:tcPr>
          <w:p w14:paraId="4E4553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16" w:type="pct"/>
            <w:vAlign w:val="center"/>
          </w:tcPr>
          <w:p w14:paraId="41DC6B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602" w:type="pct"/>
            <w:vAlign w:val="center"/>
          </w:tcPr>
          <w:p w14:paraId="577CCF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516" w:type="pct"/>
            <w:vAlign w:val="center"/>
          </w:tcPr>
          <w:p w14:paraId="32027B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516" w:type="pct"/>
            <w:vAlign w:val="center"/>
          </w:tcPr>
          <w:p w14:paraId="4EA18F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16" w:type="pct"/>
            <w:vAlign w:val="center"/>
          </w:tcPr>
          <w:p w14:paraId="79BFBB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25" w:type="pct"/>
            <w:vAlign w:val="center"/>
          </w:tcPr>
          <w:p w14:paraId="51F98C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902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7" w:hRule="exact"/>
          <w:jc w:val="center"/>
        </w:trPr>
        <w:tc>
          <w:tcPr>
            <w:tcW w:w="356" w:type="pct"/>
            <w:vAlign w:val="center"/>
          </w:tcPr>
          <w:p w14:paraId="10990F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043288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64E0D0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236902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3A41EA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2" w:type="pct"/>
            <w:vAlign w:val="center"/>
          </w:tcPr>
          <w:p w14:paraId="70F3D6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tcPr>
          <w:p w14:paraId="72E3B4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59BD1C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6BDBA7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25" w:type="pct"/>
            <w:vAlign w:val="center"/>
          </w:tcPr>
          <w:p w14:paraId="2F978A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42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7" w:hRule="exact"/>
          <w:jc w:val="center"/>
        </w:trPr>
        <w:tc>
          <w:tcPr>
            <w:tcW w:w="356" w:type="pct"/>
            <w:vAlign w:val="center"/>
          </w:tcPr>
          <w:p w14:paraId="186348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688E9B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079D8F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21C0CE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1E170E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2" w:type="pct"/>
            <w:vAlign w:val="center"/>
          </w:tcPr>
          <w:p w14:paraId="129537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tcPr>
          <w:p w14:paraId="309B4A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1CF870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664080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25" w:type="pct"/>
            <w:vAlign w:val="center"/>
          </w:tcPr>
          <w:p w14:paraId="3F8D67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DBC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7" w:hRule="exact"/>
          <w:jc w:val="center"/>
        </w:trPr>
        <w:tc>
          <w:tcPr>
            <w:tcW w:w="356" w:type="pct"/>
            <w:vAlign w:val="center"/>
          </w:tcPr>
          <w:p w14:paraId="1EA87C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10EB57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477ABF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61598C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54B6F8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2" w:type="pct"/>
            <w:vAlign w:val="center"/>
          </w:tcPr>
          <w:p w14:paraId="67ED95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tcPr>
          <w:p w14:paraId="266B4E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031B9B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15177B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25" w:type="pct"/>
            <w:vAlign w:val="center"/>
          </w:tcPr>
          <w:p w14:paraId="31F4E6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DA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77" w:hRule="exact"/>
          <w:jc w:val="center"/>
        </w:trPr>
        <w:tc>
          <w:tcPr>
            <w:tcW w:w="356" w:type="pct"/>
            <w:vAlign w:val="center"/>
          </w:tcPr>
          <w:p w14:paraId="47DDC4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47B264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5" w:type="pct"/>
            <w:vAlign w:val="center"/>
          </w:tcPr>
          <w:p w14:paraId="67810D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01951F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08D837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2" w:type="pct"/>
            <w:vAlign w:val="center"/>
          </w:tcPr>
          <w:p w14:paraId="0F22ED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tcPr>
          <w:p w14:paraId="420B9D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3EE87F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16" w:type="pct"/>
            <w:vAlign w:val="center"/>
          </w:tcPr>
          <w:p w14:paraId="5F7923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25" w:type="pct"/>
            <w:vAlign w:val="center"/>
          </w:tcPr>
          <w:p w14:paraId="2AC6AD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2BF00AEF">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9B47CD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A8A5CBC">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w:t>
      </w:r>
      <w:r>
        <w:rPr>
          <w:rFonts w:hint="eastAsia" w:ascii="宋体" w:hAnsi="宋体" w:eastAsia="宋体" w:cs="Times New Roman"/>
          <w:color w:val="auto"/>
          <w:szCs w:val="24"/>
          <w:highlight w:val="none"/>
          <w:lang w:val="en-US" w:eastAsia="zh-CN"/>
        </w:rPr>
        <w:t>合同期限</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en-US" w:eastAsia="zh-CN"/>
        </w:rPr>
        <w:t>长</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en-US" w:eastAsia="zh-CN"/>
        </w:rPr>
        <w:t>短</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；同一个单项合同的业绩可以同时在资格业绩和评分业绩重复放置</w:t>
      </w:r>
    </w:p>
    <w:p w14:paraId="2A7584F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宋体"/>
          <w:b/>
          <w:color w:val="auto"/>
          <w:szCs w:val="21"/>
        </w:rPr>
        <w:t>业绩须附合同复印件（合同服务提供方为投标人），否则不得分</w:t>
      </w:r>
      <w:r>
        <w:rPr>
          <w:rFonts w:hint="eastAsia" w:ascii="宋体" w:hAnsi="宋体" w:eastAsia="宋体" w:cs="Times New Roman"/>
          <w:color w:val="auto"/>
          <w:szCs w:val="24"/>
          <w:highlight w:val="none"/>
          <w:lang w:val="zh-CN"/>
        </w:rPr>
        <w:t>；</w:t>
      </w:r>
    </w:p>
    <w:p w14:paraId="6F06F78A">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w:t>
      </w:r>
      <w:r>
        <w:rPr>
          <w:rFonts w:hint="eastAsia" w:ascii="宋体" w:hAnsi="宋体" w:eastAsia="宋体" w:cs="宋体"/>
          <w:b/>
          <w:color w:val="auto"/>
          <w:szCs w:val="21"/>
          <w:lang w:val="en-US" w:eastAsia="zh-CN"/>
        </w:rPr>
        <w:t>如业绩为市级或以上涉水收费统一征收系统（平台）类相关项目的，佐证材料须体现涉水收费统一征收的特点，服务范围涵盖供水企业、政府相关行政部门（如财政局、城市综合管理局等），同时包含自来水费、污水处理费等费用的征收，投标人须提供合同关键页、系统功能界面截图等，并加盖公章作为佐证材料，否则还需提供服务购买方出具的书面补充说明文件复印件作为辅助证明（补充情况说明文件复印件能显示服务购买方公章），否则不得分；</w:t>
      </w:r>
    </w:p>
    <w:p w14:paraId="73869AD0">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Cs w:val="21"/>
          <w:highlight w:val="none"/>
          <w:lang w:val="en-US" w:eastAsia="zh-CN"/>
        </w:rPr>
        <w:t>若业绩为框架式协议或资格入围无明确金额的合同，必须同时提供合同期限内已服务发票金额统计表和发票复印件；</w:t>
      </w:r>
    </w:p>
    <w:p w14:paraId="523A69E7">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49DD5C3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8E0A75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471C514">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25E91B7E">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257547A8">
      <w:pPr>
        <w:pageBreakBefore/>
        <w:autoSpaceDE w:val="0"/>
        <w:autoSpaceDN w:val="0"/>
        <w:adjustRightInd w:val="0"/>
        <w:snapToGrid w:val="0"/>
        <w:spacing w:line="360" w:lineRule="auto"/>
        <w:ind w:left="673" w:leftChars="-57" w:right="420" w:hanging="793" w:hangingChars="247"/>
        <w:jc w:val="center"/>
        <w:rPr>
          <w:rFonts w:ascii="宋体" w:hAnsi="宋体" w:eastAsia="宋体" w:cs="宋体"/>
          <w:b/>
          <w:color w:val="auto"/>
          <w:sz w:val="32"/>
          <w:szCs w:val="32"/>
        </w:rPr>
      </w:pPr>
      <w:r>
        <w:rPr>
          <w:rFonts w:hint="eastAsia" w:ascii="宋体" w:hAnsi="宋体" w:eastAsia="宋体" w:cs="宋体"/>
          <w:b/>
          <w:color w:val="auto"/>
          <w:kern w:val="0"/>
          <w:sz w:val="32"/>
          <w:szCs w:val="32"/>
          <w:lang w:bidi="ar"/>
        </w:rPr>
        <w:t>附表：</w:t>
      </w:r>
      <w:r>
        <w:rPr>
          <w:rFonts w:hint="eastAsia" w:ascii="宋体" w:hAnsi="宋体" w:eastAsia="宋体" w:cs="宋体"/>
          <w:b/>
          <w:color w:val="auto"/>
          <w:kern w:val="0"/>
          <w:sz w:val="32"/>
          <w:szCs w:val="32"/>
          <w:lang w:val="en-US" w:eastAsia="zh-CN" w:bidi="ar"/>
        </w:rPr>
        <w:t>合同期限内已服务</w:t>
      </w:r>
      <w:r>
        <w:rPr>
          <w:rFonts w:hint="eastAsia" w:ascii="宋体" w:hAnsi="宋体" w:eastAsia="宋体" w:cs="宋体"/>
          <w:b/>
          <w:color w:val="auto"/>
          <w:kern w:val="0"/>
          <w:sz w:val="32"/>
          <w:szCs w:val="32"/>
          <w:lang w:bidi="ar"/>
        </w:rPr>
        <w:t>发票金额统计表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09"/>
        <w:gridCol w:w="1477"/>
      </w:tblGrid>
      <w:tr w14:paraId="0461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BDC17">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项目名称</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6F07539A">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r>
      <w:tr w14:paraId="79E7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E87FB3">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合同签订日期</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5A15883E">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r>
      <w:tr w14:paraId="5AD3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0F0375">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发票抬头（合同买方）</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78EEC901">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r>
      <w:tr w14:paraId="423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89A40C0">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序号</w:t>
            </w:r>
          </w:p>
        </w:tc>
        <w:tc>
          <w:tcPr>
            <w:tcW w:w="1654" w:type="pct"/>
            <w:tcBorders>
              <w:top w:val="single" w:color="auto" w:sz="4" w:space="0"/>
              <w:left w:val="nil"/>
              <w:bottom w:val="single" w:color="auto" w:sz="4" w:space="0"/>
              <w:right w:val="single" w:color="auto" w:sz="4" w:space="0"/>
            </w:tcBorders>
            <w:shd w:val="clear" w:color="auto" w:fill="auto"/>
            <w:vAlign w:val="center"/>
          </w:tcPr>
          <w:p w14:paraId="2F5999F8">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发票名目</w:t>
            </w:r>
          </w:p>
        </w:tc>
        <w:tc>
          <w:tcPr>
            <w:tcW w:w="807" w:type="pct"/>
            <w:tcBorders>
              <w:top w:val="single" w:color="auto" w:sz="4" w:space="0"/>
              <w:left w:val="nil"/>
              <w:bottom w:val="single" w:color="auto" w:sz="4" w:space="0"/>
              <w:right w:val="single" w:color="auto" w:sz="4" w:space="0"/>
            </w:tcBorders>
            <w:shd w:val="clear" w:color="auto" w:fill="auto"/>
            <w:vAlign w:val="center"/>
          </w:tcPr>
          <w:p w14:paraId="05A6CE23">
            <w:pPr>
              <w:pStyle w:val="35"/>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lang w:eastAsia="zh-CN"/>
              </w:rPr>
            </w:pPr>
            <w:r>
              <w:rPr>
                <w:rFonts w:hint="eastAsia" w:eastAsia="宋体" w:cs="宋体"/>
                <w:color w:val="auto"/>
                <w:sz w:val="21"/>
                <w:szCs w:val="21"/>
              </w:rPr>
              <w:t>发票金额</w:t>
            </w:r>
            <w:r>
              <w:rPr>
                <w:rFonts w:hint="eastAsia" w:eastAsia="宋体" w:cs="宋体"/>
                <w:color w:val="auto"/>
                <w:sz w:val="21"/>
                <w:szCs w:val="21"/>
              </w:rPr>
              <w:br w:type="textWrapping"/>
            </w:r>
            <w:r>
              <w:rPr>
                <w:rFonts w:hint="eastAsia" w:eastAsia="宋体" w:cs="宋体"/>
                <w:color w:val="auto"/>
                <w:sz w:val="21"/>
                <w:szCs w:val="21"/>
                <w:lang w:eastAsia="zh-CN"/>
              </w:rPr>
              <w:t>（</w:t>
            </w:r>
            <w:r>
              <w:rPr>
                <w:rFonts w:hint="eastAsia" w:eastAsia="宋体" w:cs="宋体"/>
                <w:color w:val="auto"/>
                <w:sz w:val="21"/>
                <w:szCs w:val="21"/>
                <w:lang w:val="en-US" w:eastAsia="zh-CN"/>
              </w:rPr>
              <w:t>万元</w:t>
            </w:r>
            <w:r>
              <w:rPr>
                <w:rFonts w:hint="eastAsia" w:eastAsia="宋体" w:cs="宋体"/>
                <w:color w:val="auto"/>
                <w:sz w:val="21"/>
                <w:szCs w:val="21"/>
                <w:lang w:eastAsia="zh-CN"/>
              </w:rPr>
              <w:t>）</w:t>
            </w:r>
          </w:p>
        </w:tc>
        <w:tc>
          <w:tcPr>
            <w:tcW w:w="562" w:type="pct"/>
            <w:tcBorders>
              <w:top w:val="single" w:color="auto" w:sz="4" w:space="0"/>
              <w:left w:val="nil"/>
              <w:bottom w:val="single" w:color="auto" w:sz="4" w:space="0"/>
              <w:right w:val="single" w:color="auto" w:sz="4" w:space="0"/>
            </w:tcBorders>
            <w:shd w:val="clear" w:color="auto" w:fill="auto"/>
            <w:vAlign w:val="center"/>
          </w:tcPr>
          <w:p w14:paraId="25816873">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发票号码</w:t>
            </w:r>
          </w:p>
        </w:tc>
        <w:tc>
          <w:tcPr>
            <w:tcW w:w="824" w:type="pct"/>
            <w:tcBorders>
              <w:top w:val="single" w:color="auto" w:sz="4" w:space="0"/>
              <w:left w:val="nil"/>
              <w:bottom w:val="single" w:color="auto" w:sz="4" w:space="0"/>
              <w:right w:val="single" w:color="auto" w:sz="4" w:space="0"/>
            </w:tcBorders>
            <w:shd w:val="clear" w:color="auto" w:fill="auto"/>
            <w:vAlign w:val="center"/>
          </w:tcPr>
          <w:p w14:paraId="63441899">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发票所属时期</w:t>
            </w:r>
          </w:p>
        </w:tc>
        <w:tc>
          <w:tcPr>
            <w:tcW w:w="712" w:type="pct"/>
            <w:tcBorders>
              <w:top w:val="single" w:color="auto" w:sz="4" w:space="0"/>
              <w:left w:val="nil"/>
              <w:bottom w:val="single" w:color="auto" w:sz="4" w:space="0"/>
              <w:right w:val="outset" w:color="auto" w:sz="6" w:space="0"/>
            </w:tcBorders>
            <w:shd w:val="clear" w:color="auto" w:fill="auto"/>
            <w:vAlign w:val="center"/>
          </w:tcPr>
          <w:p w14:paraId="7102F2A9">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rPr>
            </w:pPr>
            <w:r>
              <w:rPr>
                <w:rFonts w:hint="eastAsia" w:eastAsia="宋体" w:cs="宋体"/>
                <w:color w:val="auto"/>
                <w:sz w:val="21"/>
                <w:szCs w:val="21"/>
                <w:lang w:bidi="ar"/>
              </w:rPr>
              <w:t>备注</w:t>
            </w:r>
          </w:p>
        </w:tc>
      </w:tr>
      <w:tr w14:paraId="6E1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C374213">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1</w:t>
            </w:r>
          </w:p>
        </w:tc>
        <w:tc>
          <w:tcPr>
            <w:tcW w:w="1654" w:type="pct"/>
            <w:tcBorders>
              <w:top w:val="single" w:color="auto" w:sz="4" w:space="0"/>
              <w:left w:val="nil"/>
              <w:bottom w:val="single" w:color="auto" w:sz="4" w:space="0"/>
              <w:right w:val="single" w:color="auto" w:sz="4" w:space="0"/>
            </w:tcBorders>
            <w:shd w:val="clear" w:color="auto" w:fill="auto"/>
            <w:vAlign w:val="center"/>
          </w:tcPr>
          <w:p w14:paraId="17D6A7D2">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0329AB78">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7A2AAC81">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5AB2726B">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114E65EA">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rPr>
            </w:pPr>
          </w:p>
        </w:tc>
      </w:tr>
      <w:tr w14:paraId="41E4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6CABE5D">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2</w:t>
            </w:r>
          </w:p>
        </w:tc>
        <w:tc>
          <w:tcPr>
            <w:tcW w:w="1654" w:type="pct"/>
            <w:tcBorders>
              <w:top w:val="single" w:color="auto" w:sz="4" w:space="0"/>
              <w:left w:val="nil"/>
              <w:bottom w:val="single" w:color="auto" w:sz="4" w:space="0"/>
              <w:right w:val="single" w:color="auto" w:sz="4" w:space="0"/>
            </w:tcBorders>
            <w:shd w:val="clear" w:color="auto" w:fill="auto"/>
            <w:vAlign w:val="center"/>
          </w:tcPr>
          <w:p w14:paraId="112CB326">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020CA326">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1C5367F6">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6F0EA819">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5C61AD3">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rPr>
            </w:pPr>
          </w:p>
        </w:tc>
      </w:tr>
      <w:tr w14:paraId="4BB8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9964E90">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3</w:t>
            </w:r>
          </w:p>
        </w:tc>
        <w:tc>
          <w:tcPr>
            <w:tcW w:w="1654" w:type="pct"/>
            <w:tcBorders>
              <w:top w:val="single" w:color="auto" w:sz="4" w:space="0"/>
              <w:left w:val="nil"/>
              <w:bottom w:val="single" w:color="auto" w:sz="4" w:space="0"/>
              <w:right w:val="single" w:color="auto" w:sz="4" w:space="0"/>
            </w:tcBorders>
            <w:shd w:val="clear" w:color="auto" w:fill="auto"/>
            <w:vAlign w:val="center"/>
          </w:tcPr>
          <w:p w14:paraId="0233F8D8">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2095B8FD">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5BADA2F5">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166F1B63">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09C4A66F">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rPr>
            </w:pPr>
          </w:p>
        </w:tc>
      </w:tr>
      <w:tr w14:paraId="0338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CA665D1">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w:t>
            </w:r>
          </w:p>
        </w:tc>
        <w:tc>
          <w:tcPr>
            <w:tcW w:w="1654" w:type="pct"/>
            <w:tcBorders>
              <w:top w:val="single" w:color="auto" w:sz="4" w:space="0"/>
              <w:left w:val="nil"/>
              <w:bottom w:val="single" w:color="auto" w:sz="4" w:space="0"/>
              <w:right w:val="single" w:color="auto" w:sz="4" w:space="0"/>
            </w:tcBorders>
            <w:shd w:val="clear" w:color="auto" w:fill="auto"/>
            <w:vAlign w:val="center"/>
          </w:tcPr>
          <w:p w14:paraId="1DFAAF7B">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4271F83F">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0D80A483">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F81F17C">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49C796E">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rPr>
            </w:pPr>
          </w:p>
        </w:tc>
      </w:tr>
      <w:tr w14:paraId="6294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674B8B">
            <w:pPr>
              <w:pStyle w:val="35"/>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发票金额合计（单位：万元）</w:t>
            </w:r>
          </w:p>
        </w:tc>
        <w:tc>
          <w:tcPr>
            <w:tcW w:w="2905" w:type="pct"/>
            <w:gridSpan w:val="4"/>
            <w:tcBorders>
              <w:top w:val="single" w:color="auto" w:sz="4" w:space="0"/>
              <w:left w:val="nil"/>
              <w:bottom w:val="single" w:color="auto" w:sz="4" w:space="0"/>
              <w:right w:val="outset" w:color="auto" w:sz="6" w:space="0"/>
            </w:tcBorders>
            <w:shd w:val="clear" w:color="auto" w:fill="auto"/>
            <w:vAlign w:val="center"/>
          </w:tcPr>
          <w:p w14:paraId="7EC2F741">
            <w:pPr>
              <w:keepNext w:val="0"/>
              <w:keepLines w:val="0"/>
              <w:suppressLineNumbers w:val="0"/>
              <w:spacing w:before="0" w:beforeAutospacing="0" w:after="0" w:afterAutospacing="0"/>
              <w:ind w:left="0" w:right="0"/>
              <w:rPr>
                <w:rFonts w:hint="default" w:ascii="Calibri" w:hAnsi="Calibri" w:eastAsia="宋体" w:cs="Times New Roman"/>
                <w:color w:val="auto"/>
                <w:szCs w:val="21"/>
              </w:rPr>
            </w:pPr>
          </w:p>
        </w:tc>
      </w:tr>
    </w:tbl>
    <w:p w14:paraId="622D90C8">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rPr>
      </w:pPr>
      <w:r>
        <w:rPr>
          <w:rFonts w:hint="eastAsia" w:ascii="宋体" w:hAnsi="宋体" w:eastAsia="宋体" w:cs="宋体"/>
          <w:color w:val="auto"/>
          <w:szCs w:val="21"/>
          <w:lang w:bidi="ar"/>
        </w:rPr>
        <w:t xml:space="preserve"> </w:t>
      </w:r>
    </w:p>
    <w:p w14:paraId="5C05EFDA">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rPr>
      </w:pPr>
      <w:r>
        <w:rPr>
          <w:rFonts w:hint="eastAsia" w:ascii="宋体" w:hAnsi="宋体" w:eastAsia="宋体" w:cs="宋体"/>
          <w:color w:val="auto"/>
          <w:szCs w:val="21"/>
          <w:lang w:bidi="ar"/>
        </w:rPr>
        <w:t>备注：</w:t>
      </w:r>
    </w:p>
    <w:p w14:paraId="091409D6">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rPr>
      </w:pPr>
      <w:r>
        <w:rPr>
          <w:rFonts w:hint="eastAsia" w:ascii="宋体" w:hAnsi="宋体" w:eastAsia="宋体" w:cs="宋体"/>
          <w:color w:val="auto"/>
          <w:szCs w:val="21"/>
          <w:lang w:bidi="ar"/>
        </w:rPr>
        <w:t>（1）本统计表及供货发票复印件应后附于合同复印件；</w:t>
      </w:r>
    </w:p>
    <w:p w14:paraId="04DAB13D">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rPr>
      </w:pPr>
      <w:r>
        <w:rPr>
          <w:rFonts w:hint="eastAsia" w:ascii="宋体" w:hAnsi="宋体" w:eastAsia="宋体" w:cs="宋体"/>
          <w:color w:val="auto"/>
          <w:szCs w:val="21"/>
          <w:lang w:bidi="ar"/>
        </w:rPr>
        <w:t>（2）发票抬头应为合同买方，收款人应为合同卖方，且发票名目应与合同约定内容一致，否则不计分。</w:t>
      </w:r>
    </w:p>
    <w:p w14:paraId="0290B9D1">
      <w:pPr>
        <w:rPr>
          <w:rFonts w:ascii="宋体" w:hAnsi="宋体" w:eastAsia="宋体" w:cs="宋体"/>
          <w:b/>
          <w:bCs/>
          <w:color w:val="auto"/>
          <w:sz w:val="30"/>
          <w:szCs w:val="30"/>
          <w:lang w:bidi="ar"/>
        </w:rPr>
      </w:pPr>
    </w:p>
    <w:p w14:paraId="515C6D71">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670"/>
    <w:bookmarkEnd w:id="671"/>
    <w:p w14:paraId="55312E33">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72" w:name="_Toc533708132"/>
      <w:bookmarkStart w:id="673" w:name="_Toc11023"/>
      <w:bookmarkStart w:id="674" w:name="_Toc142508378"/>
      <w:bookmarkStart w:id="675" w:name="_Toc94107220"/>
      <w:bookmarkStart w:id="676" w:name="_Toc31965"/>
      <w:bookmarkStart w:id="677" w:name="_Toc18175_WPSOffice_Level2"/>
      <w:bookmarkStart w:id="678" w:name="_Toc140596938"/>
      <w:bookmarkStart w:id="679" w:name="_Toc102860427"/>
      <w:bookmarkStart w:id="680" w:name="_Toc102860083"/>
      <w:bookmarkStart w:id="681" w:name="_Toc486167719"/>
      <w:bookmarkStart w:id="682" w:name="_Toc104991885"/>
      <w:bookmarkStart w:id="683" w:name="_Toc18413"/>
      <w:bookmarkStart w:id="684" w:name="_Toc19890"/>
      <w:bookmarkStart w:id="685" w:name="_Toc1977737"/>
      <w:r>
        <w:rPr>
          <w:rFonts w:hint="eastAsia" w:ascii="宋体" w:hAnsi="宋体" w:eastAsia="宋体" w:cs="宋体"/>
          <w:b/>
          <w:bCs/>
          <w:color w:val="auto"/>
          <w:kern w:val="0"/>
          <w:sz w:val="32"/>
          <w:szCs w:val="32"/>
          <w:highlight w:val="none"/>
          <w:lang w:val="zh-CN"/>
        </w:rPr>
        <w:t>十、投标保证金汇入情况说明</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68A8825B">
      <w:pPr>
        <w:autoSpaceDE w:val="0"/>
        <w:autoSpaceDN w:val="0"/>
        <w:adjustRightInd w:val="0"/>
        <w:spacing w:line="360" w:lineRule="auto"/>
        <w:jc w:val="left"/>
        <w:rPr>
          <w:rFonts w:ascii="宋体" w:hAnsi="宋体" w:eastAsia="宋体" w:cs="宋体"/>
          <w:color w:val="auto"/>
          <w:szCs w:val="24"/>
          <w:highlight w:val="none"/>
        </w:rPr>
      </w:pPr>
    </w:p>
    <w:p w14:paraId="37FC0F90">
      <w:pPr>
        <w:autoSpaceDE w:val="0"/>
        <w:autoSpaceDN w:val="0"/>
        <w:adjustRightInd w:val="0"/>
        <w:spacing w:line="360" w:lineRule="auto"/>
        <w:jc w:val="center"/>
        <w:outlineLvl w:val="0"/>
        <w:rPr>
          <w:rFonts w:ascii="宋体" w:hAnsi="宋体" w:eastAsia="宋体" w:cs="宋体"/>
          <w:b/>
          <w:bCs/>
          <w:color w:val="auto"/>
          <w:kern w:val="0"/>
          <w:sz w:val="24"/>
          <w:szCs w:val="24"/>
          <w:highlight w:val="none"/>
        </w:rPr>
      </w:pPr>
      <w:bookmarkStart w:id="686" w:name="_Toc31832_WPSOffice_Level3"/>
      <w:bookmarkStart w:id="687" w:name="_Toc4092"/>
      <w:r>
        <w:rPr>
          <w:rFonts w:hint="eastAsia" w:ascii="宋体" w:hAnsi="宋体" w:eastAsia="宋体" w:cs="宋体"/>
          <w:b/>
          <w:bCs/>
          <w:color w:val="auto"/>
          <w:kern w:val="0"/>
          <w:sz w:val="24"/>
          <w:szCs w:val="24"/>
          <w:highlight w:val="none"/>
        </w:rPr>
        <w:t>投标保证金汇入情况说明</w:t>
      </w:r>
      <w:bookmarkEnd w:id="686"/>
      <w:bookmarkEnd w:id="687"/>
    </w:p>
    <w:p w14:paraId="2841007C">
      <w:pPr>
        <w:autoSpaceDE w:val="0"/>
        <w:autoSpaceDN w:val="0"/>
        <w:adjustRightInd w:val="0"/>
        <w:spacing w:line="360" w:lineRule="auto"/>
        <w:jc w:val="center"/>
        <w:rPr>
          <w:rFonts w:ascii="宋体" w:hAnsi="宋体" w:eastAsia="宋体" w:cs="宋体"/>
          <w:b/>
          <w:bCs/>
          <w:color w:val="auto"/>
          <w:kern w:val="0"/>
          <w:szCs w:val="24"/>
          <w:highlight w:val="none"/>
        </w:rPr>
      </w:pPr>
    </w:p>
    <w:p w14:paraId="6BCEE54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东莞市水务集团有限公司</w:t>
      </w:r>
      <w:r>
        <w:rPr>
          <w:rFonts w:hint="eastAsia" w:ascii="宋体" w:hAnsi="宋体" w:eastAsia="宋体" w:cs="宋体"/>
          <w:color w:val="auto"/>
          <w:szCs w:val="21"/>
          <w:highlight w:val="none"/>
        </w:rPr>
        <w:t>：</w:t>
      </w:r>
    </w:p>
    <w:p w14:paraId="0E94B74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东莞市涉水收费统一征收平台2025年度运维服务项目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YDZB24DGQY0208</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3AC5795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2DC2087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32BDE93A">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4CB06CD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12648CA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13B588A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46E294B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68D6C71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693F4D0E">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6DD0D88D">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8F87CA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06E7E5D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0FDFDF8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04C17F4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FFB1BC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57368D7E">
      <w:pPr>
        <w:spacing w:line="360" w:lineRule="auto"/>
        <w:ind w:left="340" w:leftChars="162" w:firstLine="425"/>
        <w:rPr>
          <w:rFonts w:ascii="宋体" w:hAnsi="宋体" w:eastAsia="宋体" w:cs="宋体"/>
          <w:b/>
          <w:bCs/>
          <w:color w:val="auto"/>
          <w:szCs w:val="21"/>
          <w:highlight w:val="none"/>
        </w:rPr>
      </w:pPr>
      <w:bookmarkStart w:id="688" w:name="_Toc26208_WPSOffice_Level3"/>
      <w:r>
        <w:rPr>
          <w:rFonts w:hint="eastAsia" w:ascii="宋体" w:hAnsi="宋体" w:eastAsia="宋体" w:cs="宋体"/>
          <w:b/>
          <w:bCs/>
          <w:color w:val="auto"/>
          <w:szCs w:val="21"/>
          <w:highlight w:val="none"/>
        </w:rPr>
        <w:t>附：1、我方投标保证金汇款凭证（复印件）</w:t>
      </w:r>
      <w:bookmarkEnd w:id="688"/>
    </w:p>
    <w:p w14:paraId="62964C6B">
      <w:pPr>
        <w:spacing w:line="360" w:lineRule="auto"/>
        <w:ind w:left="340" w:leftChars="162" w:firstLine="839" w:firstLineChars="398"/>
        <w:outlineLvl w:val="0"/>
        <w:rPr>
          <w:rFonts w:ascii="宋体" w:hAnsi="宋体" w:eastAsia="宋体" w:cs="宋体"/>
          <w:b/>
          <w:bCs/>
          <w:color w:val="auto"/>
          <w:szCs w:val="21"/>
          <w:highlight w:val="none"/>
        </w:rPr>
      </w:pPr>
      <w:bookmarkStart w:id="689" w:name="_Toc12992_WPSOffice_Level3"/>
      <w:bookmarkStart w:id="690" w:name="_Toc22671"/>
      <w:r>
        <w:rPr>
          <w:rFonts w:hint="eastAsia" w:ascii="宋体" w:hAnsi="宋体" w:eastAsia="宋体" w:cs="宋体"/>
          <w:b/>
          <w:bCs/>
          <w:color w:val="auto"/>
          <w:szCs w:val="21"/>
          <w:highlight w:val="none"/>
        </w:rPr>
        <w:t>2、我方基本账户开户许可证（复印件）</w:t>
      </w:r>
      <w:bookmarkEnd w:id="689"/>
      <w:bookmarkEnd w:id="690"/>
    </w:p>
    <w:p w14:paraId="13D13162">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397D3675">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549C31A7">
      <w:pPr>
        <w:spacing w:line="360" w:lineRule="auto"/>
        <w:rPr>
          <w:rFonts w:ascii="宋体" w:hAnsi="宋体" w:eastAsia="宋体" w:cs="宋体"/>
          <w:b/>
          <w:color w:val="auto"/>
          <w:kern w:val="0"/>
          <w:szCs w:val="21"/>
          <w:highlight w:val="none"/>
        </w:rPr>
      </w:pPr>
      <w:bookmarkStart w:id="691" w:name="_Toc533708134"/>
      <w:bookmarkStart w:id="692" w:name="_Toc486167721"/>
    </w:p>
    <w:p w14:paraId="6F1A1472">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93" w:name="_Toc140596939"/>
      <w:bookmarkStart w:id="694" w:name="_Toc104991886"/>
      <w:bookmarkStart w:id="695" w:name="_Toc142508379"/>
      <w:bookmarkStart w:id="696" w:name="_Toc94107221"/>
      <w:bookmarkStart w:id="697" w:name="_Toc1977738"/>
      <w:bookmarkStart w:id="698" w:name="_Toc102860428"/>
      <w:bookmarkStart w:id="699" w:name="_Toc102860084"/>
      <w:bookmarkStart w:id="700" w:name="_Toc24616"/>
    </w:p>
    <w:p w14:paraId="54048EA2">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4D09C48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pgNumType w:fmt="decimal"/>
          <w:cols w:space="720" w:num="1"/>
          <w:titlePg/>
          <w:docGrid w:linePitch="326" w:charSpace="0"/>
        </w:sectPr>
      </w:pPr>
      <w:bookmarkStart w:id="701" w:name="_Toc29652"/>
      <w:bookmarkStart w:id="702" w:name="_Toc20275"/>
      <w:bookmarkStart w:id="703" w:name="_Toc200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93"/>
      <w:bookmarkEnd w:id="694"/>
      <w:bookmarkEnd w:id="695"/>
      <w:bookmarkEnd w:id="696"/>
      <w:bookmarkEnd w:id="697"/>
      <w:bookmarkEnd w:id="698"/>
      <w:bookmarkEnd w:id="699"/>
      <w:bookmarkEnd w:id="700"/>
      <w:bookmarkEnd w:id="701"/>
      <w:bookmarkEnd w:id="702"/>
      <w:bookmarkEnd w:id="703"/>
    </w:p>
    <w:p w14:paraId="3CAB9BD9">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704" w:name="_Toc1977739"/>
      <w:bookmarkStart w:id="705" w:name="_Toc102860429"/>
      <w:bookmarkStart w:id="706" w:name="_Toc18038"/>
      <w:bookmarkStart w:id="707" w:name="_Toc31916"/>
      <w:bookmarkStart w:id="708" w:name="_Toc104991887"/>
      <w:bookmarkStart w:id="709" w:name="_Toc5849"/>
      <w:bookmarkStart w:id="710" w:name="_Toc142508380"/>
      <w:bookmarkStart w:id="711" w:name="_Toc27482"/>
      <w:bookmarkStart w:id="712" w:name="_Toc140596940"/>
      <w:bookmarkStart w:id="713" w:name="_Toc102860085"/>
      <w:bookmarkStart w:id="714" w:name="_Toc9410722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91"/>
      <w:bookmarkEnd w:id="704"/>
      <w:bookmarkEnd w:id="705"/>
      <w:bookmarkEnd w:id="706"/>
      <w:bookmarkEnd w:id="707"/>
      <w:bookmarkEnd w:id="708"/>
      <w:bookmarkEnd w:id="709"/>
      <w:bookmarkEnd w:id="710"/>
      <w:bookmarkEnd w:id="711"/>
      <w:bookmarkEnd w:id="712"/>
      <w:bookmarkEnd w:id="713"/>
      <w:bookmarkEnd w:id="714"/>
    </w:p>
    <w:p w14:paraId="6B335459">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7F1FA3B6">
      <w:pPr>
        <w:spacing w:line="360" w:lineRule="auto"/>
        <w:ind w:left="443" w:leftChars="77" w:hanging="281" w:hangingChars="134"/>
        <w:outlineLvl w:val="0"/>
        <w:rPr>
          <w:rFonts w:ascii="宋体" w:hAnsi="宋体" w:eastAsia="宋体" w:cs="宋体"/>
          <w:color w:val="auto"/>
          <w:kern w:val="0"/>
          <w:szCs w:val="21"/>
          <w:highlight w:val="none"/>
        </w:rPr>
      </w:pPr>
      <w:bookmarkStart w:id="715" w:name="_Toc10018"/>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bookmarkEnd w:id="715"/>
    </w:p>
    <w:p w14:paraId="34493F06">
      <w:pPr>
        <w:spacing w:line="360" w:lineRule="auto"/>
        <w:ind w:left="443" w:leftChars="77" w:hanging="281" w:hangingChars="134"/>
        <w:outlineLvl w:val="0"/>
        <w:rPr>
          <w:rFonts w:hint="eastAsia" w:ascii="宋体" w:hAnsi="宋体" w:eastAsia="宋体" w:cs="宋体"/>
          <w:color w:val="auto"/>
          <w:kern w:val="0"/>
          <w:szCs w:val="21"/>
          <w:highlight w:val="none"/>
        </w:rPr>
      </w:pPr>
      <w:bookmarkStart w:id="716" w:name="_Toc17096"/>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项目理解</w:t>
      </w:r>
      <w:r>
        <w:rPr>
          <w:rFonts w:hint="eastAsia" w:ascii="宋体" w:hAnsi="宋体" w:eastAsia="宋体" w:cs="宋体"/>
          <w:color w:val="auto"/>
          <w:kern w:val="0"/>
          <w:szCs w:val="21"/>
          <w:highlight w:val="none"/>
          <w:lang w:val="zh-CN"/>
        </w:rPr>
        <w:t>；</w:t>
      </w:r>
    </w:p>
    <w:p w14:paraId="13678980">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项目实施管理方案；</w:t>
      </w:r>
    </w:p>
    <w:p w14:paraId="56A7AAD9">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质量保证措施及承诺；</w:t>
      </w:r>
    </w:p>
    <w:p w14:paraId="1C5CF993">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运维服务方案；</w:t>
      </w:r>
    </w:p>
    <w:p w14:paraId="53E705DD">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6、人员配置</w:t>
      </w:r>
      <w:r>
        <w:rPr>
          <w:rFonts w:hint="eastAsia" w:ascii="宋体" w:hAnsi="宋体" w:eastAsia="宋体" w:cs="宋体"/>
          <w:color w:val="auto"/>
          <w:kern w:val="0"/>
          <w:szCs w:val="21"/>
          <w:highlight w:val="none"/>
          <w:lang w:eastAsia="zh-CN"/>
        </w:rPr>
        <w:t>；</w:t>
      </w:r>
    </w:p>
    <w:p w14:paraId="77C91677">
      <w:pPr>
        <w:spacing w:line="360" w:lineRule="auto"/>
        <w:ind w:left="443" w:leftChars="77" w:hanging="281" w:hangingChars="134"/>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服务响应能力</w:t>
      </w:r>
      <w:r>
        <w:rPr>
          <w:rFonts w:hint="eastAsia" w:ascii="宋体" w:hAnsi="宋体" w:eastAsia="宋体" w:cs="宋体"/>
          <w:color w:val="auto"/>
          <w:kern w:val="0"/>
          <w:szCs w:val="21"/>
          <w:highlight w:val="none"/>
          <w:lang w:eastAsia="zh-CN"/>
        </w:rPr>
        <w:t>；</w:t>
      </w:r>
    </w:p>
    <w:p w14:paraId="715C8AAB">
      <w:pPr>
        <w:spacing w:line="360" w:lineRule="auto"/>
        <w:ind w:left="443" w:leftChars="77" w:hanging="281" w:hangingChars="134"/>
        <w:outlineLvl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bookmarkEnd w:id="716"/>
    </w:p>
    <w:p w14:paraId="57526111">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92"/>
      <w:bookmarkStart w:id="717" w:name="_Toc533708135"/>
      <w:bookmarkStart w:id="718" w:name="_Toc104991888"/>
      <w:bookmarkStart w:id="719" w:name="_Toc102860430"/>
      <w:bookmarkStart w:id="720" w:name="_Toc140596941"/>
      <w:bookmarkStart w:id="721" w:name="_Toc142508381"/>
      <w:bookmarkStart w:id="722" w:name="_Toc102860086"/>
      <w:bookmarkStart w:id="723" w:name="_Toc1977740"/>
      <w:bookmarkStart w:id="724" w:name="_Toc94107223"/>
    </w:p>
    <w:p w14:paraId="13DEFE38">
      <w:pPr>
        <w:pStyle w:val="19"/>
        <w:spacing w:line="360" w:lineRule="auto"/>
        <w:jc w:val="center"/>
        <w:rPr>
          <w:rFonts w:hint="eastAsia" w:ascii="宋体" w:hAnsi="宋体" w:eastAsia="宋体" w:cs="宋体"/>
          <w:b/>
          <w:color w:val="auto"/>
          <w:kern w:val="0"/>
          <w:szCs w:val="21"/>
          <w:highlight w:val="none"/>
        </w:rPr>
      </w:pPr>
    </w:p>
    <w:p w14:paraId="3B118BE8">
      <w:pPr>
        <w:pStyle w:val="19"/>
        <w:spacing w:line="360" w:lineRule="auto"/>
        <w:jc w:val="center"/>
        <w:rPr>
          <w:rFonts w:hint="eastAsia" w:ascii="宋体" w:hAnsi="宋体" w:eastAsia="宋体" w:cs="宋体"/>
          <w:b/>
          <w:color w:val="auto"/>
          <w:kern w:val="0"/>
          <w:szCs w:val="21"/>
          <w:highlight w:val="none"/>
        </w:rPr>
      </w:pPr>
    </w:p>
    <w:p w14:paraId="358801D3">
      <w:pPr>
        <w:pStyle w:val="19"/>
        <w:spacing w:line="360" w:lineRule="auto"/>
        <w:jc w:val="center"/>
        <w:rPr>
          <w:rFonts w:hint="eastAsia" w:ascii="宋体" w:hAnsi="宋体" w:eastAsia="宋体" w:cs="宋体"/>
          <w:b/>
          <w:color w:val="auto"/>
          <w:kern w:val="0"/>
          <w:szCs w:val="21"/>
          <w:highlight w:val="none"/>
        </w:rPr>
      </w:pPr>
    </w:p>
    <w:p w14:paraId="1ACB1D40">
      <w:pPr>
        <w:pStyle w:val="19"/>
        <w:spacing w:line="360" w:lineRule="auto"/>
        <w:jc w:val="center"/>
        <w:rPr>
          <w:rFonts w:hint="eastAsia" w:ascii="宋体" w:hAnsi="宋体" w:eastAsia="宋体" w:cs="宋体"/>
          <w:b/>
          <w:color w:val="auto"/>
          <w:kern w:val="0"/>
          <w:szCs w:val="21"/>
          <w:highlight w:val="none"/>
        </w:rPr>
      </w:pPr>
    </w:p>
    <w:p w14:paraId="05D5E1E8">
      <w:pPr>
        <w:pStyle w:val="19"/>
        <w:spacing w:line="360" w:lineRule="auto"/>
        <w:jc w:val="center"/>
        <w:rPr>
          <w:rFonts w:hint="eastAsia" w:ascii="宋体" w:hAnsi="宋体" w:eastAsia="宋体" w:cs="宋体"/>
          <w:b/>
          <w:color w:val="auto"/>
          <w:kern w:val="0"/>
          <w:szCs w:val="21"/>
          <w:highlight w:val="none"/>
        </w:rPr>
      </w:pPr>
    </w:p>
    <w:p w14:paraId="08DF9D90">
      <w:pPr>
        <w:pStyle w:val="19"/>
        <w:spacing w:line="360" w:lineRule="auto"/>
        <w:jc w:val="center"/>
        <w:rPr>
          <w:rFonts w:hint="eastAsia" w:ascii="宋体" w:hAnsi="宋体" w:eastAsia="宋体" w:cs="宋体"/>
          <w:b/>
          <w:color w:val="auto"/>
          <w:kern w:val="0"/>
          <w:szCs w:val="21"/>
          <w:highlight w:val="none"/>
        </w:rPr>
      </w:pPr>
    </w:p>
    <w:p w14:paraId="69A7AE58">
      <w:pPr>
        <w:pStyle w:val="19"/>
        <w:spacing w:line="360" w:lineRule="auto"/>
        <w:jc w:val="center"/>
        <w:rPr>
          <w:rFonts w:hint="eastAsia" w:ascii="宋体" w:hAnsi="宋体" w:eastAsia="宋体" w:cs="宋体"/>
          <w:b/>
          <w:color w:val="auto"/>
          <w:kern w:val="0"/>
          <w:szCs w:val="21"/>
          <w:highlight w:val="none"/>
        </w:rPr>
      </w:pPr>
    </w:p>
    <w:p w14:paraId="7EABF895">
      <w:pPr>
        <w:pStyle w:val="19"/>
        <w:spacing w:line="360" w:lineRule="auto"/>
        <w:jc w:val="center"/>
        <w:rPr>
          <w:rFonts w:hint="eastAsia" w:ascii="宋体" w:hAnsi="宋体" w:eastAsia="宋体" w:cs="宋体"/>
          <w:b/>
          <w:color w:val="auto"/>
          <w:kern w:val="0"/>
          <w:szCs w:val="21"/>
          <w:highlight w:val="none"/>
        </w:rPr>
      </w:pPr>
    </w:p>
    <w:p w14:paraId="6D21B1EF">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DA4D246">
      <w:pPr>
        <w:pStyle w:val="19"/>
        <w:spacing w:line="360" w:lineRule="auto"/>
        <w:rPr>
          <w:rFonts w:hint="eastAsia" w:ascii="宋体" w:hAnsi="宋体" w:eastAsia="宋体" w:cs="宋体"/>
          <w:color w:val="auto"/>
          <w:highlight w:val="none"/>
        </w:rPr>
      </w:pPr>
    </w:p>
    <w:p w14:paraId="1B54D23B">
      <w:pPr>
        <w:pStyle w:val="19"/>
        <w:spacing w:line="360" w:lineRule="auto"/>
        <w:rPr>
          <w:rFonts w:hint="eastAsia" w:ascii="宋体" w:hAnsi="宋体" w:eastAsia="宋体" w:cs="宋体"/>
          <w:color w:val="auto"/>
          <w:highlight w:val="none"/>
        </w:rPr>
      </w:pPr>
    </w:p>
    <w:p w14:paraId="42EC3416">
      <w:pPr>
        <w:pStyle w:val="19"/>
        <w:spacing w:line="360" w:lineRule="auto"/>
        <w:rPr>
          <w:rFonts w:hint="eastAsia" w:ascii="宋体" w:hAnsi="宋体" w:eastAsia="宋体" w:cs="宋体"/>
          <w:color w:val="auto"/>
          <w:highlight w:val="none"/>
        </w:rPr>
      </w:pPr>
    </w:p>
    <w:p w14:paraId="17E095DC">
      <w:pPr>
        <w:pStyle w:val="19"/>
        <w:spacing w:line="360" w:lineRule="auto"/>
        <w:rPr>
          <w:rFonts w:hint="eastAsia" w:ascii="宋体" w:hAnsi="宋体" w:eastAsia="宋体" w:cs="宋体"/>
          <w:color w:val="auto"/>
          <w:highlight w:val="none"/>
        </w:rPr>
      </w:pPr>
    </w:p>
    <w:p w14:paraId="3D3BFAC4">
      <w:pPr>
        <w:pStyle w:val="19"/>
        <w:spacing w:line="360" w:lineRule="auto"/>
        <w:rPr>
          <w:rFonts w:hint="eastAsia" w:ascii="宋体" w:hAnsi="宋体" w:eastAsia="宋体" w:cs="宋体"/>
          <w:color w:val="auto"/>
          <w:highlight w:val="none"/>
        </w:rPr>
      </w:pPr>
    </w:p>
    <w:p w14:paraId="0EDD8025">
      <w:pPr>
        <w:pStyle w:val="19"/>
        <w:spacing w:line="360" w:lineRule="auto"/>
        <w:rPr>
          <w:rFonts w:hint="eastAsia" w:ascii="宋体" w:hAnsi="宋体" w:eastAsia="宋体" w:cs="宋体"/>
          <w:color w:val="auto"/>
          <w:highlight w:val="none"/>
        </w:rPr>
      </w:pPr>
    </w:p>
    <w:p w14:paraId="040AE9BF">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4868517E">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FA118D6">
      <w:pPr>
        <w:pStyle w:val="19"/>
        <w:spacing w:line="360" w:lineRule="auto"/>
        <w:ind w:firstLine="1875" w:firstLineChars="625"/>
        <w:outlineLvl w:val="1"/>
        <w:rPr>
          <w:rFonts w:hint="eastAsia" w:ascii="宋体" w:hAnsi="宋体" w:eastAsia="宋体" w:cs="宋体"/>
          <w:color w:val="auto"/>
          <w:sz w:val="30"/>
          <w:highlight w:val="none"/>
          <w:u w:val="single"/>
        </w:rPr>
      </w:pPr>
      <w:bookmarkStart w:id="725" w:name="_Toc17351"/>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725"/>
      <w:r>
        <w:rPr>
          <w:rFonts w:hint="eastAsia" w:ascii="宋体" w:hAnsi="宋体" w:eastAsia="宋体" w:cs="宋体"/>
          <w:color w:val="auto"/>
          <w:sz w:val="30"/>
          <w:highlight w:val="none"/>
          <w:u w:val="single"/>
        </w:rPr>
        <w:t xml:space="preserve"> </w:t>
      </w:r>
    </w:p>
    <w:p w14:paraId="4D10B2D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6C4CBB8">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A31D59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40CFEF5">
      <w:pPr>
        <w:pStyle w:val="19"/>
        <w:spacing w:line="360" w:lineRule="auto"/>
        <w:rPr>
          <w:rFonts w:hint="eastAsia" w:ascii="宋体" w:hAnsi="宋体" w:eastAsia="宋体" w:cs="宋体"/>
          <w:color w:val="auto"/>
          <w:highlight w:val="none"/>
        </w:rPr>
      </w:pPr>
    </w:p>
    <w:p w14:paraId="0E2A4CE4">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61362CF">
      <w:pPr>
        <w:pStyle w:val="19"/>
        <w:spacing w:line="360" w:lineRule="auto"/>
        <w:rPr>
          <w:rFonts w:hint="eastAsia" w:ascii="宋体" w:hAnsi="宋体" w:eastAsia="宋体" w:cs="宋体"/>
          <w:color w:val="auto"/>
          <w:highlight w:val="none"/>
        </w:rPr>
      </w:pPr>
    </w:p>
    <w:p w14:paraId="01C4329B">
      <w:pPr>
        <w:pBdr>
          <w:top w:val="none" w:color="auto" w:sz="0" w:space="0"/>
          <w:left w:val="none" w:color="auto" w:sz="0" w:space="0"/>
          <w:bottom w:val="none" w:color="auto" w:sz="0" w:space="0"/>
          <w:right w:val="none" w:color="auto" w:sz="0" w:space="0"/>
          <w:between w:val="none" w:color="auto" w:sz="0" w:space="0"/>
        </w:pBdr>
        <w:spacing w:line="480" w:lineRule="auto"/>
        <w:ind w:firstLine="630" w:firstLineChars="224"/>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投标文件</w:t>
      </w:r>
      <w:r>
        <w:rPr>
          <w:rFonts w:hint="eastAsia" w:ascii="宋体" w:hAnsi="宋体" w:eastAsia="宋体" w:cs="宋体"/>
          <w:b/>
          <w:bCs/>
          <w:color w:val="auto"/>
          <w:sz w:val="28"/>
          <w:szCs w:val="28"/>
          <w:highlight w:val="none"/>
          <w:lang w:val="en-US" w:eastAsia="zh-CN"/>
        </w:rPr>
        <w:t>技术</w:t>
      </w:r>
      <w:r>
        <w:rPr>
          <w:rFonts w:hint="eastAsia" w:ascii="宋体" w:hAnsi="宋体" w:eastAsia="宋体" w:cs="宋体"/>
          <w:b/>
          <w:bCs/>
          <w:color w:val="auto"/>
          <w:sz w:val="28"/>
          <w:szCs w:val="28"/>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140FFD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22FBB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91761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707A27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34E46D4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36462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05BF8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039A82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7" w:type="pct"/>
            <w:vAlign w:val="center"/>
          </w:tcPr>
          <w:p w14:paraId="4B9863B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0213B45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743AEC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0E7836">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65D5E85E">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7" w:type="pct"/>
            <w:vAlign w:val="center"/>
          </w:tcPr>
          <w:p w14:paraId="61653306">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DF50443">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65AA6E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935B8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4363D08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vAlign w:val="center"/>
          </w:tcPr>
          <w:p w14:paraId="020BA5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0AB4488">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4ECFA4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3FE9B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F3D1DF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570483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05B67EE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4860F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40124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6B258B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496B5E6B">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3DDFD59C">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0799A8D">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bookmarkStart w:id="726" w:name="_Toc22695"/>
      <w:bookmarkStart w:id="727" w:name="_Toc30448"/>
      <w:bookmarkStart w:id="728" w:name="_Toc27934"/>
      <w:bookmarkStart w:id="729" w:name="_Toc1899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717"/>
      <w:bookmarkEnd w:id="718"/>
      <w:bookmarkEnd w:id="719"/>
      <w:bookmarkEnd w:id="720"/>
      <w:bookmarkEnd w:id="721"/>
      <w:bookmarkEnd w:id="722"/>
      <w:bookmarkEnd w:id="723"/>
      <w:bookmarkEnd w:id="724"/>
      <w:bookmarkEnd w:id="726"/>
      <w:bookmarkEnd w:id="727"/>
      <w:bookmarkEnd w:id="728"/>
      <w:bookmarkEnd w:id="729"/>
    </w:p>
    <w:p w14:paraId="7FC9CBBB">
      <w:pPr>
        <w:spacing w:before="120" w:after="120" w:line="360" w:lineRule="auto"/>
        <w:jc w:val="center"/>
        <w:outlineLvl w:val="2"/>
        <w:rPr>
          <w:rFonts w:ascii="宋体" w:hAnsi="宋体" w:eastAsia="宋体" w:cs="Times New Roman"/>
          <w:color w:val="auto"/>
          <w:kern w:val="0"/>
          <w:szCs w:val="21"/>
          <w:highlight w:val="none"/>
        </w:rPr>
      </w:pPr>
      <w:bookmarkStart w:id="730" w:name="_Toc17449_WPSOffice_Level3"/>
      <w:bookmarkStart w:id="731" w:name="_Toc22370"/>
      <w:r>
        <w:rPr>
          <w:rFonts w:hint="eastAsia" w:ascii="宋体" w:hAnsi="宋体" w:eastAsia="宋体" w:cs="宋体"/>
          <w:b/>
          <w:color w:val="auto"/>
          <w:kern w:val="0"/>
          <w:sz w:val="30"/>
          <w:szCs w:val="30"/>
          <w:highlight w:val="none"/>
          <w:lang w:val="zh-CN"/>
        </w:rPr>
        <w:t>用户需求偏离表</w:t>
      </w:r>
      <w:bookmarkEnd w:id="730"/>
      <w:bookmarkEnd w:id="731"/>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52"/>
        <w:gridCol w:w="6413"/>
        <w:gridCol w:w="722"/>
        <w:gridCol w:w="867"/>
        <w:gridCol w:w="819"/>
      </w:tblGrid>
      <w:tr w14:paraId="2A7C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7E5EDBA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34C6AF9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0" w:type="pct"/>
            <w:gridSpan w:val="3"/>
            <w:vAlign w:val="center"/>
          </w:tcPr>
          <w:p w14:paraId="4FFAC48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6672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continue"/>
            <w:vAlign w:val="center"/>
          </w:tcPr>
          <w:p w14:paraId="68ACC35F">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59" w:type="pct"/>
            <w:vAlign w:val="center"/>
          </w:tcPr>
          <w:p w14:paraId="07A1DC8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7691BFA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3F093E5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1885E8F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3" w:type="pct"/>
            <w:vAlign w:val="center"/>
          </w:tcPr>
          <w:p w14:paraId="3F33B05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136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17A1F68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rPr>
              <w:t>1</w:t>
            </w:r>
          </w:p>
        </w:tc>
        <w:tc>
          <w:tcPr>
            <w:tcW w:w="952" w:type="dxa"/>
            <w:vAlign w:val="center"/>
          </w:tcPr>
          <w:p w14:paraId="60466511">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Times New Roman"/>
                <w:b/>
                <w:color w:val="auto"/>
                <w:kern w:val="0"/>
                <w:sz w:val="18"/>
                <w:szCs w:val="18"/>
                <w:highlight w:val="none"/>
              </w:rPr>
            </w:pPr>
            <w:r>
              <w:rPr>
                <w:rFonts w:hint="default" w:ascii="宋体" w:hAnsi="宋体" w:eastAsia="宋体" w:cs="宋体"/>
                <w:b w:val="0"/>
                <w:color w:val="auto"/>
                <w:kern w:val="0"/>
                <w:sz w:val="21"/>
                <w:szCs w:val="21"/>
                <w:highlight w:val="none"/>
                <w:lang w:val="en-US" w:eastAsia="zh-CN"/>
              </w:rPr>
              <w:t>二</w:t>
            </w:r>
          </w:p>
        </w:tc>
        <w:tc>
          <w:tcPr>
            <w:tcW w:w="6413" w:type="dxa"/>
            <w:vAlign w:val="center"/>
          </w:tcPr>
          <w:p w14:paraId="3B129389">
            <w:pPr>
              <w:keepNext w:val="0"/>
              <w:keepLines w:val="0"/>
              <w:suppressLineNumbers w:val="0"/>
              <w:autoSpaceDE/>
              <w:autoSpaceDN/>
              <w:adjustRightInd/>
              <w:spacing w:before="0" w:beforeAutospacing="0" w:after="0" w:afterAutospacing="0" w:line="400" w:lineRule="exact"/>
              <w:ind w:left="0" w:leftChars="0" w:right="0" w:rightChars="0"/>
              <w:jc w:val="left"/>
              <w:rPr>
                <w:rFonts w:hint="default" w:ascii="宋体" w:hAnsi="宋体" w:eastAsia="宋体" w:cs="Times New Roman"/>
                <w:color w:val="auto"/>
                <w:kern w:val="0"/>
                <w:sz w:val="18"/>
                <w:szCs w:val="18"/>
                <w:highlight w:val="none"/>
              </w:rPr>
            </w:pPr>
            <w:r>
              <w:rPr>
                <w:rFonts w:hint="default" w:ascii="宋体" w:hAnsi="宋体" w:eastAsia="宋体" w:cs="宋体"/>
                <w:color w:val="auto"/>
                <w:kern w:val="0"/>
                <w:sz w:val="21"/>
                <w:szCs w:val="21"/>
                <w:highlight w:val="none"/>
                <w:lang w:val="en-US" w:eastAsia="zh-CN"/>
              </w:rPr>
              <w:t>采购清单及周期</w:t>
            </w:r>
          </w:p>
        </w:tc>
        <w:tc>
          <w:tcPr>
            <w:tcW w:w="348" w:type="pct"/>
            <w:vAlign w:val="center"/>
          </w:tcPr>
          <w:p w14:paraId="70CD40E6">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218BA3AD">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6C82E8F6">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2F78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4336ED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14:paraId="3AD5FB1C">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Times New Roman"/>
                <w:color w:val="auto"/>
                <w:kern w:val="0"/>
                <w:sz w:val="18"/>
                <w:szCs w:val="18"/>
                <w:highlight w:val="none"/>
                <w:lang w:val="zh-CN"/>
              </w:rPr>
            </w:pPr>
            <w:r>
              <w:rPr>
                <w:rFonts w:hint="default" w:ascii="宋体" w:hAnsi="宋体" w:eastAsia="宋体" w:cs="宋体"/>
                <w:color w:val="auto"/>
                <w:kern w:val="0"/>
                <w:sz w:val="21"/>
                <w:szCs w:val="21"/>
                <w:highlight w:val="none"/>
                <w:lang w:val="en-US" w:eastAsia="zh-CN"/>
              </w:rPr>
              <w:t>三</w:t>
            </w:r>
          </w:p>
        </w:tc>
        <w:tc>
          <w:tcPr>
            <w:tcW w:w="6413" w:type="dxa"/>
            <w:vAlign w:val="center"/>
          </w:tcPr>
          <w:p w14:paraId="56209FE2">
            <w:pPr>
              <w:keepNext w:val="0"/>
              <w:keepLines w:val="0"/>
              <w:suppressLineNumbers w:val="0"/>
              <w:adjustRightInd/>
              <w:snapToGrid/>
              <w:spacing w:before="0" w:beforeAutospacing="0" w:after="0" w:afterAutospacing="0" w:line="400" w:lineRule="exact"/>
              <w:ind w:left="0" w:leftChars="0" w:right="0" w:rightChars="0"/>
              <w:jc w:val="left"/>
              <w:rPr>
                <w:rFonts w:hint="default" w:ascii="宋体" w:hAnsi="宋体" w:eastAsia="宋体" w:cs="Times New Roman"/>
                <w:color w:val="auto"/>
                <w:sz w:val="18"/>
                <w:szCs w:val="18"/>
                <w:highlight w:val="none"/>
              </w:rPr>
            </w:pPr>
            <w:r>
              <w:rPr>
                <w:rFonts w:hint="default" w:ascii="宋体" w:hAnsi="宋体" w:eastAsia="宋体" w:cs="宋体"/>
                <w:color w:val="auto"/>
                <w:kern w:val="0"/>
                <w:sz w:val="21"/>
                <w:szCs w:val="21"/>
                <w:highlight w:val="none"/>
                <w:lang w:val="en-US" w:eastAsia="zh-CN"/>
              </w:rPr>
              <w:t>维护目标</w:t>
            </w:r>
          </w:p>
        </w:tc>
        <w:tc>
          <w:tcPr>
            <w:tcW w:w="348" w:type="pct"/>
            <w:vAlign w:val="center"/>
          </w:tcPr>
          <w:p w14:paraId="6ADFC35D">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403AA07A">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6E020265">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1033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51D8D0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14:paraId="398345C0">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b/>
                <w:color w:val="auto"/>
                <w:sz w:val="18"/>
                <w:szCs w:val="18"/>
                <w:highlight w:val="none"/>
                <w:lang w:val="zh-CN"/>
              </w:rPr>
            </w:pPr>
            <w:r>
              <w:rPr>
                <w:rFonts w:hint="default" w:ascii="宋体" w:hAnsi="宋体" w:eastAsia="宋体"/>
                <w:color w:val="auto"/>
                <w:kern w:val="0"/>
                <w:sz w:val="21"/>
                <w:szCs w:val="21"/>
                <w:highlight w:val="none"/>
                <w:lang w:val="en-US" w:eastAsia="zh-CN"/>
              </w:rPr>
              <w:t>四</w:t>
            </w:r>
          </w:p>
        </w:tc>
        <w:tc>
          <w:tcPr>
            <w:tcW w:w="6413" w:type="dxa"/>
            <w:vAlign w:val="center"/>
          </w:tcPr>
          <w:p w14:paraId="6C92237C">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olor w:val="auto"/>
                <w:sz w:val="18"/>
                <w:szCs w:val="18"/>
                <w:highlight w:val="none"/>
              </w:rPr>
            </w:pPr>
            <w:r>
              <w:rPr>
                <w:rFonts w:hint="default" w:ascii="宋体" w:hAnsi="宋体" w:eastAsia="宋体"/>
                <w:color w:val="auto"/>
                <w:kern w:val="0"/>
                <w:sz w:val="21"/>
                <w:szCs w:val="21"/>
                <w:highlight w:val="none"/>
                <w:lang w:val="en-US" w:eastAsia="zh-CN"/>
              </w:rPr>
              <w:t>使用单位情况</w:t>
            </w:r>
          </w:p>
        </w:tc>
        <w:tc>
          <w:tcPr>
            <w:tcW w:w="348" w:type="pct"/>
            <w:vAlign w:val="center"/>
          </w:tcPr>
          <w:p w14:paraId="718BEAD1">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274FF083">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3396CCF8">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543B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88" w:type="pct"/>
            <w:vAlign w:val="center"/>
          </w:tcPr>
          <w:p w14:paraId="2A360B3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952" w:type="dxa"/>
            <w:vAlign w:val="center"/>
          </w:tcPr>
          <w:p w14:paraId="0335B96D">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b/>
                <w:color w:val="auto"/>
                <w:sz w:val="18"/>
                <w:szCs w:val="18"/>
                <w:highlight w:val="none"/>
                <w:lang w:val="zh-CN"/>
              </w:rPr>
            </w:pPr>
            <w:r>
              <w:rPr>
                <w:rFonts w:hint="default" w:ascii="宋体" w:hAnsi="宋体" w:eastAsia="宋体"/>
                <w:color w:val="auto"/>
                <w:kern w:val="0"/>
                <w:sz w:val="21"/>
                <w:szCs w:val="21"/>
                <w:highlight w:val="none"/>
                <w:lang w:val="en-US" w:eastAsia="zh-CN"/>
              </w:rPr>
              <w:t>五</w:t>
            </w:r>
          </w:p>
        </w:tc>
        <w:tc>
          <w:tcPr>
            <w:tcW w:w="6413" w:type="dxa"/>
            <w:vAlign w:val="center"/>
          </w:tcPr>
          <w:p w14:paraId="51F4AAEB">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olor w:val="auto"/>
                <w:sz w:val="18"/>
                <w:szCs w:val="18"/>
                <w:highlight w:val="none"/>
              </w:rPr>
            </w:pPr>
            <w:r>
              <w:rPr>
                <w:rFonts w:hint="default" w:ascii="宋体" w:hAnsi="宋体" w:eastAsia="宋体"/>
                <w:color w:val="auto"/>
                <w:kern w:val="0"/>
                <w:sz w:val="21"/>
                <w:szCs w:val="21"/>
                <w:highlight w:val="none"/>
                <w:lang w:val="en-US" w:eastAsia="zh-CN"/>
              </w:rPr>
              <w:t>现有系统功能</w:t>
            </w:r>
          </w:p>
        </w:tc>
        <w:tc>
          <w:tcPr>
            <w:tcW w:w="348" w:type="pct"/>
            <w:vAlign w:val="center"/>
          </w:tcPr>
          <w:p w14:paraId="7FBA4E7F">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4FDFDEA9">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654308EA">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1DE7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EA1654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952" w:type="dxa"/>
            <w:vAlign w:val="center"/>
          </w:tcPr>
          <w:p w14:paraId="31C7A180">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Times New Roman"/>
                <w:color w:val="auto"/>
                <w:kern w:val="0"/>
                <w:sz w:val="18"/>
                <w:szCs w:val="18"/>
                <w:highlight w:val="none"/>
              </w:rPr>
            </w:pPr>
            <w:r>
              <w:rPr>
                <w:rFonts w:hint="default" w:ascii="宋体" w:hAnsi="宋体" w:eastAsia="宋体"/>
                <w:color w:val="auto"/>
                <w:kern w:val="0"/>
                <w:sz w:val="21"/>
                <w:szCs w:val="21"/>
                <w:highlight w:val="none"/>
                <w:lang w:val="en-US" w:eastAsia="zh-CN"/>
              </w:rPr>
              <w:t>六</w:t>
            </w:r>
          </w:p>
        </w:tc>
        <w:tc>
          <w:tcPr>
            <w:tcW w:w="6413" w:type="dxa"/>
            <w:vAlign w:val="center"/>
          </w:tcPr>
          <w:p w14:paraId="20822BEA">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olor w:val="auto"/>
                <w:sz w:val="18"/>
                <w:szCs w:val="18"/>
                <w:highlight w:val="none"/>
              </w:rPr>
            </w:pPr>
            <w:r>
              <w:rPr>
                <w:rFonts w:hint="default" w:ascii="宋体" w:hAnsi="宋体" w:eastAsia="宋体"/>
                <w:color w:val="auto"/>
                <w:kern w:val="0"/>
                <w:sz w:val="21"/>
                <w:szCs w:val="21"/>
                <w:highlight w:val="none"/>
                <w:lang w:val="en-US" w:eastAsia="zh-CN"/>
              </w:rPr>
              <w:t>系统部署情况</w:t>
            </w:r>
          </w:p>
        </w:tc>
        <w:tc>
          <w:tcPr>
            <w:tcW w:w="348" w:type="pct"/>
            <w:vAlign w:val="center"/>
          </w:tcPr>
          <w:p w14:paraId="79CEE650">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1EBDBEFF">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7E8466DA">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48F0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9D96FD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952" w:type="dxa"/>
            <w:vAlign w:val="center"/>
          </w:tcPr>
          <w:p w14:paraId="2686D45D">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Times New Roman"/>
                <w:color w:val="auto"/>
                <w:kern w:val="0"/>
                <w:sz w:val="18"/>
                <w:szCs w:val="18"/>
                <w:highlight w:val="none"/>
              </w:rPr>
            </w:pPr>
            <w:r>
              <w:rPr>
                <w:rFonts w:hint="default" w:ascii="宋体" w:hAnsi="宋体" w:eastAsia="宋体"/>
                <w:color w:val="auto"/>
                <w:kern w:val="0"/>
                <w:sz w:val="21"/>
                <w:szCs w:val="21"/>
                <w:highlight w:val="none"/>
                <w:lang w:val="en-US" w:eastAsia="zh-CN"/>
              </w:rPr>
              <w:t>七</w:t>
            </w:r>
          </w:p>
        </w:tc>
        <w:tc>
          <w:tcPr>
            <w:tcW w:w="6413" w:type="dxa"/>
            <w:vAlign w:val="center"/>
          </w:tcPr>
          <w:p w14:paraId="72E32783">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olor w:val="auto"/>
                <w:sz w:val="18"/>
                <w:szCs w:val="18"/>
                <w:highlight w:val="none"/>
              </w:rPr>
            </w:pPr>
            <w:r>
              <w:rPr>
                <w:rFonts w:hint="default" w:ascii="宋体" w:hAnsi="宋体" w:eastAsia="宋体"/>
                <w:color w:val="auto"/>
                <w:kern w:val="0"/>
                <w:sz w:val="21"/>
                <w:szCs w:val="21"/>
                <w:highlight w:val="none"/>
                <w:lang w:val="en-US" w:eastAsia="zh-CN"/>
              </w:rPr>
              <w:t>项目技术服务需求</w:t>
            </w:r>
          </w:p>
        </w:tc>
        <w:tc>
          <w:tcPr>
            <w:tcW w:w="348" w:type="pct"/>
            <w:vAlign w:val="center"/>
          </w:tcPr>
          <w:p w14:paraId="1F8759DB">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63E15B61">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532D0316">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5FB3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B75C6E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bookmarkStart w:id="732" w:name="_Toc10037"/>
            <w:bookmarkStart w:id="733" w:name="_Toc177203330"/>
            <w:bookmarkStart w:id="734" w:name="_Toc8778"/>
            <w:r>
              <w:rPr>
                <w:rFonts w:hint="eastAsia" w:ascii="宋体" w:hAnsi="宋体" w:eastAsia="宋体" w:cs="宋体"/>
                <w:color w:val="auto"/>
                <w:kern w:val="0"/>
                <w:sz w:val="18"/>
                <w:szCs w:val="18"/>
                <w:highlight w:val="none"/>
                <w:lang w:val="en-US" w:eastAsia="zh-CN"/>
              </w:rPr>
              <w:t>7</w:t>
            </w:r>
          </w:p>
        </w:tc>
        <w:tc>
          <w:tcPr>
            <w:tcW w:w="952" w:type="dxa"/>
            <w:vAlign w:val="center"/>
          </w:tcPr>
          <w:p w14:paraId="72FA7B38">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Times New Roman"/>
                <w:color w:val="auto"/>
                <w:kern w:val="0"/>
                <w:sz w:val="18"/>
                <w:szCs w:val="18"/>
                <w:highlight w:val="none"/>
              </w:rPr>
            </w:pPr>
            <w:r>
              <w:rPr>
                <w:rFonts w:hint="eastAsia" w:ascii="宋体" w:hAnsi="宋体" w:eastAsia="宋体"/>
                <w:color w:val="auto"/>
                <w:kern w:val="0"/>
                <w:sz w:val="21"/>
                <w:szCs w:val="21"/>
                <w:highlight w:val="none"/>
                <w:lang w:val="en-US" w:eastAsia="zh-CN"/>
              </w:rPr>
              <w:t>八</w:t>
            </w:r>
          </w:p>
        </w:tc>
        <w:tc>
          <w:tcPr>
            <w:tcW w:w="6413" w:type="dxa"/>
            <w:vAlign w:val="center"/>
          </w:tcPr>
          <w:p w14:paraId="2D0FDA7C">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olor w:val="auto"/>
                <w:sz w:val="18"/>
                <w:szCs w:val="18"/>
                <w:highlight w:val="none"/>
              </w:rPr>
            </w:pPr>
            <w:r>
              <w:rPr>
                <w:rFonts w:hint="default" w:ascii="宋体" w:hAnsi="宋体" w:eastAsia="宋体"/>
                <w:color w:val="auto"/>
                <w:kern w:val="0"/>
                <w:sz w:val="21"/>
                <w:szCs w:val="21"/>
                <w:highlight w:val="none"/>
                <w:lang w:val="en-US" w:eastAsia="zh-CN"/>
              </w:rPr>
              <w:t>项目要求</w:t>
            </w:r>
          </w:p>
        </w:tc>
        <w:tc>
          <w:tcPr>
            <w:tcW w:w="348" w:type="pct"/>
            <w:vAlign w:val="center"/>
          </w:tcPr>
          <w:p w14:paraId="3AE87E92">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45F57A7B">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6F4DDB4F">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164B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B550BF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952" w:type="dxa"/>
            <w:vAlign w:val="center"/>
          </w:tcPr>
          <w:p w14:paraId="2AE20427">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Times New Roman"/>
                <w:color w:val="auto"/>
                <w:kern w:val="0"/>
                <w:sz w:val="18"/>
                <w:szCs w:val="18"/>
                <w:highlight w:val="none"/>
              </w:rPr>
            </w:pPr>
            <w:r>
              <w:rPr>
                <w:rFonts w:hint="eastAsia" w:ascii="宋体" w:hAnsi="宋体" w:eastAsia="宋体"/>
                <w:color w:val="auto"/>
                <w:kern w:val="0"/>
                <w:sz w:val="21"/>
                <w:szCs w:val="21"/>
                <w:highlight w:val="none"/>
                <w:lang w:val="en-US" w:eastAsia="zh-CN"/>
              </w:rPr>
              <w:t>九</w:t>
            </w:r>
          </w:p>
        </w:tc>
        <w:tc>
          <w:tcPr>
            <w:tcW w:w="6413" w:type="dxa"/>
            <w:vAlign w:val="center"/>
          </w:tcPr>
          <w:p w14:paraId="714E68E7">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olor w:val="auto"/>
                <w:sz w:val="18"/>
                <w:szCs w:val="18"/>
                <w:highlight w:val="none"/>
              </w:rPr>
            </w:pPr>
            <w:r>
              <w:rPr>
                <w:rFonts w:hint="default" w:ascii="宋体" w:hAnsi="宋体" w:eastAsia="宋体"/>
                <w:color w:val="auto"/>
                <w:kern w:val="0"/>
                <w:sz w:val="21"/>
                <w:szCs w:val="21"/>
                <w:highlight w:val="none"/>
                <w:lang w:val="en-US" w:eastAsia="zh-CN"/>
              </w:rPr>
              <w:t>付款方式</w:t>
            </w:r>
          </w:p>
        </w:tc>
        <w:tc>
          <w:tcPr>
            <w:tcW w:w="348" w:type="pct"/>
            <w:vAlign w:val="center"/>
          </w:tcPr>
          <w:p w14:paraId="0AA03152">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178C61C7">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3F2EE6E9">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1FC2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610150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952" w:type="dxa"/>
            <w:vAlign w:val="center"/>
          </w:tcPr>
          <w:p w14:paraId="234E7F3E">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Times New Roman"/>
                <w:color w:val="auto"/>
                <w:kern w:val="0"/>
                <w:sz w:val="18"/>
                <w:szCs w:val="18"/>
                <w:highlight w:val="none"/>
              </w:rPr>
            </w:pPr>
            <w:r>
              <w:rPr>
                <w:rFonts w:hint="eastAsia" w:ascii="宋体" w:hAnsi="宋体" w:eastAsia="宋体"/>
                <w:color w:val="auto"/>
                <w:kern w:val="0"/>
                <w:sz w:val="21"/>
                <w:szCs w:val="21"/>
                <w:highlight w:val="none"/>
                <w:lang w:val="en-US" w:eastAsia="zh-CN"/>
              </w:rPr>
              <w:t>十</w:t>
            </w:r>
          </w:p>
        </w:tc>
        <w:tc>
          <w:tcPr>
            <w:tcW w:w="6413" w:type="dxa"/>
            <w:vAlign w:val="center"/>
          </w:tcPr>
          <w:p w14:paraId="36D192B4">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olor w:val="auto"/>
                <w:sz w:val="18"/>
                <w:szCs w:val="18"/>
                <w:highlight w:val="none"/>
              </w:rPr>
            </w:pPr>
            <w:r>
              <w:rPr>
                <w:rFonts w:hint="default" w:ascii="宋体" w:hAnsi="宋体" w:eastAsia="宋体"/>
                <w:color w:val="auto"/>
                <w:kern w:val="0"/>
                <w:sz w:val="21"/>
                <w:szCs w:val="21"/>
                <w:highlight w:val="none"/>
                <w:lang w:val="en-US" w:eastAsia="zh-CN"/>
              </w:rPr>
              <w:t>项目运行保障</w:t>
            </w:r>
          </w:p>
        </w:tc>
        <w:tc>
          <w:tcPr>
            <w:tcW w:w="348" w:type="pct"/>
            <w:vAlign w:val="center"/>
          </w:tcPr>
          <w:p w14:paraId="628DA626">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004B07F1">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728907B1">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077A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FB6920C">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r>
              <w:rPr>
                <w:rFonts w:hint="eastAsia" w:ascii="宋体" w:hAnsi="宋体" w:eastAsia="宋体" w:cs="宋体"/>
                <w:b/>
                <w:bCs/>
                <w:color w:val="auto"/>
                <w:kern w:val="0"/>
                <w:szCs w:val="21"/>
              </w:rPr>
              <w:t>用户需求书“★”条款汇总:</w:t>
            </w:r>
            <w:bookmarkEnd w:id="732"/>
            <w:bookmarkEnd w:id="733"/>
            <w:bookmarkEnd w:id="734"/>
          </w:p>
        </w:tc>
      </w:tr>
      <w:tr w14:paraId="1013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8F3174C">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w:t>
            </w:r>
          </w:p>
        </w:tc>
        <w:tc>
          <w:tcPr>
            <w:tcW w:w="459" w:type="pct"/>
            <w:vAlign w:val="center"/>
          </w:tcPr>
          <w:p w14:paraId="46C4E0E3">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bCs/>
                <w:color w:val="auto"/>
                <w:kern w:val="0"/>
                <w:sz w:val="18"/>
                <w:szCs w:val="18"/>
                <w:highlight w:val="none"/>
                <w:lang w:val="en-US" w:eastAsia="zh-CN"/>
              </w:rPr>
            </w:pPr>
            <w:r>
              <w:rPr>
                <w:rFonts w:hint="eastAsia" w:ascii="宋体" w:hAnsi="宋体" w:eastAsia="宋体" w:cs="Times New Roman"/>
                <w:b/>
                <w:bCs/>
                <w:color w:val="auto"/>
                <w:kern w:val="0"/>
                <w:sz w:val="18"/>
                <w:szCs w:val="18"/>
                <w:highlight w:val="none"/>
                <w:lang w:val="en-US" w:eastAsia="zh-CN"/>
              </w:rPr>
              <w:t>七</w:t>
            </w:r>
          </w:p>
        </w:tc>
        <w:tc>
          <w:tcPr>
            <w:tcW w:w="3092" w:type="pct"/>
            <w:vAlign w:val="center"/>
          </w:tcPr>
          <w:p w14:paraId="74DB4AC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b/>
                <w:bCs/>
                <w:color w:val="auto"/>
                <w:kern w:val="0"/>
                <w:szCs w:val="21"/>
              </w:rPr>
            </w:pPr>
            <w:r>
              <w:rPr>
                <w:rFonts w:hint="eastAsia" w:ascii="宋体" w:hAnsi="宋体" w:eastAsia="宋体" w:cs="宋体"/>
                <w:b/>
                <w:bCs/>
                <w:snapToGrid/>
                <w:color w:val="auto"/>
                <w:kern w:val="0"/>
                <w:sz w:val="21"/>
                <w:szCs w:val="21"/>
                <w:lang w:val="en-US" w:eastAsia="zh-CN"/>
              </w:rPr>
              <w:t>（四）驻点服务</w:t>
            </w:r>
          </w:p>
          <w:p w14:paraId="4A17B1C3">
            <w:pPr>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0"/>
                <w:szCs w:val="21"/>
              </w:rPr>
            </w:pPr>
            <w:r>
              <w:rPr>
                <w:rFonts w:hint="eastAsia" w:ascii="宋体" w:hAnsi="宋体" w:eastAsia="宋体" w:cs="宋体"/>
                <w:b/>
                <w:bCs/>
                <w:snapToGrid/>
                <w:color w:val="auto"/>
                <w:kern w:val="0"/>
                <w:sz w:val="21"/>
                <w:szCs w:val="21"/>
                <w:lang w:val="en-US" w:eastAsia="zh-CN"/>
              </w:rPr>
              <w:t>★</w:t>
            </w:r>
            <w:r>
              <w:rPr>
                <w:rFonts w:hint="eastAsia" w:ascii="宋体" w:hAnsi="宋体" w:eastAsia="宋体"/>
                <w:b/>
                <w:bCs/>
                <w:color w:val="auto"/>
                <w:kern w:val="0"/>
                <w:szCs w:val="21"/>
              </w:rPr>
              <w:t>中标人须派出至少</w:t>
            </w:r>
            <w:r>
              <w:rPr>
                <w:rFonts w:hint="eastAsia" w:ascii="宋体" w:hAnsi="宋体" w:eastAsia="宋体"/>
                <w:b/>
                <w:bCs/>
                <w:color w:val="auto"/>
                <w:kern w:val="0"/>
                <w:szCs w:val="21"/>
                <w:lang w:eastAsia="zh-CN"/>
              </w:rPr>
              <w:t>2</w:t>
            </w:r>
            <w:r>
              <w:rPr>
                <w:rFonts w:hint="eastAsia" w:ascii="宋体" w:hAnsi="宋体" w:eastAsia="宋体"/>
                <w:b/>
                <w:bCs/>
                <w:color w:val="auto"/>
                <w:kern w:val="0"/>
                <w:szCs w:val="21"/>
              </w:rPr>
              <w:t>名专职人员到东莞市环保产业促进中心现场驻点支撑服务</w:t>
            </w:r>
          </w:p>
        </w:tc>
        <w:tc>
          <w:tcPr>
            <w:tcW w:w="348" w:type="pct"/>
            <w:vAlign w:val="center"/>
          </w:tcPr>
          <w:p w14:paraId="72B72769">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06A78AFA">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4C8900A4">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r w14:paraId="4C43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F4469EC">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w:t>
            </w:r>
          </w:p>
        </w:tc>
        <w:tc>
          <w:tcPr>
            <w:tcW w:w="459" w:type="pct"/>
            <w:vAlign w:val="center"/>
          </w:tcPr>
          <w:p w14:paraId="258255BA">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bCs/>
                <w:color w:val="auto"/>
                <w:kern w:val="0"/>
                <w:sz w:val="18"/>
                <w:szCs w:val="18"/>
                <w:highlight w:val="none"/>
              </w:rPr>
            </w:pPr>
            <w:r>
              <w:rPr>
                <w:rFonts w:hint="eastAsia" w:ascii="宋体" w:hAnsi="宋体" w:eastAsia="宋体" w:cs="Times New Roman"/>
                <w:b/>
                <w:bCs/>
                <w:color w:val="auto"/>
                <w:kern w:val="0"/>
                <w:sz w:val="18"/>
                <w:szCs w:val="18"/>
                <w:highlight w:val="none"/>
                <w:lang w:val="en-US" w:eastAsia="zh-CN"/>
              </w:rPr>
              <w:t>七</w:t>
            </w:r>
          </w:p>
        </w:tc>
        <w:tc>
          <w:tcPr>
            <w:tcW w:w="3092" w:type="pct"/>
            <w:vAlign w:val="center"/>
          </w:tcPr>
          <w:p w14:paraId="53A0D033">
            <w:pPr>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★（五）业务支撑服务</w:t>
            </w:r>
          </w:p>
          <w:p w14:paraId="7C880FD2">
            <w:pPr>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根据业务需求，中标人需安排2名人员提供针对供水公司专项小组成员提供业务对账异常处理服务和业务专项培训服务。</w:t>
            </w:r>
          </w:p>
        </w:tc>
        <w:tc>
          <w:tcPr>
            <w:tcW w:w="348" w:type="pct"/>
            <w:vAlign w:val="center"/>
          </w:tcPr>
          <w:p w14:paraId="6936F28B">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418" w:type="pct"/>
            <w:vAlign w:val="center"/>
          </w:tcPr>
          <w:p w14:paraId="175F3DDF">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c>
          <w:tcPr>
            <w:tcW w:w="393" w:type="pct"/>
            <w:vAlign w:val="center"/>
          </w:tcPr>
          <w:p w14:paraId="3EB3A4FD">
            <w:pPr>
              <w:keepNext/>
              <w:keepLines/>
              <w:suppressLineNumbers w:val="0"/>
              <w:spacing w:before="0" w:beforeAutospacing="0" w:after="0" w:afterAutospacing="0" w:line="400" w:lineRule="exact"/>
              <w:ind w:left="0" w:right="0"/>
              <w:jc w:val="center"/>
              <w:outlineLvl w:val="9"/>
              <w:rPr>
                <w:rFonts w:hint="default" w:ascii="宋体" w:hAnsi="宋体" w:eastAsia="宋体" w:cs="宋体"/>
                <w:color w:val="auto"/>
                <w:kern w:val="0"/>
                <w:sz w:val="18"/>
                <w:szCs w:val="18"/>
                <w:highlight w:val="none"/>
              </w:rPr>
            </w:pPr>
          </w:p>
        </w:tc>
      </w:tr>
    </w:tbl>
    <w:p w14:paraId="3DCFBBEA">
      <w:pPr>
        <w:spacing w:line="360" w:lineRule="auto"/>
        <w:rPr>
          <w:rFonts w:ascii="宋体" w:hAnsi="宋体" w:eastAsia="宋体" w:cs="宋体"/>
          <w:color w:val="auto"/>
          <w:szCs w:val="21"/>
          <w:highlight w:val="none"/>
        </w:rPr>
      </w:pPr>
    </w:p>
    <w:p w14:paraId="22275B4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C575B2A">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“一、项目概况”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3514109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90311D4">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7958C1DC">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7488B602">
      <w:pPr>
        <w:spacing w:line="360" w:lineRule="auto"/>
        <w:rPr>
          <w:rFonts w:ascii="宋体" w:hAnsi="宋体" w:eastAsia="宋体" w:cs="宋体"/>
          <w:color w:val="auto"/>
          <w:szCs w:val="21"/>
          <w:highlight w:val="none"/>
        </w:rPr>
      </w:pPr>
    </w:p>
    <w:p w14:paraId="4C01E97D">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503CDD0">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45937913">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35" w:name="_Toc140596942"/>
      <w:bookmarkStart w:id="736" w:name="_Toc104991889"/>
      <w:bookmarkStart w:id="737" w:name="_Toc3593"/>
      <w:bookmarkStart w:id="738" w:name="_Toc5046"/>
      <w:bookmarkStart w:id="739" w:name="_Toc102860431"/>
      <w:bookmarkStart w:id="740" w:name="_Toc102860087"/>
      <w:bookmarkStart w:id="741" w:name="_Toc21583"/>
      <w:bookmarkStart w:id="742" w:name="_Toc23150"/>
      <w:bookmarkStart w:id="743" w:name="_Toc142508382"/>
      <w:bookmarkStart w:id="744" w:name="_Toc9410722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735"/>
      <w:bookmarkEnd w:id="736"/>
      <w:bookmarkEnd w:id="737"/>
      <w:bookmarkEnd w:id="738"/>
      <w:bookmarkEnd w:id="739"/>
      <w:bookmarkEnd w:id="740"/>
      <w:bookmarkEnd w:id="741"/>
      <w:bookmarkEnd w:id="742"/>
      <w:bookmarkEnd w:id="743"/>
      <w:bookmarkEnd w:id="744"/>
      <w:r>
        <w:rPr>
          <w:rFonts w:hint="eastAsia" w:ascii="宋体" w:hAnsi="宋体" w:eastAsia="宋体" w:cs="宋体"/>
          <w:b/>
          <w:color w:val="auto"/>
          <w:kern w:val="0"/>
          <w:sz w:val="30"/>
          <w:szCs w:val="30"/>
          <w:highlight w:val="none"/>
          <w:lang w:eastAsia="zh-CN"/>
        </w:rPr>
        <w:t>项目理解</w:t>
      </w:r>
    </w:p>
    <w:p w14:paraId="3ED61851">
      <w:pPr>
        <w:widowControl/>
        <w:jc w:val="left"/>
        <w:rPr>
          <w:rFonts w:ascii="宋体" w:hAnsi="宋体" w:eastAsia="宋体" w:cs="Times New Roman"/>
          <w:color w:val="auto"/>
          <w:kern w:val="0"/>
          <w:szCs w:val="21"/>
          <w:highlight w:val="none"/>
        </w:rPr>
      </w:pPr>
      <w:bookmarkStart w:id="745" w:name="_Toc94107225"/>
      <w:r>
        <w:rPr>
          <w:rFonts w:ascii="宋体" w:hAnsi="宋体" w:eastAsia="宋体" w:cs="Times New Roman"/>
          <w:color w:val="auto"/>
          <w:kern w:val="0"/>
          <w:szCs w:val="21"/>
          <w:highlight w:val="none"/>
        </w:rPr>
        <w:br w:type="page"/>
      </w:r>
    </w:p>
    <w:bookmarkEnd w:id="745"/>
    <w:p w14:paraId="47822720">
      <w:pPr>
        <w:rPr>
          <w:rFonts w:hint="eastAsia" w:ascii="宋体" w:hAnsi="宋体" w:eastAsia="宋体" w:cs="宋体"/>
          <w:b/>
          <w:color w:val="auto"/>
          <w:kern w:val="0"/>
          <w:sz w:val="30"/>
          <w:szCs w:val="30"/>
          <w:highlight w:val="none"/>
          <w:lang w:val="en-US" w:eastAsia="zh-CN"/>
        </w:rPr>
      </w:pPr>
      <w:bookmarkStart w:id="746" w:name="_Toc140596949"/>
      <w:bookmarkStart w:id="747" w:name="_Toc142508389"/>
      <w:bookmarkStart w:id="748" w:name="_Toc102860094"/>
      <w:bookmarkStart w:id="749" w:name="_Toc104991896"/>
      <w:bookmarkStart w:id="750" w:name="_Toc102860438"/>
      <w:bookmarkStart w:id="751" w:name="_Toc533708139"/>
      <w:r>
        <w:rPr>
          <w:rFonts w:hint="eastAsia" w:ascii="宋体" w:hAnsi="宋体" w:eastAsia="宋体" w:cs="宋体"/>
          <w:b/>
          <w:color w:val="auto"/>
          <w:kern w:val="0"/>
          <w:sz w:val="30"/>
          <w:szCs w:val="30"/>
          <w:highlight w:val="none"/>
          <w:lang w:val="en-US" w:eastAsia="zh-CN"/>
        </w:rPr>
        <w:t>12.3 项目实施管理方案</w:t>
      </w:r>
      <w:r>
        <w:rPr>
          <w:rFonts w:hint="eastAsia" w:ascii="宋体" w:hAnsi="宋体" w:eastAsia="宋体" w:cs="宋体"/>
          <w:b/>
          <w:color w:val="auto"/>
          <w:kern w:val="0"/>
          <w:sz w:val="30"/>
          <w:szCs w:val="30"/>
          <w:highlight w:val="none"/>
          <w:lang w:val="en-US" w:eastAsia="zh-CN"/>
        </w:rPr>
        <w:br w:type="page"/>
      </w:r>
    </w:p>
    <w:p w14:paraId="0197163C">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12.4 质量保证措施及承诺</w:t>
      </w:r>
      <w:r>
        <w:rPr>
          <w:rFonts w:hint="eastAsia" w:ascii="宋体" w:hAnsi="宋体" w:eastAsia="宋体" w:cs="宋体"/>
          <w:b/>
          <w:color w:val="auto"/>
          <w:kern w:val="0"/>
          <w:sz w:val="30"/>
          <w:szCs w:val="30"/>
          <w:highlight w:val="none"/>
          <w:lang w:val="en-US" w:eastAsia="zh-CN"/>
        </w:rPr>
        <w:br w:type="page"/>
      </w:r>
    </w:p>
    <w:p w14:paraId="55FC193F">
      <w:pPr>
        <w:autoSpaceDE w:val="0"/>
        <w:autoSpaceDN w:val="0"/>
        <w:adjustRightInd w:val="0"/>
        <w:spacing w:line="360" w:lineRule="auto"/>
        <w:jc w:val="left"/>
        <w:outlineLvl w:val="1"/>
        <w:rPr>
          <w:rFonts w:hint="eastAsia" w:ascii="宋体" w:hAnsi="宋体" w:eastAsia="宋体" w:cs="宋体"/>
          <w:b/>
          <w:color w:val="auto"/>
          <w:kern w:val="0"/>
          <w:sz w:val="30"/>
          <w:szCs w:val="30"/>
          <w:highlight w:val="none"/>
          <w:lang w:val="en-US" w:eastAsia="zh-CN"/>
        </w:rPr>
      </w:pPr>
      <w:bookmarkStart w:id="752" w:name="_Toc7831"/>
      <w:bookmarkStart w:id="753" w:name="_Toc18180"/>
      <w:bookmarkStart w:id="754" w:name="_Toc30545"/>
      <w:bookmarkStart w:id="755" w:name="_Toc3750"/>
      <w:r>
        <w:rPr>
          <w:rFonts w:hint="eastAsia" w:ascii="宋体" w:hAnsi="宋体" w:eastAsia="宋体" w:cs="宋体"/>
          <w:b/>
          <w:color w:val="auto"/>
          <w:kern w:val="0"/>
          <w:sz w:val="30"/>
          <w:szCs w:val="30"/>
          <w:highlight w:val="none"/>
          <w:lang w:val="en-US" w:eastAsia="zh-CN"/>
        </w:rPr>
        <w:t>12.5 运维服务方案</w:t>
      </w:r>
    </w:p>
    <w:p w14:paraId="6F11626F">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1"/>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12.6 人员配置</w:t>
      </w:r>
    </w:p>
    <w:p w14:paraId="548E0A27">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1"/>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12.7 服务响应能力</w:t>
      </w:r>
    </w:p>
    <w:p w14:paraId="3F8093B3">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1"/>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12.8</w:t>
      </w:r>
      <w:r>
        <w:rPr>
          <w:rFonts w:hint="eastAsia" w:ascii="宋体" w:hAnsi="宋体" w:eastAsia="宋体" w:cs="宋体"/>
          <w:b/>
          <w:color w:val="auto"/>
          <w:kern w:val="0"/>
          <w:sz w:val="30"/>
          <w:szCs w:val="30"/>
          <w:highlight w:val="none"/>
        </w:rPr>
        <w:t>投标人认为有必要提供的其它材料（不做强制要求）</w:t>
      </w:r>
      <w:bookmarkEnd w:id="746"/>
      <w:bookmarkEnd w:id="747"/>
      <w:bookmarkEnd w:id="748"/>
      <w:bookmarkEnd w:id="749"/>
      <w:bookmarkEnd w:id="750"/>
      <w:bookmarkEnd w:id="752"/>
      <w:bookmarkEnd w:id="753"/>
      <w:bookmarkEnd w:id="754"/>
      <w:bookmarkEnd w:id="755"/>
    </w:p>
    <w:p w14:paraId="58508821">
      <w:pPr>
        <w:autoSpaceDE w:val="0"/>
        <w:autoSpaceDN w:val="0"/>
        <w:adjustRightInd w:val="0"/>
        <w:jc w:val="left"/>
        <w:rPr>
          <w:rFonts w:ascii="宋体" w:hAnsi="宋体" w:eastAsia="宋体" w:cs="Times New Roman"/>
          <w:color w:val="auto"/>
          <w:kern w:val="0"/>
          <w:sz w:val="24"/>
          <w:szCs w:val="24"/>
          <w:highlight w:val="none"/>
        </w:rPr>
      </w:pPr>
    </w:p>
    <w:p w14:paraId="1FBE313F">
      <w:pPr>
        <w:autoSpaceDE w:val="0"/>
        <w:autoSpaceDN w:val="0"/>
        <w:adjustRightInd w:val="0"/>
        <w:jc w:val="left"/>
        <w:rPr>
          <w:rFonts w:ascii="宋体" w:hAnsi="宋体" w:eastAsia="宋体" w:cs="Times New Roman"/>
          <w:color w:val="auto"/>
          <w:kern w:val="0"/>
          <w:sz w:val="24"/>
          <w:szCs w:val="24"/>
          <w:highlight w:val="none"/>
        </w:rPr>
      </w:pPr>
    </w:p>
    <w:p w14:paraId="16F036B1">
      <w:pPr>
        <w:autoSpaceDE w:val="0"/>
        <w:autoSpaceDN w:val="0"/>
        <w:adjustRightInd w:val="0"/>
        <w:jc w:val="left"/>
        <w:rPr>
          <w:rFonts w:ascii="宋体" w:hAnsi="宋体" w:eastAsia="宋体" w:cs="Times New Roman"/>
          <w:color w:val="auto"/>
          <w:kern w:val="0"/>
          <w:sz w:val="24"/>
          <w:szCs w:val="24"/>
          <w:highlight w:val="none"/>
        </w:rPr>
      </w:pPr>
    </w:p>
    <w:p w14:paraId="119933E6">
      <w:pPr>
        <w:autoSpaceDE w:val="0"/>
        <w:autoSpaceDN w:val="0"/>
        <w:adjustRightInd w:val="0"/>
        <w:jc w:val="left"/>
        <w:rPr>
          <w:rFonts w:ascii="宋体" w:hAnsi="宋体" w:eastAsia="宋体" w:cs="Times New Roman"/>
          <w:color w:val="auto"/>
          <w:kern w:val="0"/>
          <w:sz w:val="24"/>
          <w:szCs w:val="24"/>
          <w:highlight w:val="none"/>
        </w:rPr>
      </w:pPr>
    </w:p>
    <w:p w14:paraId="107F6A44">
      <w:pPr>
        <w:autoSpaceDE w:val="0"/>
        <w:autoSpaceDN w:val="0"/>
        <w:adjustRightInd w:val="0"/>
        <w:jc w:val="left"/>
        <w:rPr>
          <w:rFonts w:ascii="宋体" w:hAnsi="宋体" w:eastAsia="宋体" w:cs="Times New Roman"/>
          <w:color w:val="auto"/>
          <w:kern w:val="0"/>
          <w:sz w:val="24"/>
          <w:szCs w:val="24"/>
          <w:highlight w:val="none"/>
        </w:rPr>
      </w:pPr>
    </w:p>
    <w:p w14:paraId="182305AD">
      <w:pPr>
        <w:autoSpaceDE w:val="0"/>
        <w:autoSpaceDN w:val="0"/>
        <w:adjustRightInd w:val="0"/>
        <w:jc w:val="left"/>
        <w:rPr>
          <w:rFonts w:ascii="宋体" w:hAnsi="宋体" w:eastAsia="宋体" w:cs="Times New Roman"/>
          <w:color w:val="auto"/>
          <w:kern w:val="0"/>
          <w:sz w:val="24"/>
          <w:szCs w:val="24"/>
          <w:highlight w:val="none"/>
        </w:rPr>
      </w:pPr>
    </w:p>
    <w:p w14:paraId="1EA5D603">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17D4F68">
      <w:pPr>
        <w:autoSpaceDE w:val="0"/>
        <w:autoSpaceDN w:val="0"/>
        <w:adjustRightInd w:val="0"/>
        <w:jc w:val="left"/>
        <w:rPr>
          <w:rFonts w:ascii="宋体" w:hAnsi="宋体" w:eastAsia="宋体" w:cs="Times New Roman"/>
          <w:color w:val="auto"/>
          <w:kern w:val="0"/>
          <w:sz w:val="24"/>
          <w:szCs w:val="24"/>
          <w:highlight w:val="none"/>
        </w:rPr>
      </w:pPr>
    </w:p>
    <w:p w14:paraId="72A6BC10">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56" w:name="_Toc142508390"/>
      <w:bookmarkStart w:id="757" w:name="_Toc14977"/>
      <w:bookmarkStart w:id="758" w:name="_Toc21059"/>
      <w:bookmarkStart w:id="759" w:name="_Toc14148"/>
      <w:bookmarkStart w:id="760" w:name="_Toc521918141"/>
      <w:bookmarkStart w:id="761" w:name="_Toc22601_WPSOffice_Level1"/>
      <w:bookmarkStart w:id="762" w:name="_Toc522047402"/>
      <w:r>
        <w:rPr>
          <w:rFonts w:hint="eastAsia" w:ascii="宋体" w:hAnsi="宋体" w:eastAsia="宋体" w:cs="宋体"/>
          <w:b/>
          <w:bCs/>
          <w:color w:val="auto"/>
          <w:kern w:val="44"/>
          <w:sz w:val="32"/>
          <w:szCs w:val="32"/>
          <w:highlight w:val="none"/>
          <w:lang w:val="zh-CN"/>
        </w:rPr>
        <w:t>附件一：评标工作大纲</w:t>
      </w:r>
      <w:bookmarkEnd w:id="756"/>
      <w:bookmarkEnd w:id="757"/>
      <w:bookmarkEnd w:id="758"/>
      <w:bookmarkEnd w:id="759"/>
    </w:p>
    <w:p w14:paraId="3A57AD39">
      <w:pPr>
        <w:autoSpaceDE w:val="0"/>
        <w:autoSpaceDN w:val="0"/>
        <w:adjustRightInd w:val="0"/>
        <w:spacing w:line="400" w:lineRule="atLeast"/>
        <w:jc w:val="center"/>
        <w:rPr>
          <w:rFonts w:ascii="宋体" w:hAnsi="宋体" w:eastAsia="宋体" w:cs="宋体"/>
          <w:b/>
          <w:bCs/>
          <w:color w:val="auto"/>
          <w:szCs w:val="21"/>
          <w:highlight w:val="none"/>
        </w:rPr>
      </w:pPr>
    </w:p>
    <w:p w14:paraId="211148E0">
      <w:pPr>
        <w:autoSpaceDE w:val="0"/>
        <w:autoSpaceDN w:val="0"/>
        <w:adjustRightInd w:val="0"/>
        <w:spacing w:line="400" w:lineRule="atLeast"/>
        <w:jc w:val="center"/>
        <w:rPr>
          <w:rFonts w:ascii="宋体" w:hAnsi="宋体" w:eastAsia="宋体" w:cs="宋体"/>
          <w:b/>
          <w:bCs/>
          <w:color w:val="auto"/>
          <w:szCs w:val="21"/>
          <w:highlight w:val="none"/>
        </w:rPr>
      </w:pPr>
    </w:p>
    <w:p w14:paraId="16FB33A7">
      <w:pPr>
        <w:autoSpaceDE w:val="0"/>
        <w:autoSpaceDN w:val="0"/>
        <w:adjustRightInd w:val="0"/>
        <w:spacing w:line="400" w:lineRule="atLeast"/>
        <w:jc w:val="center"/>
        <w:rPr>
          <w:rFonts w:ascii="宋体" w:hAnsi="宋体" w:eastAsia="宋体" w:cs="宋体"/>
          <w:b/>
          <w:bCs/>
          <w:color w:val="auto"/>
          <w:szCs w:val="21"/>
          <w:highlight w:val="none"/>
        </w:rPr>
      </w:pPr>
    </w:p>
    <w:p w14:paraId="45F5F288">
      <w:pPr>
        <w:autoSpaceDE w:val="0"/>
        <w:autoSpaceDN w:val="0"/>
        <w:adjustRightInd w:val="0"/>
        <w:spacing w:line="400" w:lineRule="atLeast"/>
        <w:jc w:val="center"/>
        <w:rPr>
          <w:rFonts w:ascii="宋体" w:hAnsi="宋体" w:eastAsia="宋体" w:cs="宋体"/>
          <w:b/>
          <w:bCs/>
          <w:color w:val="auto"/>
          <w:szCs w:val="21"/>
          <w:highlight w:val="none"/>
        </w:rPr>
      </w:pPr>
    </w:p>
    <w:p w14:paraId="4A482849">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东莞市涉水收费统一征收平台2025年度运维服务项目</w:t>
      </w:r>
    </w:p>
    <w:p w14:paraId="4F1F486F">
      <w:pPr>
        <w:autoSpaceDE w:val="0"/>
        <w:autoSpaceDN w:val="0"/>
        <w:adjustRightInd w:val="0"/>
        <w:spacing w:line="360" w:lineRule="auto"/>
        <w:jc w:val="center"/>
        <w:rPr>
          <w:rFonts w:ascii="宋体" w:hAnsi="宋体" w:eastAsia="宋体" w:cs="宋体"/>
          <w:b/>
          <w:bCs/>
          <w:color w:val="auto"/>
          <w:sz w:val="36"/>
          <w:szCs w:val="36"/>
          <w:highlight w:val="none"/>
        </w:rPr>
      </w:pPr>
      <w:bookmarkStart w:id="763" w:name="_Toc14752_WPSOffice_Level1"/>
      <w:r>
        <w:rPr>
          <w:rFonts w:hint="eastAsia" w:ascii="宋体" w:hAnsi="宋体" w:eastAsia="宋体" w:cs="宋体"/>
          <w:b/>
          <w:bCs/>
          <w:color w:val="auto"/>
          <w:sz w:val="36"/>
          <w:szCs w:val="36"/>
          <w:highlight w:val="none"/>
          <w:lang w:val="zh-CN"/>
        </w:rPr>
        <w:t>（招标编号：YDZB24DGQY0208）</w:t>
      </w:r>
      <w:bookmarkEnd w:id="763"/>
    </w:p>
    <w:p w14:paraId="2394F45B">
      <w:pPr>
        <w:autoSpaceDE w:val="0"/>
        <w:autoSpaceDN w:val="0"/>
        <w:adjustRightInd w:val="0"/>
        <w:spacing w:line="400" w:lineRule="atLeast"/>
        <w:jc w:val="center"/>
        <w:rPr>
          <w:rFonts w:ascii="宋体" w:hAnsi="宋体" w:eastAsia="宋体" w:cs="宋体"/>
          <w:b/>
          <w:bCs/>
          <w:color w:val="auto"/>
          <w:sz w:val="36"/>
          <w:szCs w:val="36"/>
          <w:highlight w:val="none"/>
        </w:rPr>
      </w:pPr>
    </w:p>
    <w:p w14:paraId="6D882A10">
      <w:pPr>
        <w:autoSpaceDE w:val="0"/>
        <w:autoSpaceDN w:val="0"/>
        <w:adjustRightInd w:val="0"/>
        <w:spacing w:line="400" w:lineRule="atLeast"/>
        <w:jc w:val="center"/>
        <w:rPr>
          <w:rFonts w:ascii="宋体" w:hAnsi="宋体" w:eastAsia="宋体" w:cs="宋体"/>
          <w:b/>
          <w:bCs/>
          <w:color w:val="auto"/>
          <w:sz w:val="36"/>
          <w:szCs w:val="36"/>
          <w:highlight w:val="none"/>
        </w:rPr>
      </w:pPr>
    </w:p>
    <w:p w14:paraId="5A81FEC8">
      <w:pPr>
        <w:autoSpaceDE w:val="0"/>
        <w:autoSpaceDN w:val="0"/>
        <w:adjustRightInd w:val="0"/>
        <w:spacing w:line="400" w:lineRule="atLeast"/>
        <w:jc w:val="center"/>
        <w:rPr>
          <w:rFonts w:ascii="宋体" w:hAnsi="宋体" w:eastAsia="宋体" w:cs="宋体"/>
          <w:b/>
          <w:bCs/>
          <w:color w:val="auto"/>
          <w:sz w:val="36"/>
          <w:szCs w:val="36"/>
          <w:highlight w:val="none"/>
        </w:rPr>
      </w:pPr>
    </w:p>
    <w:p w14:paraId="4EB58CE6">
      <w:pPr>
        <w:autoSpaceDE w:val="0"/>
        <w:autoSpaceDN w:val="0"/>
        <w:adjustRightInd w:val="0"/>
        <w:spacing w:line="400" w:lineRule="atLeast"/>
        <w:jc w:val="center"/>
        <w:rPr>
          <w:rFonts w:ascii="宋体" w:hAnsi="宋体" w:eastAsia="宋体" w:cs="宋体"/>
          <w:b/>
          <w:bCs/>
          <w:color w:val="auto"/>
          <w:sz w:val="36"/>
          <w:szCs w:val="36"/>
          <w:highlight w:val="none"/>
        </w:rPr>
      </w:pPr>
    </w:p>
    <w:p w14:paraId="45B52150">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64" w:name="_Toc18947_WPSOffice_Level2"/>
      <w:r>
        <w:rPr>
          <w:rFonts w:hint="eastAsia" w:ascii="宋体" w:hAnsi="宋体" w:eastAsia="宋体" w:cs="宋体"/>
          <w:b/>
          <w:bCs/>
          <w:color w:val="auto"/>
          <w:sz w:val="72"/>
          <w:szCs w:val="72"/>
          <w:highlight w:val="none"/>
          <w:lang w:val="zh-CN"/>
        </w:rPr>
        <w:t>评标工作大纲</w:t>
      </w:r>
      <w:bookmarkEnd w:id="764"/>
    </w:p>
    <w:p w14:paraId="19E02B7B">
      <w:pPr>
        <w:autoSpaceDE w:val="0"/>
        <w:autoSpaceDN w:val="0"/>
        <w:adjustRightInd w:val="0"/>
        <w:spacing w:line="400" w:lineRule="atLeast"/>
        <w:jc w:val="center"/>
        <w:rPr>
          <w:rFonts w:ascii="宋体" w:hAnsi="宋体" w:eastAsia="宋体" w:cs="宋体"/>
          <w:b/>
          <w:bCs/>
          <w:color w:val="auto"/>
          <w:sz w:val="36"/>
          <w:szCs w:val="36"/>
          <w:highlight w:val="none"/>
        </w:rPr>
      </w:pPr>
    </w:p>
    <w:p w14:paraId="4E2B7538">
      <w:pPr>
        <w:autoSpaceDE w:val="0"/>
        <w:autoSpaceDN w:val="0"/>
        <w:adjustRightInd w:val="0"/>
        <w:spacing w:line="400" w:lineRule="atLeast"/>
        <w:rPr>
          <w:rFonts w:ascii="宋体" w:hAnsi="宋体" w:eastAsia="宋体" w:cs="宋体"/>
          <w:b/>
          <w:bCs/>
          <w:color w:val="auto"/>
          <w:sz w:val="36"/>
          <w:szCs w:val="36"/>
          <w:highlight w:val="none"/>
        </w:rPr>
      </w:pPr>
    </w:p>
    <w:p w14:paraId="71F336E3">
      <w:pPr>
        <w:autoSpaceDE w:val="0"/>
        <w:autoSpaceDN w:val="0"/>
        <w:adjustRightInd w:val="0"/>
        <w:spacing w:line="400" w:lineRule="atLeast"/>
        <w:jc w:val="center"/>
        <w:rPr>
          <w:rFonts w:ascii="宋体" w:hAnsi="宋体" w:eastAsia="宋体" w:cs="宋体"/>
          <w:b/>
          <w:bCs/>
          <w:color w:val="auto"/>
          <w:sz w:val="36"/>
          <w:szCs w:val="36"/>
          <w:highlight w:val="none"/>
        </w:rPr>
      </w:pPr>
    </w:p>
    <w:p w14:paraId="04E887D7">
      <w:pPr>
        <w:autoSpaceDE w:val="0"/>
        <w:autoSpaceDN w:val="0"/>
        <w:adjustRightInd w:val="0"/>
        <w:spacing w:line="400" w:lineRule="atLeast"/>
        <w:jc w:val="center"/>
        <w:rPr>
          <w:rFonts w:ascii="宋体" w:hAnsi="宋体" w:eastAsia="宋体" w:cs="宋体"/>
          <w:b/>
          <w:bCs/>
          <w:color w:val="auto"/>
          <w:sz w:val="36"/>
          <w:szCs w:val="36"/>
          <w:highlight w:val="none"/>
        </w:rPr>
      </w:pPr>
    </w:p>
    <w:p w14:paraId="7BAD748C">
      <w:pPr>
        <w:autoSpaceDE w:val="0"/>
        <w:autoSpaceDN w:val="0"/>
        <w:adjustRightInd w:val="0"/>
        <w:spacing w:line="400" w:lineRule="atLeast"/>
        <w:jc w:val="center"/>
        <w:rPr>
          <w:rFonts w:ascii="宋体" w:hAnsi="宋体" w:eastAsia="宋体" w:cs="宋体"/>
          <w:b/>
          <w:bCs/>
          <w:color w:val="auto"/>
          <w:sz w:val="36"/>
          <w:szCs w:val="36"/>
          <w:highlight w:val="none"/>
        </w:rPr>
      </w:pPr>
    </w:p>
    <w:p w14:paraId="5B431D73">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7329D678">
      <w:pPr>
        <w:autoSpaceDE w:val="0"/>
        <w:autoSpaceDN w:val="0"/>
        <w:adjustRightInd w:val="0"/>
        <w:spacing w:line="400" w:lineRule="atLeast"/>
        <w:jc w:val="center"/>
        <w:rPr>
          <w:rFonts w:ascii="宋体" w:hAnsi="宋体" w:eastAsia="宋体" w:cs="宋体"/>
          <w:b/>
          <w:bCs/>
          <w:color w:val="auto"/>
          <w:sz w:val="36"/>
          <w:szCs w:val="36"/>
          <w:highlight w:val="none"/>
        </w:rPr>
      </w:pPr>
    </w:p>
    <w:p w14:paraId="31788B80">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65" w:name="_Toc32395_WPSOffice_Level1"/>
      <w:r>
        <w:rPr>
          <w:rFonts w:hint="eastAsia" w:ascii="宋体" w:hAnsi="宋体" w:eastAsia="宋体" w:cs="宋体"/>
          <w:b/>
          <w:bCs/>
          <w:color w:val="auto"/>
          <w:sz w:val="36"/>
          <w:szCs w:val="36"/>
          <w:highlight w:val="none"/>
          <w:lang w:val="zh-CN"/>
        </w:rPr>
        <w:t>目录</w:t>
      </w:r>
      <w:bookmarkEnd w:id="765"/>
    </w:p>
    <w:p w14:paraId="095411DB">
      <w:pPr>
        <w:autoSpaceDE w:val="0"/>
        <w:autoSpaceDN w:val="0"/>
        <w:adjustRightInd w:val="0"/>
        <w:spacing w:line="400" w:lineRule="atLeast"/>
        <w:jc w:val="center"/>
        <w:rPr>
          <w:rFonts w:ascii="宋体" w:hAnsi="宋体" w:eastAsia="宋体" w:cs="宋体"/>
          <w:color w:val="auto"/>
          <w:sz w:val="44"/>
          <w:szCs w:val="44"/>
          <w:highlight w:val="none"/>
        </w:rPr>
      </w:pPr>
    </w:p>
    <w:p w14:paraId="27D8FDEB">
      <w:pPr>
        <w:autoSpaceDE w:val="0"/>
        <w:autoSpaceDN w:val="0"/>
        <w:adjustRightInd w:val="0"/>
        <w:spacing w:line="360" w:lineRule="auto"/>
        <w:ind w:left="567" w:hanging="567"/>
        <w:rPr>
          <w:rFonts w:ascii="宋体" w:hAnsi="宋体" w:eastAsia="宋体" w:cs="宋体"/>
          <w:color w:val="auto"/>
          <w:szCs w:val="30"/>
          <w:highlight w:val="none"/>
        </w:rPr>
      </w:pPr>
      <w:bookmarkStart w:id="766"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66"/>
    </w:p>
    <w:p w14:paraId="32125704">
      <w:pPr>
        <w:autoSpaceDE w:val="0"/>
        <w:autoSpaceDN w:val="0"/>
        <w:adjustRightInd w:val="0"/>
        <w:spacing w:line="360" w:lineRule="auto"/>
        <w:ind w:left="567" w:hanging="567"/>
        <w:rPr>
          <w:rFonts w:ascii="宋体" w:hAnsi="宋体" w:eastAsia="宋体" w:cs="宋体"/>
          <w:color w:val="auto"/>
          <w:szCs w:val="30"/>
          <w:highlight w:val="none"/>
        </w:rPr>
      </w:pPr>
      <w:bookmarkStart w:id="767"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67"/>
    </w:p>
    <w:p w14:paraId="2901F41C">
      <w:pPr>
        <w:autoSpaceDE w:val="0"/>
        <w:autoSpaceDN w:val="0"/>
        <w:adjustRightInd w:val="0"/>
        <w:spacing w:line="360" w:lineRule="auto"/>
        <w:ind w:left="567" w:hanging="567"/>
        <w:rPr>
          <w:rFonts w:ascii="宋体" w:hAnsi="宋体" w:eastAsia="宋体" w:cs="宋体"/>
          <w:color w:val="auto"/>
          <w:szCs w:val="30"/>
          <w:highlight w:val="none"/>
        </w:rPr>
      </w:pPr>
      <w:bookmarkStart w:id="768"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68"/>
    </w:p>
    <w:p w14:paraId="52EC4F94">
      <w:pPr>
        <w:autoSpaceDE w:val="0"/>
        <w:autoSpaceDN w:val="0"/>
        <w:adjustRightInd w:val="0"/>
        <w:spacing w:line="360" w:lineRule="auto"/>
        <w:ind w:left="567" w:hanging="567"/>
        <w:rPr>
          <w:rFonts w:ascii="宋体" w:hAnsi="宋体" w:eastAsia="宋体" w:cs="宋体"/>
          <w:color w:val="auto"/>
          <w:szCs w:val="30"/>
          <w:highlight w:val="none"/>
        </w:rPr>
      </w:pPr>
      <w:bookmarkStart w:id="769" w:name="_Toc1206_WPSOffice_Level1"/>
      <w:r>
        <w:rPr>
          <w:rFonts w:hint="eastAsia" w:ascii="宋体" w:hAnsi="宋体" w:eastAsia="宋体" w:cs="宋体"/>
          <w:color w:val="auto"/>
          <w:szCs w:val="30"/>
          <w:highlight w:val="none"/>
        </w:rPr>
        <w:t>四、 比较和评价</w:t>
      </w:r>
      <w:bookmarkEnd w:id="769"/>
    </w:p>
    <w:p w14:paraId="5BA89EA6">
      <w:pPr>
        <w:autoSpaceDE w:val="0"/>
        <w:autoSpaceDN w:val="0"/>
        <w:adjustRightInd w:val="0"/>
        <w:spacing w:line="360" w:lineRule="auto"/>
        <w:ind w:left="567" w:hanging="567"/>
        <w:rPr>
          <w:rFonts w:ascii="宋体" w:hAnsi="宋体" w:eastAsia="宋体" w:cs="宋体"/>
          <w:color w:val="auto"/>
          <w:szCs w:val="30"/>
          <w:highlight w:val="none"/>
        </w:rPr>
      </w:pPr>
      <w:bookmarkStart w:id="770"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70"/>
    </w:p>
    <w:p w14:paraId="43A2ED1A">
      <w:pPr>
        <w:autoSpaceDE w:val="0"/>
        <w:autoSpaceDN w:val="0"/>
        <w:adjustRightInd w:val="0"/>
        <w:spacing w:line="360" w:lineRule="auto"/>
        <w:ind w:left="567" w:hanging="567"/>
        <w:rPr>
          <w:rFonts w:ascii="宋体" w:hAnsi="宋体" w:eastAsia="宋体" w:cs="宋体"/>
          <w:color w:val="auto"/>
          <w:szCs w:val="30"/>
          <w:highlight w:val="none"/>
        </w:rPr>
      </w:pPr>
      <w:bookmarkStart w:id="771"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71"/>
    </w:p>
    <w:p w14:paraId="59E761E6">
      <w:pPr>
        <w:autoSpaceDE w:val="0"/>
        <w:autoSpaceDN w:val="0"/>
        <w:adjustRightInd w:val="0"/>
        <w:spacing w:line="360" w:lineRule="auto"/>
        <w:ind w:left="567" w:hanging="567"/>
        <w:rPr>
          <w:rFonts w:ascii="宋体" w:hAnsi="宋体" w:eastAsia="宋体" w:cs="宋体"/>
          <w:color w:val="auto"/>
          <w:szCs w:val="30"/>
          <w:highlight w:val="none"/>
        </w:rPr>
      </w:pPr>
      <w:bookmarkStart w:id="772"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72"/>
    </w:p>
    <w:p w14:paraId="680BE68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77C5761">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B2E66A7">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B62DF92">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73"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73"/>
    </w:p>
    <w:p w14:paraId="63CA28EF">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74" w:name="_Toc5794"/>
      <w:r>
        <w:rPr>
          <w:rFonts w:hint="eastAsia" w:ascii="宋体" w:hAnsi="宋体" w:eastAsia="宋体" w:cs="宋体"/>
          <w:b/>
          <w:bCs/>
          <w:color w:val="auto"/>
          <w:szCs w:val="24"/>
          <w:highlight w:val="none"/>
          <w:lang w:val="zh-CN"/>
        </w:rPr>
        <w:t>1、一般规定</w:t>
      </w:r>
      <w:bookmarkEnd w:id="774"/>
    </w:p>
    <w:p w14:paraId="1692BF7D">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东莞市涉水收费统一征收平台2025年度运维服务项目</w:t>
      </w:r>
      <w:r>
        <w:rPr>
          <w:rFonts w:hint="eastAsia" w:ascii="宋体" w:hAnsi="宋体" w:eastAsia="宋体" w:cs="宋体"/>
          <w:color w:val="auto"/>
          <w:szCs w:val="21"/>
          <w:highlight w:val="none"/>
          <w:lang w:val="zh-CN"/>
        </w:rPr>
        <w:t>(招标编号：YDZB24DGQY0208</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47152ED">
      <w:pPr>
        <w:autoSpaceDE w:val="0"/>
        <w:autoSpaceDN w:val="0"/>
        <w:adjustRightInd w:val="0"/>
        <w:spacing w:line="360" w:lineRule="auto"/>
        <w:ind w:left="567" w:hanging="567"/>
        <w:outlineLvl w:val="1"/>
        <w:rPr>
          <w:rFonts w:ascii="宋体" w:hAnsi="宋体" w:eastAsia="宋体" w:cs="宋体"/>
          <w:color w:val="auto"/>
          <w:szCs w:val="24"/>
          <w:highlight w:val="none"/>
          <w:lang w:val="zh-CN"/>
        </w:rPr>
      </w:pPr>
      <w:bookmarkStart w:id="775" w:name="_Toc3207"/>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775"/>
    </w:p>
    <w:p w14:paraId="1059BDB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24F1FDE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936271B">
      <w:pPr>
        <w:numPr>
          <w:ilvl w:val="1"/>
          <w:numId w:val="4"/>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B27FD1A">
      <w:pPr>
        <w:autoSpaceDE w:val="0"/>
        <w:autoSpaceDN w:val="0"/>
        <w:adjustRightInd w:val="0"/>
        <w:spacing w:line="360" w:lineRule="auto"/>
        <w:rPr>
          <w:rFonts w:ascii="宋体" w:hAnsi="宋体" w:eastAsia="宋体" w:cs="宋体"/>
          <w:color w:val="auto"/>
          <w:sz w:val="24"/>
          <w:szCs w:val="24"/>
          <w:highlight w:val="none"/>
          <w:lang w:val="zh-CN"/>
        </w:rPr>
      </w:pPr>
    </w:p>
    <w:p w14:paraId="76ADE54F">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76" w:name="_Toc32336"/>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776"/>
    </w:p>
    <w:p w14:paraId="1EEF2AC2">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A2DA28A">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80D764C">
      <w:pPr>
        <w:autoSpaceDE w:val="0"/>
        <w:autoSpaceDN w:val="0"/>
        <w:adjustRightInd w:val="0"/>
        <w:spacing w:line="360" w:lineRule="auto"/>
        <w:ind w:left="600" w:hanging="600"/>
        <w:outlineLvl w:val="1"/>
        <w:rPr>
          <w:rFonts w:ascii="宋体" w:hAnsi="宋体" w:eastAsia="宋体" w:cs="宋体"/>
          <w:color w:val="auto"/>
          <w:szCs w:val="24"/>
          <w:highlight w:val="none"/>
          <w:lang w:val="zh-CN"/>
        </w:rPr>
      </w:pPr>
      <w:bookmarkStart w:id="777" w:name="_Toc16443"/>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777"/>
    </w:p>
    <w:p w14:paraId="5E1A28A9">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5EB5694">
      <w:pPr>
        <w:autoSpaceDE w:val="0"/>
        <w:autoSpaceDN w:val="0"/>
        <w:adjustRightInd w:val="0"/>
        <w:spacing w:line="360" w:lineRule="auto"/>
        <w:rPr>
          <w:rFonts w:ascii="宋体" w:hAnsi="宋体" w:eastAsia="宋体" w:cs="宋体"/>
          <w:color w:val="auto"/>
          <w:sz w:val="24"/>
          <w:szCs w:val="24"/>
          <w:highlight w:val="none"/>
          <w:lang w:val="zh-CN"/>
        </w:rPr>
      </w:pPr>
    </w:p>
    <w:p w14:paraId="2EEFA0ED">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778" w:name="_Toc16278"/>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778"/>
    </w:p>
    <w:p w14:paraId="5F37BC9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1BA34B1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5E0FFAE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161295D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629A304E">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610C0231">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779" w:name="_Toc4443"/>
      <w:r>
        <w:rPr>
          <w:rFonts w:hint="eastAsia" w:ascii="宋体" w:hAnsi="宋体" w:eastAsia="宋体" w:cs="宋体"/>
          <w:b/>
          <w:bCs/>
          <w:color w:val="auto"/>
          <w:szCs w:val="21"/>
          <w:highlight w:val="none"/>
          <w:lang w:val="zh-CN"/>
        </w:rPr>
        <w:t>4、评标委员会义务</w:t>
      </w:r>
      <w:bookmarkEnd w:id="779"/>
    </w:p>
    <w:p w14:paraId="3132FEAD">
      <w:pPr>
        <w:autoSpaceDE w:val="0"/>
        <w:autoSpaceDN w:val="0"/>
        <w:adjustRightInd w:val="0"/>
        <w:spacing w:line="360" w:lineRule="auto"/>
        <w:jc w:val="left"/>
        <w:outlineLvl w:val="1"/>
        <w:rPr>
          <w:rFonts w:ascii="宋体" w:hAnsi="宋体" w:eastAsia="宋体" w:cs="宋体"/>
          <w:color w:val="auto"/>
          <w:kern w:val="0"/>
          <w:szCs w:val="24"/>
          <w:highlight w:val="none"/>
          <w:lang w:val="zh-CN"/>
        </w:rPr>
      </w:pPr>
      <w:bookmarkStart w:id="780" w:name="_Toc3834"/>
      <w:r>
        <w:rPr>
          <w:rFonts w:hint="eastAsia" w:ascii="宋体" w:hAnsi="宋体" w:eastAsia="宋体" w:cs="宋体"/>
          <w:color w:val="auto"/>
          <w:kern w:val="0"/>
          <w:szCs w:val="24"/>
          <w:highlight w:val="none"/>
          <w:lang w:val="zh-CN"/>
        </w:rPr>
        <w:t>4.1  遵纪守法，客观、公正、廉洁地履行职责；</w:t>
      </w:r>
      <w:bookmarkEnd w:id="780"/>
    </w:p>
    <w:p w14:paraId="66D4429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542569B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5D5A01F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89710B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10DC1AD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FC6D5C5">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4702D742">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781" w:name="_Toc22018"/>
      <w:r>
        <w:rPr>
          <w:rFonts w:hint="eastAsia" w:ascii="宋体" w:hAnsi="宋体" w:eastAsia="宋体" w:cs="宋体"/>
          <w:b/>
          <w:bCs/>
          <w:color w:val="auto"/>
          <w:szCs w:val="21"/>
          <w:highlight w:val="none"/>
          <w:lang w:val="zh-CN"/>
        </w:rPr>
        <w:t>5、评审程序</w:t>
      </w:r>
      <w:bookmarkEnd w:id="781"/>
    </w:p>
    <w:p w14:paraId="2921EFC2">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6E17EE81">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06526F0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2CA2114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60AA64A0">
      <w:pPr>
        <w:autoSpaceDE w:val="0"/>
        <w:autoSpaceDN w:val="0"/>
        <w:adjustRightInd w:val="0"/>
        <w:spacing w:line="360" w:lineRule="auto"/>
        <w:ind w:left="567" w:hanging="567"/>
        <w:outlineLvl w:val="1"/>
        <w:rPr>
          <w:rFonts w:ascii="宋体" w:hAnsi="宋体" w:eastAsia="宋体" w:cs="Times New Roman"/>
          <w:color w:val="auto"/>
          <w:szCs w:val="24"/>
          <w:highlight w:val="none"/>
          <w:lang w:val="zh-CN"/>
        </w:rPr>
      </w:pPr>
      <w:bookmarkStart w:id="782" w:name="_Toc14124"/>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bookmarkEnd w:id="782"/>
    </w:p>
    <w:p w14:paraId="615BB67A">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474B1F7D">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02A55B03">
      <w:pPr>
        <w:autoSpaceDE w:val="0"/>
        <w:autoSpaceDN w:val="0"/>
        <w:adjustRightInd w:val="0"/>
        <w:spacing w:line="360" w:lineRule="auto"/>
        <w:ind w:left="525" w:hanging="525" w:hangingChars="250"/>
        <w:jc w:val="left"/>
        <w:outlineLvl w:val="1"/>
        <w:rPr>
          <w:rFonts w:ascii="宋体" w:hAnsi="宋体" w:eastAsia="宋体" w:cs="Times New Roman"/>
          <w:color w:val="auto"/>
          <w:szCs w:val="24"/>
          <w:highlight w:val="none"/>
          <w:lang w:val="zh-CN"/>
        </w:rPr>
      </w:pPr>
      <w:bookmarkStart w:id="783" w:name="_Toc20251"/>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bookmarkEnd w:id="783"/>
    </w:p>
    <w:p w14:paraId="75B00BE6">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454FFF7B">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84" w:name="_Toc31358"/>
      <w:bookmarkStart w:id="785" w:name="_Toc19435_WPSOffice_Level1"/>
      <w:r>
        <w:rPr>
          <w:rFonts w:hint="eastAsia" w:ascii="宋体" w:hAnsi="宋体" w:eastAsia="宋体" w:cs="宋体"/>
          <w:b/>
          <w:bCs/>
          <w:color w:val="auto"/>
          <w:sz w:val="28"/>
          <w:szCs w:val="28"/>
          <w:highlight w:val="none"/>
          <w:lang w:val="zh-CN"/>
        </w:rPr>
        <w:t>二、投标文件的初审</w:t>
      </w:r>
      <w:bookmarkEnd w:id="784"/>
      <w:bookmarkEnd w:id="785"/>
    </w:p>
    <w:p w14:paraId="620240FA">
      <w:pPr>
        <w:autoSpaceDE w:val="0"/>
        <w:autoSpaceDN w:val="0"/>
        <w:adjustRightInd w:val="0"/>
        <w:spacing w:line="360" w:lineRule="auto"/>
        <w:outlineLvl w:val="0"/>
        <w:rPr>
          <w:rFonts w:ascii="宋体" w:hAnsi="宋体" w:eastAsia="宋体" w:cs="宋体"/>
          <w:b/>
          <w:color w:val="auto"/>
          <w:szCs w:val="24"/>
          <w:highlight w:val="none"/>
          <w:lang w:val="zh-CN"/>
        </w:rPr>
      </w:pPr>
      <w:bookmarkStart w:id="786" w:name="_Toc28275"/>
      <w:r>
        <w:rPr>
          <w:rFonts w:hint="eastAsia" w:ascii="宋体" w:hAnsi="宋体" w:eastAsia="宋体" w:cs="宋体"/>
          <w:b/>
          <w:color w:val="auto"/>
          <w:szCs w:val="24"/>
          <w:highlight w:val="none"/>
          <w:lang w:val="zh-CN"/>
        </w:rPr>
        <w:t>6、投标文件的初审分为资格性检查和符合性检查。</w:t>
      </w:r>
      <w:bookmarkEnd w:id="786"/>
    </w:p>
    <w:p w14:paraId="174CF54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AF55E8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4E6E7D2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7040F75C">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48E52470">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5ACCFD4E">
      <w:pPr>
        <w:autoSpaceDE w:val="0"/>
        <w:autoSpaceDN w:val="0"/>
        <w:adjustRightInd w:val="0"/>
        <w:spacing w:line="360" w:lineRule="auto"/>
        <w:outlineLvl w:val="0"/>
        <w:rPr>
          <w:rFonts w:ascii="宋体" w:hAnsi="宋体" w:eastAsia="宋体" w:cs="宋体"/>
          <w:b/>
          <w:color w:val="auto"/>
          <w:szCs w:val="21"/>
          <w:highlight w:val="none"/>
          <w:lang w:val="zh-CN"/>
        </w:rPr>
      </w:pPr>
      <w:bookmarkStart w:id="787" w:name="_Toc295"/>
      <w:r>
        <w:rPr>
          <w:rFonts w:hint="eastAsia" w:ascii="宋体" w:hAnsi="宋体" w:eastAsia="宋体" w:cs="宋体"/>
          <w:b/>
          <w:color w:val="auto"/>
          <w:szCs w:val="21"/>
          <w:highlight w:val="none"/>
          <w:lang w:val="zh-CN"/>
        </w:rPr>
        <w:t>7、投标文件出现下列情况之一的，被认定为无效投标：</w:t>
      </w:r>
      <w:bookmarkEnd w:id="787"/>
    </w:p>
    <w:p w14:paraId="3BD5EB59">
      <w:pPr>
        <w:autoSpaceDE w:val="0"/>
        <w:autoSpaceDN w:val="0"/>
        <w:adjustRightInd w:val="0"/>
        <w:spacing w:line="360" w:lineRule="auto"/>
        <w:outlineLvl w:val="1"/>
        <w:rPr>
          <w:rFonts w:ascii="宋体" w:hAnsi="宋体" w:eastAsia="宋体" w:cs="宋体"/>
          <w:b/>
          <w:color w:val="auto"/>
          <w:szCs w:val="21"/>
          <w:highlight w:val="none"/>
          <w:lang w:val="zh-CN"/>
        </w:rPr>
      </w:pPr>
      <w:bookmarkStart w:id="788" w:name="_Toc19078"/>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bookmarkEnd w:id="788"/>
    </w:p>
    <w:p w14:paraId="1802DF15">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投标</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14:paraId="3076BFEF">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1B46455">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6F4441F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CCD609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1F7B49E4">
      <w:pPr>
        <w:spacing w:line="360" w:lineRule="auto"/>
        <w:ind w:left="527" w:hanging="527" w:hangingChars="250"/>
        <w:outlineLvl w:val="1"/>
        <w:rPr>
          <w:rFonts w:ascii="宋体" w:hAnsi="宋体" w:eastAsia="宋体" w:cs="宋体"/>
          <w:b/>
          <w:bCs/>
          <w:color w:val="auto"/>
          <w:kern w:val="0"/>
          <w:szCs w:val="21"/>
          <w:highlight w:val="none"/>
        </w:rPr>
      </w:pPr>
      <w:bookmarkStart w:id="789" w:name="_Toc16998"/>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bookmarkEnd w:id="789"/>
    </w:p>
    <w:p w14:paraId="09723610">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35FD52B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5A272AD">
      <w:pPr>
        <w:spacing w:line="360" w:lineRule="auto"/>
        <w:ind w:left="413" w:hanging="413" w:hangingChars="196"/>
        <w:outlineLvl w:val="1"/>
        <w:rPr>
          <w:rFonts w:ascii="宋体" w:hAnsi="宋体" w:eastAsia="宋体" w:cs="Times New Roman"/>
          <w:b/>
          <w:color w:val="auto"/>
          <w:kern w:val="0"/>
          <w:szCs w:val="21"/>
          <w:highlight w:val="none"/>
        </w:rPr>
      </w:pPr>
      <w:bookmarkStart w:id="790" w:name="_Toc5499"/>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bookmarkEnd w:id="790"/>
    </w:p>
    <w:p w14:paraId="644A1FA0">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243C30AD">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0341C3D">
      <w:pPr>
        <w:spacing w:line="360" w:lineRule="auto"/>
        <w:ind w:left="480"/>
        <w:rPr>
          <w:rFonts w:ascii="宋体" w:hAnsi="宋体" w:eastAsia="宋体" w:cs="宋体"/>
          <w:b/>
          <w:color w:val="auto"/>
          <w:kern w:val="0"/>
          <w:szCs w:val="21"/>
          <w:highlight w:val="none"/>
        </w:rPr>
      </w:pPr>
    </w:p>
    <w:p w14:paraId="48DC2C39">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791" w:name="_Toc2057"/>
      <w:bookmarkStart w:id="792" w:name="_Toc4109_WPSOffice_Level1"/>
      <w:r>
        <w:rPr>
          <w:rFonts w:hint="eastAsia" w:ascii="宋体" w:hAnsi="宋体" w:eastAsia="宋体" w:cs="宋体"/>
          <w:b/>
          <w:bCs/>
          <w:color w:val="auto"/>
          <w:sz w:val="28"/>
          <w:szCs w:val="28"/>
          <w:highlight w:val="none"/>
          <w:lang w:val="zh-CN"/>
        </w:rPr>
        <w:t>三、澄清有关问题</w:t>
      </w:r>
      <w:bookmarkEnd w:id="791"/>
      <w:bookmarkEnd w:id="792"/>
    </w:p>
    <w:p w14:paraId="78A68372">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730AC18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D945C3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4FDD2D77">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45F5412C">
      <w:pPr>
        <w:spacing w:line="360" w:lineRule="auto"/>
        <w:ind w:left="424" w:hanging="424" w:hangingChars="202"/>
        <w:outlineLvl w:val="1"/>
        <w:rPr>
          <w:rFonts w:ascii="宋体" w:hAnsi="宋体" w:eastAsia="宋体" w:cs="宋体"/>
          <w:color w:val="auto"/>
          <w:kern w:val="0"/>
          <w:szCs w:val="21"/>
          <w:highlight w:val="none"/>
        </w:rPr>
      </w:pPr>
      <w:bookmarkStart w:id="793" w:name="_Toc22824"/>
      <w:r>
        <w:rPr>
          <w:rFonts w:hint="eastAsia" w:ascii="宋体" w:hAnsi="宋体" w:eastAsia="宋体" w:cs="宋体"/>
          <w:color w:val="auto"/>
          <w:kern w:val="0"/>
          <w:szCs w:val="21"/>
          <w:highlight w:val="none"/>
        </w:rPr>
        <w:t>9.4  投标文件报价计算错误的修正</w:t>
      </w:r>
      <w:bookmarkEnd w:id="793"/>
    </w:p>
    <w:p w14:paraId="0C3311D1">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54C70D35">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66BF4E61">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21C1CF2D">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）当分项报价明细表内累计与投标报价表内报价不符时，以投标报价表（开标一览表）为准，修正分项报价明细表内的各分项报价；</w:t>
      </w:r>
    </w:p>
    <w:p w14:paraId="5C75C984">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36B9A02">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1EC565F6">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641A6773">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94" w:name="_Toc8518_WPSOffice_Level1"/>
    </w:p>
    <w:p w14:paraId="02FE0F2F">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95" w:name="_Toc26341"/>
      <w:r>
        <w:rPr>
          <w:rFonts w:hint="eastAsia" w:ascii="宋体" w:hAnsi="宋体" w:eastAsia="宋体" w:cs="宋体"/>
          <w:b/>
          <w:bCs/>
          <w:color w:val="auto"/>
          <w:sz w:val="28"/>
          <w:szCs w:val="28"/>
          <w:highlight w:val="none"/>
          <w:lang w:val="zh-CN"/>
        </w:rPr>
        <w:t>四、比较和评价</w:t>
      </w:r>
      <w:bookmarkEnd w:id="794"/>
      <w:bookmarkEnd w:id="795"/>
    </w:p>
    <w:p w14:paraId="7D45FE67">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3C02BE9">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2F9A0631">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96" w:name="_Toc2070"/>
      <w:r>
        <w:rPr>
          <w:rFonts w:hint="eastAsia" w:ascii="宋体" w:hAnsi="宋体" w:eastAsia="宋体" w:cs="宋体"/>
          <w:b/>
          <w:color w:val="auto"/>
          <w:szCs w:val="24"/>
          <w:highlight w:val="none"/>
          <w:lang w:val="zh-CN"/>
        </w:rPr>
        <w:t>11、评委打分办法</w:t>
      </w:r>
      <w:bookmarkEnd w:id="796"/>
    </w:p>
    <w:p w14:paraId="787B4A7C">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5E8106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D100BC5">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325307A9">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3BF5DE24">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5B0D7FD3">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43880778">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97" w:name="_Toc7223"/>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797"/>
    </w:p>
    <w:p w14:paraId="5D8980E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3DCEADB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05C99466">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98" w:name="_Toc13286"/>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798"/>
    </w:p>
    <w:p w14:paraId="16E6504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454303BD">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FF87DB3">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4247C7CE">
      <w:pPr>
        <w:autoSpaceDE w:val="0"/>
        <w:autoSpaceDN w:val="0"/>
        <w:adjustRightInd w:val="0"/>
        <w:spacing w:line="360" w:lineRule="auto"/>
        <w:rPr>
          <w:rFonts w:ascii="宋体" w:hAnsi="宋体" w:eastAsia="宋体" w:cs="宋体"/>
          <w:color w:val="auto"/>
          <w:szCs w:val="24"/>
          <w:highlight w:val="none"/>
          <w:lang w:val="zh-CN"/>
        </w:rPr>
      </w:pPr>
    </w:p>
    <w:p w14:paraId="0D015B8D">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99" w:name="_Toc32535"/>
      <w:r>
        <w:rPr>
          <w:rFonts w:hint="eastAsia" w:ascii="宋体" w:hAnsi="宋体" w:eastAsia="宋体" w:cs="宋体"/>
          <w:b/>
          <w:color w:val="auto"/>
          <w:szCs w:val="24"/>
          <w:highlight w:val="none"/>
          <w:lang w:val="zh-CN"/>
        </w:rPr>
        <w:t>12、评分因素及分值</w:t>
      </w:r>
      <w:bookmarkEnd w:id="799"/>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6"/>
        <w:gridCol w:w="5174"/>
      </w:tblGrid>
      <w:tr w14:paraId="62B27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1C86F385">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3CF9CCA9">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1088E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148F00E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7528E5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default"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r w14:paraId="7FE7A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28F9C0F5">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8549B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default"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8ECE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4277172F">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035D4D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default"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bl>
    <w:p w14:paraId="63AAD22B">
      <w:pPr>
        <w:tabs>
          <w:tab w:val="left" w:pos="585"/>
        </w:tabs>
        <w:autoSpaceDE w:val="0"/>
        <w:autoSpaceDN w:val="0"/>
        <w:adjustRightInd w:val="0"/>
        <w:spacing w:line="360" w:lineRule="auto"/>
        <w:rPr>
          <w:rFonts w:ascii="宋体" w:hAnsi="宋体" w:eastAsia="宋体" w:cs="宋体"/>
          <w:b/>
          <w:color w:val="auto"/>
          <w:szCs w:val="21"/>
          <w:highlight w:val="none"/>
        </w:rPr>
      </w:pPr>
      <w:bookmarkStart w:id="800" w:name="_Toc18349_WPSOffice_Level2"/>
    </w:p>
    <w:p w14:paraId="3DD23A04">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default"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bookmarkEnd w:id="800"/>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4A00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bottom"/>
          </w:tcPr>
          <w:p w14:paraId="531C09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112A78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bottom"/>
          </w:tcPr>
          <w:p w14:paraId="010782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673DC2D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13BE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C02950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4745DA61">
            <w:pPr>
              <w:keepNext w:val="0"/>
              <w:keepLines w:val="0"/>
              <w:suppressLineNumbers w:val="0"/>
              <w:autoSpaceDE w:val="0"/>
              <w:autoSpaceDN w:val="0"/>
              <w:spacing w:before="0" w:beforeAutospacing="0" w:after="0" w:afterAutospacing="0" w:line="400" w:lineRule="exact"/>
              <w:ind w:left="0" w:right="0"/>
              <w:jc w:val="center"/>
              <w:rPr>
                <w:rFonts w:hint="default" w:ascii="宋体" w:hAnsi="宋体" w:eastAsia="宋体" w:cs="Times New Roman"/>
                <w:bCs/>
                <w:color w:val="auto"/>
                <w:kern w:val="0"/>
                <w:sz w:val="24"/>
                <w:szCs w:val="21"/>
                <w:highlight w:val="none"/>
              </w:rPr>
            </w:pPr>
            <w:r>
              <w:rPr>
                <w:rFonts w:hint="eastAsia" w:ascii="宋体" w:hAnsi="宋体" w:eastAsia="宋体" w:cs="宋体"/>
                <w:color w:val="auto"/>
                <w:sz w:val="21"/>
                <w:szCs w:val="21"/>
                <w:lang w:val="zh-CN"/>
              </w:rPr>
              <w:t>财务状况</w:t>
            </w:r>
          </w:p>
        </w:tc>
        <w:tc>
          <w:tcPr>
            <w:tcW w:w="3693" w:type="pct"/>
            <w:tcBorders>
              <w:top w:val="single" w:color="auto" w:sz="4" w:space="0"/>
              <w:left w:val="single" w:color="auto" w:sz="4" w:space="0"/>
              <w:bottom w:val="single" w:color="auto" w:sz="4" w:space="0"/>
              <w:right w:val="single" w:color="auto" w:sz="4" w:space="0"/>
            </w:tcBorders>
            <w:vAlign w:val="center"/>
          </w:tcPr>
          <w:p w14:paraId="0E39E435">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Times New Roman"/>
                <w:b w:val="0"/>
                <w:bCs/>
                <w:color w:val="auto"/>
                <w:kern w:val="0"/>
                <w:szCs w:val="21"/>
                <w:highlight w:val="none"/>
                <w:lang w:val="zh-CN"/>
              </w:rPr>
            </w:pPr>
            <w:r>
              <w:rPr>
                <w:rFonts w:hint="eastAsia" w:ascii="宋体" w:hAnsi="宋体" w:eastAsia="宋体" w:cs="Times New Roman"/>
                <w:b w:val="0"/>
                <w:bCs/>
                <w:color w:val="auto"/>
                <w:kern w:val="0"/>
                <w:szCs w:val="21"/>
                <w:highlight w:val="none"/>
                <w:lang w:val="zh-CN"/>
              </w:rPr>
              <w:t>投标人2021年-2023年三个年度，每具有1个年度盈利的得1分，满分3分。</w:t>
            </w:r>
          </w:p>
          <w:p w14:paraId="72858873">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589F8D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b w:val="0"/>
                <w:bCs/>
                <w:color w:val="auto"/>
                <w:kern w:val="0"/>
                <w:szCs w:val="21"/>
                <w:highlight w:val="none"/>
                <w:lang w:val="zh-CN"/>
              </w:rPr>
              <w:t>3分</w:t>
            </w:r>
          </w:p>
        </w:tc>
      </w:tr>
      <w:tr w14:paraId="4972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55964F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76F1E9EE">
            <w:pPr>
              <w:keepNext w:val="0"/>
              <w:keepLines w:val="0"/>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zh-CN"/>
              </w:rPr>
            </w:pPr>
            <w:r>
              <w:rPr>
                <w:rFonts w:hint="eastAsia" w:ascii="宋体" w:hAnsi="宋体" w:eastAsia="宋体" w:cs="宋体"/>
                <w:color w:val="auto"/>
                <w:sz w:val="21"/>
                <w:szCs w:val="21"/>
              </w:rPr>
              <w:t>标准化程度</w:t>
            </w:r>
          </w:p>
        </w:tc>
        <w:tc>
          <w:tcPr>
            <w:tcW w:w="3693" w:type="pct"/>
            <w:tcBorders>
              <w:top w:val="single" w:color="auto" w:sz="4" w:space="0"/>
              <w:left w:val="single" w:color="auto" w:sz="4" w:space="0"/>
              <w:bottom w:val="single" w:color="auto" w:sz="4" w:space="0"/>
              <w:right w:val="single" w:color="auto" w:sz="4" w:space="0"/>
            </w:tcBorders>
            <w:vAlign w:val="center"/>
          </w:tcPr>
          <w:p w14:paraId="44598B53">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（1）投标人具有有效期内的ISO9001质量管理体系认证证书得2分；</w:t>
            </w:r>
          </w:p>
          <w:p w14:paraId="471FD9B5">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（2）投标人具有有效期内的</w:t>
            </w:r>
            <w:r>
              <w:rPr>
                <w:rFonts w:hint="eastAsia" w:ascii="宋体" w:hAnsi="宋体" w:eastAsia="宋体" w:cs="宋体"/>
                <w:color w:val="auto"/>
              </w:rPr>
              <w:t>OHSAS18001（或GB/T45001-2020，或ISO45001）</w:t>
            </w:r>
            <w:r>
              <w:rPr>
                <w:rFonts w:hint="eastAsia" w:ascii="宋体" w:hAnsi="宋体" w:eastAsia="宋体" w:cs="宋体"/>
                <w:color w:val="auto"/>
                <w:szCs w:val="21"/>
              </w:rPr>
              <w:t>职业健康安全管理体系认证证书得2分；</w:t>
            </w:r>
          </w:p>
          <w:p w14:paraId="6B25747F">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（3）投标人具有有效期内的ISO/IEC20000信息技术服务管理体系认证证书得2分；</w:t>
            </w:r>
          </w:p>
          <w:p w14:paraId="2ECC469E">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Cs w:val="21"/>
                <w:lang w:eastAsia="zh-CN"/>
              </w:rPr>
            </w:pPr>
            <w:r>
              <w:rPr>
                <w:rFonts w:hint="eastAsia" w:ascii="宋体" w:hAnsi="宋体" w:eastAsia="宋体" w:cs="宋体"/>
                <w:color w:val="auto"/>
                <w:szCs w:val="21"/>
              </w:rPr>
              <w:t>（4）投标人具有有效期内的</w:t>
            </w:r>
            <w:r>
              <w:rPr>
                <w:rFonts w:hint="eastAsia" w:ascii="宋体" w:hAnsi="宋体" w:eastAsia="宋体"/>
                <w:color w:val="auto"/>
                <w:szCs w:val="21"/>
              </w:rPr>
              <w:t>ISO/IEC27001（或GB/T22080-2016）</w:t>
            </w:r>
            <w:r>
              <w:rPr>
                <w:rFonts w:hint="eastAsia" w:ascii="宋体" w:hAnsi="宋体" w:eastAsia="宋体" w:cs="宋体"/>
                <w:color w:val="auto"/>
                <w:szCs w:val="21"/>
              </w:rPr>
              <w:t>信息安全管理体系认证证书得2分</w:t>
            </w:r>
            <w:r>
              <w:rPr>
                <w:rFonts w:hint="eastAsia" w:ascii="宋体" w:hAnsi="宋体" w:eastAsia="宋体" w:cs="宋体"/>
                <w:color w:val="auto"/>
                <w:szCs w:val="21"/>
                <w:lang w:eastAsia="zh-CN"/>
              </w:rPr>
              <w:t>；</w:t>
            </w:r>
          </w:p>
          <w:p w14:paraId="7096ED01">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rPr>
            </w:pPr>
            <w:r>
              <w:rPr>
                <w:rFonts w:hint="eastAsia" w:ascii="宋体" w:hAnsi="宋体" w:eastAsia="宋体" w:cs="宋体"/>
                <w:color w:val="auto"/>
                <w:szCs w:val="21"/>
              </w:rPr>
              <w:t>（5）投标人具有有效期内的GB/T 29490知识产权管理体系认证证书得2分。</w:t>
            </w:r>
          </w:p>
          <w:p w14:paraId="52FF30FC">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5E086CB8">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eastAsia="宋体" w:cs="Times New Roman"/>
                <w:b/>
                <w:color w:val="auto"/>
                <w:kern w:val="0"/>
                <w:sz w:val="24"/>
                <w:szCs w:val="24"/>
                <w:highlight w:val="none"/>
              </w:rPr>
            </w:pPr>
            <w:r>
              <w:rPr>
                <w:rFonts w:hint="eastAsia" w:ascii="宋体" w:hAnsi="宋体" w:eastAsia="宋体" w:cs="宋体"/>
                <w:b/>
                <w:color w:val="auto"/>
                <w:sz w:val="21"/>
                <w:szCs w:val="21"/>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4564B6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w:t>
            </w:r>
          </w:p>
        </w:tc>
      </w:tr>
      <w:tr w14:paraId="4870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5E25D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bookmarkStart w:id="801" w:name="_Hlk104987354"/>
            <w:bookmarkStart w:id="802" w:name="_Toc11639_WPSOffice_Level2"/>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6BD790A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tc>
        <w:tc>
          <w:tcPr>
            <w:tcW w:w="3693" w:type="pct"/>
            <w:tcBorders>
              <w:top w:val="single" w:color="auto" w:sz="4" w:space="0"/>
              <w:left w:val="single" w:color="auto" w:sz="4" w:space="0"/>
              <w:bottom w:val="single" w:color="auto" w:sz="4" w:space="0"/>
              <w:right w:val="single" w:color="auto" w:sz="4" w:space="0"/>
            </w:tcBorders>
            <w:vAlign w:val="center"/>
          </w:tcPr>
          <w:p w14:paraId="5C0F85F0">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1、投标人2018年1月1日以来（以合同签订时间为准）具有信息系统运行维护项目业绩，按下列情况评分，本项</w:t>
            </w:r>
            <w:r>
              <w:rPr>
                <w:rFonts w:hint="eastAsia" w:ascii="宋体" w:hAnsi="宋体" w:eastAsia="宋体" w:cs="Times New Roman"/>
                <w:b/>
                <w:color w:val="auto"/>
                <w:kern w:val="0"/>
                <w:szCs w:val="21"/>
                <w:highlight w:val="none"/>
                <w:lang w:val="en-US" w:eastAsia="zh-CN"/>
              </w:rPr>
              <w:t>最高</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3</w:t>
            </w:r>
            <w:r>
              <w:rPr>
                <w:rFonts w:hint="eastAsia" w:ascii="宋体" w:hAnsi="宋体" w:eastAsia="宋体" w:cs="Times New Roman"/>
                <w:b/>
                <w:color w:val="auto"/>
                <w:kern w:val="0"/>
                <w:szCs w:val="21"/>
                <w:highlight w:val="none"/>
              </w:rPr>
              <w:t>分。</w:t>
            </w:r>
          </w:p>
          <w:p w14:paraId="21994B22">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（1）单个信息系统运维合同金额≥250万元的前述业绩，每项得</w:t>
            </w:r>
            <w:r>
              <w:rPr>
                <w:rFonts w:hint="eastAsia" w:ascii="宋体" w:hAnsi="宋体" w:eastAsia="宋体" w:cs="Times New Roman"/>
                <w:b w:val="0"/>
                <w:bCs/>
                <w:color w:val="auto"/>
                <w:kern w:val="0"/>
                <w:szCs w:val="21"/>
                <w:highlight w:val="none"/>
                <w:lang w:val="en-US" w:eastAsia="zh-CN"/>
              </w:rPr>
              <w:t>5</w:t>
            </w:r>
            <w:r>
              <w:rPr>
                <w:rFonts w:hint="eastAsia" w:ascii="宋体" w:hAnsi="宋体" w:eastAsia="宋体" w:cs="Times New Roman"/>
                <w:b w:val="0"/>
                <w:bCs/>
                <w:color w:val="auto"/>
                <w:kern w:val="0"/>
                <w:szCs w:val="21"/>
                <w:highlight w:val="none"/>
              </w:rPr>
              <w:t>分；</w:t>
            </w:r>
          </w:p>
          <w:p w14:paraId="1CB422BE">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（2）250万元＞单个信息系统运维合同金额≥150万元的前述业绩，每项得</w:t>
            </w:r>
            <w:r>
              <w:rPr>
                <w:rFonts w:hint="eastAsia" w:ascii="宋体" w:hAnsi="宋体" w:eastAsia="宋体" w:cs="Times New Roman"/>
                <w:b w:val="0"/>
                <w:bCs/>
                <w:color w:val="auto"/>
                <w:kern w:val="0"/>
                <w:szCs w:val="21"/>
                <w:highlight w:val="none"/>
                <w:lang w:val="en-US" w:eastAsia="zh-CN"/>
              </w:rPr>
              <w:t>3</w:t>
            </w:r>
            <w:r>
              <w:rPr>
                <w:rFonts w:hint="eastAsia" w:ascii="宋体" w:hAnsi="宋体" w:eastAsia="宋体" w:cs="Times New Roman"/>
                <w:b w:val="0"/>
                <w:bCs/>
                <w:color w:val="auto"/>
                <w:kern w:val="0"/>
                <w:szCs w:val="21"/>
                <w:highlight w:val="none"/>
              </w:rPr>
              <w:t>分；</w:t>
            </w:r>
          </w:p>
          <w:p w14:paraId="208E34BE">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（3）150万元＞单个信息系统运维合同金额≥100万元的前述业绩，每项得</w:t>
            </w:r>
            <w:r>
              <w:rPr>
                <w:rFonts w:hint="eastAsia" w:ascii="宋体" w:hAnsi="宋体" w:eastAsia="宋体" w:cs="Times New Roman"/>
                <w:b w:val="0"/>
                <w:bCs/>
                <w:color w:val="auto"/>
                <w:kern w:val="0"/>
                <w:szCs w:val="21"/>
                <w:highlight w:val="none"/>
                <w:lang w:val="en-US" w:eastAsia="zh-CN"/>
              </w:rPr>
              <w:t>2</w:t>
            </w:r>
            <w:r>
              <w:rPr>
                <w:rFonts w:hint="eastAsia" w:ascii="宋体" w:hAnsi="宋体" w:eastAsia="宋体" w:cs="Times New Roman"/>
                <w:b w:val="0"/>
                <w:bCs/>
                <w:color w:val="auto"/>
                <w:kern w:val="0"/>
                <w:szCs w:val="21"/>
                <w:highlight w:val="none"/>
              </w:rPr>
              <w:t>分；</w:t>
            </w:r>
          </w:p>
          <w:p w14:paraId="45157769">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（4）100万元＞单个信息系统运维合同金额≥50万元的前述业绩，每项得1分，本子项满分3分。</w:t>
            </w:r>
          </w:p>
          <w:p w14:paraId="048AE256">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rPr>
              <w:t>2、若投标人提供的前述信息系统运行维护项目业绩为市级</w:t>
            </w:r>
            <w:r>
              <w:rPr>
                <w:rFonts w:hint="eastAsia" w:ascii="宋体" w:hAnsi="宋体" w:eastAsia="宋体" w:cs="Times New Roman"/>
                <w:b/>
                <w:color w:val="auto"/>
                <w:kern w:val="0"/>
                <w:szCs w:val="21"/>
                <w:highlight w:val="none"/>
                <w:lang w:val="en-US" w:eastAsia="zh-CN"/>
              </w:rPr>
              <w:t>或以上</w:t>
            </w:r>
            <w:r>
              <w:rPr>
                <w:rFonts w:hint="eastAsia" w:ascii="宋体" w:hAnsi="宋体" w:eastAsia="宋体" w:cs="Times New Roman"/>
                <w:b/>
                <w:color w:val="auto"/>
                <w:kern w:val="0"/>
                <w:szCs w:val="21"/>
                <w:highlight w:val="none"/>
              </w:rPr>
              <w:t>涉水收费统一征收系统（平台）类相关项目业绩，每项加</w:t>
            </w:r>
            <w:r>
              <w:rPr>
                <w:rFonts w:hint="eastAsia" w:ascii="宋体" w:hAnsi="宋体" w:eastAsia="宋体" w:cs="Times New Roman"/>
                <w:b/>
                <w:color w:val="auto"/>
                <w:kern w:val="0"/>
                <w:szCs w:val="21"/>
                <w:highlight w:val="none"/>
                <w:lang w:val="en-US" w:eastAsia="zh-CN"/>
              </w:rPr>
              <w:t>4</w:t>
            </w:r>
            <w:r>
              <w:rPr>
                <w:rFonts w:hint="eastAsia" w:ascii="宋体" w:hAnsi="宋体" w:eastAsia="宋体" w:cs="Times New Roman"/>
                <w:b/>
                <w:color w:val="auto"/>
                <w:kern w:val="0"/>
                <w:szCs w:val="21"/>
                <w:highlight w:val="none"/>
              </w:rPr>
              <w:t>分，本项最高1</w:t>
            </w:r>
            <w:r>
              <w:rPr>
                <w:rFonts w:hint="eastAsia" w:ascii="宋体" w:hAnsi="宋体" w:eastAsia="宋体" w:cs="Times New Roman"/>
                <w:b/>
                <w:color w:val="auto"/>
                <w:kern w:val="0"/>
                <w:szCs w:val="21"/>
                <w:highlight w:val="none"/>
                <w:lang w:val="en-US" w:eastAsia="zh-CN"/>
              </w:rPr>
              <w:t>2</w:t>
            </w:r>
            <w:r>
              <w:rPr>
                <w:rFonts w:hint="eastAsia" w:ascii="宋体" w:hAnsi="宋体" w:eastAsia="宋体" w:cs="Times New Roman"/>
                <w:b/>
                <w:color w:val="auto"/>
                <w:kern w:val="0"/>
                <w:szCs w:val="21"/>
                <w:highlight w:val="none"/>
              </w:rPr>
              <w:t>分。</w:t>
            </w:r>
          </w:p>
          <w:p w14:paraId="0500A9BC">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备注：</w:t>
            </w:r>
          </w:p>
          <w:p w14:paraId="330914DB">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1）</w:t>
            </w:r>
            <w:r>
              <w:rPr>
                <w:rFonts w:hint="eastAsia" w:ascii="宋体" w:hAnsi="宋体" w:eastAsia="宋体" w:cs="Times New Roman"/>
                <w:b/>
                <w:bCs w:val="0"/>
                <w:color w:val="auto"/>
                <w:kern w:val="0"/>
                <w:szCs w:val="21"/>
                <w:highlight w:val="none"/>
                <w:lang w:val="en-US" w:eastAsia="zh-CN"/>
              </w:rPr>
              <w:t>以上各项相加得分不超过25分；</w:t>
            </w:r>
          </w:p>
          <w:p w14:paraId="67C921C8">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2）业绩须附合同复印件（合同服务提供方为投标人），否则不得分；</w:t>
            </w:r>
          </w:p>
          <w:p w14:paraId="34915EBA">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3）如业绩为市级或以上涉水收费统一征收系统（平台）类相关项目的，佐证材料须体现涉水收费统一征收的特点，服务范围涵盖供水企业、政府相关行政部门（如财政局、城市综合管理局等），同时包含自来水费、污水处理费等费用的征收，投标人须提供合同关键页、系统功能界面截图等，并加盖公章作为佐证材料，否则还需提供服务购买方出具的书面补充说明文件复印件作为辅助证明（补充情况说明文件复印件能显示服务购买方公章），否则不得分。</w:t>
            </w:r>
          </w:p>
          <w:p w14:paraId="51F28781">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4）若业绩为框架式协议或资格入围无明确金额的合同，必须同时提供合同期限内已服务发票金额统计表和发票复印件。</w:t>
            </w:r>
          </w:p>
        </w:tc>
        <w:tc>
          <w:tcPr>
            <w:tcW w:w="437" w:type="pct"/>
            <w:tcBorders>
              <w:top w:val="single" w:color="auto" w:sz="4" w:space="0"/>
              <w:left w:val="single" w:color="auto" w:sz="4" w:space="0"/>
              <w:bottom w:val="single" w:color="auto" w:sz="4" w:space="0"/>
              <w:right w:val="single" w:color="auto" w:sz="4" w:space="0"/>
            </w:tcBorders>
            <w:vAlign w:val="center"/>
          </w:tcPr>
          <w:p w14:paraId="426FB9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25分</w:t>
            </w:r>
          </w:p>
        </w:tc>
      </w:tr>
      <w:tr w14:paraId="21D1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vMerge w:val="restart"/>
            <w:tcBorders>
              <w:top w:val="single" w:color="auto" w:sz="4" w:space="0"/>
              <w:left w:val="single" w:color="auto" w:sz="4" w:space="0"/>
              <w:right w:val="single" w:color="auto" w:sz="4" w:space="0"/>
            </w:tcBorders>
            <w:vAlign w:val="center"/>
          </w:tcPr>
          <w:p w14:paraId="5363056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vMerge w:val="restart"/>
            <w:tcBorders>
              <w:top w:val="single" w:color="auto" w:sz="4" w:space="0"/>
              <w:left w:val="single" w:color="auto" w:sz="4" w:space="0"/>
              <w:right w:val="single" w:color="auto" w:sz="4" w:space="0"/>
            </w:tcBorders>
            <w:vAlign w:val="center"/>
          </w:tcPr>
          <w:p w14:paraId="525ADA0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企业实力</w:t>
            </w:r>
          </w:p>
        </w:tc>
        <w:tc>
          <w:tcPr>
            <w:tcW w:w="3693" w:type="pct"/>
            <w:tcBorders>
              <w:top w:val="single" w:color="auto" w:sz="4" w:space="0"/>
              <w:left w:val="single" w:color="auto" w:sz="4" w:space="0"/>
              <w:bottom w:val="single" w:color="auto" w:sz="4" w:space="0"/>
              <w:right w:val="single" w:color="auto" w:sz="4" w:space="0"/>
            </w:tcBorders>
            <w:vAlign w:val="center"/>
          </w:tcPr>
          <w:p w14:paraId="38330C75">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lang w:eastAsia="zh-CN"/>
              </w:rPr>
            </w:pPr>
            <w:r>
              <w:rPr>
                <w:rFonts w:hint="eastAsia" w:ascii="宋体" w:hAnsi="宋体" w:eastAsia="宋体" w:cs="Times New Roman"/>
                <w:b w:val="0"/>
                <w:bCs/>
                <w:color w:val="auto"/>
                <w:kern w:val="0"/>
                <w:szCs w:val="21"/>
                <w:highlight w:val="none"/>
              </w:rPr>
              <w:t>投标人具有ITSS</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信息技术服务标准</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lang w:val="en-US" w:eastAsia="zh-CN"/>
              </w:rPr>
              <w:t>业务领域为：运行维护</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三级或以上证书得</w:t>
            </w:r>
            <w:r>
              <w:rPr>
                <w:rFonts w:hint="eastAsia" w:ascii="宋体" w:hAnsi="宋体" w:eastAsia="宋体" w:cs="Times New Roman"/>
                <w:b w:val="0"/>
                <w:bCs/>
                <w:color w:val="auto"/>
                <w:kern w:val="0"/>
                <w:szCs w:val="21"/>
                <w:highlight w:val="none"/>
                <w:lang w:val="en-US" w:eastAsia="zh-CN"/>
              </w:rPr>
              <w:t>2</w:t>
            </w:r>
            <w:r>
              <w:rPr>
                <w:rFonts w:hint="eastAsia" w:ascii="宋体" w:hAnsi="宋体" w:eastAsia="宋体" w:cs="Times New Roman"/>
                <w:b w:val="0"/>
                <w:bCs/>
                <w:color w:val="auto"/>
                <w:kern w:val="0"/>
                <w:szCs w:val="21"/>
                <w:highlight w:val="none"/>
              </w:rPr>
              <w:t>分，无不得分</w:t>
            </w:r>
            <w:r>
              <w:rPr>
                <w:rFonts w:hint="eastAsia" w:ascii="宋体" w:hAnsi="宋体" w:eastAsia="宋体" w:cs="Times New Roman"/>
                <w:b w:val="0"/>
                <w:bCs/>
                <w:color w:val="auto"/>
                <w:kern w:val="0"/>
                <w:szCs w:val="21"/>
                <w:highlight w:val="none"/>
                <w:lang w:eastAsia="zh-CN"/>
              </w:rPr>
              <w:t>。</w:t>
            </w:r>
          </w:p>
          <w:p w14:paraId="4A333B4F">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注：</w:t>
            </w:r>
            <w:r>
              <w:rPr>
                <w:rFonts w:hint="eastAsia" w:ascii="宋体" w:hAnsi="宋体" w:eastAsia="宋体"/>
                <w:b/>
                <w:color w:val="auto"/>
                <w:szCs w:val="21"/>
              </w:rPr>
              <w:t>投标人应提供上述有效证书复印件及能显示证书有效状态的ITSS中国电子工业标准化技术协会信息技术服务分会（https://www.itss.cn/web/itss）查询结果凭证{凭证界面需显示有“ITSS中国电子工业标准化技术协会信息技术服务分会”或“显示网址https://www.itss.cn/web/itss”，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4A2BB3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2分</w:t>
            </w:r>
          </w:p>
        </w:tc>
      </w:tr>
      <w:tr w14:paraId="725D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vMerge w:val="continue"/>
            <w:tcBorders>
              <w:left w:val="single" w:color="auto" w:sz="4" w:space="0"/>
              <w:bottom w:val="single" w:color="auto" w:sz="4" w:space="0"/>
              <w:right w:val="single" w:color="auto" w:sz="4" w:space="0"/>
            </w:tcBorders>
            <w:vAlign w:val="center"/>
          </w:tcPr>
          <w:p w14:paraId="690FFB1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vAlign w:val="center"/>
          </w:tcPr>
          <w:p w14:paraId="3C3D7A8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29443861">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投标人具有信息系统相关的软件著作权登记证书，每提供一个得</w:t>
            </w:r>
            <w:r>
              <w:rPr>
                <w:rFonts w:hint="eastAsia" w:ascii="宋体" w:hAnsi="宋体" w:eastAsia="宋体" w:cs="Times New Roman"/>
                <w:b w:val="0"/>
                <w:bCs/>
                <w:color w:val="auto"/>
                <w:kern w:val="0"/>
                <w:szCs w:val="21"/>
                <w:highlight w:val="none"/>
                <w:lang w:val="en-US" w:eastAsia="zh-CN"/>
              </w:rPr>
              <w:t>1</w:t>
            </w:r>
            <w:r>
              <w:rPr>
                <w:rFonts w:hint="eastAsia" w:ascii="宋体" w:hAnsi="宋体" w:eastAsia="宋体" w:cs="Times New Roman"/>
                <w:b w:val="0"/>
                <w:bCs/>
                <w:color w:val="auto"/>
                <w:kern w:val="0"/>
                <w:szCs w:val="21"/>
                <w:highlight w:val="none"/>
              </w:rPr>
              <w:t>分，最高得</w:t>
            </w:r>
            <w:r>
              <w:rPr>
                <w:rFonts w:hint="default" w:ascii="宋体" w:hAnsi="宋体" w:eastAsia="宋体" w:cs="Times New Roman"/>
                <w:b w:val="0"/>
                <w:bCs/>
                <w:color w:val="auto"/>
                <w:kern w:val="0"/>
                <w:szCs w:val="21"/>
                <w:highlight w:val="none"/>
                <w:lang w:val="en-US" w:eastAsia="zh-CN"/>
              </w:rPr>
              <w:t>10</w:t>
            </w:r>
            <w:r>
              <w:rPr>
                <w:rFonts w:hint="eastAsia" w:ascii="宋体" w:hAnsi="宋体" w:eastAsia="宋体" w:cs="Times New Roman"/>
                <w:b w:val="0"/>
                <w:bCs/>
                <w:color w:val="auto"/>
                <w:kern w:val="0"/>
                <w:szCs w:val="21"/>
                <w:highlight w:val="none"/>
              </w:rPr>
              <w:t>分。</w:t>
            </w:r>
          </w:p>
          <w:p w14:paraId="25A7C4DB">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注：须提供计算机软件著作权登记证书复印件并加盖投标人公章。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7B2757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10</w:t>
            </w:r>
            <w:r>
              <w:rPr>
                <w:rFonts w:hint="eastAsia" w:ascii="宋体" w:hAnsi="宋体" w:eastAsia="宋体" w:cs="宋体"/>
                <w:color w:val="auto"/>
                <w:szCs w:val="24"/>
                <w:highlight w:val="none"/>
                <w:lang w:val="en-US" w:eastAsia="zh-CN"/>
              </w:rPr>
              <w:t>分</w:t>
            </w:r>
          </w:p>
        </w:tc>
      </w:tr>
      <w:bookmarkEnd w:id="801"/>
    </w:tbl>
    <w:p w14:paraId="14061F1A">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58B1D50B">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default"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02"/>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33"/>
        <w:gridCol w:w="7659"/>
        <w:gridCol w:w="907"/>
      </w:tblGrid>
      <w:tr w14:paraId="385E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4EECF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bookmarkStart w:id="803"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45DC6C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01AFB5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6B4714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F5A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9E819D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136AD1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项目理解</w:t>
            </w:r>
          </w:p>
        </w:tc>
        <w:tc>
          <w:tcPr>
            <w:tcW w:w="3692" w:type="pct"/>
            <w:tcBorders>
              <w:top w:val="single" w:color="auto" w:sz="4" w:space="0"/>
              <w:left w:val="single" w:color="auto" w:sz="4" w:space="0"/>
              <w:bottom w:val="single" w:color="auto" w:sz="4" w:space="0"/>
              <w:right w:val="single" w:color="auto" w:sz="4" w:space="0"/>
            </w:tcBorders>
            <w:vAlign w:val="center"/>
          </w:tcPr>
          <w:p w14:paraId="5FD06F2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比较所有投标人对项目背景、运维现状、运维目标、运维内容的理解是否准确，对用户需求分析是否透彻，是否满足用户需求</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须结合用户</w:t>
            </w:r>
            <w:r>
              <w:rPr>
                <w:rFonts w:hint="eastAsia" w:ascii="宋体" w:hAnsi="宋体" w:eastAsia="宋体"/>
                <w:b/>
                <w:bCs/>
                <w:color w:val="auto"/>
                <w:kern w:val="0"/>
                <w:szCs w:val="21"/>
                <w:highlight w:val="none"/>
              </w:rPr>
              <w:t>需求书偏离表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等方面进行评审。</w:t>
            </w:r>
          </w:p>
          <w:p w14:paraId="6EB798DE">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优：投标人运维方案详细完整，并对本项目理解透彻，有针对性，得[</w:t>
            </w:r>
            <w:r>
              <w:rPr>
                <w:rFonts w:hint="eastAsia" w:ascii="宋体" w:hAnsi="宋体" w:eastAsia="宋体" w:cs="宋体"/>
                <w:b w:val="0"/>
                <w:bCs w:val="0"/>
                <w:color w:val="auto"/>
                <w:kern w:val="0"/>
                <w:szCs w:val="21"/>
                <w:highlight w:val="none"/>
                <w:lang w:eastAsia="zh-CN"/>
              </w:rPr>
              <w:t>4</w:t>
            </w: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eastAsia="zh-CN"/>
              </w:rPr>
              <w:t>3</w:t>
            </w:r>
            <w:r>
              <w:rPr>
                <w:rFonts w:hint="eastAsia" w:ascii="宋体" w:hAnsi="宋体" w:eastAsia="宋体" w:cs="宋体"/>
                <w:b w:val="0"/>
                <w:bCs w:val="0"/>
                <w:color w:val="auto"/>
                <w:kern w:val="0"/>
                <w:szCs w:val="21"/>
                <w:highlight w:val="none"/>
              </w:rPr>
              <w:t>分]；</w:t>
            </w:r>
          </w:p>
          <w:p w14:paraId="74BA4A4C">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良：投标人运维方案较详细，并对本项目有一定的理解，针对性良好，得（</w:t>
            </w:r>
            <w:r>
              <w:rPr>
                <w:rFonts w:hint="eastAsia" w:ascii="宋体" w:hAnsi="宋体" w:eastAsia="宋体" w:cs="宋体"/>
                <w:b w:val="0"/>
                <w:bCs w:val="0"/>
                <w:color w:val="auto"/>
                <w:kern w:val="0"/>
                <w:szCs w:val="21"/>
                <w:highlight w:val="none"/>
                <w:lang w:eastAsia="zh-CN"/>
              </w:rPr>
              <w:t>3</w:t>
            </w: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eastAsia="zh-CN"/>
              </w:rPr>
              <w:t>2</w:t>
            </w:r>
            <w:r>
              <w:rPr>
                <w:rFonts w:hint="eastAsia" w:ascii="宋体" w:hAnsi="宋体" w:eastAsia="宋体" w:cs="宋体"/>
                <w:b w:val="0"/>
                <w:bCs w:val="0"/>
                <w:color w:val="auto"/>
                <w:kern w:val="0"/>
                <w:szCs w:val="21"/>
                <w:highlight w:val="none"/>
              </w:rPr>
              <w:t>分]；</w:t>
            </w:r>
          </w:p>
          <w:p w14:paraId="260192DA">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中：投标人运维方案一般，并对本项目理解一般，针对性一般，得（</w:t>
            </w:r>
            <w:r>
              <w:rPr>
                <w:rFonts w:hint="eastAsia" w:ascii="宋体" w:hAnsi="宋体" w:eastAsia="宋体" w:cs="宋体"/>
                <w:b w:val="0"/>
                <w:bCs w:val="0"/>
                <w:color w:val="auto"/>
                <w:kern w:val="0"/>
                <w:szCs w:val="21"/>
                <w:highlight w:val="none"/>
                <w:lang w:eastAsia="zh-CN"/>
              </w:rPr>
              <w:t>2</w:t>
            </w:r>
            <w:r>
              <w:rPr>
                <w:rFonts w:hint="eastAsia" w:ascii="宋体" w:hAnsi="宋体" w:eastAsia="宋体" w:cs="宋体"/>
                <w:b w:val="0"/>
                <w:bCs w:val="0"/>
                <w:color w:val="auto"/>
                <w:kern w:val="0"/>
                <w:szCs w:val="21"/>
                <w:highlight w:val="none"/>
              </w:rPr>
              <w:t>-1分]；</w:t>
            </w:r>
          </w:p>
          <w:p w14:paraId="13990790">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b w:val="0"/>
                <w:bCs w:val="0"/>
                <w:color w:val="auto"/>
                <w:kern w:val="0"/>
                <w:szCs w:val="21"/>
                <w:highlight w:val="none"/>
              </w:rPr>
              <w:t>差：投标人运维方案差，并对本项目理解较差，针对性差，得（1-0分]。</w:t>
            </w:r>
          </w:p>
        </w:tc>
        <w:tc>
          <w:tcPr>
            <w:tcW w:w="437" w:type="pct"/>
            <w:tcBorders>
              <w:top w:val="single" w:color="auto" w:sz="4" w:space="0"/>
              <w:left w:val="single" w:color="auto" w:sz="4" w:space="0"/>
              <w:bottom w:val="single" w:color="auto" w:sz="4" w:space="0"/>
              <w:right w:val="single" w:color="auto" w:sz="4" w:space="0"/>
            </w:tcBorders>
            <w:vAlign w:val="center"/>
          </w:tcPr>
          <w:p w14:paraId="7D45E8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r>
      <w:tr w14:paraId="3CD3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28498C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34E3B6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项目实施管理方案</w:t>
            </w:r>
          </w:p>
        </w:tc>
        <w:tc>
          <w:tcPr>
            <w:tcW w:w="3692" w:type="pct"/>
            <w:tcBorders>
              <w:top w:val="single" w:color="auto" w:sz="4" w:space="0"/>
              <w:left w:val="single" w:color="auto" w:sz="4" w:space="0"/>
              <w:bottom w:val="single" w:color="auto" w:sz="4" w:space="0"/>
              <w:right w:val="single" w:color="auto" w:sz="4" w:space="0"/>
            </w:tcBorders>
            <w:vAlign w:val="center"/>
          </w:tcPr>
          <w:p w14:paraId="3B6FD692">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对项目实施管理进度计划、组织架构、人员保障、主要实施方法等进行评审。</w:t>
            </w:r>
          </w:p>
          <w:p w14:paraId="1E2480C0">
            <w:pPr>
              <w:keepNext w:val="0"/>
              <w:keepLines w:val="0"/>
              <w:suppressLineNumbers w:val="0"/>
              <w:autoSpaceDE w:val="0"/>
              <w:autoSpaceDN w:val="0"/>
              <w:spacing w:before="0" w:beforeAutospacing="0" w:after="0" w:afterAutospacing="0" w:line="400" w:lineRule="exact"/>
              <w:ind w:left="0" w:right="0"/>
              <w:rPr>
                <w:rFonts w:hint="default"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优：投标人项目实施管理方案科学合理，可行性高，且包含管理进度计划、组织架构、人员保障、主要实施方法四个，得[</w:t>
            </w:r>
            <w:r>
              <w:rPr>
                <w:rFonts w:hint="eastAsia" w:ascii="宋体" w:hAnsi="宋体" w:eastAsia="宋体" w:cs="宋体"/>
                <w:b w:val="0"/>
                <w:bCs w:val="0"/>
                <w:color w:val="auto"/>
                <w:kern w:val="0"/>
                <w:szCs w:val="21"/>
                <w:highlight w:val="none"/>
                <w:lang w:val="en-US" w:eastAsia="zh-CN"/>
              </w:rPr>
              <w:t>4</w:t>
            </w: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eastAsia="zh-CN"/>
              </w:rPr>
              <w:t>3</w:t>
            </w:r>
            <w:r>
              <w:rPr>
                <w:rFonts w:hint="eastAsia" w:ascii="宋体" w:hAnsi="宋体" w:eastAsia="宋体" w:cs="宋体"/>
                <w:b w:val="0"/>
                <w:bCs w:val="0"/>
                <w:color w:val="auto"/>
                <w:kern w:val="0"/>
                <w:szCs w:val="21"/>
                <w:highlight w:val="none"/>
              </w:rPr>
              <w:t>分]；</w:t>
            </w:r>
          </w:p>
          <w:p w14:paraId="0814B026">
            <w:pPr>
              <w:keepNext w:val="0"/>
              <w:keepLines w:val="0"/>
              <w:suppressLineNumbers w:val="0"/>
              <w:autoSpaceDE w:val="0"/>
              <w:autoSpaceDN w:val="0"/>
              <w:spacing w:before="0" w:beforeAutospacing="0" w:after="0" w:afterAutospacing="0" w:line="400" w:lineRule="exact"/>
              <w:ind w:left="0" w:right="0"/>
              <w:rPr>
                <w:rFonts w:hint="default"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良：投标人项目实施管理方案合理，可行性良好，且包含管理进度计划、组织架构、人员保障、主要实施方法任意三个，得（</w:t>
            </w:r>
            <w:r>
              <w:rPr>
                <w:rFonts w:hint="eastAsia" w:ascii="宋体" w:hAnsi="宋体" w:eastAsia="宋体" w:cs="宋体"/>
                <w:b w:val="0"/>
                <w:bCs w:val="0"/>
                <w:color w:val="auto"/>
                <w:kern w:val="0"/>
                <w:szCs w:val="21"/>
                <w:highlight w:val="none"/>
                <w:lang w:eastAsia="zh-CN"/>
              </w:rPr>
              <w:t>3</w:t>
            </w: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eastAsia="zh-CN"/>
              </w:rPr>
              <w:t>2</w:t>
            </w:r>
            <w:r>
              <w:rPr>
                <w:rFonts w:hint="eastAsia" w:ascii="宋体" w:hAnsi="宋体" w:eastAsia="宋体" w:cs="宋体"/>
                <w:b w:val="0"/>
                <w:bCs w:val="0"/>
                <w:color w:val="auto"/>
                <w:kern w:val="0"/>
                <w:szCs w:val="21"/>
                <w:highlight w:val="none"/>
              </w:rPr>
              <w:t>分]；</w:t>
            </w:r>
          </w:p>
          <w:p w14:paraId="1FB323E4">
            <w:pPr>
              <w:keepNext w:val="0"/>
              <w:keepLines w:val="0"/>
              <w:suppressLineNumbers w:val="0"/>
              <w:autoSpaceDE w:val="0"/>
              <w:autoSpaceDN w:val="0"/>
              <w:spacing w:before="0" w:beforeAutospacing="0" w:after="0" w:afterAutospacing="0" w:line="400" w:lineRule="exact"/>
              <w:ind w:left="0" w:right="0"/>
              <w:rPr>
                <w:rFonts w:hint="default"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中：投标人项目实施管理方案方案一般，可行性一般，且包含管理进度计划、组织架构、人员保障、主要实施方法任意两个，得（</w:t>
            </w:r>
            <w:r>
              <w:rPr>
                <w:rFonts w:hint="eastAsia" w:ascii="宋体" w:hAnsi="宋体" w:eastAsia="宋体" w:cs="宋体"/>
                <w:b w:val="0"/>
                <w:bCs w:val="0"/>
                <w:color w:val="auto"/>
                <w:kern w:val="0"/>
                <w:szCs w:val="21"/>
                <w:highlight w:val="none"/>
                <w:lang w:eastAsia="zh-CN"/>
              </w:rPr>
              <w:t>2</w:t>
            </w:r>
            <w:r>
              <w:rPr>
                <w:rFonts w:hint="eastAsia" w:ascii="宋体" w:hAnsi="宋体" w:eastAsia="宋体" w:cs="宋体"/>
                <w:b w:val="0"/>
                <w:bCs w:val="0"/>
                <w:color w:val="auto"/>
                <w:kern w:val="0"/>
                <w:szCs w:val="21"/>
                <w:highlight w:val="none"/>
              </w:rPr>
              <w:t>-1分]；</w:t>
            </w:r>
          </w:p>
          <w:p w14:paraId="30287BE4">
            <w:pPr>
              <w:keepNext w:val="0"/>
              <w:keepLines w:val="0"/>
              <w:suppressLineNumbers w:val="0"/>
              <w:autoSpaceDE w:val="0"/>
              <w:autoSpaceDN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b w:val="0"/>
                <w:bCs w:val="0"/>
                <w:color w:val="auto"/>
                <w:kern w:val="0"/>
                <w:szCs w:val="21"/>
                <w:highlight w:val="none"/>
              </w:rPr>
              <w:t>差：投标人项目实施管理方案差，可行性差，且包含管理进度计划、组织架构、人员保障、主要实施方法任意一个或无，得（1-0分]。</w:t>
            </w:r>
          </w:p>
        </w:tc>
        <w:tc>
          <w:tcPr>
            <w:tcW w:w="437" w:type="pct"/>
            <w:tcBorders>
              <w:top w:val="single" w:color="auto" w:sz="4" w:space="0"/>
              <w:left w:val="single" w:color="auto" w:sz="4" w:space="0"/>
              <w:bottom w:val="single" w:color="auto" w:sz="4" w:space="0"/>
              <w:right w:val="single" w:color="auto" w:sz="4" w:space="0"/>
            </w:tcBorders>
            <w:vAlign w:val="center"/>
          </w:tcPr>
          <w:p w14:paraId="1BB2EEC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r>
      <w:tr w14:paraId="1FAD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96475A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48D398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质量保证措施及承诺 </w:t>
            </w:r>
          </w:p>
        </w:tc>
        <w:tc>
          <w:tcPr>
            <w:tcW w:w="3692" w:type="pct"/>
            <w:tcBorders>
              <w:top w:val="single" w:color="auto" w:sz="4" w:space="0"/>
              <w:left w:val="single" w:color="auto" w:sz="4" w:space="0"/>
              <w:bottom w:val="single" w:color="auto" w:sz="4" w:space="0"/>
              <w:right w:val="single" w:color="auto" w:sz="4" w:space="0"/>
            </w:tcBorders>
            <w:vAlign w:val="center"/>
          </w:tcPr>
          <w:p w14:paraId="56267AFF">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对投标人项目运维过程中质量的保证及其措施，以及承诺情况进行评</w:t>
            </w:r>
            <w:r>
              <w:rPr>
                <w:rFonts w:hint="eastAsia" w:ascii="宋体" w:hAnsi="宋体" w:eastAsia="宋体" w:cs="宋体"/>
                <w:b/>
                <w:bCs/>
                <w:color w:val="auto"/>
                <w:kern w:val="0"/>
                <w:szCs w:val="21"/>
                <w:highlight w:val="none"/>
                <w:lang w:val="en-US" w:eastAsia="zh-CN"/>
              </w:rPr>
              <w:t>审</w:t>
            </w:r>
            <w:r>
              <w:rPr>
                <w:rFonts w:hint="eastAsia" w:ascii="宋体" w:hAnsi="宋体" w:eastAsia="宋体" w:cs="宋体"/>
                <w:b/>
                <w:bCs/>
                <w:color w:val="auto"/>
                <w:kern w:val="0"/>
                <w:szCs w:val="21"/>
                <w:highlight w:val="none"/>
                <w:lang w:eastAsia="zh-CN"/>
              </w:rPr>
              <w:t>。</w:t>
            </w:r>
          </w:p>
          <w:p w14:paraId="1FC5565A">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olor w:val="auto"/>
              </w:rPr>
            </w:pPr>
            <w:r>
              <w:rPr>
                <w:rFonts w:hint="eastAsia" w:ascii="宋体" w:hAnsi="宋体" w:eastAsia="宋体"/>
                <w:color w:val="auto"/>
              </w:rPr>
              <w:t>优：质量保证措施完整，有具体的操作流程，投标人提出具体的风险及应对方式的，5条≤质量保证措施，得</w:t>
            </w:r>
            <w:r>
              <w:rPr>
                <w:rFonts w:hint="eastAsia" w:ascii="宋体" w:hAnsi="宋体" w:eastAsia="宋体"/>
                <w:color w:val="auto"/>
                <w:lang w:val="en-US" w:eastAsia="zh-CN"/>
              </w:rPr>
              <w:t>4</w:t>
            </w:r>
            <w:r>
              <w:rPr>
                <w:rFonts w:hint="eastAsia" w:ascii="宋体" w:hAnsi="宋体" w:eastAsia="宋体"/>
                <w:color w:val="auto"/>
              </w:rPr>
              <w:t>分；</w:t>
            </w:r>
          </w:p>
          <w:p w14:paraId="2FB0308C">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olor w:val="auto"/>
              </w:rPr>
            </w:pPr>
            <w:r>
              <w:rPr>
                <w:rFonts w:hint="eastAsia" w:ascii="宋体" w:hAnsi="宋体" w:eastAsia="宋体"/>
                <w:color w:val="auto"/>
              </w:rPr>
              <w:t>良：质量保证措施较完整，有具体的操作流程，投标人提出具体的风险及应对方式的，3条≤质量保证措施＜5条，得2分；</w:t>
            </w:r>
          </w:p>
          <w:p w14:paraId="2A48A483">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olor w:val="auto"/>
              </w:rPr>
            </w:pPr>
            <w:r>
              <w:rPr>
                <w:rFonts w:hint="eastAsia" w:ascii="宋体" w:hAnsi="宋体" w:eastAsia="宋体"/>
                <w:color w:val="auto"/>
              </w:rPr>
              <w:t>中：质量保证措施一般，操作流程不具体，投标人提出具体的风险及应对方式的，1条≤质量保证措施＜3条，得1分；</w:t>
            </w:r>
          </w:p>
          <w:p w14:paraId="50B88E27">
            <w:pPr>
              <w:keepNext w:val="0"/>
              <w:keepLines w:val="0"/>
              <w:suppressLineNumbers w:val="0"/>
              <w:autoSpaceDE w:val="0"/>
              <w:autoSpaceDN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olor w:val="auto"/>
              </w:rPr>
              <w:t>差：质量保证措施差，操作流程不具体，投标人未能提出具体的风险及应对方式的，质量保证措施＜1条，</w:t>
            </w:r>
            <w:r>
              <w:rPr>
                <w:rFonts w:hint="eastAsia" w:ascii="宋体" w:hAnsi="宋体" w:eastAsia="宋体"/>
                <w:color w:val="auto"/>
                <w:kern w:val="0"/>
                <w:szCs w:val="21"/>
                <w:highlight w:val="none"/>
                <w:lang w:val="en-US" w:eastAsia="zh-CN"/>
              </w:rPr>
              <w:t>不得分</w:t>
            </w:r>
            <w:r>
              <w:rPr>
                <w:rFonts w:hint="eastAsia" w:ascii="宋体" w:hAnsi="宋体" w:eastAsia="宋体"/>
                <w:color w:val="auto"/>
                <w:kern w:val="0"/>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547019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r>
      <w:tr w14:paraId="1CB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A41AE2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1FF41C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运维服务方案</w:t>
            </w:r>
          </w:p>
        </w:tc>
        <w:tc>
          <w:tcPr>
            <w:tcW w:w="3692" w:type="pct"/>
            <w:tcBorders>
              <w:top w:val="single" w:color="auto" w:sz="4" w:space="0"/>
              <w:left w:val="single" w:color="auto" w:sz="4" w:space="0"/>
              <w:bottom w:val="single" w:color="auto" w:sz="4" w:space="0"/>
              <w:right w:val="single" w:color="auto" w:sz="4" w:space="0"/>
            </w:tcBorders>
            <w:vAlign w:val="center"/>
          </w:tcPr>
          <w:p w14:paraId="589F51D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根据投标人提供的运维服务方案是否合理、对运维工作内容是否有深入的表述，各项措施是否具体、可行等进行评</w:t>
            </w:r>
            <w:r>
              <w:rPr>
                <w:rFonts w:hint="eastAsia" w:ascii="宋体" w:hAnsi="宋体" w:eastAsia="宋体" w:cs="宋体"/>
                <w:b/>
                <w:bCs/>
                <w:color w:val="auto"/>
                <w:kern w:val="0"/>
                <w:szCs w:val="21"/>
                <w:highlight w:val="none"/>
                <w:lang w:val="en-US" w:eastAsia="zh-CN"/>
              </w:rPr>
              <w:t>审</w:t>
            </w:r>
            <w:r>
              <w:rPr>
                <w:rFonts w:hint="eastAsia" w:ascii="宋体" w:hAnsi="宋体" w:eastAsia="宋体" w:cs="宋体"/>
                <w:b/>
                <w:bCs/>
                <w:color w:val="auto"/>
                <w:kern w:val="0"/>
                <w:szCs w:val="21"/>
                <w:highlight w:val="none"/>
                <w:lang w:eastAsia="zh-CN"/>
              </w:rPr>
              <w:t>。</w:t>
            </w:r>
          </w:p>
          <w:p w14:paraId="16E04CB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优：提供完整具体、可行的运维服务方案，且包含具体的工作流程与服务内容说明，满足项目需求，得[</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p w14:paraId="0856268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良：提供了具体可行的运维服务方案，且工作流程与服务内容基本满足项目需求，得(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14:paraId="690239D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中：提供了较为可行的运维服务方案，且工作流程与服务内容基本满足项目需求，得(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-1分]。</w:t>
            </w:r>
          </w:p>
          <w:p w14:paraId="25035DFE">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差：提供了运维服务方案，但工作流程与服务内容说明不完整，</w:t>
            </w:r>
            <w:r>
              <w:rPr>
                <w:rFonts w:hint="default" w:ascii="宋体" w:hAnsi="宋体" w:eastAsia="宋体" w:cs="宋体"/>
                <w:color w:val="auto"/>
                <w:kern w:val="0"/>
                <w:szCs w:val="21"/>
                <w:highlight w:val="none"/>
                <w:lang w:val="en-US"/>
              </w:rPr>
              <w:t>得（1-0分]</w:t>
            </w:r>
            <w:r>
              <w:rPr>
                <w:rFonts w:hint="eastAsia" w:ascii="宋体" w:hAnsi="宋体" w:eastAsia="宋体" w:cs="宋体"/>
                <w:color w:val="auto"/>
                <w:kern w:val="0"/>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41C9B9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r>
      <w:tr w14:paraId="111C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902B0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bottom w:val="single" w:color="auto" w:sz="4" w:space="0"/>
              <w:right w:val="single" w:color="auto" w:sz="4" w:space="0"/>
            </w:tcBorders>
            <w:vAlign w:val="center"/>
          </w:tcPr>
          <w:p w14:paraId="0539A26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人员配置</w:t>
            </w:r>
          </w:p>
        </w:tc>
        <w:tc>
          <w:tcPr>
            <w:tcW w:w="3692" w:type="pct"/>
            <w:tcBorders>
              <w:top w:val="single" w:color="auto" w:sz="4" w:space="0"/>
              <w:left w:val="single" w:color="auto" w:sz="4" w:space="0"/>
              <w:bottom w:val="single" w:color="auto" w:sz="4" w:space="0"/>
              <w:right w:val="single" w:color="auto" w:sz="4" w:space="0"/>
            </w:tcBorders>
            <w:vAlign w:val="center"/>
          </w:tcPr>
          <w:p w14:paraId="47D5DF5A">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根据投标人拟投入</w:t>
            </w:r>
            <w:r>
              <w:rPr>
                <w:rFonts w:hint="eastAsia" w:ascii="宋体" w:hAnsi="宋体" w:eastAsia="宋体" w:cs="Times New Roman"/>
                <w:b/>
                <w:color w:val="auto"/>
                <w:kern w:val="0"/>
                <w:szCs w:val="21"/>
                <w:highlight w:val="none"/>
                <w:lang w:val="en-US" w:eastAsia="zh-CN"/>
              </w:rPr>
              <w:t>本项目</w:t>
            </w:r>
            <w:r>
              <w:rPr>
                <w:rFonts w:hint="eastAsia" w:ascii="宋体" w:hAnsi="宋体" w:eastAsia="宋体" w:cs="Times New Roman"/>
                <w:b/>
                <w:color w:val="auto"/>
                <w:kern w:val="0"/>
                <w:szCs w:val="21"/>
                <w:highlight w:val="none"/>
              </w:rPr>
              <w:t>的人员进行评审：</w:t>
            </w:r>
          </w:p>
          <w:p w14:paraId="1ACB2081">
            <w:pPr>
              <w:keepNext w:val="0"/>
              <w:keepLines w:val="0"/>
              <w:numPr>
                <w:ilvl w:val="0"/>
                <w:numId w:val="0"/>
              </w:numPr>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 w:val="21"/>
                <w:szCs w:val="21"/>
                <w:lang w:val="en-US" w:eastAsia="zh-CN" w:bidi="ar-SA"/>
              </w:rPr>
              <w:t>（1）投标人拟投入本项目的</w:t>
            </w:r>
            <w:r>
              <w:rPr>
                <w:rFonts w:hint="eastAsia" w:ascii="宋体" w:hAnsi="宋体" w:eastAsia="宋体" w:cs="Times New Roman"/>
                <w:b w:val="0"/>
                <w:bCs/>
                <w:color w:val="auto"/>
                <w:kern w:val="0"/>
                <w:szCs w:val="21"/>
                <w:highlight w:val="none"/>
              </w:rPr>
              <w:t>项目经理</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lang w:val="en-US" w:eastAsia="zh-CN"/>
              </w:rPr>
              <w:t>仅一人</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具有高级信息系统项目管理师证书的得4分；</w:t>
            </w:r>
          </w:p>
          <w:p w14:paraId="2D24ED3F">
            <w:pPr>
              <w:keepNext w:val="0"/>
              <w:keepLines w:val="0"/>
              <w:numPr>
                <w:ilvl w:val="0"/>
                <w:numId w:val="0"/>
              </w:numPr>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（2）技术人员具有中级软件设计师证书的得</w:t>
            </w:r>
            <w:r>
              <w:rPr>
                <w:rFonts w:hint="eastAsia" w:ascii="宋体" w:hAnsi="宋体" w:eastAsia="宋体" w:cs="Times New Roman"/>
                <w:b w:val="0"/>
                <w:bCs/>
                <w:color w:val="auto"/>
                <w:kern w:val="0"/>
                <w:szCs w:val="21"/>
                <w:highlight w:val="none"/>
                <w:lang w:val="en-US" w:eastAsia="zh-CN"/>
              </w:rPr>
              <w:t>3</w:t>
            </w:r>
            <w:r>
              <w:rPr>
                <w:rFonts w:hint="eastAsia" w:ascii="宋体" w:hAnsi="宋体" w:eastAsia="宋体" w:cs="Times New Roman"/>
                <w:b w:val="0"/>
                <w:bCs/>
                <w:color w:val="auto"/>
                <w:kern w:val="0"/>
                <w:szCs w:val="21"/>
                <w:highlight w:val="none"/>
              </w:rPr>
              <w:t>分；</w:t>
            </w:r>
          </w:p>
          <w:p w14:paraId="08884BDF">
            <w:pPr>
              <w:keepNext w:val="0"/>
              <w:keepLines w:val="0"/>
              <w:numPr>
                <w:ilvl w:val="0"/>
                <w:numId w:val="0"/>
              </w:numPr>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（3）技术人员具有中级网络工程师证书的得</w:t>
            </w:r>
            <w:r>
              <w:rPr>
                <w:rFonts w:hint="eastAsia" w:ascii="宋体" w:hAnsi="宋体" w:eastAsia="宋体" w:cs="Times New Roman"/>
                <w:b w:val="0"/>
                <w:bCs/>
                <w:color w:val="auto"/>
                <w:kern w:val="0"/>
                <w:szCs w:val="21"/>
                <w:highlight w:val="none"/>
                <w:lang w:val="en-US" w:eastAsia="zh-CN"/>
              </w:rPr>
              <w:t>3</w:t>
            </w:r>
            <w:r>
              <w:rPr>
                <w:rFonts w:hint="eastAsia" w:ascii="宋体" w:hAnsi="宋体" w:eastAsia="宋体" w:cs="Times New Roman"/>
                <w:b w:val="0"/>
                <w:bCs/>
                <w:color w:val="auto"/>
                <w:kern w:val="0"/>
                <w:szCs w:val="21"/>
                <w:highlight w:val="none"/>
              </w:rPr>
              <w:t>分。</w:t>
            </w:r>
          </w:p>
          <w:p w14:paraId="377AE3AD">
            <w:pPr>
              <w:keepNext w:val="0"/>
              <w:keepLines w:val="0"/>
              <w:numPr>
                <w:ilvl w:val="0"/>
                <w:numId w:val="0"/>
              </w:numPr>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注：</w:t>
            </w:r>
          </w:p>
          <w:p w14:paraId="4AABF116">
            <w:pPr>
              <w:keepNext w:val="0"/>
              <w:keepLines w:val="0"/>
              <w:numPr>
                <w:ilvl w:val="0"/>
                <w:numId w:val="0"/>
              </w:numPr>
              <w:suppressLineNumbers w:val="0"/>
              <w:tabs>
                <w:tab w:val="left" w:pos="134"/>
              </w:tabs>
              <w:autoSpaceDE w:val="0"/>
              <w:autoSpaceDN w:val="0"/>
              <w:adjustRightInd w:val="0"/>
              <w:spacing w:before="0" w:beforeAutospacing="0" w:after="0" w:afterAutospacing="0" w:line="400" w:lineRule="exact"/>
              <w:ind w:left="0" w:right="0"/>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1）</w:t>
            </w:r>
            <w:r>
              <w:rPr>
                <w:rFonts w:hint="eastAsia" w:ascii="宋体" w:hAnsi="宋体" w:eastAsia="宋体" w:cs="Times New Roman"/>
                <w:b/>
                <w:color w:val="auto"/>
                <w:kern w:val="0"/>
                <w:szCs w:val="21"/>
                <w:highlight w:val="none"/>
              </w:rPr>
              <w:t>以上人员不重复计分</w:t>
            </w:r>
            <w:r>
              <w:rPr>
                <w:rFonts w:hint="eastAsia" w:ascii="宋体" w:hAnsi="宋体" w:eastAsia="宋体" w:cs="Times New Roman"/>
                <w:b/>
                <w:color w:val="auto"/>
                <w:kern w:val="0"/>
                <w:szCs w:val="21"/>
                <w:highlight w:val="none"/>
                <w:lang w:eastAsia="zh-CN"/>
              </w:rPr>
              <w:t>；</w:t>
            </w:r>
          </w:p>
          <w:p w14:paraId="05416BF0">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Times New Roman"/>
                <w:b/>
                <w:color w:val="auto"/>
                <w:kern w:val="0"/>
                <w:szCs w:val="21"/>
                <w:highlight w:val="none"/>
                <w:lang w:val="en-US" w:eastAsia="zh-CN"/>
              </w:rPr>
              <w:t>2）</w:t>
            </w:r>
            <w:r>
              <w:rPr>
                <w:rFonts w:hint="eastAsia" w:ascii="宋体" w:hAnsi="宋体" w:eastAsia="宋体" w:cs="Times New Roman"/>
                <w:b/>
                <w:color w:val="auto"/>
                <w:kern w:val="0"/>
                <w:szCs w:val="21"/>
                <w:highlight w:val="none"/>
              </w:rPr>
              <w:t>须</w:t>
            </w:r>
            <w:r>
              <w:rPr>
                <w:rFonts w:hint="eastAsia" w:ascii="宋体" w:hAnsi="宋体" w:eastAsia="宋体" w:cs="Times New Roman"/>
                <w:b/>
                <w:bCs w:val="0"/>
                <w:color w:val="auto"/>
                <w:kern w:val="0"/>
                <w:szCs w:val="21"/>
                <w:highlight w:val="none"/>
              </w:rPr>
              <w:t>提供上述人员有效的证书复印件及人力资源和社会保障部门（或税务部门）出具的投标人</w:t>
            </w:r>
            <w:r>
              <w:rPr>
                <w:rFonts w:hint="eastAsia" w:ascii="宋体" w:hAnsi="宋体" w:eastAsia="宋体" w:cs="Times New Roman"/>
                <w:b/>
                <w:bCs w:val="0"/>
                <w:color w:val="auto"/>
                <w:kern w:val="0"/>
                <w:sz w:val="21"/>
                <w:szCs w:val="21"/>
                <w:highlight w:val="none"/>
              </w:rPr>
              <w:t>2024年</w:t>
            </w:r>
            <w:r>
              <w:rPr>
                <w:rFonts w:hint="eastAsia" w:ascii="宋体" w:hAnsi="宋体" w:eastAsia="宋体" w:cs="Times New Roman"/>
                <w:b/>
                <w:bCs w:val="0"/>
                <w:color w:val="auto"/>
                <w:kern w:val="0"/>
                <w:sz w:val="21"/>
                <w:szCs w:val="21"/>
                <w:highlight w:val="none"/>
                <w:lang w:val="en-US" w:eastAsia="zh-CN"/>
              </w:rPr>
              <w:t>9月、2024年10月、2024年11月（共三个月）</w:t>
            </w:r>
            <w:r>
              <w:rPr>
                <w:rFonts w:hint="eastAsia" w:ascii="宋体" w:hAnsi="宋体" w:eastAsia="宋体" w:cs="Times New Roman"/>
                <w:b/>
                <w:bCs w:val="0"/>
                <w:color w:val="auto"/>
                <w:kern w:val="0"/>
                <w:szCs w:val="21"/>
                <w:highlight w:val="none"/>
              </w:rPr>
              <w:t>为其缴纳的社保证明复印件</w:t>
            </w:r>
            <w:r>
              <w:rPr>
                <w:rFonts w:hint="eastAsia" w:ascii="宋体" w:hAnsi="宋体" w:eastAsia="宋体" w:cs="Times New Roman"/>
                <w:b/>
                <w:bCs w:val="0"/>
                <w:color w:val="auto"/>
                <w:kern w:val="0"/>
                <w:szCs w:val="21"/>
                <w:highlight w:val="none"/>
                <w:lang w:val="en-US" w:eastAsia="zh-CN"/>
              </w:rPr>
              <w:t>加盖投标人公章</w:t>
            </w:r>
            <w:r>
              <w:rPr>
                <w:rFonts w:hint="eastAsia" w:ascii="宋体" w:hAnsi="宋体" w:eastAsia="宋体" w:cs="Times New Roman"/>
                <w:b/>
                <w:bCs w:val="0"/>
                <w:color w:val="auto"/>
                <w:kern w:val="0"/>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580187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w:t>
            </w:r>
          </w:p>
        </w:tc>
      </w:tr>
      <w:tr w14:paraId="2A0A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FCCF8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6" w:type="pct"/>
            <w:tcBorders>
              <w:top w:val="single" w:color="auto" w:sz="4" w:space="0"/>
              <w:left w:val="single" w:color="auto" w:sz="4" w:space="0"/>
              <w:bottom w:val="single" w:color="auto" w:sz="4" w:space="0"/>
              <w:right w:val="single" w:color="auto" w:sz="4" w:space="0"/>
            </w:tcBorders>
            <w:vAlign w:val="center"/>
          </w:tcPr>
          <w:p w14:paraId="73204C1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服务响应能力</w:t>
            </w:r>
          </w:p>
        </w:tc>
        <w:tc>
          <w:tcPr>
            <w:tcW w:w="3692" w:type="pct"/>
            <w:tcBorders>
              <w:top w:val="single" w:color="auto" w:sz="4" w:space="0"/>
              <w:left w:val="single" w:color="auto" w:sz="4" w:space="0"/>
              <w:bottom w:val="single" w:color="auto" w:sz="4" w:space="0"/>
              <w:right w:val="single" w:color="auto" w:sz="4" w:space="0"/>
            </w:tcBorders>
            <w:vAlign w:val="center"/>
          </w:tcPr>
          <w:p w14:paraId="6B2EB30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根据投标人提供的服务响应方案（包括售后服务点的技术力量及配备情况、服务响应时间等）进行进行评</w:t>
            </w:r>
            <w:r>
              <w:rPr>
                <w:rFonts w:hint="eastAsia" w:ascii="宋体" w:hAnsi="宋体" w:eastAsia="宋体" w:cs="宋体"/>
                <w:b/>
                <w:bCs/>
                <w:color w:val="auto"/>
                <w:kern w:val="0"/>
                <w:szCs w:val="21"/>
                <w:highlight w:val="none"/>
                <w:lang w:val="en-US" w:eastAsia="zh-CN"/>
              </w:rPr>
              <w:t>审</w:t>
            </w:r>
            <w:r>
              <w:rPr>
                <w:rFonts w:hint="eastAsia" w:ascii="宋体" w:hAnsi="宋体" w:eastAsia="宋体" w:cs="宋体"/>
                <w:b/>
                <w:bCs/>
                <w:color w:val="auto"/>
                <w:kern w:val="0"/>
                <w:szCs w:val="21"/>
                <w:highlight w:val="none"/>
              </w:rPr>
              <w:t>。</w:t>
            </w:r>
          </w:p>
          <w:p w14:paraId="58A8D54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优：提供完整可行的服务承诺，且有具体的服务响应流程与服务标准说明，服务响应时间≤5分钟，得</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3B5BF94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良：提供了可行的服务承诺，工作流程满足文件要求，有较合理服务标准说明，5分钟</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服务响应时间≤10分钟，得2分。</w:t>
            </w:r>
          </w:p>
          <w:p w14:paraId="1985C73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中：提供的服务承诺一般，工作流程基本满足文件要求，有简单的服务标准说明，</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0分钟＜服务响应时间≤</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分钟，得1分。</w:t>
            </w:r>
          </w:p>
          <w:p w14:paraId="41D2E430">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差：提供了简单的服务承诺，无工作流程及服务标准说明，</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分钟</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服务响应时间，</w:t>
            </w:r>
            <w:r>
              <w:rPr>
                <w:rFonts w:hint="default" w:ascii="宋体" w:hAnsi="宋体" w:eastAsia="宋体" w:cs="宋体"/>
                <w:color w:val="auto"/>
                <w:kern w:val="0"/>
                <w:szCs w:val="21"/>
                <w:highlight w:val="none"/>
                <w:lang w:val="en-US"/>
              </w:rPr>
              <w:t>得（1-0分]</w:t>
            </w:r>
            <w:r>
              <w:rPr>
                <w:rFonts w:hint="eastAsia" w:ascii="宋体" w:hAnsi="宋体" w:eastAsia="宋体" w:cs="宋体"/>
                <w:color w:val="auto"/>
                <w:kern w:val="0"/>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354B3F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bookmarkEnd w:id="803"/>
    </w:tbl>
    <w:p w14:paraId="4971E04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57D681D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3701EFCE">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3ED37328">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0D7D1624">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6C562ED0">
      <w:pPr>
        <w:tabs>
          <w:tab w:val="left" w:pos="1701"/>
        </w:tabs>
        <w:autoSpaceDE w:val="0"/>
        <w:autoSpaceDN w:val="0"/>
        <w:adjustRightInd w:val="0"/>
        <w:spacing w:line="360" w:lineRule="auto"/>
        <w:outlineLvl w:val="1"/>
        <w:rPr>
          <w:rFonts w:ascii="宋体" w:hAnsi="宋体" w:eastAsia="宋体" w:cs="宋体"/>
          <w:b/>
          <w:color w:val="auto"/>
          <w:szCs w:val="24"/>
          <w:highlight w:val="none"/>
          <w:lang w:val="zh-CN"/>
        </w:rPr>
      </w:pPr>
      <w:bookmarkStart w:id="804" w:name="_Toc31611"/>
      <w:r>
        <w:rPr>
          <w:rFonts w:hint="eastAsia" w:ascii="宋体" w:hAnsi="宋体" w:eastAsia="宋体" w:cs="宋体"/>
          <w:b/>
          <w:color w:val="auto"/>
          <w:szCs w:val="24"/>
          <w:highlight w:val="none"/>
          <w:lang w:val="zh-CN"/>
        </w:rPr>
        <w:t>（3）价格评分方法</w:t>
      </w:r>
      <w:bookmarkEnd w:id="804"/>
    </w:p>
    <w:p w14:paraId="39901244">
      <w:pPr>
        <w:spacing w:line="360" w:lineRule="auto"/>
        <w:ind w:left="480" w:firstLine="211" w:firstLineChars="100"/>
        <w:outlineLvl w:val="2"/>
        <w:rPr>
          <w:rFonts w:ascii="宋体" w:hAnsi="宋体" w:eastAsia="宋体" w:cs="宋体"/>
          <w:b/>
          <w:bCs/>
          <w:color w:val="auto"/>
          <w:kern w:val="0"/>
          <w:szCs w:val="21"/>
          <w:highlight w:val="none"/>
          <w:lang w:val="zh-CN"/>
        </w:rPr>
      </w:pPr>
      <w:bookmarkStart w:id="805" w:name="_Toc28248"/>
      <w:r>
        <w:rPr>
          <w:rFonts w:hint="eastAsia" w:ascii="宋体" w:hAnsi="宋体" w:eastAsia="宋体" w:cs="宋体"/>
          <w:b/>
          <w:bCs/>
          <w:color w:val="auto"/>
          <w:kern w:val="0"/>
          <w:szCs w:val="28"/>
          <w:highlight w:val="none"/>
          <w:lang w:val="zh-CN"/>
        </w:rPr>
        <w:t>1）经济文件的符合性审查</w:t>
      </w:r>
      <w:bookmarkEnd w:id="805"/>
      <w:r>
        <w:rPr>
          <w:rFonts w:hint="eastAsia" w:ascii="宋体" w:hAnsi="宋体" w:eastAsia="宋体" w:cs="宋体"/>
          <w:b/>
          <w:bCs/>
          <w:color w:val="auto"/>
          <w:kern w:val="0"/>
          <w:szCs w:val="28"/>
          <w:highlight w:val="none"/>
          <w:lang w:val="zh-CN"/>
        </w:rPr>
        <w:t xml:space="preserve"> </w:t>
      </w:r>
    </w:p>
    <w:p w14:paraId="6E41AB95">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894AEF9">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65C07C8F">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61137974">
      <w:pPr>
        <w:spacing w:line="360" w:lineRule="auto"/>
        <w:ind w:left="420" w:leftChars="200" w:firstLine="420" w:firstLineChars="200"/>
        <w:rPr>
          <w:rFonts w:ascii="宋体" w:hAnsi="宋体" w:eastAsia="宋体" w:cs="宋体"/>
          <w:color w:val="auto"/>
          <w:kern w:val="0"/>
          <w:szCs w:val="21"/>
          <w:highlight w:val="none"/>
          <w:lang w:val="zh-CN"/>
        </w:rPr>
      </w:pPr>
    </w:p>
    <w:p w14:paraId="26784120">
      <w:pPr>
        <w:spacing w:line="360" w:lineRule="auto"/>
        <w:ind w:left="480" w:firstLine="211" w:firstLineChars="100"/>
        <w:outlineLvl w:val="2"/>
        <w:rPr>
          <w:rFonts w:ascii="宋体" w:hAnsi="宋体" w:eastAsia="宋体" w:cs="宋体"/>
          <w:b/>
          <w:bCs/>
          <w:color w:val="auto"/>
          <w:kern w:val="0"/>
          <w:szCs w:val="21"/>
          <w:highlight w:val="none"/>
        </w:rPr>
      </w:pPr>
      <w:bookmarkStart w:id="806" w:name="_Toc6103"/>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default"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lang w:val="zh-CN"/>
        </w:rPr>
        <w:t>分</w:t>
      </w:r>
      <w:bookmarkEnd w:id="806"/>
    </w:p>
    <w:p w14:paraId="7B4C5437">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default"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分，其他投标人的价格得分统一按照下列公式计算：</w:t>
      </w:r>
    </w:p>
    <w:p w14:paraId="14547822">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default"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0</w:t>
      </w:r>
    </w:p>
    <w:p w14:paraId="521F7108">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EE5F5B4">
      <w:pPr>
        <w:tabs>
          <w:tab w:val="left" w:pos="585"/>
        </w:tabs>
        <w:autoSpaceDE w:val="0"/>
        <w:autoSpaceDN w:val="0"/>
        <w:adjustRightInd w:val="0"/>
        <w:spacing w:line="400" w:lineRule="exact"/>
        <w:outlineLvl w:val="1"/>
        <w:rPr>
          <w:rFonts w:ascii="宋体" w:hAnsi="宋体" w:eastAsia="宋体" w:cs="宋体"/>
          <w:b/>
          <w:color w:val="auto"/>
          <w:szCs w:val="21"/>
          <w:highlight w:val="none"/>
          <w:lang w:val="zh-CN"/>
        </w:rPr>
      </w:pPr>
      <w:bookmarkStart w:id="807" w:name="_Toc9865"/>
      <w:r>
        <w:rPr>
          <w:rFonts w:hint="eastAsia" w:ascii="宋体" w:hAnsi="宋体" w:eastAsia="宋体" w:cs="宋体"/>
          <w:b/>
          <w:color w:val="auto"/>
          <w:szCs w:val="21"/>
          <w:highlight w:val="none"/>
          <w:lang w:val="zh-CN"/>
        </w:rPr>
        <w:t>（4）综合得分</w:t>
      </w:r>
      <w:bookmarkEnd w:id="807"/>
    </w:p>
    <w:p w14:paraId="42AF2D35">
      <w:pPr>
        <w:spacing w:line="400" w:lineRule="exact"/>
        <w:ind w:firstLine="848" w:firstLineChars="404"/>
        <w:rPr>
          <w:rFonts w:ascii="宋体" w:hAnsi="宋体" w:eastAsia="宋体" w:cs="宋体"/>
          <w:color w:val="auto"/>
          <w:kern w:val="0"/>
          <w:szCs w:val="28"/>
          <w:highlight w:val="none"/>
          <w:lang w:val="zh-CN"/>
        </w:rPr>
      </w:pPr>
      <w:bookmarkStart w:id="808" w:name="_Toc31624_WPSOffice_Level2"/>
      <w:r>
        <w:rPr>
          <w:rFonts w:hint="eastAsia" w:ascii="宋体" w:hAnsi="宋体" w:eastAsia="宋体" w:cs="宋体"/>
          <w:color w:val="auto"/>
          <w:kern w:val="0"/>
          <w:szCs w:val="28"/>
          <w:highlight w:val="none"/>
          <w:lang w:val="zh-CN"/>
        </w:rPr>
        <w:t>评标总得分=F1＋F2＋……+Fn</w:t>
      </w:r>
      <w:bookmarkEnd w:id="808"/>
    </w:p>
    <w:p w14:paraId="272EF690">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09" w:name="_Toc13236_WPSOffice_Level2"/>
      <w:r>
        <w:rPr>
          <w:rFonts w:hint="eastAsia" w:ascii="宋体" w:hAnsi="宋体" w:eastAsia="宋体" w:cs="宋体"/>
          <w:color w:val="auto"/>
          <w:kern w:val="0"/>
          <w:szCs w:val="21"/>
          <w:highlight w:val="none"/>
        </w:rPr>
        <w:t>F1、F2、……Fn分别为各项评分因素的得分</w:t>
      </w:r>
      <w:bookmarkEnd w:id="809"/>
      <w:r>
        <w:rPr>
          <w:rFonts w:hint="eastAsia" w:ascii="宋体" w:hAnsi="宋体" w:eastAsia="宋体" w:cs="宋体"/>
          <w:color w:val="auto"/>
          <w:kern w:val="0"/>
          <w:szCs w:val="21"/>
          <w:highlight w:val="none"/>
        </w:rPr>
        <w:t>。</w:t>
      </w:r>
    </w:p>
    <w:p w14:paraId="2350849E">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2A38062E">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10" w:name="_Toc25747"/>
      <w:bookmarkStart w:id="811" w:name="_Toc518_WPSOffice_Level1"/>
      <w:r>
        <w:rPr>
          <w:rFonts w:hint="eastAsia" w:ascii="宋体" w:hAnsi="宋体" w:eastAsia="宋体" w:cs="宋体"/>
          <w:b/>
          <w:bCs/>
          <w:color w:val="auto"/>
          <w:sz w:val="28"/>
          <w:szCs w:val="28"/>
          <w:highlight w:val="none"/>
          <w:lang w:val="zh-CN"/>
        </w:rPr>
        <w:t>五、推荐中标人</w:t>
      </w:r>
      <w:bookmarkEnd w:id="810"/>
      <w:bookmarkEnd w:id="811"/>
    </w:p>
    <w:p w14:paraId="004C98DC">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52A0ED61">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DCDAC3A">
      <w:pPr>
        <w:widowControl/>
        <w:spacing w:line="360" w:lineRule="auto"/>
        <w:jc w:val="left"/>
        <w:rPr>
          <w:rFonts w:ascii="宋体" w:hAnsi="宋体" w:eastAsia="宋体" w:cs="宋体"/>
          <w:color w:val="auto"/>
          <w:kern w:val="0"/>
          <w:szCs w:val="21"/>
          <w:highlight w:val="none"/>
        </w:rPr>
      </w:pPr>
    </w:p>
    <w:p w14:paraId="297DBA6C">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812" w:name="_Toc2302"/>
      <w:bookmarkStart w:id="813" w:name="_Toc22724_WPSOffice_Level1"/>
      <w:r>
        <w:rPr>
          <w:rFonts w:hint="eastAsia" w:ascii="宋体" w:hAnsi="宋体" w:eastAsia="宋体" w:cs="宋体"/>
          <w:b/>
          <w:bCs/>
          <w:color w:val="auto"/>
          <w:sz w:val="28"/>
          <w:szCs w:val="28"/>
          <w:highlight w:val="none"/>
          <w:lang w:val="zh-CN"/>
        </w:rPr>
        <w:t>六、编写评标报告</w:t>
      </w:r>
      <w:bookmarkEnd w:id="812"/>
      <w:bookmarkEnd w:id="813"/>
    </w:p>
    <w:p w14:paraId="54DEA69E">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9B6881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7AF1F6A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D9C1C4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7AFC23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249951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692EB6F8">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7A62F4CA">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7C0863ED">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814" w:name="_Toc23773_WPSOffice_Level1"/>
      <w:bookmarkStart w:id="815" w:name="_Toc26965"/>
      <w:r>
        <w:rPr>
          <w:rFonts w:hint="eastAsia" w:ascii="宋体" w:hAnsi="宋体" w:eastAsia="宋体" w:cs="宋体"/>
          <w:b/>
          <w:bCs/>
          <w:color w:val="auto"/>
          <w:sz w:val="28"/>
          <w:szCs w:val="28"/>
          <w:highlight w:val="none"/>
          <w:lang w:val="zh-CN"/>
        </w:rPr>
        <w:t>七、注意事项</w:t>
      </w:r>
      <w:bookmarkEnd w:id="814"/>
      <w:bookmarkEnd w:id="815"/>
    </w:p>
    <w:p w14:paraId="20D095E7">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3D69575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0A2617C9">
      <w:pPr>
        <w:autoSpaceDE w:val="0"/>
        <w:autoSpaceDN w:val="0"/>
        <w:adjustRightInd w:val="0"/>
        <w:spacing w:line="360" w:lineRule="auto"/>
        <w:ind w:left="436" w:leftChars="-59" w:hanging="560" w:hangingChars="267"/>
        <w:outlineLvl w:val="1"/>
        <w:rPr>
          <w:rFonts w:ascii="宋体" w:hAnsi="宋体" w:eastAsia="宋体" w:cs="宋体"/>
          <w:color w:val="auto"/>
          <w:szCs w:val="24"/>
          <w:highlight w:val="none"/>
          <w:lang w:val="zh-CN"/>
        </w:rPr>
      </w:pPr>
      <w:bookmarkStart w:id="816" w:name="_Toc25596"/>
      <w:r>
        <w:rPr>
          <w:rFonts w:hint="eastAsia" w:ascii="宋体" w:hAnsi="宋体" w:eastAsia="宋体" w:cs="宋体"/>
          <w:color w:val="auto"/>
          <w:szCs w:val="24"/>
          <w:highlight w:val="none"/>
          <w:lang w:val="zh-CN"/>
        </w:rPr>
        <w:t>（2）评审人员及工作人员不得在公共场合谈论有关评审内容；</w:t>
      </w:r>
      <w:bookmarkEnd w:id="816"/>
    </w:p>
    <w:p w14:paraId="4DCF9E6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56B24C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7542B96">
      <w:pPr>
        <w:widowControl/>
        <w:jc w:val="left"/>
        <w:outlineLvl w:val="1"/>
        <w:rPr>
          <w:rFonts w:ascii="宋体" w:hAnsi="宋体" w:eastAsia="宋体" w:cs="Times New Roman"/>
          <w:b/>
          <w:bCs/>
          <w:color w:val="auto"/>
          <w:kern w:val="0"/>
          <w:szCs w:val="21"/>
          <w:highlight w:val="none"/>
        </w:rPr>
      </w:pPr>
      <w:bookmarkStart w:id="817" w:name="_Toc21424"/>
      <w:r>
        <w:rPr>
          <w:rFonts w:hint="eastAsia" w:ascii="宋体" w:hAnsi="宋体" w:eastAsia="宋体" w:cs="宋体"/>
          <w:color w:val="auto"/>
          <w:szCs w:val="24"/>
          <w:highlight w:val="none"/>
          <w:lang w:val="zh-CN"/>
        </w:rPr>
        <w:t>（5）任何评审人员和工作人员不得对外公布评审的一切内容。</w:t>
      </w:r>
      <w:bookmarkEnd w:id="817"/>
    </w:p>
    <w:bookmarkEnd w:id="751"/>
    <w:bookmarkEnd w:id="760"/>
    <w:bookmarkEnd w:id="761"/>
    <w:bookmarkEnd w:id="762"/>
    <w:p w14:paraId="026C4C6D">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D507">
    <w:pPr>
      <w:pStyle w:val="27"/>
      <w:jc w:val="center"/>
      <w:rPr>
        <w:rFonts w:ascii="宋体" w:hAnsi="宋体"/>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888F48">
                          <w:pPr>
                            <w:pStyle w:val="27"/>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qOwP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695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RqOwPTAQAAngMAAA4AAAAAAAAAAQAgAAAAHwEA&#10;AGRycy9lMm9Eb2MueG1sUEsFBgAAAAAGAAYAWQEAAGQFAAAAAA==&#10;">
              <v:fill on="f" focussize="0,0"/>
              <v:stroke on="f"/>
              <v:imagedata o:title=""/>
              <o:lock v:ext="edit" aspectratio="f"/>
              <v:textbox inset="0mm,0mm,0mm,0mm" style="mso-fit-shape-to-text:t;">
                <w:txbxContent>
                  <w:p w14:paraId="77888F48">
                    <w:pPr>
                      <w:pStyle w:val="27"/>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AB65">
    <w:pPr>
      <w:pStyle w:val="2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232CE9">
                          <w:pPr>
                            <w:pStyle w:val="27"/>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3D232CE9">
                    <w:pPr>
                      <w:pStyle w:val="27"/>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88B7">
    <w:pPr>
      <w:pStyle w:val="2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F5EE07">
                          <w:pPr>
                            <w:pStyle w:val="2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VfBPTAQAAnwMAAA4AAABkcnMvZTJvRG9jLnhtbK1TzY7TMBC+I/EO&#10;lu80SYVQt2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Lm9uOHPC0ptffny//Px9&#10;+fWNVVW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9VfBPTAQAAnwMAAA4AAAAAAAAAAQAgAAAAHwEA&#10;AGRycy9lMm9Eb2MueG1sUEsFBgAAAAAGAAYAWQEAAGQFAAAAAA==&#10;">
              <v:fill on="f" focussize="0,0"/>
              <v:stroke on="f"/>
              <v:imagedata o:title=""/>
              <o:lock v:ext="edit" aspectratio="f"/>
              <v:textbox inset="0mm,0mm,0mm,0mm" style="mso-fit-shape-to-text:t;">
                <w:txbxContent>
                  <w:p w14:paraId="7FF5EE07">
                    <w:pPr>
                      <w:pStyle w:val="2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FACB">
    <w:pPr>
      <w:pStyle w:val="2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3E1EAB">
                          <w:pPr>
                            <w:pStyle w:val="2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zy5vM0QEAAJ8DAAAOAAAAAAAAAAEAIAAAAB8BAABk&#10;cnMvZTJvRG9jLnhtbFBLBQYAAAAABgAGAFkBAABiBQAAAAA=&#10;">
              <v:fill on="f" focussize="0,0"/>
              <v:stroke on="f"/>
              <v:imagedata o:title=""/>
              <o:lock v:ext="edit" aspectratio="f"/>
              <v:textbox inset="0mm,0mm,0mm,0mm" style="mso-fit-shape-to-text:t;">
                <w:txbxContent>
                  <w:p w14:paraId="173E1EAB">
                    <w:pPr>
                      <w:pStyle w:val="2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C44A7">
    <w:pPr>
      <w:pStyle w:val="2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6481D7">
                          <w:pPr>
                            <w:pStyle w:val="2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Uc/n7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qKMycsvfnl54/Lrz+X&#10;399Z9T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Rz+ftIBAACfAwAADgAAAAAAAAABACAAAAAfAQAA&#10;ZHJzL2Uyb0RvYy54bWxQSwUGAAAAAAYABgBZAQAAYwUAAAAA&#10;">
              <v:fill on="f" focussize="0,0"/>
              <v:stroke on="f"/>
              <v:imagedata o:title=""/>
              <o:lock v:ext="edit" aspectratio="f"/>
              <v:textbox inset="0mm,0mm,0mm,0mm" style="mso-fit-shape-to-text:t;">
                <w:txbxContent>
                  <w:p w14:paraId="426481D7">
                    <w:pPr>
                      <w:pStyle w:val="27"/>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7E00">
    <w:pPr>
      <w:pStyle w:val="2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2A33E">
                          <w:pPr>
                            <w:pStyle w:val="27"/>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elw3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qXnDlh6c0vP39cfv25&#10;/P7Oqp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Ioelw3TAQAAnwMAAA4AAAAAAAAAAQAgAAAAHwEA&#10;AGRycy9lMm9Eb2MueG1sUEsFBgAAAAAGAAYAWQEAAGQFAAAAAA==&#10;">
              <v:fill on="f" focussize="0,0"/>
              <v:stroke on="f"/>
              <v:imagedata o:title=""/>
              <o:lock v:ext="edit" aspectratio="f"/>
              <v:textbox inset="0mm,0mm,0mm,0mm" style="mso-fit-shape-to-text:t;">
                <w:txbxContent>
                  <w:p w14:paraId="03B2A33E">
                    <w:pPr>
                      <w:pStyle w:val="27"/>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D2D9">
    <w:pPr>
      <w:pStyle w:val="2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2D0A8C">
                          <w:pPr>
                            <w:pStyle w:val="27"/>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zJ8r/TAQAAnwMAAA4AAAAAAAAAAQAgAAAAHwEA&#10;AGRycy9lMm9Eb2MueG1sUEsFBgAAAAAGAAYAWQEAAGQFAAAAAA==&#10;">
              <v:fill on="f" focussize="0,0"/>
              <v:stroke on="f"/>
              <v:imagedata o:title=""/>
              <o:lock v:ext="edit" aspectratio="f"/>
              <v:textbox inset="0mm,0mm,0mm,0mm" style="mso-fit-shape-to-text:t;">
                <w:txbxContent>
                  <w:p w14:paraId="652D0A8C">
                    <w:pPr>
                      <w:pStyle w:val="27"/>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rect>
          </w:pict>
        </mc:Fallback>
      </mc:AlternateContent>
    </w:r>
  </w:p>
  <w:p w14:paraId="51F451B6">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00000002"/>
    <w:multiLevelType w:val="multilevel"/>
    <w:tmpl w:val="00000002"/>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singleLevel"/>
    <w:tmpl w:val="00000003"/>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127533C"/>
    <w:rsid w:val="01C71E9E"/>
    <w:rsid w:val="02216F13"/>
    <w:rsid w:val="02245E66"/>
    <w:rsid w:val="04E01B0F"/>
    <w:rsid w:val="051131A6"/>
    <w:rsid w:val="064F2C3F"/>
    <w:rsid w:val="0A1D0BF3"/>
    <w:rsid w:val="103A0D12"/>
    <w:rsid w:val="116201C0"/>
    <w:rsid w:val="169F1AB5"/>
    <w:rsid w:val="171C091C"/>
    <w:rsid w:val="1B9E19E0"/>
    <w:rsid w:val="1EDC7F5E"/>
    <w:rsid w:val="212935F6"/>
    <w:rsid w:val="21494A03"/>
    <w:rsid w:val="224E24D7"/>
    <w:rsid w:val="234F09D2"/>
    <w:rsid w:val="25AC7BD0"/>
    <w:rsid w:val="27904206"/>
    <w:rsid w:val="27B1436C"/>
    <w:rsid w:val="29301ED1"/>
    <w:rsid w:val="2AD25485"/>
    <w:rsid w:val="2B200583"/>
    <w:rsid w:val="2B3659DB"/>
    <w:rsid w:val="2DD63F6A"/>
    <w:rsid w:val="31820DAF"/>
    <w:rsid w:val="33CF28DA"/>
    <w:rsid w:val="348429EE"/>
    <w:rsid w:val="3B093815"/>
    <w:rsid w:val="3B9C5E24"/>
    <w:rsid w:val="40061523"/>
    <w:rsid w:val="42635E2E"/>
    <w:rsid w:val="43B322A4"/>
    <w:rsid w:val="43ED2BDC"/>
    <w:rsid w:val="46804174"/>
    <w:rsid w:val="49B157A4"/>
    <w:rsid w:val="4AD62987"/>
    <w:rsid w:val="4AE94C65"/>
    <w:rsid w:val="4B9A0B20"/>
    <w:rsid w:val="4D163262"/>
    <w:rsid w:val="4EB46C20"/>
    <w:rsid w:val="4ECD6C7E"/>
    <w:rsid w:val="4F5A0E79"/>
    <w:rsid w:val="4F9D29B5"/>
    <w:rsid w:val="506A211C"/>
    <w:rsid w:val="52E15F9A"/>
    <w:rsid w:val="53C41B44"/>
    <w:rsid w:val="541A1764"/>
    <w:rsid w:val="5543640F"/>
    <w:rsid w:val="5C31575A"/>
    <w:rsid w:val="5C8E649C"/>
    <w:rsid w:val="612977F3"/>
    <w:rsid w:val="61EE40B9"/>
    <w:rsid w:val="666F3BF8"/>
    <w:rsid w:val="669A5558"/>
    <w:rsid w:val="6B786E70"/>
    <w:rsid w:val="6C4433CA"/>
    <w:rsid w:val="6CA76866"/>
    <w:rsid w:val="6FC435DC"/>
    <w:rsid w:val="6FE13135"/>
    <w:rsid w:val="720319CC"/>
    <w:rsid w:val="73765E1E"/>
    <w:rsid w:val="77EB6DF0"/>
    <w:rsid w:val="791837C6"/>
    <w:rsid w:val="7A333F02"/>
    <w:rsid w:val="7BD44CF7"/>
    <w:rsid w:val="7CDF704F"/>
    <w:rsid w:val="7D8C697F"/>
    <w:rsid w:val="7E5A241B"/>
    <w:rsid w:val="7FBD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151"/>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9"/>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1"/>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3"/>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4"/>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5"/>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6"/>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qFormat/>
    <w:uiPriority w:val="1"/>
  </w:style>
  <w:style w:type="table" w:default="1" w:styleId="39">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19"/>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5"/>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4"/>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7"/>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4"/>
    <w:qFormat/>
    <w:uiPriority w:val="99"/>
    <w:pPr>
      <w:jc w:val="left"/>
    </w:pPr>
  </w:style>
  <w:style w:type="paragraph" w:styleId="18">
    <w:name w:val="Body Text 3"/>
    <w:basedOn w:val="1"/>
    <w:link w:val="157"/>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next w:val="20"/>
    <w:link w:val="93"/>
    <w:qFormat/>
    <w:uiPriority w:val="0"/>
    <w:pPr>
      <w:ind w:left="567" w:leftChars="270"/>
    </w:pPr>
    <w:rPr>
      <w:rFonts w:ascii="Times New Roman" w:hAnsi="Times New Roman" w:eastAsia="宋体" w:cs="Times New Roman"/>
      <w:szCs w:val="20"/>
    </w:rPr>
  </w:style>
  <w:style w:type="paragraph" w:styleId="20">
    <w:name w:val="Body Text First Indent 2"/>
    <w:basedOn w:val="19"/>
    <w:next w:val="21"/>
    <w:qFormat/>
    <w:uiPriority w:val="99"/>
    <w:pPr>
      <w:ind w:left="0" w:leftChars="0" w:firstLine="420"/>
    </w:pPr>
    <w:rPr>
      <w:rFonts w:ascii="宋体" w:hAnsi="Calibri" w:eastAsia="宋体" w:cs="Times New Roman"/>
      <w:b/>
      <w:bCs/>
      <w:kern w:val="2"/>
      <w:sz w:val="21"/>
    </w:rPr>
  </w:style>
  <w:style w:type="paragraph" w:customStyle="1" w:styleId="21">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22">
    <w:name w:val="toc 3"/>
    <w:basedOn w:val="1"/>
    <w:next w:val="1"/>
    <w:qFormat/>
    <w:uiPriority w:val="39"/>
    <w:pPr>
      <w:tabs>
        <w:tab w:val="right" w:leader="dot" w:pos="10144"/>
      </w:tabs>
      <w:ind w:left="840" w:leftChars="400"/>
    </w:pPr>
  </w:style>
  <w:style w:type="paragraph" w:styleId="23">
    <w:name w:val="Plain Text"/>
    <w:basedOn w:val="1"/>
    <w:link w:val="101"/>
    <w:qFormat/>
    <w:uiPriority w:val="0"/>
    <w:rPr>
      <w:rFonts w:ascii="宋体" w:hAnsi="Courier New" w:eastAsia="宋体"/>
    </w:rPr>
  </w:style>
  <w:style w:type="paragraph" w:styleId="24">
    <w:name w:val="Date"/>
    <w:basedOn w:val="1"/>
    <w:next w:val="1"/>
    <w:link w:val="109"/>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2"/>
    <w:qFormat/>
    <w:uiPriority w:val="0"/>
    <w:pPr>
      <w:tabs>
        <w:tab w:val="left" w:pos="8640"/>
      </w:tabs>
      <w:ind w:left="1260"/>
    </w:pPr>
    <w:rPr>
      <w:rFonts w:ascii="宋体" w:hAnsi="Times New Roman" w:eastAsia="宋体" w:cs="Times New Roman"/>
      <w:szCs w:val="20"/>
    </w:rPr>
  </w:style>
  <w:style w:type="paragraph" w:styleId="26">
    <w:name w:val="Balloon Text"/>
    <w:basedOn w:val="1"/>
    <w:link w:val="75"/>
    <w:qFormat/>
    <w:uiPriority w:val="0"/>
    <w:rPr>
      <w:rFonts w:ascii="Times New Roman" w:hAnsi="Times New Roman" w:eastAsia="宋体" w:cs="Times New Roman"/>
      <w:sz w:val="18"/>
      <w:szCs w:val="18"/>
    </w:rPr>
  </w:style>
  <w:style w:type="paragraph" w:styleId="27">
    <w:name w:val="footer"/>
    <w:basedOn w:val="1"/>
    <w:link w:val="7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1"/>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qFormat/>
    <w:uiPriority w:val="39"/>
  </w:style>
  <w:style w:type="paragraph" w:styleId="30">
    <w:name w:val="List"/>
    <w:basedOn w:val="1"/>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5"/>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toc 2"/>
    <w:basedOn w:val="1"/>
    <w:next w:val="1"/>
    <w:qFormat/>
    <w:uiPriority w:val="39"/>
    <w:pPr>
      <w:ind w:left="420" w:leftChars="200"/>
    </w:pPr>
  </w:style>
  <w:style w:type="paragraph" w:styleId="33">
    <w:name w:val="Body Text 2"/>
    <w:basedOn w:val="1"/>
    <w:link w:val="144"/>
    <w:qFormat/>
    <w:uiPriority w:val="0"/>
    <w:pPr>
      <w:tabs>
        <w:tab w:val="left" w:pos="0"/>
      </w:tabs>
      <w:spacing w:line="400" w:lineRule="atLeast"/>
    </w:pPr>
    <w:rPr>
      <w:rFonts w:ascii="Arial" w:hAnsi="Arial" w:eastAsia="宋体" w:cs="Times New Roman"/>
      <w:color w:val="000000"/>
      <w:szCs w:val="24"/>
    </w:rPr>
  </w:style>
  <w:style w:type="paragraph" w:styleId="34">
    <w:name w:val="HTML Preformatted"/>
    <w:basedOn w:val="1"/>
    <w:link w:val="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5">
    <w:name w:val="Normal (Web)"/>
    <w:basedOn w:val="1"/>
    <w:link w:val="94"/>
    <w:qFormat/>
    <w:uiPriority w:val="0"/>
    <w:pPr>
      <w:widowControl/>
      <w:spacing w:before="100" w:beforeAutospacing="1" w:after="100" w:afterAutospacing="1"/>
      <w:jc w:val="left"/>
    </w:pPr>
    <w:rPr>
      <w:rFonts w:ascii="宋体" w:hAnsi="宋体"/>
      <w:sz w:val="15"/>
      <w:szCs w:val="15"/>
    </w:rPr>
  </w:style>
  <w:style w:type="paragraph" w:styleId="36">
    <w:name w:val="Title"/>
    <w:basedOn w:val="1"/>
    <w:next w:val="1"/>
    <w:link w:val="59"/>
    <w:qFormat/>
    <w:uiPriority w:val="10"/>
    <w:pPr>
      <w:spacing w:before="120" w:after="60" w:line="300" w:lineRule="auto"/>
      <w:jc w:val="left"/>
      <w:outlineLvl w:val="0"/>
    </w:pPr>
    <w:rPr>
      <w:rFonts w:ascii="等线 Light" w:hAnsi="等线 Light" w:eastAsia="仿宋"/>
      <w:b/>
      <w:bCs/>
      <w:sz w:val="28"/>
      <w:szCs w:val="32"/>
    </w:rPr>
  </w:style>
  <w:style w:type="paragraph" w:styleId="37">
    <w:name w:val="annotation subject"/>
    <w:basedOn w:val="17"/>
    <w:next w:val="17"/>
    <w:link w:val="111"/>
    <w:qFormat/>
    <w:uiPriority w:val="99"/>
    <w:pPr>
      <w:autoSpaceDE w:val="0"/>
      <w:autoSpaceDN w:val="0"/>
      <w:adjustRightInd w:val="0"/>
    </w:pPr>
    <w:rPr>
      <w:rFonts w:ascii="宋体" w:hAnsi="Times New Roman" w:eastAsia="宋体" w:cs="Times New Roman"/>
      <w:b/>
      <w:bCs/>
      <w:kern w:val="0"/>
      <w:sz w:val="24"/>
      <w:szCs w:val="24"/>
    </w:rPr>
  </w:style>
  <w:style w:type="paragraph" w:styleId="38">
    <w:name w:val="Body Text First Indent"/>
    <w:basedOn w:val="2"/>
    <w:link w:val="202"/>
    <w:qFormat/>
    <w:uiPriority w:val="99"/>
    <w:pPr>
      <w:autoSpaceDE/>
      <w:autoSpaceDN/>
      <w:adjustRightInd/>
      <w:spacing w:after="120"/>
      <w:ind w:right="0" w:firstLine="420" w:firstLineChars="100"/>
      <w:jc w:val="both"/>
    </w:pPr>
    <w:rPr>
      <w:rFonts w:ascii="等线" w:eastAsia="等线"/>
      <w:b w:val="0"/>
      <w:bCs w:val="0"/>
      <w:sz w:val="21"/>
      <w:szCs w:val="22"/>
      <w:lang w:val="en-US"/>
    </w:rPr>
  </w:style>
  <w:style w:type="table" w:styleId="40">
    <w:name w:val="Table Grid"/>
    <w:basedOn w:val="3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FollowedHyperlink"/>
    <w:qFormat/>
    <w:uiPriority w:val="99"/>
    <w:rPr>
      <w:color w:val="954F72"/>
      <w:u w:val="single"/>
    </w:rPr>
  </w:style>
  <w:style w:type="character" w:styleId="44">
    <w:name w:val="Emphasis"/>
    <w:qFormat/>
    <w:uiPriority w:val="0"/>
    <w:rPr>
      <w:i/>
      <w:iCs/>
    </w:rPr>
  </w:style>
  <w:style w:type="character" w:styleId="45">
    <w:name w:val="Hyperlink"/>
    <w:qFormat/>
    <w:uiPriority w:val="99"/>
    <w:rPr>
      <w:rFonts w:hint="default" w:ascii="Arial" w:hAnsi="Arial" w:cs="Arial"/>
      <w:color w:val="000000"/>
      <w:sz w:val="20"/>
      <w:szCs w:val="20"/>
      <w:u w:val="none"/>
    </w:rPr>
  </w:style>
  <w:style w:type="character" w:styleId="46">
    <w:name w:val="annotation reference"/>
    <w:qFormat/>
    <w:uiPriority w:val="99"/>
    <w:rPr>
      <w:sz w:val="21"/>
      <w:szCs w:val="21"/>
    </w:rPr>
  </w:style>
  <w:style w:type="paragraph" w:customStyle="1" w:styleId="47">
    <w:name w:val="首行缩进"/>
    <w:basedOn w:val="1"/>
    <w:qFormat/>
    <w:uiPriority w:val="0"/>
    <w:pPr>
      <w:ind w:firstLine="480" w:firstLineChars="200"/>
    </w:pPr>
    <w:rPr>
      <w:lang w:val="zh-CN"/>
    </w:rPr>
  </w:style>
  <w:style w:type="character" w:customStyle="1" w:styleId="48">
    <w:name w:val="标题 1 字符"/>
    <w:basedOn w:val="41"/>
    <w:qFormat/>
    <w:uiPriority w:val="0"/>
    <w:rPr>
      <w:b/>
      <w:bCs/>
      <w:kern w:val="44"/>
      <w:sz w:val="44"/>
      <w:szCs w:val="44"/>
    </w:rPr>
  </w:style>
  <w:style w:type="character" w:customStyle="1" w:styleId="49">
    <w:name w:val="标题 2 Char"/>
    <w:basedOn w:val="41"/>
    <w:link w:val="4"/>
    <w:qFormat/>
    <w:uiPriority w:val="0"/>
    <w:rPr>
      <w:rFonts w:ascii="宋体" w:hAnsi="Calibri" w:eastAsia="宋体" w:cs="Times New Roman"/>
      <w:kern w:val="0"/>
      <w:sz w:val="24"/>
      <w:szCs w:val="24"/>
    </w:rPr>
  </w:style>
  <w:style w:type="character" w:customStyle="1" w:styleId="50">
    <w:name w:val="标题 3 字符"/>
    <w:basedOn w:val="41"/>
    <w:qFormat/>
    <w:uiPriority w:val="0"/>
    <w:rPr>
      <w:b/>
      <w:bCs/>
      <w:sz w:val="32"/>
      <w:szCs w:val="32"/>
    </w:rPr>
  </w:style>
  <w:style w:type="character" w:customStyle="1" w:styleId="51">
    <w:name w:val="标题 4 Char1"/>
    <w:basedOn w:val="41"/>
    <w:link w:val="6"/>
    <w:qFormat/>
    <w:uiPriority w:val="9"/>
    <w:rPr>
      <w:rFonts w:ascii="Arial" w:hAnsi="Arial" w:eastAsia="黑体" w:cs="Times New Roman"/>
      <w:b/>
      <w:bCs/>
      <w:kern w:val="0"/>
      <w:sz w:val="28"/>
      <w:szCs w:val="28"/>
    </w:rPr>
  </w:style>
  <w:style w:type="character" w:customStyle="1" w:styleId="52">
    <w:name w:val="标题 5 字符"/>
    <w:basedOn w:val="41"/>
    <w:qFormat/>
    <w:uiPriority w:val="9"/>
    <w:rPr>
      <w:b/>
      <w:bCs/>
      <w:sz w:val="28"/>
      <w:szCs w:val="28"/>
    </w:rPr>
  </w:style>
  <w:style w:type="character" w:customStyle="1" w:styleId="53">
    <w:name w:val="标题 6 字符"/>
    <w:basedOn w:val="41"/>
    <w:qFormat/>
    <w:uiPriority w:val="0"/>
    <w:rPr>
      <w:rFonts w:ascii="等线 Light" w:hAnsi="等线 Light" w:eastAsia="等线 Light" w:cs="宋体"/>
      <w:b/>
      <w:bCs/>
      <w:sz w:val="24"/>
      <w:szCs w:val="24"/>
    </w:rPr>
  </w:style>
  <w:style w:type="character" w:customStyle="1" w:styleId="54">
    <w:name w:val="标题 7 Char"/>
    <w:basedOn w:val="41"/>
    <w:link w:val="10"/>
    <w:qFormat/>
    <w:uiPriority w:val="9"/>
    <w:rPr>
      <w:rFonts w:ascii="Times New Roman" w:hAnsi="Calibri" w:eastAsia="黑体" w:cs="Times New Roman"/>
      <w:b/>
      <w:bCs/>
      <w:kern w:val="0"/>
      <w:sz w:val="28"/>
      <w:szCs w:val="24"/>
    </w:rPr>
  </w:style>
  <w:style w:type="character" w:customStyle="1" w:styleId="55">
    <w:name w:val="标题 8 Char"/>
    <w:basedOn w:val="41"/>
    <w:link w:val="11"/>
    <w:qFormat/>
    <w:uiPriority w:val="9"/>
    <w:rPr>
      <w:rFonts w:ascii="Times New Roman" w:hAnsi="Calibri" w:eastAsia="黑体" w:cs="Times New Roman"/>
      <w:b/>
      <w:kern w:val="0"/>
      <w:sz w:val="28"/>
      <w:szCs w:val="24"/>
    </w:rPr>
  </w:style>
  <w:style w:type="character" w:customStyle="1" w:styleId="56">
    <w:name w:val="标题 9 Char"/>
    <w:basedOn w:val="41"/>
    <w:link w:val="12"/>
    <w:qFormat/>
    <w:uiPriority w:val="9"/>
    <w:rPr>
      <w:rFonts w:ascii="Times New Roman" w:hAnsi="Calibri" w:eastAsia="黑体" w:cs="Times New Roman"/>
      <w:b/>
      <w:kern w:val="0"/>
      <w:sz w:val="28"/>
      <w:szCs w:val="24"/>
    </w:rPr>
  </w:style>
  <w:style w:type="character" w:customStyle="1" w:styleId="57">
    <w:name w:val="正文文本缩进 字符"/>
    <w:qFormat/>
    <w:uiPriority w:val="0"/>
    <w:rPr>
      <w:rFonts w:ascii="Times New Roman" w:hAnsi="Times New Roman" w:eastAsia="宋体" w:cs="Times New Roman"/>
      <w:szCs w:val="20"/>
    </w:rPr>
  </w:style>
  <w:style w:type="character" w:customStyle="1" w:styleId="58">
    <w:name w:val="普通(网站) Char"/>
    <w:qFormat/>
    <w:uiPriority w:val="0"/>
    <w:rPr>
      <w:rFonts w:ascii="宋体" w:hAnsi="宋体"/>
      <w:sz w:val="15"/>
      <w:szCs w:val="15"/>
    </w:rPr>
  </w:style>
  <w:style w:type="character" w:customStyle="1" w:styleId="59">
    <w:name w:val="标题 Char"/>
    <w:link w:val="36"/>
    <w:qFormat/>
    <w:uiPriority w:val="10"/>
    <w:rPr>
      <w:rFonts w:ascii="等线 Light" w:hAnsi="等线 Light" w:eastAsia="仿宋"/>
      <w:b/>
      <w:bCs/>
      <w:sz w:val="28"/>
      <w:szCs w:val="32"/>
    </w:rPr>
  </w:style>
  <w:style w:type="character" w:customStyle="1" w:styleId="60">
    <w:name w:val="日期 Char"/>
    <w:qFormat/>
    <w:uiPriority w:val="99"/>
    <w:rPr>
      <w:kern w:val="2"/>
      <w:sz w:val="21"/>
    </w:rPr>
  </w:style>
  <w:style w:type="character" w:customStyle="1" w:styleId="61">
    <w:name w:val="文档结构图 字符1"/>
    <w:qFormat/>
    <w:uiPriority w:val="99"/>
    <w:rPr>
      <w:rFonts w:ascii="Microsoft YaHei UI" w:hAnsi="Calibri" w:eastAsia="Microsoft YaHei UI" w:cs="Times New Roman"/>
      <w:kern w:val="0"/>
      <w:sz w:val="18"/>
      <w:szCs w:val="18"/>
    </w:rPr>
  </w:style>
  <w:style w:type="character" w:customStyle="1" w:styleId="62">
    <w:name w:val="批注文字 Char"/>
    <w:qFormat/>
    <w:uiPriority w:val="99"/>
    <w:rPr>
      <w:kern w:val="2"/>
      <w:sz w:val="21"/>
    </w:rPr>
  </w:style>
  <w:style w:type="character" w:customStyle="1" w:styleId="63">
    <w:name w:val="正文缩进2格 Char"/>
    <w:link w:val="64"/>
    <w:qFormat/>
    <w:uiPriority w:val="0"/>
    <w:rPr>
      <w:rFonts w:ascii="仿宋_GB2312" w:hAnsi="宋体" w:eastAsia="仿宋_GB231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qFormat/>
    <w:uiPriority w:val="99"/>
    <w:rPr>
      <w:rFonts w:ascii="Times New Roman" w:hAnsi="Times New Roman"/>
      <w:kern w:val="2"/>
      <w:sz w:val="24"/>
      <w:szCs w:val="24"/>
    </w:rPr>
  </w:style>
  <w:style w:type="character" w:customStyle="1" w:styleId="66">
    <w:name w:val="正文文本缩进 Char"/>
    <w:qFormat/>
    <w:uiPriority w:val="0"/>
    <w:rPr>
      <w:rFonts w:ascii="Times New Roman" w:hAnsi="Times New Roman" w:eastAsia="宋体" w:cs="Times New Roman"/>
      <w:szCs w:val="20"/>
      <w:lang w:val="en-US" w:eastAsia="zh-CN"/>
    </w:rPr>
  </w:style>
  <w:style w:type="character" w:customStyle="1" w:styleId="67">
    <w:name w:val="批注框文本 字符1"/>
    <w:qFormat/>
    <w:uiPriority w:val="99"/>
    <w:rPr>
      <w:rFonts w:ascii="宋体" w:hAnsi="Calibri" w:eastAsia="宋体" w:cs="Times New Roman"/>
      <w:kern w:val="0"/>
      <w:sz w:val="18"/>
      <w:szCs w:val="18"/>
    </w:rPr>
  </w:style>
  <w:style w:type="character" w:customStyle="1" w:styleId="68">
    <w:name w:val="List Paragraph Char"/>
    <w:link w:val="69"/>
    <w:qFormat/>
    <w:uiPriority w:val="34"/>
    <w:rPr>
      <w:rFonts w:ascii="Calibri" w:hAnsi="Calibri"/>
    </w:rPr>
  </w:style>
  <w:style w:type="paragraph" w:customStyle="1" w:styleId="69">
    <w:name w:val="列出段落1"/>
    <w:basedOn w:val="1"/>
    <w:link w:val="68"/>
    <w:qFormat/>
    <w:uiPriority w:val="34"/>
    <w:pPr>
      <w:ind w:firstLine="420" w:firstLineChars="200"/>
    </w:pPr>
    <w:rPr>
      <w:rFonts w:ascii="Calibri" w:hAnsi="Calibri"/>
    </w:rPr>
  </w:style>
  <w:style w:type="character" w:customStyle="1" w:styleId="70">
    <w:name w:val="标书正文 字符"/>
    <w:link w:val="71"/>
    <w:qFormat/>
    <w:uiPriority w:val="0"/>
    <w:rPr>
      <w:rFonts w:ascii="Calibri" w:hAnsi="Calibri" w:eastAsia="仿宋"/>
      <w:sz w:val="24"/>
      <w:szCs w:val="21"/>
    </w:rPr>
  </w:style>
  <w:style w:type="paragraph" w:customStyle="1" w:styleId="71">
    <w:name w:val="标书正文"/>
    <w:basedOn w:val="1"/>
    <w:link w:val="70"/>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qFormat/>
    <w:uiPriority w:val="99"/>
    <w:rPr>
      <w:rFonts w:ascii="Times New Roman" w:hAnsi="Times New Roman"/>
      <w:kern w:val="2"/>
      <w:sz w:val="24"/>
      <w:szCs w:val="24"/>
    </w:rPr>
  </w:style>
  <w:style w:type="character" w:customStyle="1" w:styleId="73">
    <w:name w:val="页脚 Char"/>
    <w:qFormat/>
    <w:uiPriority w:val="0"/>
    <w:rPr>
      <w:kern w:val="2"/>
      <w:sz w:val="18"/>
      <w:szCs w:val="18"/>
    </w:rPr>
  </w:style>
  <w:style w:type="character" w:customStyle="1" w:styleId="74">
    <w:name w:val="neir1"/>
    <w:qFormat/>
    <w:uiPriority w:val="0"/>
    <w:rPr>
      <w:rFonts w:hint="default" w:ascii="ˎ̥" w:hAnsi="ˎ̥"/>
      <w:color w:val="333333"/>
      <w:sz w:val="21"/>
      <w:szCs w:val="21"/>
      <w:u w:val="none"/>
    </w:rPr>
  </w:style>
  <w:style w:type="character" w:customStyle="1" w:styleId="75">
    <w:name w:val="批注框文本 Char1"/>
    <w:link w:val="26"/>
    <w:qFormat/>
    <w:uiPriority w:val="0"/>
    <w:rPr>
      <w:rFonts w:ascii="Times New Roman" w:hAnsi="Times New Roman" w:eastAsia="宋体" w:cs="Times New Roman"/>
      <w:sz w:val="18"/>
      <w:szCs w:val="18"/>
    </w:rPr>
  </w:style>
  <w:style w:type="character" w:customStyle="1" w:styleId="76">
    <w:name w:val="正文文本 3 字符1"/>
    <w:qFormat/>
    <w:uiPriority w:val="99"/>
    <w:rPr>
      <w:rFonts w:ascii="宋体" w:hAnsi="Calibri" w:eastAsia="宋体" w:cs="Times New Roman"/>
      <w:kern w:val="0"/>
      <w:sz w:val="16"/>
      <w:szCs w:val="16"/>
    </w:rPr>
  </w:style>
  <w:style w:type="character" w:customStyle="1" w:styleId="77">
    <w:name w:val="正文文本 字符3"/>
    <w:qFormat/>
    <w:uiPriority w:val="99"/>
    <w:rPr>
      <w:rFonts w:ascii="宋体" w:hAnsi="Calibri" w:eastAsia="宋体" w:cs="Times New Roman"/>
      <w:kern w:val="0"/>
      <w:sz w:val="24"/>
      <w:szCs w:val="24"/>
    </w:rPr>
  </w:style>
  <w:style w:type="character" w:customStyle="1" w:styleId="78">
    <w:name w:val="日期 字符1"/>
    <w:qFormat/>
    <w:uiPriority w:val="99"/>
    <w:rPr>
      <w:rFonts w:ascii="宋体" w:hAnsi="Calibri" w:eastAsia="宋体" w:cs="Times New Roman"/>
      <w:kern w:val="0"/>
      <w:sz w:val="24"/>
      <w:szCs w:val="24"/>
    </w:rPr>
  </w:style>
  <w:style w:type="character" w:customStyle="1" w:styleId="79">
    <w:name w:val="页脚 Char2"/>
    <w:link w:val="27"/>
    <w:qFormat/>
    <w:uiPriority w:val="99"/>
    <w:rPr>
      <w:rFonts w:ascii="宋体" w:eastAsia="宋体"/>
      <w:sz w:val="18"/>
      <w:szCs w:val="18"/>
    </w:rPr>
  </w:style>
  <w:style w:type="character" w:customStyle="1" w:styleId="80">
    <w:name w:val="吉奥正文 Char"/>
    <w:link w:val="81"/>
    <w:qFormat/>
    <w:uiPriority w:val="0"/>
    <w:rPr>
      <w:rFonts w:eastAsia="仿宋_GB2312"/>
      <w:sz w:val="28"/>
    </w:rPr>
  </w:style>
  <w:style w:type="paragraph" w:customStyle="1" w:styleId="81">
    <w:name w:val="吉奥正文"/>
    <w:basedOn w:val="1"/>
    <w:link w:val="80"/>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qFormat/>
    <w:uiPriority w:val="99"/>
    <w:rPr>
      <w:rFonts w:ascii="宋体" w:hAnsi="Times New Roman" w:eastAsia="宋体" w:cs="Times New Roman"/>
      <w:kern w:val="0"/>
      <w:sz w:val="18"/>
      <w:szCs w:val="18"/>
    </w:rPr>
  </w:style>
  <w:style w:type="character" w:customStyle="1" w:styleId="83">
    <w:name w:val="标题 字符"/>
    <w:qFormat/>
    <w:uiPriority w:val="10"/>
    <w:rPr>
      <w:rFonts w:ascii="Cambria" w:hAnsi="Cambria" w:eastAsia="宋体" w:cs="Times New Roman"/>
      <w:b/>
      <w:bCs/>
      <w:kern w:val="0"/>
      <w:sz w:val="32"/>
      <w:szCs w:val="32"/>
      <w:lang w:val="en-US" w:eastAsia="zh-CN"/>
    </w:rPr>
  </w:style>
  <w:style w:type="character" w:customStyle="1" w:styleId="84">
    <w:name w:val="题注 Char"/>
    <w:link w:val="14"/>
    <w:qFormat/>
    <w:uiPriority w:val="0"/>
    <w:rPr>
      <w:rFonts w:ascii="Arial" w:hAnsi="Arial" w:eastAsia="黑体" w:cs="Arial"/>
    </w:rPr>
  </w:style>
  <w:style w:type="character" w:customStyle="1" w:styleId="85">
    <w:name w:val="批注文字 字符2"/>
    <w:qFormat/>
    <w:uiPriority w:val="99"/>
    <w:rPr>
      <w:rFonts w:ascii="宋体" w:hAnsi="Times New Roman" w:eastAsia="宋体" w:cs="Times New Roman"/>
      <w:kern w:val="0"/>
      <w:sz w:val="24"/>
      <w:szCs w:val="24"/>
    </w:rPr>
  </w:style>
  <w:style w:type="character" w:customStyle="1" w:styleId="86">
    <w:name w:val="批注主题 字符1"/>
    <w:qFormat/>
    <w:uiPriority w:val="99"/>
    <w:rPr>
      <w:rFonts w:ascii="宋体" w:hAnsi="Calibri" w:eastAsia="宋体" w:cs="Times New Roman"/>
      <w:b/>
      <w:bCs/>
      <w:kern w:val="0"/>
      <w:sz w:val="24"/>
      <w:szCs w:val="24"/>
    </w:rPr>
  </w:style>
  <w:style w:type="character" w:customStyle="1" w:styleId="87">
    <w:name w:val="HTML 预设格式 Char"/>
    <w:link w:val="34"/>
    <w:qFormat/>
    <w:uiPriority w:val="99"/>
    <w:rPr>
      <w:rFonts w:ascii="Arial" w:hAnsi="Arial" w:eastAsia="宋体" w:cs="Arial"/>
      <w:szCs w:val="21"/>
    </w:rPr>
  </w:style>
  <w:style w:type="character" w:customStyle="1" w:styleId="88">
    <w:name w:val="标题 3.1 Char"/>
    <w:link w:val="89"/>
    <w:qFormat/>
    <w:uiPriority w:val="0"/>
    <w:rPr>
      <w:rFonts w:ascii="宋体" w:hAnsi="宋体"/>
      <w:b/>
      <w:bCs/>
      <w:sz w:val="32"/>
      <w:szCs w:val="32"/>
    </w:rPr>
  </w:style>
  <w:style w:type="paragraph" w:customStyle="1" w:styleId="89">
    <w:name w:val="标题 3.1"/>
    <w:basedOn w:val="5"/>
    <w:link w:val="88"/>
    <w:qFormat/>
    <w:uiPriority w:val="0"/>
    <w:pPr>
      <w:keepNext/>
      <w:keepLines/>
      <w:pageBreakBefore/>
      <w:tabs>
        <w:tab w:val="left" w:pos="1440"/>
        <w:tab w:val="left" w:pos="1620"/>
      </w:tabs>
      <w:autoSpaceDE/>
      <w:autoSpaceDN/>
      <w:adjustRightInd/>
      <w:spacing w:before="260" w:after="260" w:line="600" w:lineRule="exact"/>
      <w:jc w:val="both"/>
    </w:pPr>
    <w:rPr>
      <w:rFonts w:hAnsi="宋体" w:eastAsia="等线" w:cs="宋体"/>
      <w:b/>
      <w:bCs/>
      <w:kern w:val="2"/>
      <w:sz w:val="32"/>
      <w:szCs w:val="32"/>
    </w:rPr>
  </w:style>
  <w:style w:type="character" w:customStyle="1" w:styleId="90">
    <w:name w:val="HTML 预设格式 Char1"/>
    <w:qFormat/>
    <w:uiPriority w:val="99"/>
    <w:rPr>
      <w:rFonts w:ascii="Courier New" w:hAnsi="Courier New" w:eastAsia="宋体" w:cs="Courier New"/>
      <w:kern w:val="0"/>
      <w:sz w:val="20"/>
      <w:szCs w:val="20"/>
    </w:rPr>
  </w:style>
  <w:style w:type="character" w:customStyle="1" w:styleId="91">
    <w:name w:val="批注文字 字符1"/>
    <w:qFormat/>
    <w:uiPriority w:val="0"/>
    <w:rPr>
      <w:rFonts w:eastAsia="宋体"/>
      <w:kern w:val="2"/>
      <w:sz w:val="24"/>
      <w:szCs w:val="24"/>
      <w:lang w:val="en-US" w:eastAsia="zh-CN" w:bidi="ar-SA"/>
    </w:rPr>
  </w:style>
  <w:style w:type="character" w:customStyle="1" w:styleId="92">
    <w:name w:val="正文文本缩进 字符2"/>
    <w:qFormat/>
    <w:uiPriority w:val="99"/>
    <w:rPr>
      <w:rFonts w:ascii="宋体" w:hAnsi="Calibri" w:eastAsia="宋体" w:cs="Times New Roman"/>
      <w:kern w:val="0"/>
      <w:sz w:val="24"/>
      <w:szCs w:val="24"/>
    </w:rPr>
  </w:style>
  <w:style w:type="character" w:customStyle="1" w:styleId="93">
    <w:name w:val="正文文本缩进 Char1"/>
    <w:link w:val="19"/>
    <w:qFormat/>
    <w:uiPriority w:val="0"/>
    <w:rPr>
      <w:rFonts w:ascii="Times New Roman" w:hAnsi="Times New Roman" w:eastAsia="宋体" w:cs="Times New Roman"/>
      <w:szCs w:val="20"/>
    </w:rPr>
  </w:style>
  <w:style w:type="character" w:customStyle="1" w:styleId="94">
    <w:name w:val="普通(网站) Char1"/>
    <w:link w:val="35"/>
    <w:qFormat/>
    <w:uiPriority w:val="0"/>
    <w:rPr>
      <w:rFonts w:ascii="宋体" w:hAnsi="宋体"/>
      <w:sz w:val="15"/>
      <w:szCs w:val="15"/>
    </w:rPr>
  </w:style>
  <w:style w:type="character" w:customStyle="1" w:styleId="95">
    <w:name w:val="模板正文 Char"/>
    <w:link w:val="9"/>
    <w:qFormat/>
    <w:uiPriority w:val="0"/>
    <w:rPr>
      <w:rFonts w:ascii="宋体" w:eastAsia="仿宋"/>
      <w:sz w:val="24"/>
      <w:szCs w:val="21"/>
    </w:rPr>
  </w:style>
  <w:style w:type="character" w:customStyle="1" w:styleId="96">
    <w:name w:val="批注主题 Char"/>
    <w:qFormat/>
    <w:uiPriority w:val="99"/>
    <w:rPr>
      <w:b/>
      <w:bCs/>
      <w:kern w:val="2"/>
      <w:sz w:val="21"/>
    </w:rPr>
  </w:style>
  <w:style w:type="character" w:customStyle="1" w:styleId="97">
    <w:name w:val="正文文本 Char1"/>
    <w:qFormat/>
    <w:uiPriority w:val="0"/>
    <w:rPr>
      <w:rFonts w:ascii="宋体" w:hAnsi="Times New Roman" w:eastAsia="宋体" w:cs="Times New Roman"/>
      <w:kern w:val="0"/>
      <w:sz w:val="24"/>
      <w:szCs w:val="24"/>
    </w:rPr>
  </w:style>
  <w:style w:type="character" w:customStyle="1" w:styleId="98">
    <w:name w:val="正文文本 字符1"/>
    <w:qFormat/>
    <w:uiPriority w:val="99"/>
    <w:rPr>
      <w:rFonts w:ascii="宋体" w:eastAsia="宋体"/>
      <w:b/>
      <w:bCs/>
      <w:sz w:val="84"/>
      <w:szCs w:val="84"/>
      <w:lang w:val="zh-CN"/>
    </w:rPr>
  </w:style>
  <w:style w:type="character" w:customStyle="1" w:styleId="99">
    <w:name w:val="标题 1 Char"/>
    <w:qFormat/>
    <w:uiPriority w:val="9"/>
    <w:rPr>
      <w:rFonts w:ascii="宋体" w:hAnsi="Times New Roman" w:eastAsia="宋体" w:cs="Times New Roman"/>
      <w:kern w:val="0"/>
      <w:sz w:val="24"/>
      <w:szCs w:val="24"/>
    </w:rPr>
  </w:style>
  <w:style w:type="character" w:customStyle="1" w:styleId="100">
    <w:name w:val="正文文本 Char2"/>
    <w:qFormat/>
    <w:uiPriority w:val="99"/>
    <w:rPr>
      <w:rFonts w:ascii="宋体" w:eastAsia="宋体"/>
      <w:b/>
      <w:bCs/>
      <w:sz w:val="84"/>
      <w:szCs w:val="84"/>
      <w:lang w:val="zh-CN"/>
    </w:rPr>
  </w:style>
  <w:style w:type="character" w:customStyle="1" w:styleId="101">
    <w:name w:val="纯文本 Char2"/>
    <w:link w:val="23"/>
    <w:qFormat/>
    <w:uiPriority w:val="0"/>
    <w:rPr>
      <w:rFonts w:ascii="宋体" w:hAnsi="Courier New" w:eastAsia="宋体"/>
    </w:rPr>
  </w:style>
  <w:style w:type="character" w:customStyle="1" w:styleId="102">
    <w:name w:val="正文文本缩进 2 Char"/>
    <w:link w:val="25"/>
    <w:qFormat/>
    <w:uiPriority w:val="0"/>
    <w:rPr>
      <w:rFonts w:ascii="宋体" w:hAnsi="Times New Roman" w:eastAsia="宋体" w:cs="Times New Roman"/>
      <w:szCs w:val="20"/>
    </w:rPr>
  </w:style>
  <w:style w:type="character" w:customStyle="1" w:styleId="103">
    <w:name w:val="HTML Markup"/>
    <w:qFormat/>
    <w:uiPriority w:val="0"/>
    <w:rPr>
      <w:vanish/>
      <w:color w:val="FF0000"/>
    </w:rPr>
  </w:style>
  <w:style w:type="character" w:customStyle="1" w:styleId="104">
    <w:name w:val="页眉 Char1"/>
    <w:qFormat/>
    <w:uiPriority w:val="0"/>
    <w:rPr>
      <w:rFonts w:ascii="宋体" w:hAnsi="Times New Roman" w:eastAsia="宋体" w:cs="Times New Roman"/>
      <w:kern w:val="0"/>
      <w:sz w:val="18"/>
      <w:szCs w:val="18"/>
    </w:rPr>
  </w:style>
  <w:style w:type="character" w:customStyle="1" w:styleId="105">
    <w:name w:val="font11"/>
    <w:qFormat/>
    <w:uiPriority w:val="0"/>
    <w:rPr>
      <w:rFonts w:hint="eastAsia" w:ascii="宋体" w:hAnsi="宋体" w:eastAsia="宋体" w:cs="宋体"/>
      <w:color w:val="FF0000"/>
      <w:sz w:val="22"/>
      <w:szCs w:val="22"/>
      <w:u w:val="none"/>
    </w:rPr>
  </w:style>
  <w:style w:type="character" w:customStyle="1" w:styleId="106">
    <w:name w:val="style61"/>
    <w:qFormat/>
    <w:uiPriority w:val="0"/>
    <w:rPr>
      <w:b/>
      <w:bCs/>
    </w:rPr>
  </w:style>
  <w:style w:type="character" w:customStyle="1" w:styleId="107">
    <w:name w:val="表头文字 Char"/>
    <w:link w:val="108"/>
    <w:qFormat/>
    <w:uiPriority w:val="0"/>
    <w:rPr>
      <w:rFonts w:eastAsia="仿宋_GB2312"/>
      <w:b/>
      <w:sz w:val="28"/>
      <w:szCs w:val="21"/>
    </w:rPr>
  </w:style>
  <w:style w:type="paragraph" w:customStyle="1" w:styleId="108">
    <w:name w:val="表头文字"/>
    <w:basedOn w:val="1"/>
    <w:link w:val="107"/>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Char1"/>
    <w:link w:val="24"/>
    <w:qFormat/>
    <w:uiPriority w:val="99"/>
    <w:rPr>
      <w:rFonts w:ascii="宋体" w:hAnsi="Times New Roman" w:eastAsia="宋体" w:cs="Times New Roman"/>
      <w:b/>
      <w:bCs/>
      <w:szCs w:val="21"/>
      <w:lang w:val="zh-CN"/>
    </w:rPr>
  </w:style>
  <w:style w:type="character" w:customStyle="1" w:styleId="110">
    <w:name w:val="纯文本 Char1"/>
    <w:qFormat/>
    <w:uiPriority w:val="0"/>
    <w:rPr>
      <w:rFonts w:ascii="宋体" w:hAnsi="Courier New" w:eastAsia="宋体" w:cs="Courier New"/>
      <w:kern w:val="0"/>
      <w:szCs w:val="21"/>
    </w:rPr>
  </w:style>
  <w:style w:type="character" w:customStyle="1" w:styleId="111">
    <w:name w:val="批注主题 Char1"/>
    <w:link w:val="37"/>
    <w:qFormat/>
    <w:uiPriority w:val="99"/>
    <w:rPr>
      <w:rFonts w:ascii="宋体" w:hAnsi="Times New Roman" w:eastAsia="宋体" w:cs="Times New Roman"/>
      <w:b/>
      <w:bCs/>
      <w:kern w:val="0"/>
      <w:sz w:val="24"/>
      <w:szCs w:val="24"/>
    </w:rPr>
  </w:style>
  <w:style w:type="character" w:customStyle="1" w:styleId="112">
    <w:name w:val="纯文本 字符"/>
    <w:qFormat/>
    <w:uiPriority w:val="99"/>
    <w:rPr>
      <w:rFonts w:ascii="宋体" w:hAnsi="Courier New" w:eastAsia="宋体" w:cs="Times New Roman"/>
      <w:szCs w:val="20"/>
      <w:lang w:val="en-US" w:eastAsia="zh-CN"/>
    </w:rPr>
  </w:style>
  <w:style w:type="character" w:customStyle="1" w:styleId="113">
    <w:name w:val="font71"/>
    <w:qFormat/>
    <w:uiPriority w:val="0"/>
    <w:rPr>
      <w:rFonts w:hint="eastAsia" w:ascii="宋体" w:hAnsi="宋体" w:eastAsia="宋体" w:cs="宋体"/>
      <w:color w:val="FF0000"/>
      <w:sz w:val="18"/>
      <w:szCs w:val="18"/>
      <w:u w:val="none"/>
    </w:rPr>
  </w:style>
  <w:style w:type="character" w:customStyle="1" w:styleId="114">
    <w:name w:val="font21"/>
    <w:qFormat/>
    <w:uiPriority w:val="0"/>
    <w:rPr>
      <w:rFonts w:hint="eastAsia" w:ascii="宋体" w:hAnsi="宋体" w:eastAsia="宋体" w:cs="宋体"/>
      <w:b/>
      <w:color w:val="000000"/>
      <w:sz w:val="21"/>
      <w:szCs w:val="21"/>
      <w:u w:val="none"/>
    </w:rPr>
  </w:style>
  <w:style w:type="character" w:customStyle="1" w:styleId="115">
    <w:name w:val="纯文本 字符3"/>
    <w:qFormat/>
    <w:uiPriority w:val="99"/>
    <w:rPr>
      <w:rFonts w:ascii="等线" w:hAnsi="Courier New" w:cs="Courier New"/>
      <w:kern w:val="0"/>
      <w:sz w:val="24"/>
      <w:szCs w:val="24"/>
    </w:rPr>
  </w:style>
  <w:style w:type="character" w:customStyle="1" w:styleId="116">
    <w:name w:val="font31"/>
    <w:qFormat/>
    <w:uiPriority w:val="0"/>
    <w:rPr>
      <w:rFonts w:hint="eastAsia" w:ascii="宋体" w:hAnsi="宋体" w:eastAsia="宋体" w:cs="宋体"/>
      <w:color w:val="000000"/>
      <w:sz w:val="18"/>
      <w:szCs w:val="18"/>
      <w:u w:val="none"/>
    </w:rPr>
  </w:style>
  <w:style w:type="character" w:customStyle="1" w:styleId="117">
    <w:name w:val="文档结构图 Char"/>
    <w:link w:val="15"/>
    <w:qFormat/>
    <w:uiPriority w:val="99"/>
    <w:rPr>
      <w:rFonts w:ascii="宋体" w:hAnsi="Times New Roman" w:eastAsia="宋体" w:cs="Times New Roman"/>
      <w:kern w:val="0"/>
      <w:sz w:val="24"/>
      <w:szCs w:val="24"/>
      <w:shd w:val="clear" w:color="auto" w:fill="000080"/>
    </w:rPr>
  </w:style>
  <w:style w:type="character" w:customStyle="1" w:styleId="118">
    <w:name w:val="普通(网站) 字符1"/>
    <w:qFormat/>
    <w:uiPriority w:val="0"/>
    <w:rPr>
      <w:rFonts w:ascii="宋体" w:hAnsi="宋体"/>
      <w:sz w:val="15"/>
      <w:szCs w:val="15"/>
    </w:rPr>
  </w:style>
  <w:style w:type="character" w:customStyle="1" w:styleId="119">
    <w:name w:val="正文文本 Char3"/>
    <w:link w:val="2"/>
    <w:qFormat/>
    <w:uiPriority w:val="99"/>
    <w:rPr>
      <w:rFonts w:ascii="宋体" w:eastAsia="宋体"/>
      <w:b/>
      <w:bCs/>
      <w:sz w:val="84"/>
      <w:szCs w:val="84"/>
      <w:lang w:val="zh-CN"/>
    </w:rPr>
  </w:style>
  <w:style w:type="character" w:customStyle="1" w:styleId="120">
    <w:name w:val="标题 5 Char"/>
    <w:qFormat/>
    <w:uiPriority w:val="9"/>
    <w:rPr>
      <w:b/>
      <w:bCs/>
      <w:kern w:val="2"/>
      <w:sz w:val="28"/>
      <w:szCs w:val="28"/>
    </w:rPr>
  </w:style>
  <w:style w:type="character" w:customStyle="1" w:styleId="121">
    <w:name w:val="页眉 Char2"/>
    <w:link w:val="28"/>
    <w:qFormat/>
    <w:uiPriority w:val="99"/>
    <w:rPr>
      <w:rFonts w:ascii="宋体" w:eastAsia="宋体"/>
      <w:sz w:val="18"/>
      <w:szCs w:val="18"/>
    </w:rPr>
  </w:style>
  <w:style w:type="character" w:customStyle="1" w:styleId="122">
    <w:name w:val="表格文字 Char"/>
    <w:link w:val="123"/>
    <w:qFormat/>
    <w:uiPriority w:val="0"/>
    <w:rPr>
      <w:rFonts w:eastAsia="仿宋_GB2312"/>
      <w:sz w:val="28"/>
      <w:szCs w:val="24"/>
    </w:rPr>
  </w:style>
  <w:style w:type="paragraph" w:customStyle="1" w:styleId="123">
    <w:name w:val="表格文字"/>
    <w:basedOn w:val="1"/>
    <w:link w:val="122"/>
    <w:qFormat/>
    <w:uiPriority w:val="0"/>
    <w:rPr>
      <w:rFonts w:eastAsia="仿宋_GB2312"/>
      <w:sz w:val="28"/>
      <w:szCs w:val="24"/>
    </w:rPr>
  </w:style>
  <w:style w:type="character" w:customStyle="1" w:styleId="124">
    <w:name w:val="标题 字符2"/>
    <w:qFormat/>
    <w:uiPriority w:val="10"/>
    <w:rPr>
      <w:rFonts w:ascii="等线 Light" w:hAnsi="等线 Light" w:eastAsia="等线 Light" w:cs="Times New Roman"/>
      <w:b/>
      <w:bCs/>
      <w:kern w:val="0"/>
      <w:sz w:val="32"/>
      <w:szCs w:val="32"/>
    </w:rPr>
  </w:style>
  <w:style w:type="character" w:customStyle="1" w:styleId="125">
    <w:name w:val="正文缩进2格 Char Char"/>
    <w:qFormat/>
    <w:uiPriority w:val="0"/>
    <w:rPr>
      <w:rFonts w:ascii="仿宋_GB2312" w:hAnsi="宋体" w:eastAsia="仿宋_GB2312"/>
      <w:kern w:val="2"/>
      <w:sz w:val="31"/>
      <w:szCs w:val="28"/>
      <w:lang w:val="en-US" w:eastAsia="zh-CN" w:bidi="ar-SA"/>
    </w:rPr>
  </w:style>
  <w:style w:type="character" w:customStyle="1" w:styleId="126">
    <w:name w:val="小 Char"/>
    <w:qFormat/>
    <w:uiPriority w:val="0"/>
    <w:rPr>
      <w:rFonts w:ascii="宋体" w:hAnsi="Courier New" w:eastAsia="宋体"/>
      <w:kern w:val="2"/>
      <w:sz w:val="21"/>
      <w:lang w:val="en-US" w:eastAsia="zh-CN" w:bidi="ar-SA"/>
    </w:rPr>
  </w:style>
  <w:style w:type="character" w:customStyle="1" w:styleId="127">
    <w:name w:val="themebody1"/>
    <w:qFormat/>
    <w:uiPriority w:val="0"/>
    <w:rPr>
      <w:color w:val="FFFFFF"/>
    </w:rPr>
  </w:style>
  <w:style w:type="character" w:customStyle="1" w:styleId="128">
    <w:name w:val="页脚 字符1"/>
    <w:qFormat/>
    <w:uiPriority w:val="99"/>
    <w:rPr>
      <w:rFonts w:ascii="宋体" w:hAnsi="Calibri" w:eastAsia="宋体" w:cs="Times New Roman"/>
      <w:kern w:val="0"/>
      <w:sz w:val="18"/>
      <w:szCs w:val="18"/>
    </w:rPr>
  </w:style>
  <w:style w:type="character" w:customStyle="1" w:styleId="129">
    <w:name w:val="列出段落 Char"/>
    <w:link w:val="130"/>
    <w:qFormat/>
    <w:uiPriority w:val="34"/>
    <w:rPr>
      <w:kern w:val="2"/>
      <w:sz w:val="21"/>
      <w:szCs w:val="22"/>
    </w:rPr>
  </w:style>
  <w:style w:type="paragraph" w:styleId="130">
    <w:name w:val="List Paragraph"/>
    <w:basedOn w:val="1"/>
    <w:link w:val="129"/>
    <w:qFormat/>
    <w:uiPriority w:val="34"/>
    <w:pPr>
      <w:ind w:firstLine="420" w:firstLineChars="200"/>
    </w:pPr>
  </w:style>
  <w:style w:type="character" w:customStyle="1" w:styleId="131">
    <w:name w:val="正文文本 Char"/>
    <w:qFormat/>
    <w:uiPriority w:val="99"/>
    <w:rPr>
      <w:rFonts w:ascii="宋体" w:eastAsia="宋体"/>
      <w:b/>
      <w:bCs/>
      <w:sz w:val="84"/>
      <w:szCs w:val="84"/>
      <w:lang w:val="zh-CN"/>
    </w:rPr>
  </w:style>
  <w:style w:type="character" w:customStyle="1" w:styleId="132">
    <w:name w:val="页眉 字符1"/>
    <w:qFormat/>
    <w:uiPriority w:val="99"/>
    <w:rPr>
      <w:rFonts w:ascii="宋体" w:hAnsi="Calibri" w:eastAsia="宋体" w:cs="Times New Roman"/>
      <w:kern w:val="0"/>
      <w:sz w:val="18"/>
      <w:szCs w:val="18"/>
    </w:rPr>
  </w:style>
  <w:style w:type="character" w:customStyle="1" w:styleId="133">
    <w:name w:val="标题 5 Char1"/>
    <w:link w:val="7"/>
    <w:qFormat/>
    <w:uiPriority w:val="9"/>
    <w:rPr>
      <w:rFonts w:ascii="宋体" w:hAnsi="Calibri" w:eastAsia="宋体" w:cs="Times New Roman"/>
      <w:b/>
      <w:bCs/>
      <w:kern w:val="0"/>
      <w:sz w:val="28"/>
      <w:szCs w:val="28"/>
    </w:rPr>
  </w:style>
  <w:style w:type="character" w:customStyle="1" w:styleId="134">
    <w:name w:val="keyfeatures1"/>
    <w:qFormat/>
    <w:uiPriority w:val="0"/>
    <w:rPr>
      <w:rFonts w:hint="default" w:ascii="Arial" w:hAnsi="Arial" w:cs="Arial"/>
      <w:color w:val="003366"/>
      <w:sz w:val="17"/>
      <w:szCs w:val="17"/>
      <w:u w:val="none"/>
    </w:rPr>
  </w:style>
  <w:style w:type="character" w:customStyle="1" w:styleId="135">
    <w:name w:val="题注 字符"/>
    <w:qFormat/>
    <w:uiPriority w:val="0"/>
    <w:rPr>
      <w:rFonts w:ascii="宋体" w:hAnsi="宋体" w:eastAsia="黑体" w:cs="Times New Roman"/>
      <w:b/>
      <w:szCs w:val="21"/>
    </w:rPr>
  </w:style>
  <w:style w:type="character" w:customStyle="1" w:styleId="136">
    <w:name w:val="标题 4 Char"/>
    <w:qFormat/>
    <w:uiPriority w:val="0"/>
    <w:rPr>
      <w:rFonts w:ascii="宋体" w:hAnsi="宋体" w:eastAsia="宋体"/>
      <w:b/>
      <w:kern w:val="2"/>
      <w:sz w:val="21"/>
      <w:szCs w:val="24"/>
      <w:lang w:val="en-US" w:eastAsia="zh-CN" w:bidi="ar-SA"/>
    </w:rPr>
  </w:style>
  <w:style w:type="character" w:customStyle="1" w:styleId="137">
    <w:name w:val="批注文字 字符3"/>
    <w:qFormat/>
    <w:uiPriority w:val="99"/>
    <w:rPr>
      <w:rFonts w:ascii="宋体" w:hAnsi="Calibri" w:eastAsia="宋体" w:cs="Times New Roman"/>
      <w:kern w:val="0"/>
      <w:sz w:val="24"/>
      <w:szCs w:val="24"/>
    </w:rPr>
  </w:style>
  <w:style w:type="character" w:customStyle="1" w:styleId="138">
    <w:name w:val="纯文本 字符1"/>
    <w:qFormat/>
    <w:uiPriority w:val="0"/>
    <w:rPr>
      <w:rFonts w:ascii="宋体" w:hAnsi="Courier New" w:eastAsia="宋体"/>
      <w:kern w:val="2"/>
      <w:sz w:val="21"/>
      <w:szCs w:val="24"/>
      <w:lang w:val="en-US" w:eastAsia="zh-CN" w:bidi="ar-SA"/>
    </w:rPr>
  </w:style>
  <w:style w:type="character" w:customStyle="1" w:styleId="139">
    <w:name w:val="列出段落 Char1"/>
    <w:qFormat/>
    <w:uiPriority w:val="34"/>
    <w:rPr>
      <w:rFonts w:ascii="宋体"/>
      <w:sz w:val="24"/>
      <w:szCs w:val="24"/>
    </w:rPr>
  </w:style>
  <w:style w:type="character" w:customStyle="1" w:styleId="140">
    <w:name w:val="彩色列表 - 着色 1 字符"/>
    <w:link w:val="141"/>
    <w:qFormat/>
    <w:uiPriority w:val="0"/>
    <w:rPr>
      <w:rFonts w:ascii="Calibri" w:hAnsi="Calibri"/>
    </w:rPr>
  </w:style>
  <w:style w:type="paragraph" w:customStyle="1" w:styleId="141">
    <w:name w:val="彩色列表 - 着色 11"/>
    <w:basedOn w:val="1"/>
    <w:link w:val="140"/>
    <w:qFormat/>
    <w:uiPriority w:val="0"/>
    <w:pPr>
      <w:ind w:firstLine="420" w:firstLineChars="200"/>
    </w:pPr>
    <w:rPr>
      <w:rFonts w:ascii="Calibri" w:hAnsi="Calibri"/>
    </w:rPr>
  </w:style>
  <w:style w:type="character" w:customStyle="1" w:styleId="142">
    <w:name w:val="纯文本 Char"/>
    <w:qFormat/>
    <w:uiPriority w:val="0"/>
    <w:rPr>
      <w:rFonts w:ascii="宋体" w:hAnsi="Courier New" w:eastAsia="宋体" w:cs="Times New Roman"/>
      <w:szCs w:val="20"/>
    </w:rPr>
  </w:style>
  <w:style w:type="character" w:customStyle="1" w:styleId="143">
    <w:name w:val="标题 6 Char"/>
    <w:link w:val="8"/>
    <w:qFormat/>
    <w:uiPriority w:val="9"/>
    <w:rPr>
      <w:rFonts w:ascii="Times New Roman" w:hAnsi="Calibri" w:eastAsia="黑体" w:cs="Times New Roman"/>
      <w:b/>
      <w:bCs/>
      <w:kern w:val="0"/>
      <w:sz w:val="28"/>
      <w:szCs w:val="24"/>
    </w:rPr>
  </w:style>
  <w:style w:type="character" w:customStyle="1" w:styleId="144">
    <w:name w:val="正文文本 2 Char"/>
    <w:link w:val="33"/>
    <w:qFormat/>
    <w:uiPriority w:val="0"/>
    <w:rPr>
      <w:rFonts w:ascii="Arial" w:hAnsi="Arial" w:eastAsia="宋体" w:cs="Times New Roman"/>
      <w:color w:val="000000"/>
      <w:szCs w:val="24"/>
    </w:rPr>
  </w:style>
  <w:style w:type="character" w:customStyle="1" w:styleId="145">
    <w:name w:val="标题 3 Char"/>
    <w:link w:val="5"/>
    <w:qFormat/>
    <w:uiPriority w:val="0"/>
    <w:rPr>
      <w:rFonts w:ascii="宋体" w:hAnsi="Calibri" w:eastAsia="宋体" w:cs="Times New Roman"/>
      <w:kern w:val="0"/>
      <w:sz w:val="24"/>
      <w:szCs w:val="24"/>
    </w:rPr>
  </w:style>
  <w:style w:type="character" w:customStyle="1" w:styleId="146">
    <w:name w:val="正文文本缩进 2 字符1"/>
    <w:qFormat/>
    <w:uiPriority w:val="99"/>
    <w:rPr>
      <w:rFonts w:ascii="宋体" w:hAnsi="Calibri" w:eastAsia="宋体" w:cs="Times New Roman"/>
      <w:kern w:val="0"/>
      <w:sz w:val="24"/>
      <w:szCs w:val="24"/>
    </w:rPr>
  </w:style>
  <w:style w:type="character" w:customStyle="1" w:styleId="147">
    <w:name w:val="正文文本缩进 3 字符1"/>
    <w:qFormat/>
    <w:uiPriority w:val="99"/>
    <w:rPr>
      <w:rFonts w:ascii="宋体" w:hAnsi="Calibri" w:eastAsia="宋体" w:cs="Times New Roman"/>
      <w:kern w:val="0"/>
      <w:sz w:val="16"/>
      <w:szCs w:val="16"/>
    </w:rPr>
  </w:style>
  <w:style w:type="character" w:customStyle="1" w:styleId="148">
    <w:name w:val="正文文本 2 字符1"/>
    <w:qFormat/>
    <w:uiPriority w:val="99"/>
    <w:rPr>
      <w:rFonts w:ascii="宋体" w:hAnsi="Calibri" w:eastAsia="宋体" w:cs="Times New Roman"/>
      <w:kern w:val="0"/>
      <w:sz w:val="24"/>
      <w:szCs w:val="24"/>
    </w:rPr>
  </w:style>
  <w:style w:type="character" w:customStyle="1" w:styleId="149">
    <w:name w:val="eschoolnr"/>
    <w:qFormat/>
    <w:uiPriority w:val="0"/>
    <w:rPr>
      <w:sz w:val="23"/>
      <w:szCs w:val="23"/>
    </w:rPr>
  </w:style>
  <w:style w:type="character" w:customStyle="1" w:styleId="150">
    <w:name w:val="访问过的超链接1"/>
    <w:qFormat/>
    <w:uiPriority w:val="0"/>
    <w:rPr>
      <w:rFonts w:ascii="Arial" w:hAnsi="Arial" w:cs="Arial"/>
      <w:color w:val="000000"/>
      <w:sz w:val="20"/>
      <w:szCs w:val="20"/>
      <w:u w:val="none"/>
    </w:rPr>
  </w:style>
  <w:style w:type="character" w:customStyle="1" w:styleId="151">
    <w:name w:val="标题 1 Char1"/>
    <w:link w:val="3"/>
    <w:qFormat/>
    <w:uiPriority w:val="0"/>
    <w:rPr>
      <w:rFonts w:ascii="宋体" w:hAnsi="Calibri" w:eastAsia="宋体" w:cs="Times New Roman"/>
      <w:kern w:val="0"/>
      <w:sz w:val="24"/>
      <w:szCs w:val="24"/>
    </w:rPr>
  </w:style>
  <w:style w:type="character" w:customStyle="1" w:styleId="152">
    <w:name w:val="批注文字 Char1"/>
    <w:qFormat/>
    <w:uiPriority w:val="0"/>
    <w:rPr>
      <w:kern w:val="2"/>
      <w:sz w:val="21"/>
      <w:szCs w:val="24"/>
    </w:rPr>
  </w:style>
  <w:style w:type="character" w:customStyle="1" w:styleId="153">
    <w:name w:val="批注框文本 Char"/>
    <w:qFormat/>
    <w:uiPriority w:val="99"/>
    <w:rPr>
      <w:kern w:val="2"/>
      <w:sz w:val="18"/>
      <w:szCs w:val="18"/>
    </w:rPr>
  </w:style>
  <w:style w:type="character" w:customStyle="1" w:styleId="154">
    <w:name w:val="DAS正文 Char"/>
    <w:qFormat/>
    <w:uiPriority w:val="0"/>
    <w:rPr>
      <w:rFonts w:ascii="Verdana" w:hAnsi="Verdana" w:eastAsia="宋体"/>
      <w:kern w:val="2"/>
      <w:sz w:val="21"/>
      <w:szCs w:val="21"/>
      <w:lang w:val="en-US" w:eastAsia="zh-CN" w:bidi="ar-SA"/>
    </w:rPr>
  </w:style>
  <w:style w:type="character" w:customStyle="1" w:styleId="155">
    <w:name w:val="正文文本缩进 3 Char"/>
    <w:link w:val="31"/>
    <w:qFormat/>
    <w:uiPriority w:val="0"/>
    <w:rPr>
      <w:rFonts w:ascii="宋体" w:hAnsi="Times New Roman" w:eastAsia="宋体" w:cs="Times New Roman"/>
      <w:kern w:val="0"/>
      <w:sz w:val="24"/>
      <w:szCs w:val="24"/>
    </w:rPr>
  </w:style>
  <w:style w:type="character" w:customStyle="1" w:styleId="156">
    <w:name w:val="页眉 Char"/>
    <w:qFormat/>
    <w:uiPriority w:val="99"/>
    <w:rPr>
      <w:kern w:val="2"/>
      <w:sz w:val="18"/>
      <w:szCs w:val="18"/>
    </w:rPr>
  </w:style>
  <w:style w:type="character" w:customStyle="1" w:styleId="157">
    <w:name w:val="正文文本 3 Char"/>
    <w:link w:val="18"/>
    <w:qFormat/>
    <w:uiPriority w:val="0"/>
    <w:rPr>
      <w:rFonts w:ascii="宋体" w:hAnsi="Times New Roman" w:eastAsia="宋体" w:cs="Times New Roman"/>
      <w:b/>
      <w:bCs/>
      <w:color w:val="3366FF"/>
      <w:sz w:val="52"/>
      <w:szCs w:val="52"/>
      <w:lang w:val="zh-CN"/>
    </w:rPr>
  </w:style>
  <w:style w:type="character" w:customStyle="1" w:styleId="158">
    <w:name w:val="HTML 预设格式 字符1"/>
    <w:qFormat/>
    <w:uiPriority w:val="99"/>
    <w:rPr>
      <w:rFonts w:ascii="Courier New" w:hAnsi="Courier New" w:eastAsia="宋体" w:cs="Courier New"/>
      <w:kern w:val="0"/>
      <w:sz w:val="20"/>
      <w:szCs w:val="20"/>
    </w:rPr>
  </w:style>
  <w:style w:type="character" w:customStyle="1" w:styleId="159">
    <w:name w:val="彩色列表 - 强调文字颜色 1 Char"/>
    <w:link w:val="160"/>
    <w:qFormat/>
    <w:uiPriority w:val="0"/>
    <w:rPr>
      <w:rFonts w:ascii="宋体"/>
      <w:sz w:val="24"/>
      <w:szCs w:val="24"/>
    </w:rPr>
  </w:style>
  <w:style w:type="paragraph" w:customStyle="1" w:styleId="160">
    <w:name w:val="彩色列表 - 强调文字颜色 11"/>
    <w:basedOn w:val="1"/>
    <w:link w:val="159"/>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qFormat/>
    <w:uiPriority w:val="99"/>
    <w:rPr>
      <w:rFonts w:ascii="宋体" w:hAnsi="宋体" w:eastAsia="宋体" w:cs="Times New Roman"/>
      <w:kern w:val="0"/>
      <w:sz w:val="15"/>
      <w:szCs w:val="15"/>
      <w:lang w:val="en-US" w:eastAsia="zh-CN"/>
    </w:rPr>
  </w:style>
  <w:style w:type="paragraph" w:customStyle="1" w:styleId="162">
    <w:name w:val="_Style 123"/>
    <w:basedOn w:val="1"/>
    <w:next w:val="130"/>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1"/>
    <w:qFormat/>
    <w:uiPriority w:val="99"/>
    <w:rPr>
      <w:rFonts w:ascii="等线" w:hAnsi="Courier New" w:cs="Courier New"/>
    </w:rPr>
  </w:style>
  <w:style w:type="character" w:customStyle="1" w:styleId="164">
    <w:name w:val="批注文字 Char2"/>
    <w:basedOn w:val="41"/>
    <w:link w:val="17"/>
    <w:qFormat/>
    <w:uiPriority w:val="99"/>
  </w:style>
  <w:style w:type="character" w:customStyle="1" w:styleId="165">
    <w:name w:val="批注主题 字符2"/>
    <w:basedOn w:val="164"/>
    <w:qFormat/>
    <w:uiPriority w:val="99"/>
    <w:rPr>
      <w:b/>
      <w:bCs/>
    </w:rPr>
  </w:style>
  <w:style w:type="character" w:customStyle="1" w:styleId="166">
    <w:name w:val="标题 字符3"/>
    <w:basedOn w:val="41"/>
    <w:qFormat/>
    <w:uiPriority w:val="10"/>
    <w:rPr>
      <w:rFonts w:ascii="等线 Light" w:hAnsi="等线 Light" w:eastAsia="等线 Light" w:cs="宋体"/>
      <w:b/>
      <w:bCs/>
      <w:sz w:val="32"/>
      <w:szCs w:val="32"/>
    </w:rPr>
  </w:style>
  <w:style w:type="character" w:customStyle="1" w:styleId="167">
    <w:name w:val="正文文本缩进 字符3"/>
    <w:basedOn w:val="41"/>
    <w:qFormat/>
    <w:uiPriority w:val="99"/>
  </w:style>
  <w:style w:type="character" w:customStyle="1" w:styleId="168">
    <w:name w:val="正文文本 字符4"/>
    <w:basedOn w:val="41"/>
    <w:qFormat/>
    <w:uiPriority w:val="99"/>
  </w:style>
  <w:style w:type="character" w:customStyle="1" w:styleId="169">
    <w:name w:val="正文文本缩进 3 字符2"/>
    <w:basedOn w:val="41"/>
    <w:qFormat/>
    <w:uiPriority w:val="99"/>
    <w:rPr>
      <w:sz w:val="16"/>
      <w:szCs w:val="16"/>
    </w:rPr>
  </w:style>
  <w:style w:type="character" w:customStyle="1" w:styleId="170">
    <w:name w:val="页眉 字符2"/>
    <w:basedOn w:val="41"/>
    <w:qFormat/>
    <w:uiPriority w:val="99"/>
    <w:rPr>
      <w:sz w:val="18"/>
      <w:szCs w:val="18"/>
    </w:rPr>
  </w:style>
  <w:style w:type="character" w:customStyle="1" w:styleId="171">
    <w:name w:val="批注框文本 字符2"/>
    <w:basedOn w:val="41"/>
    <w:qFormat/>
    <w:uiPriority w:val="99"/>
    <w:rPr>
      <w:sz w:val="18"/>
      <w:szCs w:val="18"/>
    </w:rPr>
  </w:style>
  <w:style w:type="character" w:customStyle="1" w:styleId="172">
    <w:name w:val="HTML 预设格式 字符2"/>
    <w:basedOn w:val="41"/>
    <w:qFormat/>
    <w:uiPriority w:val="99"/>
    <w:rPr>
      <w:rFonts w:ascii="Courier New" w:hAnsi="Courier New" w:cs="Courier New"/>
      <w:sz w:val="20"/>
      <w:szCs w:val="20"/>
    </w:rPr>
  </w:style>
  <w:style w:type="character" w:customStyle="1" w:styleId="173">
    <w:name w:val="页脚 字符2"/>
    <w:basedOn w:val="41"/>
    <w:qFormat/>
    <w:uiPriority w:val="99"/>
    <w:rPr>
      <w:sz w:val="18"/>
      <w:szCs w:val="18"/>
    </w:rPr>
  </w:style>
  <w:style w:type="character" w:customStyle="1" w:styleId="174">
    <w:name w:val="正文文本缩进 2 字符2"/>
    <w:basedOn w:val="41"/>
    <w:qFormat/>
    <w:uiPriority w:val="99"/>
  </w:style>
  <w:style w:type="character" w:customStyle="1" w:styleId="175">
    <w:name w:val="正文文本 3 字符2"/>
    <w:basedOn w:val="41"/>
    <w:qFormat/>
    <w:uiPriority w:val="99"/>
    <w:rPr>
      <w:sz w:val="16"/>
      <w:szCs w:val="16"/>
    </w:rPr>
  </w:style>
  <w:style w:type="character" w:customStyle="1" w:styleId="176">
    <w:name w:val="正文文本 2 字符2"/>
    <w:basedOn w:val="41"/>
    <w:qFormat/>
    <w:uiPriority w:val="99"/>
  </w:style>
  <w:style w:type="paragraph" w:customStyle="1" w:styleId="177">
    <w:name w:val="WPSOffice手动目录 3"/>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1"/>
    <w:qFormat/>
    <w:uiPriority w:val="99"/>
    <w:rPr>
      <w:rFonts w:ascii="Microsoft YaHei UI" w:eastAsia="Microsoft YaHei UI"/>
      <w:sz w:val="18"/>
      <w:szCs w:val="18"/>
    </w:rPr>
  </w:style>
  <w:style w:type="character" w:customStyle="1" w:styleId="180">
    <w:name w:val="日期 字符2"/>
    <w:basedOn w:val="41"/>
    <w:qFormat/>
    <w:uiPriority w:val="99"/>
  </w:style>
  <w:style w:type="paragraph" w:customStyle="1" w:styleId="181">
    <w:name w:val="彩色底纹 - 强调文字颜色 11"/>
    <w:qFormat/>
    <w:uiPriority w:val="99"/>
    <w:rPr>
      <w:rFonts w:ascii="宋体" w:hAnsi="Calibri" w:eastAsia="宋体" w:cs="Times New Roman"/>
      <w:sz w:val="24"/>
      <w:szCs w:val="24"/>
      <w:lang w:val="en-US" w:eastAsia="zh-CN" w:bidi="ar-SA"/>
    </w:rPr>
  </w:style>
  <w:style w:type="paragraph" w:customStyle="1" w:styleId="182">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qFormat/>
    <w:uiPriority w:val="99"/>
    <w:rPr>
      <w:rFonts w:ascii="宋体" w:hAnsi="Calibri" w:eastAsia="宋体" w:cs="Times New Roman"/>
      <w:sz w:val="24"/>
      <w:szCs w:val="24"/>
      <w:lang w:val="en-US" w:eastAsia="zh-CN" w:bidi="ar-SA"/>
    </w:rPr>
  </w:style>
  <w:style w:type="paragraph" w:customStyle="1" w:styleId="184">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qFormat/>
    <w:uiPriority w:val="0"/>
    <w:pPr>
      <w:widowControl/>
    </w:pPr>
    <w:rPr>
      <w:rFonts w:ascii="Times New Roman" w:hAnsi="Calibri" w:eastAsia="宋体" w:cs="Times New Roman"/>
      <w:kern w:val="0"/>
      <w:szCs w:val="20"/>
    </w:rPr>
  </w:style>
  <w:style w:type="paragraph" w:customStyle="1" w:styleId="189">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qFormat/>
    <w:uiPriority w:val="0"/>
    <w:rPr>
      <w:rFonts w:ascii="Calibri" w:hAnsi="Calibri" w:eastAsia="宋体" w:cs="Times New Roman"/>
      <w:lang w:val="en-US" w:eastAsia="zh-CN" w:bidi="ar-SA"/>
    </w:rPr>
  </w:style>
  <w:style w:type="paragraph" w:customStyle="1" w:styleId="193">
    <w:name w:val="_Style 69"/>
    <w:basedOn w:val="1"/>
    <w:next w:val="130"/>
    <w:qFormat/>
    <w:uiPriority w:val="34"/>
    <w:pPr>
      <w:spacing w:line="360" w:lineRule="auto"/>
      <w:ind w:firstLine="420" w:firstLineChars="200"/>
    </w:pPr>
    <w:rPr>
      <w:rFonts w:ascii="Calibri" w:hAnsi="Calibri" w:eastAsia="宋体" w:cs="Times New Roman"/>
    </w:rPr>
  </w:style>
  <w:style w:type="paragraph" w:customStyle="1" w:styleId="194">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qFormat/>
    <w:uiPriority w:val="99"/>
    <w:rPr>
      <w:rFonts w:ascii="宋体" w:hAnsi="Calibri" w:eastAsia="宋体" w:cs="Times New Roman"/>
      <w:sz w:val="24"/>
      <w:szCs w:val="24"/>
      <w:lang w:val="en-US" w:eastAsia="zh-CN" w:bidi="ar-SA"/>
    </w:rPr>
  </w:style>
  <w:style w:type="paragraph" w:customStyle="1" w:styleId="197">
    <w:name w:val="WPSOffice手动目录 2"/>
    <w:qFormat/>
    <w:uiPriority w:val="0"/>
    <w:pPr>
      <w:ind w:left="200" w:leftChars="200"/>
    </w:pPr>
    <w:rPr>
      <w:rFonts w:ascii="Calibri" w:hAnsi="Calibri" w:eastAsia="宋体" w:cs="Times New Roman"/>
      <w:lang w:val="en-US" w:eastAsia="zh-CN" w:bidi="ar-SA"/>
    </w:rPr>
  </w:style>
  <w:style w:type="paragraph" w:customStyle="1" w:styleId="198">
    <w:name w:val="网格表 31"/>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qFormat/>
    <w:uiPriority w:val="0"/>
    <w:pPr>
      <w:jc w:val="center"/>
    </w:pPr>
    <w:rPr>
      <w:rFonts w:cs="宋体"/>
      <w:szCs w:val="20"/>
    </w:rPr>
  </w:style>
  <w:style w:type="paragraph" w:customStyle="1" w:styleId="200">
    <w:name w:val="正文缩进4格"/>
    <w:basedOn w:val="64"/>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Char"/>
    <w:basedOn w:val="119"/>
    <w:link w:val="38"/>
    <w:qFormat/>
    <w:uiPriority w:val="99"/>
    <w:rPr>
      <w:rFonts w:ascii="宋体" w:eastAsia="宋体"/>
      <w:b w:val="0"/>
      <w:bCs w:val="0"/>
      <w:sz w:val="84"/>
      <w:szCs w:val="84"/>
      <w:lang w:val="zh-CN"/>
    </w:rPr>
  </w:style>
  <w:style w:type="paragraph" w:customStyle="1" w:styleId="203">
    <w:name w:val="修订2"/>
    <w:qFormat/>
    <w:uiPriority w:val="99"/>
    <w:rPr>
      <w:rFonts w:ascii="等线" w:hAnsi="等线" w:eastAsia="等线" w:cs="宋体"/>
      <w:kern w:val="2"/>
      <w:sz w:val="21"/>
      <w:szCs w:val="22"/>
      <w:lang w:val="en-US" w:eastAsia="zh-CN" w:bidi="ar-SA"/>
    </w:rPr>
  </w:style>
  <w:style w:type="table" w:customStyle="1" w:styleId="204">
    <w:name w:val="无格式表格 11"/>
    <w:basedOn w:val="39"/>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16636</Words>
  <Characters>17507</Characters>
  <Paragraphs>3417</Paragraphs>
  <TotalTime>8</TotalTime>
  <ScaleCrop>false</ScaleCrop>
  <LinksUpToDate>false</LinksUpToDate>
  <CharactersWithSpaces>17916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袁沛荣</cp:lastModifiedBy>
  <dcterms:modified xsi:type="dcterms:W3CDTF">2025-01-07T01:17:44Z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A41D68504542468CA23D370C6584CA46_13</vt:lpwstr>
  </property>
  <property fmtid="{D5CDD505-2E9C-101B-9397-08002B2CF9AE}" pid="4" name="KSOTemplateDocerSaveRecord">
    <vt:lpwstr>eyJoZGlkIjoiNDI5ZTM4ODkwOTVlYzFlZTIyNDZjNmVlYjAwOTE5MTAiLCJ1c2VySWQiOiIxNDc3OTk4NDQxIn0=</vt:lpwstr>
  </property>
</Properties>
</file>