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东莞市水务集团净水有限公司2025年膜组件清洗服务采购项目</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号：0832-SFCX24DG116C</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人：东莞市水务集团净水有限公司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25</w:t>
      </w:r>
      <w:r>
        <w:rPr>
          <w:rFonts w:hint="eastAsia" w:ascii="宋体" w:hAnsi="宋体" w:eastAsia="宋体" w:cs="宋体"/>
          <w:b/>
          <w:bCs/>
          <w:color w:val="auto"/>
          <w:sz w:val="32"/>
          <w:szCs w:val="32"/>
          <w:highlight w:val="none"/>
          <w:lang w:val="zh-CN"/>
        </w:rPr>
        <w:t>日</w:t>
      </w:r>
    </w:p>
    <w:p>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_Toc22622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_Toc8154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_Toc26560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一、总则</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_Toc26560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_Toc4780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_Toc4780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_Toc12545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_Toc12545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_Toc17383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_Toc17383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_Toc8183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_Toc8183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7</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_Toc29233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二、招标文件</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_Toc29233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7</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_Toc6706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_Toc6706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7</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_Toc4184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_Toc4184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_Toc17623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_Toc17623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_Toc32306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三、投标文件的编制</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_Toc32306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_Toc14989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_Toc14989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_Toc17767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9 投标文件的组成</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_Toc17767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_Toc14730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_Toc14730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10</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_Toc25021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_Toc25021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_Toc21310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_Toc21310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_Toc6304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_Toc6304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12</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_Toc12853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_Toc12853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12</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_Toc16887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_Toc16887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12</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_Toc28706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_Toc28706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13</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_Toc13440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_Toc13440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13</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_Toc1333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四、投标文件的递交</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_Toc1333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_Toc23125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_Toc23125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_Toc25385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_Toc25385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_Toc22082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_Toc22082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_Toc8617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_Toc8617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_Toc10511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五、开标与评标</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_Toc10511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_Toc3839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_Toc3839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_Toc32246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23 评标过程的保密性</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_Toc32246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_Toc20272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_Toc20272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_Toc16338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_Toc16338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_Toc17643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_Toc17643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_Toc25811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_Toc25811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_Toc6900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_Toc6900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_Toc3254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29 评标结果公示及异议、投诉</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_Toc3254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16</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_Toc14839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30 真实性审查</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_Toc14839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17</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_Toc11726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31 评标委员会和招标人接受或拒绝任何投标或所有投标的权利</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_Toc11726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_Toc5607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六、授予合同</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_Toc5607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_Toc12143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32 授予合同的准则</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_Toc12143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_Toc22353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_Toc22353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_Toc1132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34 签署合同</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_Toc1132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18</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_Toc18508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35 履约担保</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_Toc18508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19</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_Toc11975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36 在合同履行中变更采购范围的权利</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_Toc11975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_Toc27121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37 中标服务费</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_Toc27121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_Toc7636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38 发票</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_Toc7636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_Toc32378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39 招标相关补充约定</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_Toc32378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21</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1"/>
        <w:keepNext w:val="0"/>
        <w:keepLines w:val="0"/>
        <w:pageBreakBefore w:val="0"/>
        <w:widowControl w:val="0"/>
        <w:tabs>
          <w:tab w:val="right" w:leader="dot" w:pos="9071"/>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_Toc8780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40 本次招标活动的最终解释权归招标代理机构及招标人所有。</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PAGEREF _Toc8780 \h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_Toc30076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_Toc20520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_Toc21212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_Toc9285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_Toc9285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8"/>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textAlignment w:val="auto"/>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_Toc25687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1"/>
        <w:tabs>
          <w:tab w:val="right" w:leader="dot" w:pos="9071"/>
          <w:tab w:val="clear" w:pos="10144"/>
        </w:tabs>
        <w:ind w:left="0" w:leftChars="0" w:firstLine="0" w:firstLineChars="0"/>
        <w:rPr>
          <w:color w:val="auto"/>
          <w:highlight w:val="none"/>
        </w:rPr>
      </w:pPr>
    </w:p>
    <w:p>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bookmarkEnd w:id="0"/>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6763"/>
      <w:bookmarkStart w:id="2" w:name="_Toc20249"/>
      <w:bookmarkStart w:id="3" w:name="_Toc17326"/>
      <w:bookmarkStart w:id="4" w:name="_Toc486167660"/>
      <w:bookmarkStart w:id="5" w:name="_Toc22622"/>
      <w:bookmarkStart w:id="6" w:name="_Toc4869"/>
      <w:bookmarkStart w:id="7" w:name="_Toc20428"/>
      <w:bookmarkStart w:id="8" w:name="_Toc4535"/>
      <w:bookmarkStart w:id="9" w:name="_Toc450662846"/>
      <w:bookmarkStart w:id="10" w:name="_Toc142508310"/>
      <w:bookmarkStart w:id="11" w:name="_Toc2723_WPSOffice_Level1"/>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bookmarkEnd w:id="10"/>
      <w:bookmarkEnd w:id="11"/>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东莞市水务集团净水有限公司</w:t>
      </w:r>
      <w:r>
        <w:rPr>
          <w:rFonts w:ascii="宋体" w:hAnsi="宋体" w:eastAsia="宋体" w:cs="Times New Roman"/>
          <w:color w:val="auto"/>
          <w:szCs w:val="21"/>
          <w:highlight w:val="none"/>
          <w:lang w:val="zh-CN"/>
        </w:rPr>
        <w:t>（以下简称“招标人”）的委托，对</w:t>
      </w:r>
      <w:bookmarkStart w:id="12" w:name="_Hlk41903390"/>
      <w:r>
        <w:rPr>
          <w:rFonts w:hint="eastAsia" w:ascii="宋体" w:hAnsi="宋体" w:eastAsia="宋体" w:cs="Times New Roman"/>
          <w:color w:val="auto"/>
          <w:kern w:val="0"/>
          <w:szCs w:val="21"/>
          <w:highlight w:val="none"/>
          <w:lang w:eastAsia="zh-CN"/>
        </w:rPr>
        <w:t>东莞市水务集团净水有限公司2025年膜组件清洗服务采购项目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0832-SFCX24DG116C</w:t>
      </w:r>
      <w:r>
        <w:rPr>
          <w:rFonts w:ascii="宋体" w:hAnsi="宋体" w:eastAsia="宋体" w:cs="Times New Roman"/>
          <w:color w:val="auto"/>
          <w:szCs w:val="21"/>
          <w:highlight w:val="none"/>
          <w:lang w:val="zh-CN"/>
        </w:rPr>
        <w:t>)</w:t>
      </w:r>
      <w:bookmarkEnd w:id="12"/>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476" w:leftChars="200" w:right="-34" w:rightChars="0" w:hanging="56" w:hangingChars="27"/>
        <w:jc w:val="left"/>
        <w:textAlignment w:val="auto"/>
        <w:rPr>
          <w:rFonts w:ascii="宋体" w:hAnsi="宋体" w:eastAsia="宋体" w:cs="Times New Roman"/>
          <w:color w:val="auto"/>
          <w:szCs w:val="21"/>
          <w:highlight w:val="none"/>
          <w:lang w:val="zh-CN"/>
        </w:rPr>
      </w:pP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旗下现有14家MBR工艺运营项目，根据现状实际运行情况，</w:t>
      </w:r>
      <w:r>
        <w:rPr>
          <w:rFonts w:hint="eastAsia" w:ascii="宋体" w:hAnsi="宋体" w:eastAsia="宋体" w:cs="Times New Roman"/>
          <w:color w:val="auto"/>
          <w:szCs w:val="21"/>
          <w:highlight w:val="none"/>
          <w:lang w:val="en-US" w:eastAsia="zh-CN"/>
        </w:rPr>
        <w:t>2025年预计暂有7家运营项目（麻涌二期、中堂二期、大朗松南二期、虎门一期提标、松南一期提标、塘厦石桥头提标、凤岗虾公潭提标）需对膜组件进行人工清洗。本项目是采购一家服务公司清洗膜组件，维持膜组件的正常通量，保证MBR膜系统正常运行。</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8"/>
        <w:spacing w:line="360" w:lineRule="auto"/>
        <w:ind w:right="-29" w:rightChars="-14" w:firstLine="0" w:firstLineChars="0"/>
        <w:jc w:val="both"/>
        <w:rPr>
          <w:rFonts w:hint="eastAsia" w:hAnsi="宋体" w:eastAsia="宋体"/>
          <w:b/>
          <w:color w:val="auto"/>
          <w:sz w:val="21"/>
          <w:szCs w:val="21"/>
          <w:highlight w:val="none"/>
          <w:lang w:val="en-US" w:eastAsia="zh-CN"/>
        </w:rPr>
      </w:pPr>
      <w:bookmarkStart w:id="13" w:name="_Toc25819"/>
      <w:r>
        <w:rPr>
          <w:rFonts w:hint="eastAsia" w:hAnsi="宋体" w:eastAsia="宋体"/>
          <w:b/>
          <w:color w:val="auto"/>
          <w:sz w:val="21"/>
          <w:szCs w:val="21"/>
          <w:highlight w:val="none"/>
          <w:lang w:val="zh-CN"/>
        </w:rPr>
        <w:t>2.2 投标人202</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年1月1日以来具有一份膜组件清洗服务业绩（合同签订日期为202</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年1月1日或以后）；</w:t>
      </w:r>
    </w:p>
    <w:p>
      <w:pPr>
        <w:pStyle w:val="158"/>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13"/>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bookmarkStart w:id="949" w:name="_GoBack"/>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16</w:t>
      </w:r>
      <w:bookmarkEnd w:id="949"/>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16</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lang w:val="zh-CN"/>
        </w:rPr>
        <w:t>东莞市南城街道鸿福西路81号国际商会大厦601室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u w:val="single"/>
          <w:lang w:eastAsia="zh-CN"/>
        </w:rPr>
        <w:t>www.sfcx.cn</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东莞市水务集团净水有限公司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东莞市南城街道滨河路100号二期1号楼101室</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：李建聪</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0769-21663952</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4" w:name="_Toc31764_WPSOffice_Level1"/>
      <w:bookmarkStart w:id="15" w:name="_Toc486167661"/>
      <w:bookmarkStart w:id="16"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卢静娴</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0769-216826</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7" w:name="_Toc21624"/>
      <w:bookmarkStart w:id="18" w:name="_Toc3146"/>
      <w:bookmarkStart w:id="19" w:name="_Toc1261"/>
      <w:bookmarkStart w:id="20" w:name="_Toc31498"/>
      <w:bookmarkStart w:id="21" w:name="_Toc142508311"/>
      <w:bookmarkStart w:id="22" w:name="_Toc8154"/>
      <w:bookmarkStart w:id="23" w:name="_Toc15111"/>
      <w:bookmarkStart w:id="24" w:name="_Toc18212"/>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4"/>
      <w:bookmarkEnd w:id="15"/>
      <w:bookmarkEnd w:id="16"/>
      <w:bookmarkEnd w:id="17"/>
      <w:bookmarkEnd w:id="18"/>
      <w:bookmarkEnd w:id="19"/>
      <w:bookmarkEnd w:id="20"/>
      <w:bookmarkEnd w:id="21"/>
      <w:bookmarkEnd w:id="22"/>
      <w:bookmarkEnd w:id="23"/>
      <w:bookmarkEnd w:id="24"/>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5" w:name="_Toc11520"/>
      <w:bookmarkStart w:id="26" w:name="_Toc140596871"/>
      <w:bookmarkStart w:id="27" w:name="_Toc31374"/>
      <w:bookmarkStart w:id="28" w:name="_Toc9555"/>
      <w:bookmarkStart w:id="29" w:name="_Toc142508312"/>
      <w:bookmarkStart w:id="30" w:name="_Toc450662848"/>
      <w:bookmarkStart w:id="31" w:name="_Toc26560"/>
      <w:bookmarkStart w:id="32" w:name="_Toc24479"/>
      <w:bookmarkStart w:id="33" w:name="_Toc5925"/>
      <w:bookmarkStart w:id="34" w:name="_Toc15366_WPSOffice_Level2"/>
      <w:bookmarkStart w:id="35" w:name="_Toc10475"/>
      <w:bookmarkStart w:id="36" w:name="_Toc486167662"/>
      <w:r>
        <w:rPr>
          <w:rFonts w:hint="eastAsia" w:ascii="宋体" w:hAnsi="宋体" w:eastAsia="宋体" w:cs="宋体"/>
          <w:b/>
          <w:bCs/>
          <w:color w:val="auto"/>
          <w:kern w:val="44"/>
          <w:szCs w:val="21"/>
          <w:highlight w:val="none"/>
          <w:lang w:val="zh-CN"/>
        </w:rPr>
        <w:t>一、总则</w:t>
      </w:r>
      <w:bookmarkEnd w:id="25"/>
      <w:bookmarkEnd w:id="26"/>
      <w:bookmarkEnd w:id="27"/>
      <w:bookmarkEnd w:id="28"/>
      <w:bookmarkEnd w:id="29"/>
      <w:bookmarkEnd w:id="30"/>
      <w:bookmarkEnd w:id="31"/>
      <w:bookmarkEnd w:id="32"/>
      <w:bookmarkEnd w:id="33"/>
      <w:bookmarkEnd w:id="34"/>
      <w:bookmarkEnd w:id="35"/>
      <w:bookmarkEnd w:id="3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 w:name="_Toc1974"/>
      <w:bookmarkStart w:id="38" w:name="_Toc450662849"/>
      <w:bookmarkStart w:id="39" w:name="_Toc486167663"/>
      <w:bookmarkStart w:id="40" w:name="_Toc23333"/>
      <w:bookmarkStart w:id="41" w:name="_Toc11574"/>
      <w:bookmarkStart w:id="42" w:name="_Toc142508313"/>
      <w:bookmarkStart w:id="43" w:name="_Toc4780"/>
      <w:bookmarkStart w:id="44" w:name="_Toc21710_WPSOffice_Level3"/>
      <w:bookmarkStart w:id="45" w:name="_Toc8924"/>
      <w:bookmarkStart w:id="46" w:name="_Toc16303"/>
      <w:bookmarkStart w:id="47" w:name="_Toc9608"/>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7"/>
      <w:bookmarkEnd w:id="38"/>
      <w:bookmarkEnd w:id="39"/>
      <w:bookmarkEnd w:id="40"/>
      <w:bookmarkEnd w:id="41"/>
      <w:bookmarkEnd w:id="42"/>
      <w:bookmarkEnd w:id="43"/>
      <w:bookmarkEnd w:id="44"/>
      <w:bookmarkEnd w:id="45"/>
      <w:bookmarkEnd w:id="46"/>
      <w:bookmarkEnd w:id="47"/>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8" w:name="_Toc28698"/>
      <w:bookmarkStart w:id="49" w:name="_Toc11012"/>
      <w:bookmarkStart w:id="50" w:name="_Toc32244"/>
      <w:bookmarkStart w:id="51" w:name="_Toc13088"/>
      <w:bookmarkStart w:id="52" w:name="_Toc12545"/>
      <w:bookmarkStart w:id="53" w:name="_Toc142508314"/>
      <w:bookmarkStart w:id="54" w:name="_Toc5782"/>
      <w:bookmarkStart w:id="55" w:name="_Toc450662850"/>
      <w:bookmarkStart w:id="56" w:name="_Toc486167664"/>
      <w:bookmarkStart w:id="57" w:name="_Toc80_WPSOffice_Level3"/>
      <w:bookmarkStart w:id="58" w:name="_Toc18557"/>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8"/>
      <w:bookmarkEnd w:id="49"/>
      <w:bookmarkEnd w:id="50"/>
      <w:bookmarkEnd w:id="51"/>
      <w:bookmarkEnd w:id="52"/>
      <w:bookmarkEnd w:id="53"/>
      <w:bookmarkEnd w:id="54"/>
      <w:bookmarkEnd w:id="55"/>
      <w:bookmarkEnd w:id="56"/>
      <w:bookmarkEnd w:id="57"/>
      <w:bookmarkEnd w:id="58"/>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59" w:name="_Toc142508315"/>
      <w:bookmarkStart w:id="60" w:name="_Toc23847_WPSOffice_Level3"/>
      <w:bookmarkStart w:id="61" w:name="_Toc17383"/>
      <w:bookmarkStart w:id="62" w:name="_Toc10591"/>
      <w:bookmarkStart w:id="63" w:name="_Toc25100"/>
      <w:bookmarkStart w:id="64" w:name="_Toc19774"/>
      <w:bookmarkStart w:id="65" w:name="_Toc7230"/>
      <w:bookmarkStart w:id="66" w:name="_Toc11689"/>
      <w:bookmarkStart w:id="67" w:name="_Toc16100"/>
      <w:bookmarkStart w:id="68" w:name="_Toc450662851"/>
      <w:bookmarkStart w:id="69"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59"/>
      <w:bookmarkEnd w:id="60"/>
      <w:r>
        <w:rPr>
          <w:rFonts w:hint="eastAsia" w:ascii="宋体" w:hAnsi="宋体" w:eastAsia="宋体" w:cs="宋体"/>
          <w:b/>
          <w:color w:val="auto"/>
          <w:szCs w:val="21"/>
          <w:highlight w:val="none"/>
          <w:lang w:val="en-US" w:eastAsia="zh-CN"/>
        </w:rPr>
        <w:t>服务</w:t>
      </w:r>
      <w:bookmarkEnd w:id="61"/>
      <w:bookmarkEnd w:id="62"/>
      <w:bookmarkEnd w:id="63"/>
      <w:bookmarkEnd w:id="64"/>
      <w:bookmarkEnd w:id="65"/>
      <w:bookmarkEnd w:id="66"/>
      <w:bookmarkEnd w:id="67"/>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0" w:name="_Toc1977663"/>
      <w:bookmarkStart w:id="71" w:name="_Toc533708063"/>
      <w:r>
        <w:rPr>
          <w:rFonts w:hint="eastAsia" w:ascii="宋体" w:hAnsi="宋体" w:eastAsia="宋体" w:cs="宋体"/>
          <w:color w:val="auto"/>
          <w:szCs w:val="21"/>
          <w:highlight w:val="none"/>
          <w:lang w:val="zh-CN"/>
        </w:rPr>
        <w:t xml:space="preserve">3.2  </w:t>
      </w:r>
      <w:bookmarkEnd w:id="70"/>
      <w:bookmarkEnd w:id="71"/>
      <w:bookmarkStart w:id="72" w:name="_Toc533708065"/>
      <w:bookmarkStart w:id="73"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72"/>
      <w:bookmarkEnd w:id="7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4" w:name="_Toc533708066"/>
      <w:bookmarkStart w:id="75"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74"/>
      <w:bookmarkEnd w:id="75"/>
      <w:bookmarkStart w:id="76" w:name="_Toc533708067"/>
      <w:bookmarkStart w:id="77" w:name="_Toc19776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6"/>
      <w:bookmarkEnd w:id="77"/>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8" w:name="_Toc533708068"/>
      <w:bookmarkStart w:id="79"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78"/>
      <w:bookmarkEnd w:id="79"/>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0" w:name="_Toc5780"/>
      <w:bookmarkStart w:id="81" w:name="_Toc11533"/>
      <w:bookmarkStart w:id="82" w:name="_Toc3404"/>
      <w:bookmarkStart w:id="83" w:name="_Toc8183"/>
      <w:bookmarkStart w:id="84" w:name="_Toc9753"/>
      <w:bookmarkStart w:id="85" w:name="_Toc9658_WPSOffice_Level3"/>
      <w:bookmarkStart w:id="86" w:name="_Toc19323"/>
      <w:bookmarkStart w:id="87" w:name="_Toc6733"/>
      <w:bookmarkStart w:id="88" w:name="_Toc14250831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80"/>
      <w:bookmarkEnd w:id="81"/>
      <w:bookmarkEnd w:id="82"/>
      <w:bookmarkEnd w:id="83"/>
      <w:bookmarkEnd w:id="84"/>
      <w:bookmarkEnd w:id="85"/>
      <w:bookmarkEnd w:id="86"/>
      <w:bookmarkEnd w:id="87"/>
      <w:bookmarkEnd w:id="88"/>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9" w:name="_Toc533708070"/>
      <w:bookmarkStart w:id="90" w:name="_Toc1977670"/>
      <w:r>
        <w:rPr>
          <w:rFonts w:hint="eastAsia" w:ascii="宋体" w:hAnsi="宋体" w:eastAsia="宋体" w:cs="宋体"/>
          <w:color w:val="auto"/>
          <w:szCs w:val="21"/>
          <w:highlight w:val="none"/>
          <w:lang w:val="zh-CN"/>
        </w:rPr>
        <w:t>4.1  投标费用</w:t>
      </w:r>
      <w:bookmarkEnd w:id="89"/>
      <w:bookmarkEnd w:id="90"/>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91" w:name="_Toc533708072"/>
      <w:bookmarkStart w:id="92"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91"/>
      <w:bookmarkEnd w:id="92"/>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93" w:name="_Toc533708073"/>
      <w:bookmarkStart w:id="94" w:name="_Toc1977673"/>
      <w:r>
        <w:rPr>
          <w:rFonts w:hint="eastAsia" w:ascii="宋体" w:hAnsi="宋体" w:eastAsia="宋体" w:cs="宋体"/>
          <w:color w:val="auto"/>
          <w:szCs w:val="21"/>
          <w:highlight w:val="none"/>
          <w:lang w:val="zh-CN"/>
        </w:rPr>
        <w:t>4.2  踏勘现场</w:t>
      </w:r>
      <w:bookmarkEnd w:id="93"/>
      <w:bookmarkEnd w:id="94"/>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95" w:name="_Toc1977676"/>
      <w:bookmarkStart w:id="96" w:name="_Toc5337080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68"/>
      <w:bookmarkEnd w:id="69"/>
      <w:bookmarkEnd w:id="95"/>
      <w:bookmarkEnd w:id="96"/>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7" w:name="_Toc1565"/>
      <w:bookmarkStart w:id="98" w:name="_Toc140596876"/>
      <w:bookmarkStart w:id="99" w:name="_Toc5395"/>
      <w:bookmarkStart w:id="100" w:name="_Toc29233"/>
      <w:bookmarkStart w:id="101" w:name="_Toc16430"/>
      <w:bookmarkStart w:id="102" w:name="_Toc450662853"/>
      <w:bookmarkStart w:id="103" w:name="_Toc22766"/>
      <w:bookmarkStart w:id="104" w:name="_Toc15405"/>
      <w:bookmarkStart w:id="105" w:name="_Toc486167667"/>
      <w:bookmarkStart w:id="106" w:name="_Toc142508317"/>
      <w:bookmarkStart w:id="107" w:name="_Toc30507_WPSOffice_Level2"/>
      <w:bookmarkStart w:id="108" w:name="_Toc23213"/>
      <w:r>
        <w:rPr>
          <w:rFonts w:hint="eastAsia" w:ascii="宋体" w:hAnsi="宋体" w:eastAsia="宋体" w:cs="宋体"/>
          <w:b/>
          <w:bCs/>
          <w:color w:val="auto"/>
          <w:kern w:val="44"/>
          <w:szCs w:val="21"/>
          <w:highlight w:val="none"/>
          <w:lang w:val="zh-CN"/>
        </w:rPr>
        <w:t>二、招标文件</w:t>
      </w:r>
      <w:bookmarkEnd w:id="97"/>
      <w:bookmarkEnd w:id="98"/>
      <w:bookmarkEnd w:id="99"/>
      <w:bookmarkEnd w:id="100"/>
      <w:bookmarkEnd w:id="101"/>
      <w:bookmarkEnd w:id="102"/>
      <w:bookmarkEnd w:id="103"/>
      <w:bookmarkEnd w:id="104"/>
      <w:bookmarkEnd w:id="105"/>
      <w:bookmarkEnd w:id="106"/>
      <w:bookmarkEnd w:id="107"/>
      <w:bookmarkEnd w:id="108"/>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9" w:name="_Toc6706"/>
      <w:bookmarkStart w:id="110" w:name="_Toc142508318"/>
      <w:bookmarkStart w:id="111" w:name="_Toc11394"/>
      <w:bookmarkStart w:id="112" w:name="_Toc10382"/>
      <w:bookmarkStart w:id="113" w:name="_Toc28893"/>
      <w:bookmarkStart w:id="114" w:name="_Toc486167668"/>
      <w:bookmarkStart w:id="115" w:name="_Toc20908"/>
      <w:bookmarkStart w:id="116" w:name="_Toc450662854"/>
      <w:bookmarkStart w:id="117" w:name="_Toc26635_WPSOffice_Level3"/>
      <w:bookmarkStart w:id="118" w:name="_Toc2406"/>
      <w:bookmarkStart w:id="119" w:name="_Toc397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09"/>
      <w:bookmarkEnd w:id="110"/>
      <w:bookmarkEnd w:id="111"/>
      <w:bookmarkEnd w:id="112"/>
      <w:bookmarkEnd w:id="113"/>
      <w:bookmarkEnd w:id="114"/>
      <w:bookmarkEnd w:id="115"/>
      <w:bookmarkEnd w:id="116"/>
      <w:bookmarkEnd w:id="117"/>
      <w:bookmarkEnd w:id="118"/>
      <w:bookmarkEnd w:id="11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东莞市水务集团净水有限公司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东莞市水务集团净水有限公司2025年膜组件清洗服务采购项目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东莞市石鼓净水有限公司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）“招标文件”指包括招标公告和招标文件及其补充、变更和澄清等一系列文件；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w:t>
      </w:r>
      <w:r>
        <w:rPr>
          <w:rFonts w:hint="eastAsia" w:ascii="宋体" w:hAnsi="宋体" w:eastAsia="宋体" w:cs="Times New Roman"/>
          <w:color w:val="auto"/>
          <w:szCs w:val="21"/>
          <w:highlight w:val="none"/>
          <w:lang w:val="zh-CN"/>
        </w:rPr>
        <w:t>不含税</w:t>
      </w:r>
      <w:r>
        <w:rPr>
          <w:rFonts w:hint="eastAsia" w:ascii="宋体" w:hAnsi="宋体" w:eastAsia="宋体" w:cs="Times New Roman"/>
          <w:color w:val="auto"/>
          <w:szCs w:val="21"/>
          <w:highlight w:val="none"/>
          <w:lang w:val="en-US" w:eastAsia="zh-CN"/>
        </w:rPr>
        <w:t>综合单</w:t>
      </w:r>
      <w:r>
        <w:rPr>
          <w:rFonts w:hint="eastAsia" w:ascii="宋体" w:hAnsi="宋体" w:eastAsia="宋体" w:cs="Times New Roman"/>
          <w:color w:val="auto"/>
          <w:szCs w:val="21"/>
          <w:highlight w:val="none"/>
          <w:lang w:val="zh-CN"/>
        </w:rPr>
        <w:t>价和</w:t>
      </w:r>
      <w:r>
        <w:rPr>
          <w:rFonts w:hint="eastAsia" w:ascii="宋体" w:hAnsi="宋体" w:eastAsia="宋体" w:cs="Times New Roman"/>
          <w:color w:val="auto"/>
          <w:szCs w:val="21"/>
          <w:highlight w:val="none"/>
          <w:lang w:val="en-US" w:eastAsia="zh-CN"/>
        </w:rPr>
        <w:t>暂定</w:t>
      </w:r>
      <w:r>
        <w:rPr>
          <w:rFonts w:hint="eastAsia" w:ascii="宋体" w:hAnsi="宋体" w:eastAsia="宋体" w:cs="Times New Roman"/>
          <w:color w:val="auto"/>
          <w:szCs w:val="21"/>
          <w:highlight w:val="none"/>
          <w:lang w:val="zh-CN"/>
        </w:rPr>
        <w:t>不含税合同价</w:t>
      </w:r>
      <w:r>
        <w:rPr>
          <w:rFonts w:hint="eastAsia" w:ascii="宋体" w:hAnsi="宋体" w:eastAsia="宋体" w:cs="Times New Roman"/>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0" w:name="_Toc3727"/>
      <w:bookmarkStart w:id="121" w:name="_Toc486167669"/>
      <w:bookmarkStart w:id="122" w:name="_Toc3167"/>
      <w:bookmarkStart w:id="123" w:name="_Toc29125_WPSOffice_Level3"/>
      <w:bookmarkStart w:id="124" w:name="_Toc11346"/>
      <w:bookmarkStart w:id="125" w:name="_Toc1433"/>
      <w:bookmarkStart w:id="126" w:name="_Toc6998"/>
      <w:bookmarkStart w:id="127" w:name="_Toc4184"/>
      <w:bookmarkStart w:id="128" w:name="_Toc4632"/>
      <w:bookmarkStart w:id="129" w:name="_Toc142508319"/>
      <w:bookmarkStart w:id="130" w:name="_Toc450662855"/>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20"/>
      <w:bookmarkEnd w:id="121"/>
      <w:bookmarkEnd w:id="122"/>
      <w:bookmarkEnd w:id="123"/>
      <w:bookmarkEnd w:id="124"/>
      <w:bookmarkEnd w:id="125"/>
      <w:bookmarkEnd w:id="126"/>
      <w:bookmarkEnd w:id="127"/>
      <w:bookmarkEnd w:id="128"/>
      <w:bookmarkEnd w:id="129"/>
      <w:bookmarkEnd w:id="130"/>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1" w:name="_Toc450662856"/>
      <w:bookmarkStart w:id="132" w:name="_Toc142508320"/>
      <w:bookmarkStart w:id="133" w:name="_Toc17145"/>
      <w:bookmarkStart w:id="134" w:name="_Toc486167670"/>
      <w:bookmarkStart w:id="135" w:name="_Toc17623"/>
      <w:bookmarkStart w:id="136" w:name="_Toc7020"/>
      <w:bookmarkStart w:id="137" w:name="_Toc23483_WPSOffice_Level3"/>
      <w:bookmarkStart w:id="138" w:name="_Toc5361"/>
      <w:bookmarkStart w:id="139" w:name="_Toc39"/>
      <w:bookmarkStart w:id="140" w:name="_Toc9680"/>
      <w:bookmarkStart w:id="141" w:name="_Toc29864"/>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31"/>
      <w:bookmarkEnd w:id="132"/>
      <w:bookmarkEnd w:id="133"/>
      <w:bookmarkEnd w:id="134"/>
      <w:bookmarkEnd w:id="135"/>
      <w:bookmarkEnd w:id="136"/>
      <w:bookmarkEnd w:id="137"/>
      <w:bookmarkEnd w:id="138"/>
      <w:bookmarkEnd w:id="139"/>
      <w:bookmarkEnd w:id="140"/>
      <w:bookmarkEnd w:id="14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3"/>
          <w:rFonts w:ascii="宋体" w:hAnsi="宋体" w:eastAsia="宋体" w:cs="Times New Roman"/>
          <w:color w:val="auto"/>
          <w:sz w:val="21"/>
          <w:szCs w:val="21"/>
          <w:highlight w:val="none"/>
        </w:rPr>
        <w:t>www.dgswjt.cn）</w:t>
      </w:r>
      <w:r>
        <w:rPr>
          <w:rStyle w:val="43"/>
          <w:rFonts w:ascii="宋体" w:hAnsi="宋体" w:eastAsia="宋体" w:cs="Times New Roman"/>
          <w:color w:val="auto"/>
          <w:sz w:val="21"/>
          <w:szCs w:val="21"/>
          <w:highlight w:val="none"/>
          <w:lang w:val="zh-CN"/>
        </w:rPr>
        <w:t>、</w:t>
      </w:r>
      <w:r>
        <w:rPr>
          <w:rStyle w:val="43"/>
          <w:rFonts w:hint="eastAsia" w:ascii="宋体" w:hAnsi="宋体" w:eastAsia="宋体" w:cs="Times New Roman"/>
          <w:bCs/>
          <w:color w:val="auto"/>
          <w:kern w:val="0"/>
          <w:sz w:val="21"/>
          <w:szCs w:val="21"/>
          <w:highlight w:val="none"/>
        </w:rPr>
        <w:t>招标代理</w:t>
      </w:r>
      <w:r>
        <w:rPr>
          <w:rStyle w:val="43"/>
          <w:rFonts w:hint="eastAsia" w:ascii="宋体" w:hAnsi="宋体" w:eastAsia="宋体" w:cs="Times New Roman"/>
          <w:bCs/>
          <w:color w:val="auto"/>
          <w:kern w:val="0"/>
          <w:sz w:val="21"/>
          <w:szCs w:val="21"/>
          <w:highlight w:val="none"/>
          <w:lang w:val="en-US" w:eastAsia="zh-CN"/>
        </w:rPr>
        <w:t>机构</w:t>
      </w:r>
      <w:r>
        <w:rPr>
          <w:rStyle w:val="43"/>
          <w:rFonts w:hint="eastAsia" w:ascii="宋体" w:hAnsi="宋体" w:eastAsia="宋体" w:cs="Times New Roman"/>
          <w:bCs/>
          <w:color w:val="auto"/>
          <w:kern w:val="0"/>
          <w:sz w:val="21"/>
          <w:szCs w:val="21"/>
          <w:highlight w:val="none"/>
        </w:rPr>
        <w:t>网站（</w:t>
      </w:r>
      <w:r>
        <w:rPr>
          <w:rStyle w:val="43"/>
          <w:rFonts w:hint="eastAsia" w:ascii="宋体" w:hAnsi="宋体" w:eastAsia="宋体" w:cs="Times New Roman"/>
          <w:bCs/>
          <w:color w:val="auto"/>
          <w:kern w:val="0"/>
          <w:sz w:val="21"/>
          <w:szCs w:val="21"/>
          <w:highlight w:val="none"/>
          <w:u w:val="none"/>
          <w:lang w:eastAsia="zh-CN"/>
        </w:rPr>
        <w:t>www.sfcx.cn</w:t>
      </w:r>
      <w:r>
        <w:rPr>
          <w:rStyle w:val="43"/>
          <w:rFonts w:ascii="宋体" w:hAnsi="宋体" w:eastAsia="宋体" w:cs="Times New Roman"/>
          <w:bCs/>
          <w:color w:val="auto"/>
          <w:kern w:val="0"/>
          <w:sz w:val="21"/>
          <w:szCs w:val="21"/>
          <w:highlight w:val="none"/>
        </w:rPr>
        <w:t>）</w:t>
      </w:r>
      <w:r>
        <w:rPr>
          <w:rStyle w:val="43"/>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42" w:name="_Toc486167671"/>
      <w:bookmarkStart w:id="143" w:name="_Toc29659_WPSOffice_Level2"/>
      <w:bookmarkStart w:id="144" w:name="_Toc8711"/>
      <w:bookmarkStart w:id="145" w:name="_Toc32422"/>
      <w:bookmarkStart w:id="146" w:name="_Toc142508321"/>
      <w:bookmarkStart w:id="147" w:name="_Toc23342"/>
      <w:bookmarkStart w:id="148" w:name="_Toc450662857"/>
      <w:bookmarkStart w:id="149" w:name="_Toc140596880"/>
      <w:bookmarkStart w:id="150" w:name="_Toc32306"/>
      <w:bookmarkStart w:id="151" w:name="_Toc32301"/>
      <w:bookmarkStart w:id="152" w:name="_Toc27196"/>
      <w:bookmarkStart w:id="153" w:name="_Toc9"/>
      <w:r>
        <w:rPr>
          <w:rFonts w:hint="eastAsia" w:ascii="宋体" w:hAnsi="宋体" w:eastAsia="宋体" w:cs="宋体"/>
          <w:b/>
          <w:bCs/>
          <w:color w:val="auto"/>
          <w:kern w:val="44"/>
          <w:szCs w:val="21"/>
          <w:highlight w:val="none"/>
          <w:lang w:val="zh-CN"/>
        </w:rPr>
        <w:t>三、投标文件的编制</w:t>
      </w:r>
      <w:bookmarkEnd w:id="142"/>
      <w:bookmarkEnd w:id="143"/>
      <w:bookmarkEnd w:id="144"/>
      <w:bookmarkEnd w:id="145"/>
      <w:bookmarkEnd w:id="146"/>
      <w:bookmarkEnd w:id="147"/>
      <w:bookmarkEnd w:id="148"/>
      <w:bookmarkEnd w:id="149"/>
      <w:bookmarkEnd w:id="150"/>
      <w:bookmarkEnd w:id="151"/>
      <w:bookmarkEnd w:id="152"/>
      <w:bookmarkEnd w:id="153"/>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4" w:name="_Toc6420"/>
      <w:bookmarkStart w:id="155" w:name="_Toc486167672"/>
      <w:bookmarkStart w:id="156" w:name="_Toc28408"/>
      <w:bookmarkStart w:id="157" w:name="_Toc6244"/>
      <w:bookmarkStart w:id="158" w:name="_Toc142508322"/>
      <w:bookmarkStart w:id="159" w:name="_Toc14989"/>
      <w:bookmarkStart w:id="160" w:name="_Toc22441"/>
      <w:bookmarkStart w:id="161" w:name="_Toc3827"/>
      <w:bookmarkStart w:id="162" w:name="_Toc10015_WPSOffice_Level3"/>
      <w:bookmarkStart w:id="163" w:name="_Toc31162"/>
      <w:bookmarkStart w:id="164" w:name="_Toc450662858"/>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54"/>
      <w:bookmarkEnd w:id="155"/>
      <w:bookmarkEnd w:id="156"/>
      <w:bookmarkEnd w:id="157"/>
      <w:bookmarkEnd w:id="158"/>
      <w:bookmarkEnd w:id="159"/>
      <w:bookmarkEnd w:id="160"/>
      <w:bookmarkEnd w:id="161"/>
      <w:bookmarkEnd w:id="162"/>
      <w:bookmarkEnd w:id="163"/>
      <w:bookmarkEnd w:id="16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65" w:name="_Toc450662859"/>
      <w:bookmarkStart w:id="166" w:name="_Toc486167673"/>
      <w:bookmarkStart w:id="167" w:name="_Toc26462"/>
      <w:bookmarkStart w:id="168" w:name="_Toc11935"/>
      <w:bookmarkStart w:id="169" w:name="_Toc24384"/>
      <w:bookmarkStart w:id="170" w:name="_Toc142508323"/>
      <w:bookmarkStart w:id="171" w:name="_Toc7348"/>
      <w:bookmarkStart w:id="172" w:name="_Toc1453"/>
      <w:bookmarkStart w:id="173" w:name="_Toc17767"/>
      <w:bookmarkStart w:id="174" w:name="_Toc24916_WPSOffice_Level3"/>
      <w:bookmarkStart w:id="175" w:name="_Toc1494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65"/>
      <w:bookmarkEnd w:id="166"/>
      <w:bookmarkEnd w:id="167"/>
      <w:bookmarkEnd w:id="168"/>
      <w:bookmarkEnd w:id="169"/>
      <w:bookmarkEnd w:id="170"/>
      <w:bookmarkEnd w:id="171"/>
      <w:bookmarkEnd w:id="172"/>
      <w:bookmarkEnd w:id="173"/>
      <w:bookmarkEnd w:id="174"/>
      <w:bookmarkEnd w:id="175"/>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（4）投标报价表；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b w:val="0"/>
          <w:bCs w:val="0"/>
          <w:color w:val="auto"/>
          <w:szCs w:val="21"/>
          <w:highlight w:val="none"/>
        </w:rPr>
        <w:t>投标人提供一份</w:t>
      </w:r>
      <w:r>
        <w:rPr>
          <w:rFonts w:hint="eastAsia" w:ascii="宋体" w:hAnsi="宋体" w:eastAsia="宋体"/>
          <w:b w:val="0"/>
          <w:bCs w:val="0"/>
          <w:color w:val="auto"/>
          <w:szCs w:val="21"/>
          <w:highlight w:val="none"/>
          <w:lang w:val="en-US" w:eastAsia="zh-CN"/>
        </w:rPr>
        <w:t>2021</w:t>
      </w:r>
      <w:r>
        <w:rPr>
          <w:rFonts w:hint="eastAsia" w:ascii="宋体" w:hAnsi="宋体" w:eastAsia="宋体"/>
          <w:b w:val="0"/>
          <w:bCs w:val="0"/>
          <w:color w:val="auto"/>
          <w:szCs w:val="21"/>
          <w:highlight w:val="none"/>
        </w:rPr>
        <w:t>年</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rPr>
        <w:t>月</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rPr>
        <w:t>日以来膜组件清洗服务</w:t>
      </w:r>
      <w:r>
        <w:rPr>
          <w:rFonts w:hint="eastAsia" w:ascii="宋体" w:hAnsi="宋体" w:eastAsia="宋体" w:cs="宋体"/>
          <w:b w:val="0"/>
          <w:bCs w:val="0"/>
          <w:color w:val="auto"/>
          <w:szCs w:val="21"/>
          <w:highlight w:val="none"/>
        </w:rPr>
        <w:t>业绩</w:t>
      </w:r>
      <w:r>
        <w:rPr>
          <w:rFonts w:hint="eastAsia" w:ascii="宋体" w:hAnsi="宋体" w:eastAsia="宋体"/>
          <w:b w:val="0"/>
          <w:bCs w:val="0"/>
          <w:color w:val="auto"/>
          <w:szCs w:val="21"/>
          <w:highlight w:val="none"/>
        </w:rPr>
        <w:t>（合同签订日期为</w:t>
      </w:r>
      <w:r>
        <w:rPr>
          <w:rFonts w:hint="eastAsia" w:ascii="宋体" w:hAnsi="宋体" w:eastAsia="宋体"/>
          <w:b w:val="0"/>
          <w:bCs w:val="0"/>
          <w:color w:val="auto"/>
          <w:szCs w:val="21"/>
          <w:highlight w:val="none"/>
          <w:lang w:val="en-US" w:eastAsia="zh-CN"/>
        </w:rPr>
        <w:t>2021</w:t>
      </w:r>
      <w:r>
        <w:rPr>
          <w:rFonts w:hint="eastAsia" w:ascii="宋体" w:hAnsi="宋体" w:eastAsia="宋体"/>
          <w:b w:val="0"/>
          <w:bCs w:val="0"/>
          <w:color w:val="auto"/>
          <w:szCs w:val="21"/>
          <w:highlight w:val="none"/>
        </w:rPr>
        <w:t>年</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rPr>
        <w:t>月</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rPr>
        <w:t>日或以后），资格业绩证明材料提交要求详见招标文件第六篇投标文件格式</w:t>
      </w:r>
      <w:r>
        <w:rPr>
          <w:rFonts w:hint="eastAsia" w:ascii="宋体" w:hAnsi="宋体" w:eastAsia="宋体"/>
          <w:b w:val="0"/>
          <w:bCs w:val="0"/>
          <w:color w:val="auto"/>
          <w:szCs w:val="21"/>
          <w:highlight w:val="none"/>
          <w:u w:val="single"/>
          <w:lang w:val="en-US" w:eastAsia="zh-CN"/>
        </w:rPr>
        <w:t>5</w:t>
      </w:r>
      <w:r>
        <w:rPr>
          <w:rFonts w:hint="eastAsia" w:ascii="宋体" w:hAnsi="宋体" w:eastAsia="宋体"/>
          <w:b w:val="0"/>
          <w:bCs w:val="0"/>
          <w:color w:val="auto"/>
          <w:szCs w:val="21"/>
          <w:highlight w:val="none"/>
          <w:u w:val="single"/>
        </w:rPr>
        <w:t>.4</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（1）用户需求响应程度（即用户需求偏离表格式）；</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（2）清洗人员配置情况承诺书；</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）清洗服务方案；</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）进度计划及保证措施；</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）安全、文明施工组织方案；</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6" w:name="_Toc450662860"/>
      <w:bookmarkStart w:id="177" w:name="_Toc31771"/>
      <w:bookmarkStart w:id="178" w:name="_Toc13063"/>
      <w:bookmarkStart w:id="179" w:name="_Toc26372"/>
      <w:bookmarkStart w:id="180" w:name="_Toc11170"/>
      <w:bookmarkStart w:id="181" w:name="_Toc142508324"/>
      <w:bookmarkStart w:id="182" w:name="_Toc486167674"/>
      <w:bookmarkStart w:id="183" w:name="_Toc8675_WPSOffice_Level3"/>
      <w:bookmarkStart w:id="184" w:name="_Toc13214"/>
      <w:bookmarkStart w:id="185" w:name="_Toc14730"/>
      <w:bookmarkStart w:id="186" w:name="_Toc2602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76"/>
      <w:bookmarkEnd w:id="177"/>
      <w:bookmarkEnd w:id="178"/>
      <w:bookmarkEnd w:id="179"/>
      <w:bookmarkEnd w:id="180"/>
      <w:bookmarkEnd w:id="181"/>
      <w:bookmarkEnd w:id="182"/>
      <w:bookmarkEnd w:id="183"/>
      <w:bookmarkEnd w:id="184"/>
      <w:bookmarkEnd w:id="185"/>
      <w:bookmarkEnd w:id="186"/>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7" w:name="_Toc31564"/>
      <w:bookmarkStart w:id="188" w:name="_Toc142508325"/>
      <w:bookmarkStart w:id="189" w:name="_Toc486167675"/>
      <w:bookmarkStart w:id="190" w:name="_Toc25021"/>
      <w:bookmarkStart w:id="191" w:name="_Toc15399"/>
      <w:bookmarkStart w:id="192" w:name="_Toc22098"/>
      <w:bookmarkStart w:id="193" w:name="_Toc24311"/>
      <w:bookmarkStart w:id="194" w:name="_Toc450662861"/>
      <w:bookmarkStart w:id="195" w:name="_Toc20186"/>
      <w:bookmarkStart w:id="196" w:name="_Toc4385_WPSOffice_Level3"/>
      <w:bookmarkStart w:id="197" w:name="_Toc15427"/>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87"/>
      <w:bookmarkEnd w:id="188"/>
      <w:bookmarkEnd w:id="189"/>
      <w:bookmarkEnd w:id="190"/>
      <w:bookmarkEnd w:id="191"/>
      <w:bookmarkEnd w:id="192"/>
      <w:bookmarkEnd w:id="193"/>
      <w:bookmarkEnd w:id="194"/>
      <w:bookmarkEnd w:id="195"/>
      <w:bookmarkEnd w:id="196"/>
      <w:bookmarkEnd w:id="197"/>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none"/>
          <w:lang w:val="zh-CN"/>
        </w:rPr>
        <w:t>本项目的投标报价为综合单价(元/个)乘以预计清洗膜组件数量的总价。合同履约过程中，在服务期内按投标时的综合单价(元/个)乘以实际清洗数量进行结算。</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w:t>
      </w:r>
      <w:r>
        <w:rPr>
          <w:rFonts w:hint="eastAsia" w:ascii="宋体" w:hAnsi="宋体" w:eastAsia="宋体" w:cs="Times New Roman"/>
          <w:color w:val="auto"/>
          <w:szCs w:val="21"/>
          <w:highlight w:val="none"/>
          <w:lang w:val="en-US" w:eastAsia="zh-CN"/>
        </w:rPr>
        <w:t>综合单</w:t>
      </w:r>
      <w:r>
        <w:rPr>
          <w:rFonts w:hint="eastAsia" w:ascii="宋体" w:hAnsi="宋体" w:eastAsia="宋体" w:cs="Times New Roman"/>
          <w:color w:val="auto"/>
          <w:szCs w:val="21"/>
          <w:highlight w:val="none"/>
          <w:lang w:val="zh-CN"/>
        </w:rPr>
        <w:t>价和</w:t>
      </w:r>
      <w:r>
        <w:rPr>
          <w:rFonts w:hint="eastAsia" w:ascii="宋体" w:hAnsi="宋体" w:eastAsia="宋体" w:cs="Times New Roman"/>
          <w:color w:val="auto"/>
          <w:szCs w:val="21"/>
          <w:highlight w:val="none"/>
          <w:lang w:val="en-US" w:eastAsia="zh-CN"/>
        </w:rPr>
        <w:t>暂定</w:t>
      </w:r>
      <w:r>
        <w:rPr>
          <w:rFonts w:hint="eastAsia" w:ascii="宋体" w:hAnsi="宋体" w:eastAsia="宋体" w:cs="Times New Roman"/>
          <w:color w:val="auto"/>
          <w:szCs w:val="21"/>
          <w:highlight w:val="none"/>
          <w:lang w:val="zh-CN"/>
        </w:rPr>
        <w:t>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pPr>
        <w:pStyle w:val="22"/>
        <w:spacing w:line="360" w:lineRule="auto"/>
        <w:ind w:left="634" w:leftChars="52" w:hanging="525" w:hangingChars="250"/>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（1）完成本</w:t>
      </w:r>
      <w:r>
        <w:rPr>
          <w:rFonts w:hint="eastAsia" w:hAnsi="宋体" w:cs="宋体"/>
          <w:color w:val="auto"/>
          <w:kern w:val="2"/>
          <w:sz w:val="21"/>
          <w:szCs w:val="21"/>
          <w:highlight w:val="none"/>
        </w:rPr>
        <w:t>项目</w:t>
      </w:r>
      <w:r>
        <w:rPr>
          <w:rFonts w:hint="eastAsia" w:hAnsi="宋体" w:cs="宋体"/>
          <w:color w:val="auto"/>
          <w:kern w:val="2"/>
          <w:sz w:val="21"/>
          <w:szCs w:val="21"/>
          <w:highlight w:val="none"/>
          <w:lang w:val="zh-CN"/>
        </w:rPr>
        <w:t>服务内容涉及的人工费、污泥运送费用、吃住费用、管理费、培训费、服装费、设备及工器具采购费用、</w:t>
      </w:r>
      <w:r>
        <w:rPr>
          <w:rFonts w:hint="eastAsia" w:hAnsi="宋体" w:cs="宋体"/>
          <w:color w:val="auto"/>
          <w:sz w:val="21"/>
          <w:szCs w:val="21"/>
          <w:highlight w:val="none"/>
          <w:lang w:bidi="ar"/>
        </w:rPr>
        <w:t>备品备件费用</w:t>
      </w:r>
      <w:r>
        <w:rPr>
          <w:rFonts w:hint="eastAsia" w:hAnsi="宋体" w:cs="宋体"/>
          <w:color w:val="auto"/>
          <w:sz w:val="21"/>
          <w:szCs w:val="21"/>
          <w:highlight w:val="none"/>
          <w:lang w:eastAsia="zh-CN" w:bidi="ar"/>
        </w:rPr>
        <w:t>、</w:t>
      </w:r>
      <w:r>
        <w:rPr>
          <w:rFonts w:hint="eastAsia" w:hAnsi="宋体" w:cs="宋体"/>
          <w:color w:val="auto"/>
          <w:kern w:val="2"/>
          <w:sz w:val="21"/>
          <w:szCs w:val="21"/>
          <w:highlight w:val="none"/>
          <w:lang w:val="zh-CN"/>
        </w:rPr>
        <w:t>意外险、责任险、交通费用等；</w:t>
      </w:r>
    </w:p>
    <w:p>
      <w:pPr>
        <w:pStyle w:val="22"/>
        <w:spacing w:line="360" w:lineRule="auto"/>
        <w:ind w:left="634" w:leftChars="52" w:hanging="525" w:hangingChars="250"/>
        <w:rPr>
          <w:rFonts w:hint="eastAsia" w:hAnsi="宋体" w:cs="宋体"/>
          <w:color w:val="auto"/>
          <w:sz w:val="21"/>
          <w:szCs w:val="21"/>
          <w:highlight w:val="none"/>
        </w:rPr>
      </w:pPr>
      <w:r>
        <w:rPr>
          <w:rFonts w:hint="eastAsia" w:hAnsi="宋体" w:cs="宋体"/>
          <w:color w:val="auto"/>
          <w:sz w:val="21"/>
          <w:szCs w:val="21"/>
          <w:highlight w:val="none"/>
        </w:rPr>
        <w:t>（2）合理利润、</w:t>
      </w:r>
      <w:r>
        <w:rPr>
          <w:rFonts w:hint="eastAsia" w:hAnsi="宋体" w:cs="宋体"/>
          <w:color w:val="auto"/>
          <w:kern w:val="2"/>
          <w:sz w:val="21"/>
          <w:szCs w:val="21"/>
          <w:highlight w:val="none"/>
          <w:lang w:val="zh-CN"/>
        </w:rPr>
        <w:t>投标人销项税额以外的税费</w:t>
      </w:r>
      <w:r>
        <w:rPr>
          <w:rFonts w:hint="eastAsia" w:hAnsi="宋体" w:cs="宋体"/>
          <w:color w:val="auto"/>
          <w:sz w:val="21"/>
          <w:szCs w:val="21"/>
          <w:highlight w:val="none"/>
        </w:rPr>
        <w:t>等；</w:t>
      </w:r>
    </w:p>
    <w:p>
      <w:pPr>
        <w:pStyle w:val="22"/>
        <w:spacing w:line="360" w:lineRule="auto"/>
        <w:ind w:left="634" w:leftChars="52" w:hanging="525" w:hangingChars="250"/>
        <w:rPr>
          <w:rFonts w:hint="eastAsia" w:hAnsi="宋体" w:cs="宋体"/>
          <w:color w:val="auto"/>
          <w:kern w:val="2"/>
          <w:sz w:val="21"/>
          <w:szCs w:val="21"/>
          <w:highlight w:val="none"/>
          <w:lang w:val="zh-CN"/>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zh-CN"/>
        </w:rPr>
        <w:t>3）法律法规、商业公认、招标文件规定由投标人承担的其他直接及间接费用。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的投标报价高于不含税最高投标限价或综合单价高于不含税预算综合单价的，该投标人的投标文件将被视为无效投标</w:t>
      </w:r>
      <w:r>
        <w:rPr>
          <w:rFonts w:hint="eastAsia" w:ascii="宋体" w:hAnsi="宋体" w:eastAsia="宋体" w:cs="宋体"/>
          <w:b/>
          <w:color w:val="auto"/>
          <w:szCs w:val="21"/>
          <w:highlight w:val="none"/>
          <w:u w:val="single"/>
          <w:lang w:val="zh-CN"/>
        </w:rPr>
        <w:t>。本项目的暂定清洗数量对应的不含税最高投标限价</w:t>
      </w:r>
      <w:r>
        <w:rPr>
          <w:rFonts w:hint="eastAsia" w:ascii="宋体" w:hAnsi="宋体" w:eastAsia="宋体" w:cs="Times New Roman"/>
          <w:b/>
          <w:bCs/>
          <w:color w:val="auto"/>
          <w:szCs w:val="21"/>
          <w:highlight w:val="none"/>
          <w:u w:val="single"/>
          <w:lang w:val="zh-CN"/>
        </w:rPr>
        <w:t>为</w:t>
      </w:r>
      <w:r>
        <w:rPr>
          <w:rFonts w:hint="eastAsia" w:ascii="宋体" w:hAnsi="宋体" w:eastAsia="宋体" w:cs="Times New Roman"/>
          <w:b/>
          <w:bCs/>
          <w:color w:val="auto"/>
          <w:szCs w:val="21"/>
          <w:highlight w:val="none"/>
          <w:u w:val="single"/>
          <w:lang w:val="en-US" w:eastAsia="zh-CN"/>
        </w:rPr>
        <w:t>1,067,800.00</w:t>
      </w:r>
      <w:r>
        <w:rPr>
          <w:rFonts w:hint="eastAsia" w:ascii="宋体" w:hAnsi="宋体" w:eastAsia="宋体" w:cs="Times New Roman"/>
          <w:b/>
          <w:bCs/>
          <w:color w:val="auto"/>
          <w:szCs w:val="21"/>
          <w:highlight w:val="none"/>
          <w:u w:val="single"/>
          <w:lang w:val="zh-CN"/>
        </w:rPr>
        <w:t>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壹佰零陆万柒仟捌佰元整</w:t>
      </w:r>
      <w:r>
        <w:rPr>
          <w:rFonts w:hint="eastAsia" w:ascii="宋体" w:hAnsi="宋体" w:eastAsia="宋体" w:cs="宋体"/>
          <w:b/>
          <w:color w:val="auto"/>
          <w:szCs w:val="21"/>
          <w:highlight w:val="none"/>
          <w:u w:val="single"/>
          <w:lang w:val="zh-CN"/>
        </w:rPr>
        <w:t>），不含税</w:t>
      </w:r>
      <w:r>
        <w:rPr>
          <w:rFonts w:hint="eastAsia" w:ascii="宋体" w:hAnsi="宋体" w:eastAsia="宋体" w:cs="宋体"/>
          <w:b/>
          <w:color w:val="auto"/>
          <w:szCs w:val="21"/>
          <w:highlight w:val="none"/>
          <w:u w:val="single"/>
          <w:lang w:val="en-US" w:eastAsia="zh-CN"/>
        </w:rPr>
        <w:t>预算</w:t>
      </w:r>
      <w:r>
        <w:rPr>
          <w:rFonts w:hint="eastAsia" w:ascii="宋体" w:hAnsi="宋体" w:eastAsia="宋体" w:cs="宋体"/>
          <w:b/>
          <w:color w:val="auto"/>
          <w:szCs w:val="21"/>
          <w:highlight w:val="none"/>
          <w:u w:val="single"/>
          <w:lang w:val="zh-CN"/>
        </w:rPr>
        <w:t>综合单价为</w:t>
      </w:r>
      <w:r>
        <w:rPr>
          <w:rFonts w:hint="eastAsia" w:ascii="宋体" w:hAnsi="宋体" w:eastAsia="宋体" w:cs="宋体"/>
          <w:b/>
          <w:color w:val="auto"/>
          <w:szCs w:val="21"/>
          <w:highlight w:val="none"/>
          <w:u w:val="single"/>
          <w:lang w:val="en-US" w:eastAsia="zh-CN"/>
        </w:rPr>
        <w:t>1,900.00</w:t>
      </w:r>
      <w:r>
        <w:rPr>
          <w:rFonts w:hint="eastAsia" w:ascii="宋体" w:hAnsi="宋体" w:eastAsia="宋体" w:cs="宋体"/>
          <w:b/>
          <w:color w:val="auto"/>
          <w:szCs w:val="21"/>
          <w:highlight w:val="none"/>
          <w:u w:val="single"/>
          <w:lang w:val="zh-CN"/>
        </w:rPr>
        <w:t>元/个（大写：人民币每个</w:t>
      </w:r>
      <w:r>
        <w:rPr>
          <w:rFonts w:hint="eastAsia" w:ascii="宋体" w:hAnsi="宋体" w:eastAsia="宋体" w:cs="宋体"/>
          <w:b/>
          <w:color w:val="auto"/>
          <w:szCs w:val="21"/>
          <w:highlight w:val="none"/>
          <w:u w:val="single"/>
          <w:lang w:val="en-US" w:eastAsia="zh-CN"/>
        </w:rPr>
        <w:t>壹仟玖佰元整</w:t>
      </w:r>
      <w:r>
        <w:rPr>
          <w:rFonts w:hint="eastAsia" w:ascii="宋体" w:hAnsi="宋体" w:eastAsia="宋体" w:cs="宋体"/>
          <w:b/>
          <w:color w:val="auto"/>
          <w:szCs w:val="21"/>
          <w:highlight w:val="none"/>
          <w:u w:val="single"/>
          <w:lang w:val="zh-CN"/>
        </w:rPr>
        <w:t>）。</w:t>
      </w: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9"/>
        <w:rPr>
          <w:rFonts w:hint="eastAsia" w:ascii="宋体" w:hAnsi="宋体" w:eastAsia="宋体" w:cs="宋体"/>
          <w:b/>
          <w:color w:val="auto"/>
          <w:szCs w:val="21"/>
          <w:highlight w:val="none"/>
          <w:lang w:val="zh-CN"/>
        </w:rPr>
      </w:pPr>
      <w:bookmarkStart w:id="198" w:name="_Toc8937"/>
      <w:bookmarkStart w:id="199" w:name="_Toc3469"/>
      <w:bookmarkStart w:id="200" w:name="_Toc142508326"/>
      <w:bookmarkStart w:id="201" w:name="_Toc20312"/>
      <w:bookmarkStart w:id="202" w:name="_Toc450662862"/>
      <w:bookmarkStart w:id="203" w:name="_Toc486167676"/>
      <w:bookmarkStart w:id="204" w:name="_Toc30042_WPSOffice_Level3"/>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05" w:name="_Toc31855"/>
      <w:bookmarkStart w:id="206" w:name="_Toc21310"/>
      <w:bookmarkStart w:id="207" w:name="_Toc32404"/>
      <w:bookmarkStart w:id="208" w:name="_Toc29764"/>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98"/>
      <w:bookmarkEnd w:id="199"/>
      <w:bookmarkEnd w:id="200"/>
      <w:bookmarkEnd w:id="201"/>
      <w:bookmarkEnd w:id="202"/>
      <w:bookmarkEnd w:id="203"/>
      <w:bookmarkEnd w:id="204"/>
      <w:bookmarkEnd w:id="205"/>
      <w:bookmarkEnd w:id="206"/>
      <w:bookmarkEnd w:id="207"/>
      <w:bookmarkEnd w:id="208"/>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9" w:name="_Toc142508327"/>
      <w:bookmarkStart w:id="210" w:name="_Toc450662863"/>
      <w:bookmarkStart w:id="211" w:name="_Toc486167677"/>
      <w:bookmarkStart w:id="212" w:name="_Toc14676"/>
      <w:bookmarkStart w:id="213" w:name="_Toc3213"/>
      <w:bookmarkStart w:id="214" w:name="_Toc20031"/>
      <w:bookmarkStart w:id="215" w:name="_Toc1091"/>
      <w:bookmarkStart w:id="216" w:name="_Toc6092"/>
      <w:bookmarkStart w:id="217" w:name="_Toc3961"/>
      <w:bookmarkStart w:id="218" w:name="_Toc9411_WPSOffice_Level3"/>
      <w:bookmarkStart w:id="219" w:name="_Toc6304"/>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209"/>
      <w:bookmarkEnd w:id="210"/>
      <w:bookmarkEnd w:id="211"/>
      <w:bookmarkEnd w:id="212"/>
      <w:bookmarkEnd w:id="213"/>
      <w:bookmarkEnd w:id="214"/>
      <w:bookmarkEnd w:id="215"/>
      <w:bookmarkEnd w:id="216"/>
      <w:bookmarkEnd w:id="217"/>
      <w:bookmarkEnd w:id="218"/>
      <w:bookmarkEnd w:id="21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0" w:name="_Toc27771_WPSOffice_Level3"/>
      <w:bookmarkStart w:id="221" w:name="_Toc12853"/>
      <w:bookmarkStart w:id="222" w:name="_Toc29754"/>
      <w:bookmarkStart w:id="223" w:name="_Toc450662864"/>
      <w:bookmarkStart w:id="224" w:name="_Toc18363"/>
      <w:bookmarkStart w:id="225" w:name="_Toc486167678"/>
      <w:bookmarkStart w:id="226" w:name="_Toc8615"/>
      <w:bookmarkStart w:id="227" w:name="_Toc32125"/>
      <w:bookmarkStart w:id="228" w:name="_Toc16467"/>
      <w:bookmarkStart w:id="229" w:name="_Toc142508328"/>
      <w:bookmarkStart w:id="230" w:name="_Toc12875"/>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220"/>
      <w:bookmarkEnd w:id="221"/>
      <w:bookmarkEnd w:id="222"/>
      <w:bookmarkEnd w:id="223"/>
      <w:bookmarkEnd w:id="224"/>
      <w:bookmarkEnd w:id="225"/>
      <w:bookmarkEnd w:id="226"/>
      <w:bookmarkEnd w:id="227"/>
      <w:bookmarkEnd w:id="228"/>
      <w:bookmarkEnd w:id="229"/>
      <w:bookmarkEnd w:id="230"/>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1" w:name="_Toc31552"/>
      <w:bookmarkStart w:id="232" w:name="_Toc7161"/>
      <w:bookmarkStart w:id="233" w:name="_Toc8644"/>
      <w:bookmarkStart w:id="234" w:name="_Toc486167679"/>
      <w:bookmarkStart w:id="235" w:name="_Toc16828"/>
      <w:bookmarkStart w:id="236" w:name="_Toc19008"/>
      <w:bookmarkStart w:id="237" w:name="_Toc30555"/>
      <w:bookmarkStart w:id="238" w:name="_Toc16887"/>
      <w:bookmarkStart w:id="239" w:name="_Toc5356_WPSOffice_Level3"/>
      <w:bookmarkStart w:id="240"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31"/>
      <w:bookmarkEnd w:id="232"/>
      <w:bookmarkEnd w:id="233"/>
      <w:bookmarkEnd w:id="234"/>
      <w:bookmarkEnd w:id="235"/>
      <w:bookmarkEnd w:id="236"/>
      <w:bookmarkEnd w:id="237"/>
      <w:bookmarkEnd w:id="238"/>
      <w:bookmarkEnd w:id="239"/>
      <w:bookmarkEnd w:id="240"/>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21,000.00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贰万壹仟元整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开户名称：东莞市水务集团净水有限公司</w:t>
      </w:r>
    </w:p>
    <w:p>
      <w:pPr>
        <w:autoSpaceDE w:val="0"/>
        <w:autoSpaceDN w:val="0"/>
        <w:adjustRightInd w:val="0"/>
        <w:spacing w:line="360" w:lineRule="auto"/>
        <w:ind w:left="225" w:leftChars="107" w:firstLine="489" w:firstLineChars="233"/>
        <w:jc w:val="left"/>
        <w:rPr>
          <w:rFonts w:ascii="宋体" w:hAnsi="宋体" w:eastAsia="宋体" w:cs="Times New Roman"/>
          <w:b w:val="0"/>
          <w:bCs w:val="0"/>
          <w:color w:val="auto"/>
          <w:kern w:val="0"/>
          <w:szCs w:val="21"/>
          <w:highlight w:val="none"/>
          <w:lang w:val="zh-CN"/>
        </w:rPr>
      </w:pPr>
      <w:r>
        <w:rPr>
          <w:rFonts w:hint="eastAsia" w:ascii="宋体" w:hAnsi="宋体" w:eastAsia="宋体" w:cs="Times New Roman"/>
          <w:b w:val="0"/>
          <w:bCs w:val="0"/>
          <w:color w:val="auto"/>
          <w:kern w:val="0"/>
          <w:szCs w:val="21"/>
          <w:highlight w:val="none"/>
          <w:lang w:val="zh-CN"/>
        </w:rPr>
        <w:t>开户银行：东莞银行东莞分行</w:t>
      </w:r>
    </w:p>
    <w:p>
      <w:pPr>
        <w:autoSpaceDE w:val="0"/>
        <w:autoSpaceDN w:val="0"/>
        <w:adjustRightInd w:val="0"/>
        <w:spacing w:line="360" w:lineRule="auto"/>
        <w:ind w:left="225" w:leftChars="107" w:firstLine="489" w:firstLineChars="233"/>
        <w:jc w:val="left"/>
        <w:rPr>
          <w:rFonts w:ascii="宋体" w:hAnsi="宋体" w:eastAsia="宋体" w:cs="Times New Roman"/>
          <w:b w:val="0"/>
          <w:bCs w:val="0"/>
          <w:color w:val="auto"/>
          <w:kern w:val="0"/>
          <w:szCs w:val="21"/>
          <w:highlight w:val="none"/>
          <w:u w:val="single"/>
        </w:rPr>
      </w:pPr>
      <w:r>
        <w:rPr>
          <w:rFonts w:hint="eastAsia" w:ascii="宋体" w:hAnsi="宋体" w:eastAsia="宋体" w:cs="Times New Roman"/>
          <w:b w:val="0"/>
          <w:bCs w:val="0"/>
          <w:color w:val="auto"/>
          <w:kern w:val="0"/>
          <w:szCs w:val="21"/>
          <w:highlight w:val="none"/>
          <w:lang w:val="zh-CN"/>
        </w:rPr>
        <w:t>银行账号：540008801002628</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1" w:name="_Toc13425"/>
      <w:bookmarkStart w:id="242" w:name="_Toc142508330"/>
      <w:bookmarkStart w:id="243" w:name="_Toc486167680"/>
      <w:bookmarkStart w:id="244" w:name="_Toc6688"/>
      <w:bookmarkStart w:id="245" w:name="_Toc450662865"/>
      <w:bookmarkStart w:id="246" w:name="_Toc1458"/>
      <w:bookmarkStart w:id="247" w:name="_Toc23267"/>
      <w:bookmarkStart w:id="248" w:name="_Toc22649_WPSOffice_Level3"/>
      <w:bookmarkStart w:id="249" w:name="_Toc28706"/>
      <w:bookmarkStart w:id="250" w:name="_Toc15090"/>
      <w:bookmarkStart w:id="251" w:name="_Toc29607"/>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41"/>
      <w:bookmarkEnd w:id="242"/>
      <w:bookmarkEnd w:id="243"/>
      <w:bookmarkEnd w:id="244"/>
      <w:bookmarkEnd w:id="245"/>
      <w:bookmarkEnd w:id="246"/>
      <w:bookmarkEnd w:id="247"/>
      <w:bookmarkEnd w:id="248"/>
      <w:bookmarkEnd w:id="249"/>
      <w:bookmarkEnd w:id="250"/>
      <w:bookmarkEnd w:id="251"/>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2" w:name="_Toc13440"/>
      <w:bookmarkStart w:id="253" w:name="_Toc486167681"/>
      <w:bookmarkStart w:id="254" w:name="_Toc31236"/>
      <w:bookmarkStart w:id="255" w:name="_Toc932"/>
      <w:bookmarkStart w:id="256" w:name="_Toc732"/>
      <w:bookmarkStart w:id="257" w:name="_Toc25637_WPSOffice_Level3"/>
      <w:bookmarkStart w:id="258" w:name="_Toc142508331"/>
      <w:bookmarkStart w:id="259" w:name="_Toc32211"/>
      <w:bookmarkStart w:id="260" w:name="_Toc20422"/>
      <w:bookmarkStart w:id="261" w:name="_Toc450662866"/>
      <w:bookmarkStart w:id="262" w:name="_Toc15544"/>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52"/>
      <w:bookmarkEnd w:id="253"/>
      <w:bookmarkEnd w:id="254"/>
      <w:bookmarkEnd w:id="255"/>
      <w:bookmarkEnd w:id="256"/>
      <w:bookmarkEnd w:id="257"/>
      <w:bookmarkEnd w:id="258"/>
      <w:bookmarkEnd w:id="259"/>
      <w:bookmarkEnd w:id="260"/>
      <w:bookmarkEnd w:id="261"/>
      <w:bookmarkEnd w:id="26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263"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64" w:name="_Toc1333"/>
      <w:bookmarkStart w:id="265" w:name="_Toc12862"/>
      <w:bookmarkStart w:id="266" w:name="_Toc142508332"/>
      <w:bookmarkStart w:id="267" w:name="_Toc16145"/>
      <w:bookmarkStart w:id="268" w:name="_Toc22356_WPSOffice_Level2"/>
      <w:bookmarkStart w:id="269" w:name="_Toc486167682"/>
      <w:bookmarkStart w:id="270" w:name="_Toc16463"/>
      <w:bookmarkStart w:id="271" w:name="_Toc17199"/>
      <w:bookmarkStart w:id="272" w:name="_Toc26605"/>
      <w:bookmarkStart w:id="273" w:name="_Toc140596891"/>
      <w:bookmarkStart w:id="274" w:name="_Toc26494"/>
      <w:r>
        <w:rPr>
          <w:rFonts w:hint="eastAsia" w:ascii="宋体" w:hAnsi="宋体" w:eastAsia="宋体" w:cs="宋体"/>
          <w:b/>
          <w:bCs/>
          <w:color w:val="auto"/>
          <w:kern w:val="44"/>
          <w:szCs w:val="21"/>
          <w:highlight w:val="none"/>
          <w:lang w:val="zh-CN"/>
        </w:rPr>
        <w:t>四、投标文件的递交</w:t>
      </w:r>
      <w:bookmarkEnd w:id="263"/>
      <w:bookmarkEnd w:id="264"/>
      <w:bookmarkEnd w:id="265"/>
      <w:bookmarkEnd w:id="266"/>
      <w:bookmarkEnd w:id="267"/>
      <w:bookmarkEnd w:id="268"/>
      <w:bookmarkEnd w:id="269"/>
      <w:bookmarkEnd w:id="270"/>
      <w:bookmarkEnd w:id="271"/>
      <w:bookmarkEnd w:id="272"/>
      <w:bookmarkEnd w:id="273"/>
      <w:bookmarkEnd w:id="274"/>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5" w:name="_Toc142508333"/>
      <w:bookmarkStart w:id="276" w:name="_Toc29885"/>
      <w:bookmarkStart w:id="277" w:name="_Toc31551"/>
      <w:bookmarkStart w:id="278" w:name="_Toc24269"/>
      <w:bookmarkStart w:id="279" w:name="_Toc486167683"/>
      <w:bookmarkStart w:id="280" w:name="_Toc21754"/>
      <w:bookmarkStart w:id="281" w:name="_Toc29038"/>
      <w:bookmarkStart w:id="282" w:name="_Toc25363"/>
      <w:bookmarkStart w:id="283" w:name="_Toc23125"/>
      <w:bookmarkStart w:id="284" w:name="_Toc450662868"/>
      <w:bookmarkStart w:id="285" w:name="_Toc12192_WPSOffice_Level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75"/>
      <w:bookmarkEnd w:id="276"/>
      <w:bookmarkEnd w:id="277"/>
      <w:bookmarkEnd w:id="278"/>
      <w:bookmarkEnd w:id="279"/>
      <w:bookmarkEnd w:id="280"/>
      <w:bookmarkEnd w:id="281"/>
      <w:bookmarkEnd w:id="282"/>
      <w:bookmarkEnd w:id="283"/>
      <w:bookmarkEnd w:id="284"/>
      <w:bookmarkEnd w:id="285"/>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6" w:name="_Toc12582"/>
      <w:bookmarkStart w:id="287" w:name="_Toc31613"/>
      <w:bookmarkStart w:id="288" w:name="_Toc23369"/>
      <w:bookmarkStart w:id="289" w:name="_Toc8695"/>
      <w:bookmarkStart w:id="290" w:name="_Toc142508334"/>
      <w:bookmarkStart w:id="291" w:name="_Toc4979"/>
      <w:bookmarkStart w:id="292" w:name="_Toc6078"/>
      <w:bookmarkStart w:id="293" w:name="_Toc450662869"/>
      <w:bookmarkStart w:id="294" w:name="_Toc486167684"/>
      <w:bookmarkStart w:id="295" w:name="_Toc25385"/>
      <w:bookmarkStart w:id="296" w:name="_Toc29665_WPSOffice_Level3"/>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86"/>
      <w:bookmarkEnd w:id="287"/>
      <w:bookmarkEnd w:id="288"/>
      <w:bookmarkEnd w:id="289"/>
      <w:bookmarkEnd w:id="290"/>
      <w:bookmarkEnd w:id="291"/>
      <w:bookmarkEnd w:id="292"/>
      <w:bookmarkEnd w:id="293"/>
      <w:bookmarkEnd w:id="294"/>
      <w:bookmarkEnd w:id="295"/>
      <w:bookmarkEnd w:id="296"/>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97" w:name="_Toc21327"/>
      <w:bookmarkStart w:id="298" w:name="_Toc450662870"/>
      <w:bookmarkStart w:id="299" w:name="_Toc20835"/>
      <w:bookmarkStart w:id="300" w:name="_Toc142508335"/>
      <w:bookmarkStart w:id="301" w:name="_Toc486167685"/>
      <w:bookmarkStart w:id="302" w:name="_Toc22082"/>
      <w:bookmarkStart w:id="303" w:name="_Toc22431_WPSOffice_Level3"/>
      <w:bookmarkStart w:id="304" w:name="_Toc30287"/>
      <w:bookmarkStart w:id="305" w:name="_Toc1762"/>
      <w:bookmarkStart w:id="306" w:name="_Toc3191"/>
      <w:bookmarkStart w:id="307" w:name="_Toc19903"/>
      <w:r>
        <w:rPr>
          <w:rFonts w:hint="eastAsia" w:ascii="宋体" w:hAnsi="宋体" w:eastAsia="宋体" w:cs="宋体"/>
          <w:color w:val="auto"/>
          <w:szCs w:val="21"/>
          <w:highlight w:val="none"/>
          <w:lang w:val="zh-CN"/>
        </w:rPr>
        <w:t>20 迟交的投标文件</w:t>
      </w:r>
      <w:bookmarkEnd w:id="297"/>
      <w:bookmarkEnd w:id="298"/>
      <w:bookmarkEnd w:id="299"/>
      <w:bookmarkEnd w:id="300"/>
      <w:bookmarkEnd w:id="301"/>
      <w:bookmarkEnd w:id="302"/>
      <w:bookmarkEnd w:id="303"/>
      <w:bookmarkEnd w:id="304"/>
      <w:bookmarkEnd w:id="305"/>
      <w:bookmarkEnd w:id="306"/>
      <w:bookmarkEnd w:id="307"/>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8" w:name="_Toc486167686"/>
      <w:bookmarkStart w:id="309" w:name="_Toc450662871"/>
      <w:bookmarkStart w:id="310" w:name="_Toc8842"/>
      <w:bookmarkStart w:id="311" w:name="_Toc142508336"/>
      <w:bookmarkStart w:id="312" w:name="_Toc27851"/>
      <w:bookmarkStart w:id="313" w:name="_Toc8617"/>
      <w:bookmarkStart w:id="314" w:name="_Toc4883_WPSOffice_Level3"/>
      <w:bookmarkStart w:id="315" w:name="_Toc9432"/>
      <w:bookmarkStart w:id="316" w:name="_Toc11235"/>
      <w:bookmarkStart w:id="317" w:name="_Toc3814"/>
      <w:bookmarkStart w:id="318" w:name="_Toc2487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308"/>
      <w:bookmarkEnd w:id="309"/>
      <w:bookmarkEnd w:id="310"/>
      <w:bookmarkEnd w:id="311"/>
      <w:bookmarkEnd w:id="312"/>
      <w:bookmarkEnd w:id="313"/>
      <w:bookmarkEnd w:id="314"/>
      <w:bookmarkEnd w:id="315"/>
      <w:bookmarkEnd w:id="316"/>
      <w:bookmarkEnd w:id="317"/>
      <w:bookmarkEnd w:id="318"/>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19" w:name="_Toc28824"/>
      <w:bookmarkStart w:id="320" w:name="_Toc486167687"/>
      <w:bookmarkStart w:id="321" w:name="_Toc140596896"/>
      <w:bookmarkStart w:id="322" w:name="_Toc32686"/>
      <w:bookmarkStart w:id="323" w:name="_Toc12154"/>
      <w:bookmarkStart w:id="324" w:name="_Toc20923"/>
      <w:bookmarkStart w:id="325" w:name="_Toc5524"/>
      <w:bookmarkStart w:id="326" w:name="_Toc450662872"/>
      <w:bookmarkStart w:id="327" w:name="_Toc30428"/>
      <w:bookmarkStart w:id="328" w:name="_Toc142508337"/>
      <w:bookmarkStart w:id="329" w:name="_Toc10511"/>
      <w:bookmarkStart w:id="330" w:name="_Toc1049_WPSOffice_Level2"/>
      <w:r>
        <w:rPr>
          <w:rFonts w:hint="eastAsia" w:ascii="宋体" w:hAnsi="宋体" w:eastAsia="宋体" w:cs="宋体"/>
          <w:b/>
          <w:bCs/>
          <w:color w:val="auto"/>
          <w:kern w:val="44"/>
          <w:szCs w:val="21"/>
          <w:highlight w:val="none"/>
          <w:lang w:val="zh-CN"/>
        </w:rPr>
        <w:t>五、开标与评标</w:t>
      </w:r>
      <w:bookmarkEnd w:id="319"/>
      <w:bookmarkEnd w:id="320"/>
      <w:bookmarkEnd w:id="321"/>
      <w:bookmarkEnd w:id="322"/>
      <w:bookmarkEnd w:id="323"/>
      <w:bookmarkEnd w:id="324"/>
      <w:bookmarkEnd w:id="325"/>
      <w:bookmarkEnd w:id="326"/>
      <w:bookmarkEnd w:id="327"/>
      <w:bookmarkEnd w:id="328"/>
      <w:bookmarkEnd w:id="329"/>
      <w:bookmarkEnd w:id="330"/>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1" w:name="_Toc23713"/>
      <w:bookmarkStart w:id="332" w:name="_Toc144_WPSOffice_Level3"/>
      <w:bookmarkStart w:id="333" w:name="_Toc3839"/>
      <w:bookmarkStart w:id="334" w:name="_Toc29334"/>
      <w:bookmarkStart w:id="335" w:name="_Toc450662873"/>
      <w:bookmarkStart w:id="336" w:name="_Toc486167688"/>
      <w:bookmarkStart w:id="337" w:name="_Toc24207"/>
      <w:bookmarkStart w:id="338" w:name="_Toc142508338"/>
      <w:bookmarkStart w:id="339" w:name="_Toc8728"/>
      <w:bookmarkStart w:id="340" w:name="_Toc32206"/>
      <w:bookmarkStart w:id="341" w:name="_Toc11256"/>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31"/>
      <w:bookmarkEnd w:id="332"/>
      <w:bookmarkEnd w:id="333"/>
      <w:bookmarkEnd w:id="334"/>
      <w:bookmarkEnd w:id="335"/>
      <w:bookmarkEnd w:id="336"/>
      <w:bookmarkEnd w:id="337"/>
      <w:bookmarkEnd w:id="338"/>
      <w:bookmarkEnd w:id="339"/>
      <w:bookmarkEnd w:id="340"/>
      <w:bookmarkEnd w:id="341"/>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投标报价表内投标报价金额与按综合单价计算的总金额不一致的，以综合单价计算结果为准，综合单价金额小数点有明显错位的，应以总价为准，并修正综合单价。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2" w:name="_Toc12165_WPSOffice_Level3"/>
      <w:bookmarkStart w:id="343" w:name="_Toc32534"/>
      <w:bookmarkStart w:id="344" w:name="_Toc142508339"/>
      <w:bookmarkStart w:id="345" w:name="_Toc30594"/>
      <w:bookmarkStart w:id="346" w:name="_Toc31028"/>
      <w:bookmarkStart w:id="347" w:name="_Toc32246"/>
      <w:bookmarkStart w:id="348" w:name="_Toc450662874"/>
      <w:bookmarkStart w:id="349" w:name="_Toc23059"/>
      <w:bookmarkStart w:id="350" w:name="_Toc15934"/>
      <w:bookmarkStart w:id="351" w:name="_Toc486167689"/>
      <w:bookmarkStart w:id="352" w:name="_Toc23491"/>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42"/>
      <w:bookmarkEnd w:id="343"/>
      <w:bookmarkEnd w:id="344"/>
      <w:bookmarkEnd w:id="345"/>
      <w:bookmarkEnd w:id="346"/>
      <w:bookmarkEnd w:id="347"/>
      <w:bookmarkEnd w:id="348"/>
      <w:bookmarkEnd w:id="349"/>
      <w:bookmarkEnd w:id="350"/>
      <w:bookmarkEnd w:id="351"/>
      <w:bookmarkEnd w:id="352"/>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3" w:name="_Toc18693"/>
      <w:bookmarkStart w:id="354" w:name="_Toc20272"/>
      <w:bookmarkStart w:id="355" w:name="_Toc13084"/>
      <w:bookmarkStart w:id="356" w:name="_Toc450662875"/>
      <w:bookmarkStart w:id="357" w:name="_Toc800"/>
      <w:bookmarkStart w:id="358" w:name="_Toc142508340"/>
      <w:bookmarkStart w:id="359" w:name="_Toc486167690"/>
      <w:bookmarkStart w:id="360" w:name="_Toc5720"/>
      <w:bookmarkStart w:id="361" w:name="_Toc16920"/>
      <w:bookmarkStart w:id="362" w:name="_Toc15565_WPSOffice_Level3"/>
      <w:bookmarkStart w:id="363" w:name="_Toc28511"/>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353"/>
      <w:bookmarkEnd w:id="354"/>
      <w:bookmarkEnd w:id="355"/>
      <w:bookmarkEnd w:id="356"/>
      <w:bookmarkEnd w:id="357"/>
      <w:bookmarkEnd w:id="358"/>
      <w:bookmarkEnd w:id="359"/>
      <w:bookmarkEnd w:id="360"/>
      <w:bookmarkEnd w:id="361"/>
      <w:bookmarkEnd w:id="362"/>
      <w:bookmarkEnd w:id="363"/>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64" w:name="_Toc18668"/>
      <w:bookmarkStart w:id="365" w:name="_Toc8908"/>
      <w:bookmarkStart w:id="366" w:name="_Toc486167691"/>
      <w:bookmarkStart w:id="367" w:name="_Toc16338"/>
      <w:bookmarkStart w:id="368" w:name="_Toc6350"/>
      <w:bookmarkStart w:id="369" w:name="_Toc27829"/>
      <w:bookmarkStart w:id="370" w:name="_Toc12715"/>
      <w:bookmarkStart w:id="371" w:name="_Toc26242"/>
      <w:bookmarkStart w:id="372" w:name="_Toc28910_WPSOffice_Level3"/>
      <w:bookmarkStart w:id="373" w:name="_Toc142508341"/>
      <w:bookmarkStart w:id="374" w:name="_Toc450662876"/>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64"/>
      <w:bookmarkEnd w:id="365"/>
      <w:bookmarkEnd w:id="366"/>
      <w:bookmarkEnd w:id="367"/>
      <w:bookmarkEnd w:id="368"/>
      <w:bookmarkEnd w:id="369"/>
      <w:bookmarkEnd w:id="370"/>
      <w:bookmarkEnd w:id="371"/>
      <w:bookmarkEnd w:id="372"/>
      <w:bookmarkEnd w:id="373"/>
      <w:bookmarkEnd w:id="374"/>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5" w:name="_Toc31796"/>
      <w:bookmarkStart w:id="376" w:name="_Toc486167692"/>
      <w:bookmarkStart w:id="377" w:name="_Toc19456"/>
      <w:bookmarkStart w:id="378" w:name="_Toc450662877"/>
      <w:bookmarkStart w:id="379" w:name="_Toc24050"/>
      <w:bookmarkStart w:id="380" w:name="_Toc30225"/>
      <w:bookmarkStart w:id="381" w:name="_Toc142508342"/>
      <w:bookmarkStart w:id="382" w:name="_Toc23211"/>
      <w:bookmarkStart w:id="383" w:name="_Toc4837"/>
      <w:bookmarkStart w:id="384" w:name="_Toc338_WPSOffice_Level3"/>
      <w:bookmarkStart w:id="385" w:name="_Toc17643"/>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75"/>
      <w:bookmarkEnd w:id="376"/>
      <w:bookmarkEnd w:id="377"/>
      <w:bookmarkEnd w:id="378"/>
      <w:bookmarkEnd w:id="379"/>
      <w:bookmarkEnd w:id="380"/>
      <w:bookmarkEnd w:id="381"/>
      <w:bookmarkEnd w:id="382"/>
      <w:bookmarkEnd w:id="383"/>
      <w:bookmarkEnd w:id="384"/>
      <w:bookmarkEnd w:id="38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86"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86"/>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7" w:name="_Toc18029"/>
      <w:bookmarkStart w:id="388" w:name="_Toc29865"/>
      <w:bookmarkStart w:id="389" w:name="_Toc6970"/>
      <w:bookmarkStart w:id="390" w:name="_Toc521918096"/>
      <w:bookmarkStart w:id="391" w:name="_Toc14781"/>
      <w:bookmarkStart w:id="392" w:name="_Toc18368_WPSOffice_Level3"/>
      <w:bookmarkStart w:id="393" w:name="_Toc25811"/>
      <w:bookmarkStart w:id="394" w:name="_Toc22065"/>
      <w:bookmarkStart w:id="395" w:name="_Toc522047355"/>
      <w:bookmarkStart w:id="396" w:name="_Toc142508343"/>
      <w:bookmarkStart w:id="397" w:name="_Toc10967"/>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87"/>
      <w:bookmarkEnd w:id="388"/>
      <w:bookmarkEnd w:id="389"/>
      <w:bookmarkEnd w:id="390"/>
      <w:bookmarkEnd w:id="391"/>
      <w:bookmarkEnd w:id="392"/>
      <w:bookmarkEnd w:id="393"/>
      <w:bookmarkEnd w:id="394"/>
      <w:bookmarkEnd w:id="395"/>
      <w:bookmarkEnd w:id="396"/>
      <w:bookmarkEnd w:id="397"/>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98" w:name="_Toc522047356"/>
      <w:bookmarkStart w:id="399" w:name="_Toc52191809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0" w:name="_Toc21460_WPSOffice_Level3"/>
      <w:bookmarkStart w:id="401" w:name="_Toc27026"/>
      <w:bookmarkStart w:id="402" w:name="_Toc142508344"/>
      <w:bookmarkStart w:id="403" w:name="_Toc14804"/>
      <w:bookmarkStart w:id="404" w:name="_Toc6900"/>
      <w:bookmarkStart w:id="405" w:name="_Toc19670"/>
      <w:bookmarkStart w:id="406" w:name="_Toc30070"/>
      <w:bookmarkStart w:id="407" w:name="_Toc16829"/>
      <w:bookmarkStart w:id="408" w:name="_Toc7837"/>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98"/>
      <w:bookmarkEnd w:id="399"/>
      <w:bookmarkEnd w:id="400"/>
      <w:bookmarkEnd w:id="401"/>
      <w:bookmarkEnd w:id="402"/>
      <w:bookmarkEnd w:id="403"/>
      <w:bookmarkEnd w:id="404"/>
      <w:bookmarkEnd w:id="405"/>
      <w:bookmarkEnd w:id="406"/>
      <w:bookmarkEnd w:id="407"/>
      <w:bookmarkEnd w:id="40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9" w:name="_Toc465358969"/>
      <w:bookmarkStart w:id="410" w:name="_Toc13544"/>
      <w:bookmarkStart w:id="411" w:name="_Toc29588"/>
      <w:bookmarkStart w:id="412" w:name="_Toc3254"/>
      <w:bookmarkStart w:id="413" w:name="_Toc4819"/>
      <w:bookmarkStart w:id="414" w:name="_Toc466882017"/>
      <w:bookmarkStart w:id="415" w:name="_Toc11615"/>
      <w:bookmarkStart w:id="416" w:name="_Toc486167694"/>
      <w:bookmarkStart w:id="417" w:name="_Toc21693"/>
      <w:bookmarkStart w:id="418" w:name="_Toc142508345"/>
      <w:bookmarkStart w:id="419" w:name="_Toc23743"/>
      <w:bookmarkStart w:id="420" w:name="_Toc32498_WPSOffice_Level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409"/>
      <w:bookmarkEnd w:id="410"/>
      <w:bookmarkEnd w:id="411"/>
      <w:bookmarkEnd w:id="412"/>
      <w:bookmarkEnd w:id="413"/>
      <w:bookmarkEnd w:id="414"/>
      <w:bookmarkEnd w:id="415"/>
      <w:bookmarkEnd w:id="416"/>
      <w:bookmarkEnd w:id="417"/>
      <w:bookmarkEnd w:id="418"/>
      <w:bookmarkEnd w:id="419"/>
      <w:bookmarkEnd w:id="420"/>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421" w:name="_Toc14839"/>
      <w:bookmarkStart w:id="422" w:name="_Toc486167695"/>
      <w:bookmarkStart w:id="423" w:name="_Toc465358970"/>
      <w:bookmarkStart w:id="424" w:name="_Toc28999"/>
      <w:bookmarkStart w:id="425" w:name="_Toc142508346"/>
      <w:bookmarkStart w:id="426" w:name="_Toc3154"/>
      <w:bookmarkStart w:id="427" w:name="_Toc454"/>
      <w:bookmarkStart w:id="428" w:name="_Toc1848_WPSOffice_Level3"/>
      <w:bookmarkStart w:id="429" w:name="_Toc23430"/>
      <w:bookmarkStart w:id="430" w:name="_Toc466882018"/>
      <w:bookmarkStart w:id="431" w:name="_Toc2077"/>
      <w:bookmarkStart w:id="432" w:name="_Toc26354"/>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421"/>
      <w:bookmarkEnd w:id="422"/>
      <w:bookmarkEnd w:id="423"/>
      <w:bookmarkEnd w:id="424"/>
      <w:bookmarkEnd w:id="425"/>
      <w:bookmarkEnd w:id="426"/>
      <w:bookmarkEnd w:id="427"/>
      <w:bookmarkEnd w:id="428"/>
      <w:bookmarkEnd w:id="429"/>
      <w:bookmarkEnd w:id="430"/>
      <w:bookmarkEnd w:id="431"/>
      <w:bookmarkEnd w:id="432"/>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433" w:name="_Toc465358971"/>
      <w:bookmarkStart w:id="434" w:name="_Toc466882019"/>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435" w:name="_Toc11726"/>
      <w:bookmarkStart w:id="436" w:name="_Toc8654"/>
      <w:bookmarkStart w:id="437" w:name="_Toc19422"/>
      <w:bookmarkStart w:id="438" w:name="_Toc486167696"/>
      <w:bookmarkStart w:id="439" w:name="_Toc142508347"/>
      <w:bookmarkStart w:id="440" w:name="_Toc10867_WPSOffice_Level3"/>
      <w:bookmarkStart w:id="441" w:name="_Toc22399"/>
      <w:bookmarkStart w:id="442" w:name="_Toc15815"/>
      <w:bookmarkStart w:id="443" w:name="_Toc23672"/>
      <w:bookmarkStart w:id="444" w:name="_Toc18268"/>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433"/>
      <w:bookmarkEnd w:id="434"/>
      <w:bookmarkEnd w:id="435"/>
      <w:bookmarkEnd w:id="436"/>
      <w:bookmarkEnd w:id="437"/>
      <w:bookmarkEnd w:id="438"/>
      <w:bookmarkEnd w:id="439"/>
      <w:bookmarkEnd w:id="440"/>
      <w:bookmarkEnd w:id="441"/>
      <w:bookmarkEnd w:id="442"/>
      <w:bookmarkEnd w:id="443"/>
      <w:bookmarkEnd w:id="444"/>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445"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446" w:name="_Toc140596907"/>
      <w:bookmarkStart w:id="447" w:name="_Toc5607"/>
      <w:bookmarkStart w:id="448" w:name="_Toc16848_WPSOffice_Level2"/>
      <w:bookmarkStart w:id="449" w:name="_Toc11941"/>
      <w:bookmarkStart w:id="450" w:name="_Toc27936"/>
      <w:bookmarkStart w:id="451" w:name="_Toc28805"/>
      <w:bookmarkStart w:id="452" w:name="_Toc8124"/>
      <w:bookmarkStart w:id="453" w:name="_Toc3130"/>
      <w:bookmarkStart w:id="454" w:name="_Toc486167697"/>
      <w:bookmarkStart w:id="455" w:name="_Toc16789"/>
      <w:bookmarkStart w:id="456" w:name="_Toc142508348"/>
      <w:r>
        <w:rPr>
          <w:rFonts w:hint="eastAsia" w:ascii="宋体" w:hAnsi="宋体" w:eastAsia="宋体" w:cs="宋体"/>
          <w:b/>
          <w:bCs/>
          <w:color w:val="auto"/>
          <w:kern w:val="44"/>
          <w:szCs w:val="21"/>
          <w:highlight w:val="none"/>
          <w:lang w:val="zh-CN"/>
        </w:rPr>
        <w:t>六、授予合同</w:t>
      </w:r>
      <w:bookmarkEnd w:id="445"/>
      <w:bookmarkEnd w:id="446"/>
      <w:bookmarkEnd w:id="447"/>
      <w:bookmarkEnd w:id="448"/>
      <w:bookmarkEnd w:id="449"/>
      <w:bookmarkEnd w:id="450"/>
      <w:bookmarkEnd w:id="451"/>
      <w:bookmarkEnd w:id="452"/>
      <w:bookmarkEnd w:id="453"/>
      <w:bookmarkEnd w:id="454"/>
      <w:bookmarkEnd w:id="455"/>
      <w:bookmarkEnd w:id="4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57" w:name="_Toc21031"/>
      <w:bookmarkStart w:id="458" w:name="_Toc9067"/>
      <w:bookmarkStart w:id="459" w:name="_Toc12143"/>
      <w:bookmarkStart w:id="460" w:name="_Toc29383"/>
      <w:bookmarkStart w:id="461" w:name="_Toc31713"/>
      <w:bookmarkStart w:id="462" w:name="_Toc20655"/>
      <w:bookmarkStart w:id="463" w:name="_Toc486167698"/>
      <w:bookmarkStart w:id="464" w:name="_Toc142508349"/>
      <w:bookmarkStart w:id="465" w:name="_Toc1241"/>
      <w:bookmarkStart w:id="466" w:name="_Toc6401_WPSOffice_Level3"/>
      <w:bookmarkStart w:id="467" w:name="_Toc450662881"/>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457"/>
      <w:bookmarkEnd w:id="458"/>
      <w:bookmarkEnd w:id="459"/>
      <w:bookmarkEnd w:id="460"/>
      <w:bookmarkEnd w:id="461"/>
      <w:bookmarkEnd w:id="462"/>
      <w:bookmarkEnd w:id="463"/>
      <w:bookmarkEnd w:id="464"/>
      <w:bookmarkEnd w:id="465"/>
      <w:bookmarkEnd w:id="466"/>
      <w:bookmarkEnd w:id="467"/>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68"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9" w:name="_Toc142508350"/>
      <w:bookmarkStart w:id="470" w:name="_Toc6726_WPSOffice_Level3"/>
      <w:bookmarkStart w:id="471" w:name="_Toc14377"/>
      <w:bookmarkStart w:id="472" w:name="_Toc22353"/>
      <w:bookmarkStart w:id="473" w:name="_Toc8792"/>
      <w:bookmarkStart w:id="474" w:name="_Toc486167699"/>
      <w:bookmarkStart w:id="475" w:name="_Toc18984"/>
      <w:bookmarkStart w:id="476" w:name="_Toc8196"/>
      <w:bookmarkStart w:id="477" w:name="_Toc9070"/>
      <w:bookmarkStart w:id="478" w:name="_Toc144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468"/>
      <w:bookmarkEnd w:id="469"/>
      <w:bookmarkEnd w:id="470"/>
      <w:bookmarkEnd w:id="471"/>
      <w:bookmarkEnd w:id="472"/>
      <w:bookmarkEnd w:id="473"/>
      <w:bookmarkEnd w:id="474"/>
      <w:bookmarkEnd w:id="475"/>
      <w:bookmarkEnd w:id="476"/>
      <w:bookmarkEnd w:id="477"/>
      <w:bookmarkEnd w:id="478"/>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79"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80" w:name="_Toc1132"/>
      <w:bookmarkStart w:id="481" w:name="_Toc9694_WPSOffice_Level3"/>
      <w:bookmarkStart w:id="482" w:name="_Toc486167700"/>
      <w:bookmarkStart w:id="483" w:name="_Toc4181"/>
      <w:bookmarkStart w:id="484" w:name="_Toc26345"/>
      <w:bookmarkStart w:id="485" w:name="_Toc1331"/>
      <w:bookmarkStart w:id="486" w:name="_Toc142508351"/>
      <w:bookmarkStart w:id="487" w:name="_Toc19127"/>
      <w:bookmarkStart w:id="488" w:name="_Toc28020"/>
      <w:bookmarkStart w:id="489" w:name="_Toc25712"/>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79"/>
      <w:bookmarkEnd w:id="480"/>
      <w:bookmarkEnd w:id="481"/>
      <w:bookmarkEnd w:id="482"/>
      <w:bookmarkEnd w:id="483"/>
      <w:bookmarkEnd w:id="484"/>
      <w:bookmarkEnd w:id="485"/>
      <w:bookmarkEnd w:id="486"/>
      <w:bookmarkEnd w:id="487"/>
      <w:bookmarkEnd w:id="488"/>
      <w:bookmarkEnd w:id="489"/>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综合单价金额小数点有明显错位的，应以总价为准，并修正综合单价。按前述修正原则排序依次进行修正至唯一值后的报价表经双方确认后，作为合同文件的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 xml:space="preserve">34.3 </w:t>
      </w:r>
      <w:r>
        <w:rPr>
          <w:rFonts w:hint="eastAsia" w:ascii="宋体" w:hAnsi="宋体" w:eastAsia="宋体" w:cs="Times New Roman"/>
          <w:color w:val="auto"/>
          <w:szCs w:val="21"/>
          <w:highlight w:val="none"/>
          <w:lang w:val="zh-CN"/>
        </w:rPr>
        <w:t>本项目中标人与招标人权属子公司（东莞市石鼓净水有限公司）签署合同。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90" w:name="_Toc30618"/>
      <w:bookmarkStart w:id="491" w:name="_Toc18508"/>
      <w:bookmarkStart w:id="492" w:name="_Toc12576"/>
      <w:bookmarkStart w:id="493" w:name="_Toc10513_WPSOffice_Level3"/>
      <w:bookmarkStart w:id="494" w:name="_Toc3830"/>
      <w:bookmarkStart w:id="495" w:name="_Toc142508352"/>
      <w:bookmarkStart w:id="496" w:name="_Toc5304"/>
      <w:bookmarkStart w:id="497" w:name="_Toc486167701"/>
      <w:bookmarkStart w:id="498" w:name="_Toc450662887"/>
      <w:bookmarkStart w:id="499" w:name="_Toc27928"/>
      <w:bookmarkStart w:id="500" w:name="_Toc8181"/>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90"/>
      <w:bookmarkEnd w:id="491"/>
      <w:bookmarkEnd w:id="492"/>
      <w:bookmarkEnd w:id="493"/>
      <w:bookmarkEnd w:id="494"/>
      <w:bookmarkEnd w:id="495"/>
      <w:bookmarkEnd w:id="496"/>
      <w:bookmarkEnd w:id="497"/>
      <w:bookmarkEnd w:id="498"/>
      <w:bookmarkEnd w:id="499"/>
      <w:bookmarkEnd w:id="500"/>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501" w:name="_Toc466882025"/>
      <w:bookmarkStart w:id="502"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其中，采用履约保证金（银行转账形式）的金额为暂定不含税合同价的5%，采用不可撤销银行履约保函形式的金额为暂定不含税合同价的8%，采用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形式的金额为暂定不含税合同价的8%，采用担保公司履约担保书形式的金额为暂定不含税合同价的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给招标人或招标人权属子公司造成的损失超过履约担保数额的，中标人还应当对超过部分予以赔偿，招标人或招标人权属子公司并依法追究中标人的相应责任。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或招标人权属子公司因中标人不能完全履行其合同义务而蒙受的损失或其他合同约定的事项。如发生下列任一情况时，招标人或招标人权属子公司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中标人将合同项下中标人的权利义务全部转让给第三方，或未经招标人或招标人权属子公司书面同意将部分权利义务转让给第三方的，招标人或招标人权属子公司有权没收其履约担保。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怠于履行合同义务，经招标人或招标人权属子公司通知或要求承担违约金后仍拒不改正的，招标人或招标人权属子公司可依法没收或适当扣除其履约担保。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3）在合同履行期间，因中标人服务质量问题造成损害、侵权损失（包括但不限于招标人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与其所雇用员工发生劳资纠纷、上访、闹事或其他影响招标人或招标人权属子公司生产经营等情况而其未及时妥善处理的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招标人或招标人权属子公司有权使用履约担保予以支付或作出相应处理，由此产生的一切法律后果由中标人承担。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符合招标人或招标人权属子公司要求的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未按招标人或招标人权属子公司要求重新提供的，招标人或招标人权属子公司有权要求中标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（6）不可撤销银行履约保函（或履约保证保险或担保公司履约担保书）应从合同签订之日</w:t>
      </w:r>
      <w:r>
        <w:rPr>
          <w:rFonts w:hint="eastAsia" w:ascii="宋体" w:hAnsi="宋体" w:eastAsia="宋体" w:cs="Times New Roman"/>
          <w:color w:val="auto"/>
          <w:kern w:val="0"/>
          <w:szCs w:val="21"/>
          <w:highlight w:val="none"/>
          <w:lang w:val="en-US" w:eastAsia="zh-CN"/>
        </w:rPr>
        <w:t>起</w:t>
      </w:r>
      <w:r>
        <w:rPr>
          <w:rFonts w:hint="eastAsia" w:ascii="宋体" w:hAnsi="宋体" w:eastAsia="宋体" w:cs="Times New Roman"/>
          <w:color w:val="auto"/>
          <w:kern w:val="0"/>
          <w:szCs w:val="21"/>
          <w:highlight w:val="none"/>
        </w:rPr>
        <w:t>（或签订合同前）至合同期限届满并完成合同及补充协议项下全部服务义务</w:t>
      </w:r>
      <w:r>
        <w:rPr>
          <w:rFonts w:hint="eastAsia" w:ascii="宋体" w:hAnsi="宋体" w:eastAsia="宋体" w:cs="Times New Roman"/>
          <w:color w:val="auto"/>
          <w:kern w:val="0"/>
          <w:szCs w:val="21"/>
          <w:highlight w:val="none"/>
          <w:lang w:eastAsia="zh-CN"/>
        </w:rPr>
        <w:t>，招标人或招标人权属子公司向中标人支付全部款项</w:t>
      </w:r>
      <w:r>
        <w:rPr>
          <w:rFonts w:hint="eastAsia" w:ascii="宋体" w:hAnsi="宋体" w:eastAsia="宋体" w:cs="Times New Roman"/>
          <w:color w:val="auto"/>
          <w:kern w:val="0"/>
          <w:szCs w:val="21"/>
          <w:highlight w:val="none"/>
        </w:rPr>
        <w:t>后二十八（28）日内保持有效。</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开户名称：东莞市石鼓净水有限公司</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银行账号：944004010000157127</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开户银行：邮政储蓄东莞分行</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单位提交了履约担保后，当履约保证金转达招标人或招标人权属子公司履约保证金账户后，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交给招标人或招标人权属子公司，由招标人或招标人权属子公司在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中标人以履约保证金（银行转账形式）提供履约担保的在合同期限届满并且</w:t>
      </w:r>
      <w:r>
        <w:rPr>
          <w:rFonts w:hint="eastAsia" w:ascii="宋体" w:hAnsi="宋体" w:eastAsia="宋体" w:cs="宋体"/>
          <w:color w:val="auto"/>
          <w:sz w:val="21"/>
          <w:szCs w:val="21"/>
          <w:highlight w:val="none"/>
          <w:lang w:val="en-US" w:eastAsia="zh-CN"/>
        </w:rPr>
        <w:t>中标人完成本项目合同及本项目合同下所有补充协议的全部服务义务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招标人或招标人权属子公司向中标人支付全部款项</w:t>
      </w:r>
      <w:r>
        <w:rPr>
          <w:rFonts w:hint="eastAsia" w:ascii="宋体" w:hAnsi="宋体" w:eastAsia="宋体" w:cs="Times New Roman"/>
          <w:color w:val="auto"/>
          <w:kern w:val="0"/>
          <w:szCs w:val="21"/>
          <w:highlight w:val="none"/>
        </w:rPr>
        <w:t>后二十八（28）日</w:t>
      </w:r>
      <w:r>
        <w:rPr>
          <w:rFonts w:hint="eastAsia" w:ascii="宋体" w:hAnsi="宋体" w:eastAsia="宋体" w:cs="Times New Roman"/>
          <w:color w:val="auto"/>
          <w:kern w:val="0"/>
          <w:szCs w:val="21"/>
          <w:highlight w:val="none"/>
          <w:lang w:val="en-US" w:eastAsia="zh-CN"/>
        </w:rPr>
        <w:t>后</w:t>
      </w:r>
      <w:r>
        <w:rPr>
          <w:rFonts w:hint="eastAsia" w:ascii="宋体" w:hAnsi="宋体" w:eastAsia="宋体" w:cs="宋体"/>
          <w:color w:val="auto"/>
          <w:kern w:val="0"/>
          <w:szCs w:val="21"/>
          <w:highlight w:val="none"/>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03" w:name="_Toc11975"/>
      <w:bookmarkStart w:id="504" w:name="_Toc27162"/>
      <w:bookmarkStart w:id="505" w:name="_Toc142508353"/>
      <w:bookmarkStart w:id="506" w:name="_Toc7549"/>
      <w:bookmarkStart w:id="507" w:name="_Toc486167702"/>
      <w:bookmarkStart w:id="508" w:name="_Toc10548"/>
      <w:bookmarkStart w:id="509" w:name="_Toc9976"/>
      <w:bookmarkStart w:id="510" w:name="_Toc16955"/>
      <w:bookmarkStart w:id="511" w:name="_Toc5095"/>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501"/>
      <w:bookmarkEnd w:id="502"/>
      <w:bookmarkEnd w:id="503"/>
      <w:bookmarkEnd w:id="504"/>
      <w:bookmarkEnd w:id="505"/>
      <w:bookmarkEnd w:id="506"/>
      <w:bookmarkEnd w:id="507"/>
      <w:bookmarkEnd w:id="508"/>
      <w:bookmarkEnd w:id="509"/>
      <w:bookmarkEnd w:id="510"/>
      <w:bookmarkEnd w:id="511"/>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或招标人权属子公司在合同约定的范围内，招标人或招标人权属子公司有权根据项目实际情况及有关法律法规、政策的规定对采购范围进行变更调整，变更采购范围后，投标人应遵照执行。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12"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13" w:name="_Toc10209"/>
      <w:bookmarkStart w:id="514" w:name="_Toc2401"/>
      <w:bookmarkStart w:id="515" w:name="_Toc23218"/>
      <w:bookmarkStart w:id="516" w:name="_Toc28921_WPSOffice_Level3"/>
      <w:bookmarkStart w:id="517" w:name="_Toc486167703"/>
      <w:bookmarkStart w:id="518" w:name="_Toc26429"/>
      <w:bookmarkStart w:id="519" w:name="_Toc19401"/>
      <w:bookmarkStart w:id="520" w:name="_Toc30946"/>
      <w:bookmarkStart w:id="521" w:name="_Toc142508354"/>
      <w:bookmarkStart w:id="522" w:name="_Toc27121"/>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512"/>
      <w:bookmarkEnd w:id="513"/>
      <w:bookmarkEnd w:id="514"/>
      <w:bookmarkEnd w:id="515"/>
      <w:bookmarkEnd w:id="516"/>
      <w:bookmarkEnd w:id="517"/>
      <w:bookmarkEnd w:id="518"/>
      <w:bookmarkEnd w:id="519"/>
      <w:bookmarkEnd w:id="520"/>
      <w:bookmarkEnd w:id="521"/>
      <w:bookmarkEnd w:id="522"/>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23"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24" w:name="_Toc6764_WPSOffice_Level3"/>
      <w:bookmarkStart w:id="525" w:name="_Toc7636"/>
      <w:bookmarkStart w:id="526" w:name="_Toc6796"/>
      <w:bookmarkStart w:id="527" w:name="_Toc21062"/>
      <w:bookmarkStart w:id="528" w:name="_Toc21757"/>
      <w:bookmarkStart w:id="529" w:name="_Toc1531"/>
      <w:bookmarkStart w:id="530" w:name="_Toc142508355"/>
      <w:bookmarkStart w:id="531" w:name="_Toc13422"/>
      <w:bookmarkStart w:id="532" w:name="_Toc486167704"/>
      <w:bookmarkStart w:id="533" w:name="_Toc2198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523"/>
      <w:bookmarkEnd w:id="524"/>
      <w:bookmarkEnd w:id="525"/>
      <w:bookmarkEnd w:id="526"/>
      <w:bookmarkEnd w:id="527"/>
      <w:bookmarkEnd w:id="528"/>
      <w:bookmarkEnd w:id="529"/>
      <w:bookmarkEnd w:id="530"/>
      <w:bookmarkEnd w:id="531"/>
      <w:bookmarkEnd w:id="532"/>
      <w:bookmarkEnd w:id="533"/>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534" w:name="_Toc31106_WPSOffice_Level3"/>
      <w:bookmarkStart w:id="535" w:name="_Toc486167705"/>
      <w:r>
        <w:rPr>
          <w:rFonts w:hint="eastAsia" w:ascii="宋体" w:hAnsi="宋体" w:eastAsia="宋体" w:cs="Times New Roman"/>
          <w:color w:val="auto"/>
          <w:szCs w:val="21"/>
          <w:highlight w:val="none"/>
          <w:lang w:val="zh-CN"/>
        </w:rPr>
        <w:t>该项目获得中标的中标人在执行合同过程中，向招标人或招标人的权属子公司出具的发票必须是由中标人开具，不得以其他单位或个人名义出具，本项目中标人向招标人或招标人的权属子公司出具的发票类型为增值税专用发票。</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536" w:name="_Toc27075"/>
      <w:bookmarkStart w:id="537" w:name="_Toc142508356"/>
      <w:bookmarkStart w:id="538" w:name="_Toc24456"/>
      <w:bookmarkStart w:id="539" w:name="_Toc17852"/>
      <w:bookmarkStart w:id="540" w:name="_Toc30419"/>
      <w:bookmarkStart w:id="541" w:name="_Toc24547"/>
      <w:bookmarkStart w:id="542" w:name="_Toc32378"/>
      <w:bookmarkStart w:id="543" w:name="_Toc8619"/>
      <w:r>
        <w:rPr>
          <w:rFonts w:ascii="宋体" w:hAnsi="宋体" w:eastAsia="宋体" w:cs="宋体"/>
          <w:b/>
          <w:color w:val="auto"/>
          <w:szCs w:val="21"/>
          <w:highlight w:val="none"/>
        </w:rPr>
        <w:t>39 招标相关补充约定</w:t>
      </w:r>
      <w:bookmarkEnd w:id="536"/>
      <w:bookmarkEnd w:id="537"/>
      <w:bookmarkEnd w:id="538"/>
      <w:bookmarkEnd w:id="539"/>
      <w:bookmarkEnd w:id="540"/>
      <w:bookmarkEnd w:id="541"/>
      <w:bookmarkEnd w:id="542"/>
      <w:bookmarkEnd w:id="543"/>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544" w:name="_Toc17768"/>
      <w:bookmarkStart w:id="545" w:name="_Toc29466"/>
      <w:bookmarkStart w:id="546" w:name="_Toc8780"/>
      <w:bookmarkStart w:id="547" w:name="_Toc142508357"/>
      <w:bookmarkStart w:id="548" w:name="_Toc29762"/>
      <w:bookmarkStart w:id="549" w:name="_Toc5205"/>
      <w:bookmarkStart w:id="550" w:name="_Toc26594"/>
      <w:bookmarkStart w:id="551" w:name="_Toc2975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534"/>
      <w:bookmarkEnd w:id="535"/>
      <w:bookmarkEnd w:id="544"/>
      <w:bookmarkEnd w:id="545"/>
      <w:bookmarkEnd w:id="546"/>
      <w:bookmarkEnd w:id="547"/>
      <w:bookmarkEnd w:id="548"/>
      <w:bookmarkEnd w:id="549"/>
      <w:bookmarkEnd w:id="550"/>
      <w:bookmarkEnd w:id="551"/>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52" w:name="_Toc6947"/>
      <w:bookmarkStart w:id="553" w:name="_Toc4386"/>
      <w:bookmarkStart w:id="554" w:name="_Toc28016"/>
      <w:bookmarkStart w:id="555" w:name="_Toc142508358"/>
      <w:bookmarkStart w:id="556" w:name="_Toc450662891"/>
      <w:bookmarkStart w:id="557" w:name="_Toc14879"/>
      <w:bookmarkStart w:id="558" w:name="_Toc486167706"/>
      <w:bookmarkStart w:id="559" w:name="_Toc27939_WPSOffice_Level1"/>
      <w:bookmarkStart w:id="560" w:name="_Toc19089"/>
      <w:bookmarkStart w:id="561" w:name="_Toc30076"/>
      <w:bookmarkStart w:id="562" w:name="_Toc2144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552"/>
      <w:bookmarkEnd w:id="553"/>
      <w:bookmarkEnd w:id="554"/>
      <w:bookmarkEnd w:id="555"/>
      <w:bookmarkEnd w:id="556"/>
      <w:bookmarkEnd w:id="557"/>
      <w:bookmarkEnd w:id="558"/>
      <w:bookmarkEnd w:id="559"/>
      <w:bookmarkEnd w:id="560"/>
      <w:bookmarkEnd w:id="561"/>
      <w:bookmarkEnd w:id="562"/>
    </w:p>
    <w:p>
      <w:pPr>
        <w:pStyle w:val="128"/>
        <w:keepNext w:val="0"/>
        <w:keepLines w:val="0"/>
        <w:pageBreakBefore w:val="0"/>
        <w:numPr>
          <w:ilvl w:val="0"/>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rPr>
        <w:t>项目信息</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：东莞市水务集团净水有限公司</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采购内容：2025年膜组件清洗服务采购项目</w:t>
      </w:r>
    </w:p>
    <w:p>
      <w:pPr>
        <w:pStyle w:val="128"/>
        <w:keepNext w:val="0"/>
        <w:keepLines w:val="0"/>
        <w:pageBreakBefore w:val="0"/>
        <w:numPr>
          <w:ilvl w:val="1"/>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p>
    <w:p>
      <w:pPr>
        <w:pStyle w:val="128"/>
        <w:keepNext w:val="0"/>
        <w:keepLines w:val="0"/>
        <w:pageBreakBefore w:val="0"/>
        <w:numPr>
          <w:ilvl w:val="1"/>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二、</w:t>
      </w:r>
      <w:r>
        <w:rPr>
          <w:rFonts w:hint="eastAsia" w:ascii="宋体" w:hAnsi="宋体" w:eastAsia="宋体" w:cs="宋体"/>
          <w:b/>
          <w:bCs/>
          <w:color w:val="auto"/>
          <w:sz w:val="21"/>
          <w:szCs w:val="21"/>
          <w:highlight w:val="none"/>
        </w:rPr>
        <w:t>项目概况</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净水有限公司（下称净水公司）旗下现有14家MBR工艺运营项目，根据现状实际运行情况，2025年预计暂有7家运营项目（麻涌二期、中堂二期、大朗松南二期、虎门一期提标、松南一期提标、塘厦石桥头提标、凤岗虾公潭提标）因前端来水杂质、细小垃圾较多，膜丝因产水形成负压有泥块附着、细小垃圾的缠绕，为保证MBR膜系统正常运行，需对膜组件进行人工清洗。净水公司其余项目如旗下东莞市莞水装备科技有限公司运营项目茶山上元分散式等MBR膜工艺项目将根据生产实际情况确定人工清洗需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预计暂需清洗的7个运营项目膜组件共562组，清洗工作精细繁琐，工作量巨大，且运营项目日常事务繁多，依靠现有劳动力无法在短时间内高效完成。本项目是采购一家服务公司清洗膜组件，维持膜组件的正常通量，保证MBR膜系统正常运行。</w:t>
      </w:r>
    </w:p>
    <w:p>
      <w:pPr>
        <w:pStyle w:val="128"/>
        <w:keepNext w:val="0"/>
        <w:keepLines w:val="0"/>
        <w:pageBreakBefore w:val="0"/>
        <w:numPr>
          <w:ilvl w:val="0"/>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p>
    <w:p>
      <w:pPr>
        <w:pStyle w:val="128"/>
        <w:keepNext w:val="0"/>
        <w:keepLines w:val="0"/>
        <w:pageBreakBefore w:val="0"/>
        <w:numPr>
          <w:ilvl w:val="0"/>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rPr>
        <w:t>服务项目及要求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1、服务项目信息</w:t>
      </w:r>
    </w:p>
    <w:tbl>
      <w:tblPr>
        <w:tblStyle w:val="36"/>
        <w:tblW w:w="92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6"/>
        <w:gridCol w:w="1408"/>
        <w:gridCol w:w="1112"/>
        <w:gridCol w:w="1645"/>
        <w:gridCol w:w="1832"/>
        <w:gridCol w:w="1347"/>
        <w:gridCol w:w="10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16" w:type="dxa"/>
            <w:tcBorders>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08"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1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规模（万吨/日）</w:t>
            </w:r>
          </w:p>
        </w:tc>
        <w:tc>
          <w:tcPr>
            <w:tcW w:w="164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膜组件数量（个）</w:t>
            </w:r>
          </w:p>
        </w:tc>
        <w:tc>
          <w:tcPr>
            <w:tcW w:w="183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项目地址</w:t>
            </w:r>
          </w:p>
        </w:tc>
        <w:tc>
          <w:tcPr>
            <w:tcW w:w="1347" w:type="dxa"/>
            <w:tcBorders>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施工要求</w:t>
            </w:r>
          </w:p>
        </w:tc>
        <w:tc>
          <w:tcPr>
            <w:tcW w:w="1027" w:type="dxa"/>
            <w:tcBorders>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916"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麻涌二期</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东莞市麻涌镇漳澎村</w:t>
            </w:r>
          </w:p>
        </w:tc>
        <w:tc>
          <w:tcPr>
            <w:tcW w:w="1347" w:type="dxa"/>
            <w:vMerge w:val="restart"/>
            <w:tcBorders>
              <w:top w:val="single" w:color="000000" w:sz="4" w:space="0"/>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含各运营项目所有膜组件的起吊、拆卸、清洗、组装、安装及所有膜廊道池底的清淤等工作</w:t>
            </w:r>
          </w:p>
        </w:tc>
        <w:tc>
          <w:tcPr>
            <w:tcW w:w="102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6"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中堂二期</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东莞市中堂镇东向村水闸口</w:t>
            </w:r>
          </w:p>
        </w:tc>
        <w:tc>
          <w:tcPr>
            <w:tcW w:w="1347"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2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6"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大朗</w:t>
            </w:r>
            <w:r>
              <w:rPr>
                <w:rFonts w:hint="eastAsia" w:ascii="宋体" w:hAnsi="宋体" w:eastAsia="宋体" w:cs="宋体"/>
                <w:color w:val="auto"/>
                <w:sz w:val="21"/>
                <w:szCs w:val="21"/>
                <w:highlight w:val="none"/>
              </w:rPr>
              <w:t>松南二期</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东莞市大朗镇水口村以东</w:t>
            </w:r>
          </w:p>
        </w:tc>
        <w:tc>
          <w:tcPr>
            <w:tcW w:w="1347"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2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6"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虎门一期提标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东莞市虎门镇南栅路东社区</w:t>
            </w:r>
          </w:p>
        </w:tc>
        <w:tc>
          <w:tcPr>
            <w:tcW w:w="1347"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2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6"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松南一期提标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东莞市大朗镇水口村以东</w:t>
            </w:r>
          </w:p>
        </w:tc>
        <w:tc>
          <w:tcPr>
            <w:tcW w:w="1347"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2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6"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塘厦石桥头提标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东莞市塘厦镇凤凰岗村</w:t>
            </w:r>
          </w:p>
        </w:tc>
        <w:tc>
          <w:tcPr>
            <w:tcW w:w="1347"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2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6"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凤岗</w:t>
            </w:r>
            <w:r>
              <w:rPr>
                <w:rFonts w:hint="eastAsia" w:ascii="宋体" w:hAnsi="宋体" w:eastAsia="宋体" w:cs="宋体"/>
                <w:color w:val="auto"/>
                <w:sz w:val="21"/>
                <w:szCs w:val="21"/>
                <w:highlight w:val="none"/>
              </w:rPr>
              <w:t>虾公潭提标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东莞市凤岗镇油甘埔村</w:t>
            </w:r>
          </w:p>
        </w:tc>
        <w:tc>
          <w:tcPr>
            <w:tcW w:w="1347"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2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436" w:type="dxa"/>
            <w:gridSpan w:val="3"/>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4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2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287" w:type="dxa"/>
            <w:gridSpan w:val="7"/>
            <w:tcBorders>
              <w:top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以上为2025年暂需洗膜项目，不作为招标人最终采购数量保证。实际膜清洗项目及数量，根据2025年度运营项目生产情况，结合项目需要，以净水公司运营项目书面发出的通知单为准，服务费用按实际洗膜项目、数量结算。服务单位不得因招标人实际采购数量的减少或增加而要求提供任何形式的补偿或赔偿，或要求招标人按暂定数量采购相应服务。</w:t>
            </w:r>
          </w:p>
        </w:tc>
      </w:tr>
    </w:tbl>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服务期限</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为合同签订之日起至双方合同义务全部履行完毕为止，服务单位需按各运营项目制定的清洗计划和顺序要求开展工作，具体合同工期以2025年运营项目发出的书面通知单清洗计划为准，原则上清洗计划时间不超过30日（包括休息日及工作日）。</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膜组件清洗</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每个膜组件从廊道内拆卸下来并起吊至廊道外清洗工作平台，后将各膜帘从膜组件中拆卸下来，用清水将其表面板结的污泥、垃圾等杂物清洗干净，膜帘清净重新组装回完整膜组件，并安装回膜廊道内。对带有曝气盒的膜组，还需冲洗膜组底部曝气盒。若膜廊道底部有淤泥残留，还需进行池底冲洗。膜组件在清洗全过程中膜丝需保持湿润，避免晾干、太阳直晒。膜组当日无法完成清洗，存在施工空窗期的，需采用防水布将膜组整体包裹，减少水分流失。</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（2）膜组件清洗质量要求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膜组件需彻底清洗干净，组件框架及膜丝干净清洁，膜丝呈自然松动状态。每个膜组件清洗完毕后，需由运营项目进行验收，每天由运营项目定时检查膜组件是否按照质量要求清洗，验收合格后方可安放至膜廊道，检验不合格服务单位需无条件按运营项目要求进行整改。</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恢复性药剂浸泡清洗</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在人工清洗后，恢复性药剂浸泡清洗由运营项目操作，服务单位配合运营项目完成相关的膜组件起吊移动等工作。</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（4）膜组件的保护</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过程中，严禁发生人为原因导致膜组件二次损坏，包括但不限于因使用蛮力、锋利器具、吊装不规范等人为原因造成的膜丝断裂或相关配件（曝气盒、膜组件框架、膜帘接头、产水管、曝气管、管路法兰等）损坏。服务单位的施工人员若发现膜组件有损坏情况，需及时通知运营项目至现场查看情况，人为操作不当导致损坏的，由服务单位承担膜组件维修或更换费用。若操作不当导致膜组件损坏，但隐瞒不报影响后续膜组件使用功能，造成不良后果的，运营项目有权追究服务单位相关责任。</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（5）膜组件的起吊</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少部分膜组件由于含泥量超过最大起吊吨位导致起重机无法进行操作。为保证现场施工安全及清洗过程的顺利进行，服务单位需对少部分无法用起重机吊起的膜组件提前用高压水枪进行冲洗或其他更有效的方法对膜组件重量降至最大起吊吨位以下时方可起吊。服务单位需安排吊车将膜组件移至运营项目周围空地处清洗。</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（6）污泥输送</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膜组件过程中会出现多余的垃圾和污泥，由于提标项目现场无污泥脱水处理设备，服务单位需将多余的污泥收集输送至就近运营项目进行处置。服务单位需将清洗过程中产生的垃圾用运营项目提供的垃圾袋收集存放，待垃圾车收集运走。</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①应保证项目施工现场的整洁，周边构筑物、草坪等应提前布置好防水防撞等防护用品，以减少清洗工作对现场环境的影响。服务单位应提前布置好污水集水设施，避免清洗现场污水横流。</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施工前，服务单位需对现场周边构筑物及设施情况进行拍照、视频或文字描述签字留底，施工过程中若导致周边构筑物或设施损坏的（如施工过程中移动行车出现故障、栏杆出现损坏等），需根据运营项目要求按时完成修复工作。</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③施工结束后，服务单位应负责将施工现场恢复原貌。</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④运营项目应做好人工清洗及恢复性药洗前后的跨膜压差记录，清洗后跨膜压差应有明显变化。</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⑤历史资料表明，运营项目在人工及恢复性清洗完跨膜压差均能恢复至正常范围，清洗后效果持续时间一般为4-9个月。</w:t>
      </w:r>
      <w:r>
        <w:rPr>
          <w:rFonts w:hint="eastAsia" w:ascii="宋体" w:hAnsi="宋体" w:eastAsia="宋体" w:cs="宋体"/>
          <w:b/>
          <w:bCs/>
          <w:color w:val="auto"/>
          <w:sz w:val="21"/>
          <w:szCs w:val="21"/>
          <w:highlight w:val="none"/>
        </w:rPr>
        <w:t>服务单位在完成合同约定服务内容后，除外部因素（如进水水质、天气条件等），应保证两个月内不出现某组膜池明显跨膜压差过大的情况。若出现此情况，服务单位应无偿进行重新清洗。</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⑥服务单位应做好拆装过程中紧固件的保护，留存拆装过程中使用的紧固件，如紧固件出现破损或拆装过程中遗失，服务单位需提供与该紧固件一致材质、标准及镀层的紧固件进行安装。</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施工人员要求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单位需按运营项目制定的清洗进度计划配置足够的施工人员，其中清洗过程需操作起重机，每个运营项目服务单位须配备1名持有起重设备特种设备操作证人员，且该名人员的起重设备特种设备操作证需提交运营项目核查、复印件备案，服务期间，证件原件由运营项目暂行保管，在合同期满后归还。</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（2）服务单位本项目负责人和技术负责人不得随意更换，如确需更换，须经运营项目同意。</w:t>
      </w:r>
    </w:p>
    <w:p>
      <w:pPr>
        <w:pStyle w:val="128"/>
        <w:keepNext w:val="0"/>
        <w:keepLines w:val="0"/>
        <w:pageBreakBefore w:val="0"/>
        <w:numPr>
          <w:ilvl w:val="0"/>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p>
    <w:p>
      <w:pPr>
        <w:pStyle w:val="128"/>
        <w:keepNext w:val="0"/>
        <w:keepLines w:val="0"/>
        <w:pageBreakBefore w:val="0"/>
        <w:numPr>
          <w:ilvl w:val="0"/>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rPr>
        <w:t>安全及其他要求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（1）服务单位在施工前需对施工人员做好施工安全培训、教育，施工期间严格执行有限空间作业、特种设备操作、用电安全等相关规范，并无条件接受运营项目监督。</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（2）服务单位应当采取有效的职业卫生防护措施，为施工人员配备必要的防护用品（安全帽、护目镜、防水手套、安全带、救生衣等）。</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（3）施工人员需服从管理，未经允许不能进入不相关的生产作业区。</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（4）施工作业期间，施工人员严禁打闹嬉戏、抽烟，严禁酒后工作。</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（5）施工作业期间，施工人员需穿戴好安全防护用品，如护目镜，防水套装等，要求与池水接触的施工人员必须会游泳，且要佩戴安全带或穿救生衣才能作业。</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（6）运营项目有权要求服务单位对不称职人员进行更换，更换时间不超过2个工作日。</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（7）服务单位须为每位施工人员购买保险。</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（8）施工过程中出现的安全事故由服务单位自行承担。</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过程中涉及的起重设备，运营项目如现场配备，且不影响厂内生产和满足起吊要求的前提下，可由运营项目提供；若运营项目未配备、生产所需不能调用或起重设备不满足起吊要求，则由服务单位自备。服务过程所需的其余设备、工器具等由服务单位自备。</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（2）服务过程中涉及的用水、用电：运营项目在厂内提供水、电接入点，由服务单位自行接入，服务单位需做好用水、用电安全防护措施，并无条件接受监督。水、电费用由运营项目承担。</w:t>
      </w:r>
    </w:p>
    <w:p>
      <w:pPr>
        <w:pStyle w:val="128"/>
        <w:keepNext w:val="0"/>
        <w:keepLines w:val="0"/>
        <w:pageBreakBefore w:val="0"/>
        <w:numPr>
          <w:ilvl w:val="0"/>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p>
    <w:p>
      <w:pPr>
        <w:pStyle w:val="128"/>
        <w:keepNext w:val="0"/>
        <w:keepLines w:val="0"/>
        <w:pageBreakBefore w:val="0"/>
        <w:numPr>
          <w:ilvl w:val="0"/>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rPr>
        <w:t>验收要求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膜组件清洗完毕后，由运营项目进行单个膜组件检验，检查膜组件清洗效果是否达到清洗质量要求，检验不合格服务单位需无条件按要求进行整改。全部膜组件清洗完毕并投入使用后，由运营项目负责人组织对膜组件清洗效果进行现场验收。服务单位出具验收报告，由运营项目及服务单位签名确认。</w:t>
      </w:r>
    </w:p>
    <w:p>
      <w:pPr>
        <w:pStyle w:val="128"/>
        <w:keepNext w:val="0"/>
        <w:keepLines w:val="0"/>
        <w:pageBreakBefore w:val="0"/>
        <w:numPr>
          <w:ilvl w:val="0"/>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p>
    <w:p>
      <w:pPr>
        <w:pStyle w:val="128"/>
        <w:keepNext w:val="0"/>
        <w:keepLines w:val="0"/>
        <w:pageBreakBefore w:val="0"/>
        <w:numPr>
          <w:ilvl w:val="0"/>
          <w:numId w:val="0"/>
        </w:numPr>
        <w:kinsoku/>
        <w:wordWrap/>
        <w:overflowPunct/>
        <w:topLinePunct w:val="0"/>
        <w:bidi w:val="0"/>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六、</w:t>
      </w:r>
      <w:r>
        <w:rPr>
          <w:rFonts w:hint="eastAsia" w:ascii="宋体" w:hAnsi="宋体" w:eastAsia="宋体" w:cs="宋体"/>
          <w:b/>
          <w:bCs/>
          <w:color w:val="auto"/>
          <w:sz w:val="21"/>
          <w:szCs w:val="21"/>
          <w:highlight w:val="none"/>
        </w:rPr>
        <w:t>价款要求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服务采购各个运营项目服务费用按照单个运营项目结算，服务费用以实际清洗数量为准，即服务费用=单个膜组件综合单价×膜组件清洗数量。同时服务费用还将结合招标人运营项目对服务单位的履约评价表的评分情况进行结算。招标人运营项目在服务单位完成所有服务内容后，对服务单位进行履约评价，当服务单位的服务考核评分达到80分或以上的，本项目的服务费用全额支付；当服务单位的服务考核评分分数低于80分、达到60分时，按所得分数与满分的百分比计算本项目的服务费用；当服务单位的服务考核评分分数低于60分时，招标人</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rPr>
        <w:t>只需支付本项目服务费用的30%，且招标人有权单方解除合同。</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应包括服务单位完成膜组件清洗服务所需的全部费用，包括但不限于人工费、污泥运送费用、吃住费用、管理费、培训费、服装费、设备及工器具采购费用、备品备件费用、意外险、责任险、交通费用等全部费用。未经招标人运营项目书面确认，服务单位无权另行收取其它任何费用。</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单位完成所有服务工作并经招标人运营项目最终验收合格后，服务单位向招标人运营项目提交请款报告及等额、合法、有效的增值税专用发票，招标人运营项目在收到前述材料并确认无误后30个工作日内，支付至结算价的100%及对应的税额给服务单位。</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（4）支付方式：支付方式为银行转账或银行承兑汇票，汇票期限不超过三个月，每期款项支付方式由招标人决定。</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人有权从应付服务费中扣减服务单位合同规定应付的违约金、赔偿金、罚款以及其他费用，应付服务费不足以扣减前述费用的，服务单位应就不足的部分在招标人运营项目发出通知后7日内向招标人运营项目支付。</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服务单位逾期提交请款材料及增值税专用发票或提交材料及增值税专用发票不符合招标人要求的，招标人有权顺延支付相应款项，并不承担逾期付款的违约责任，由于服务单位提供的发票不符合税法规定，给招标人造成的损失由服务单位承担赔偿责任，服务单位不得以此延迟而拒绝履行合同义务。</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val="0"/>
        <w:kinsoku/>
        <w:wordWrap/>
        <w:overflowPunct/>
        <w:topLinePunct w:val="0"/>
        <w:bidi w:val="0"/>
        <w:spacing w:line="360" w:lineRule="auto"/>
        <w:ind w:lef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附表1</w:t>
      </w:r>
    </w:p>
    <w:p>
      <w:pPr>
        <w:keepNext w:val="0"/>
        <w:keepLines w:val="0"/>
        <w:pageBreakBefore w:val="0"/>
        <w:kinsoku/>
        <w:wordWrap/>
        <w:overflowPunct/>
        <w:topLinePunct w:val="0"/>
        <w:bidi w:val="0"/>
        <w:spacing w:line="360" w:lineRule="auto"/>
        <w:ind w:lef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供应商履约评价表</w:t>
      </w:r>
    </w:p>
    <w:tbl>
      <w:tblPr>
        <w:tblStyle w:val="3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146"/>
        <w:gridCol w:w="1911"/>
        <w:gridCol w:w="1367"/>
        <w:gridCol w:w="724"/>
        <w:gridCol w:w="1688"/>
        <w:gridCol w:w="583"/>
        <w:gridCol w:w="584"/>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合同名称</w:t>
            </w:r>
          </w:p>
        </w:tc>
        <w:tc>
          <w:tcPr>
            <w:tcW w:w="7677"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合同编号</w:t>
            </w:r>
          </w:p>
        </w:tc>
        <w:tc>
          <w:tcPr>
            <w:tcW w:w="7677"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甲方（委托方）名称</w:t>
            </w:r>
          </w:p>
        </w:tc>
        <w:tc>
          <w:tcPr>
            <w:tcW w:w="7677"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w:t>
            </w:r>
            <w:r>
              <w:rPr>
                <w:rFonts w:hint="eastAsia" w:ascii="宋体" w:hAnsi="宋体" w:eastAsia="宋体" w:cs="宋体"/>
                <w:color w:val="auto"/>
                <w:sz w:val="21"/>
                <w:szCs w:val="21"/>
                <w:highlight w:val="none"/>
              </w:rPr>
              <w:t>名称</w:t>
            </w:r>
          </w:p>
        </w:tc>
        <w:tc>
          <w:tcPr>
            <w:tcW w:w="7677"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服务类型</w:t>
            </w:r>
          </w:p>
        </w:tc>
        <w:tc>
          <w:tcPr>
            <w:tcW w:w="7677"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14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履约评价项目</w:t>
            </w:r>
          </w:p>
        </w:tc>
        <w:tc>
          <w:tcPr>
            <w:tcW w:w="327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评价标准</w:t>
            </w:r>
          </w:p>
        </w:tc>
        <w:tc>
          <w:tcPr>
            <w:tcW w:w="2412"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评分说明</w:t>
            </w:r>
          </w:p>
        </w:tc>
        <w:tc>
          <w:tcPr>
            <w:tcW w:w="583"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5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实得分</w:t>
            </w:r>
          </w:p>
        </w:tc>
        <w:tc>
          <w:tcPr>
            <w:tcW w:w="820"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（该项分值60%的分数）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14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服务质量</w:t>
            </w:r>
          </w:p>
        </w:tc>
        <w:tc>
          <w:tcPr>
            <w:tcW w:w="3278"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 w:val="21"/>
                <w:szCs w:val="21"/>
                <w:highlight w:val="none"/>
              </w:rPr>
              <w:t>膜组件需彻底清洗干净，组件框架及膜丝干净清洁，膜丝呈自然松动状态；</w:t>
            </w:r>
          </w:p>
          <w:p>
            <w:pPr>
              <w:keepNext w:val="0"/>
              <w:keepLines w:val="0"/>
              <w:pageBreakBefore w:val="0"/>
              <w:widowControl/>
              <w:numPr>
                <w:ilvl w:val="255"/>
                <w:numId w:val="0"/>
              </w:numPr>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（2）各膜帘清洗干净后原位装配回膜组件；</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（3）膜组件在清洗全过程中膜丝需保持湿润，避免晾干、太阳直晒；</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（4）施工过程中，严禁发生人为原因导致膜组件二次损坏。</w:t>
            </w:r>
          </w:p>
        </w:tc>
        <w:tc>
          <w:tcPr>
            <w:tcW w:w="2412"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达到标准的得满分，（1）-（3）项未达到标准的扣3分/次，（4）项未达到标准扣5分/次。</w:t>
            </w:r>
          </w:p>
        </w:tc>
        <w:tc>
          <w:tcPr>
            <w:tcW w:w="583"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5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820"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14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工作成果交付时间</w:t>
            </w:r>
          </w:p>
        </w:tc>
        <w:tc>
          <w:tcPr>
            <w:tcW w:w="327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（1）按甲方整体进度要求开展相关工作；</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（2）按甲方确定的时间节点，每阶段按时完成阶段性成果；</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（3）按时完成清洗工作。</w:t>
            </w:r>
          </w:p>
        </w:tc>
        <w:tc>
          <w:tcPr>
            <w:tcW w:w="2412"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达到标准的得满分，每次有一项未达到标准的扣3分。</w:t>
            </w:r>
          </w:p>
        </w:tc>
        <w:tc>
          <w:tcPr>
            <w:tcW w:w="583"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5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820"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14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工作配合</w:t>
            </w:r>
          </w:p>
        </w:tc>
        <w:tc>
          <w:tcPr>
            <w:tcW w:w="327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（1）按甲方要求，完成膜组件的清洗、拆装、安装、浸洗工作；</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（2）按照运营实际情况调整工作进度。</w:t>
            </w:r>
          </w:p>
        </w:tc>
        <w:tc>
          <w:tcPr>
            <w:tcW w:w="2412"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达到标准的得满分，每次有一项未达到标准的扣2分。</w:t>
            </w:r>
          </w:p>
        </w:tc>
        <w:tc>
          <w:tcPr>
            <w:tcW w:w="583"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5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820"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14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人员素质及能力</w:t>
            </w:r>
          </w:p>
        </w:tc>
        <w:tc>
          <w:tcPr>
            <w:tcW w:w="327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（1）服务队伍稳定，人员充足、专业性强，充分配合甲方服务需求；</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（2）对接人员与甲方沟通良好、理解到位、执行力强，能及时发现、解决问题，并未雨绸缪地因应各项目服务情况提供合理化的建议；</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（3）未出现推诿，借故不肯签署合同规定的文件或者敷衍了事、置之不理等情况。</w:t>
            </w:r>
          </w:p>
        </w:tc>
        <w:tc>
          <w:tcPr>
            <w:tcW w:w="2412"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达到标准的得满分，每次有一项未达到标准的扣2分。</w:t>
            </w:r>
          </w:p>
        </w:tc>
        <w:tc>
          <w:tcPr>
            <w:tcW w:w="583"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5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820"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14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w:t>
            </w:r>
          </w:p>
        </w:tc>
        <w:tc>
          <w:tcPr>
            <w:tcW w:w="3278"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（1）在接到甲方派单通知后及时回复，响应速度快；</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（2）工作流程完善，售后服务跟踪到位；</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（3）无条件积极配合甲方、积极协助甲方</w:t>
            </w:r>
            <w:r>
              <w:rPr>
                <w:rFonts w:hint="eastAsia" w:ascii="宋体" w:hAnsi="宋体" w:eastAsia="宋体" w:cs="宋体"/>
                <w:color w:val="auto"/>
                <w:sz w:val="21"/>
                <w:szCs w:val="21"/>
                <w:highlight w:val="none"/>
              </w:rPr>
              <w:t>接受政府管理部门的检查工作及提供各类资质证明材料（如需）。</w:t>
            </w:r>
          </w:p>
        </w:tc>
        <w:tc>
          <w:tcPr>
            <w:tcW w:w="2412"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达到标准的得满分，每次有一项未达到标准的扣2分。</w:t>
            </w:r>
          </w:p>
        </w:tc>
        <w:tc>
          <w:tcPr>
            <w:tcW w:w="583"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5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820"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98" w:type="dxa"/>
            <w:gridSpan w:val="6"/>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p>
        </w:tc>
        <w:tc>
          <w:tcPr>
            <w:tcW w:w="583"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100</w:t>
            </w:r>
          </w:p>
        </w:tc>
        <w:tc>
          <w:tcPr>
            <w:tcW w:w="5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820"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519" w:type="dxa"/>
            <w:gridSpan w:val="3"/>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评审结论</w:t>
            </w:r>
          </w:p>
        </w:tc>
        <w:tc>
          <w:tcPr>
            <w:tcW w:w="5766" w:type="dxa"/>
            <w:gridSpan w:val="6"/>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□每项实得分均不低于该项分值60%的，评审结论合格</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□评审结论不合格，说明：</w:t>
            </w:r>
            <w:r>
              <w:rPr>
                <w:rFonts w:hint="eastAsia" w:ascii="宋体" w:hAnsi="宋体" w:eastAsia="宋体" w:cs="宋体"/>
                <w:bCs/>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519" w:type="dxa"/>
            <w:gridSpan w:val="3"/>
            <w:vMerge w:val="restart"/>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履约评审</w:t>
            </w:r>
            <w:r>
              <w:rPr>
                <w:rFonts w:hint="eastAsia" w:ascii="宋体" w:hAnsi="宋体" w:eastAsia="宋体" w:cs="宋体"/>
                <w:bCs/>
                <w:color w:val="auto"/>
                <w:sz w:val="21"/>
                <w:szCs w:val="21"/>
                <w:highlight w:val="none"/>
                <w:lang w:eastAsia="zh-CN"/>
              </w:rPr>
              <w:t>运营项目</w:t>
            </w:r>
            <w:r>
              <w:rPr>
                <w:rFonts w:hint="eastAsia" w:ascii="宋体" w:hAnsi="宋体" w:eastAsia="宋体" w:cs="宋体"/>
                <w:color w:val="auto"/>
                <w:sz w:val="21"/>
                <w:szCs w:val="21"/>
                <w:highlight w:val="none"/>
              </w:rPr>
              <w:t>其他</w:t>
            </w:r>
            <w:r>
              <w:rPr>
                <w:rFonts w:hint="eastAsia" w:ascii="宋体" w:hAnsi="宋体" w:eastAsia="宋体" w:cs="宋体"/>
                <w:bCs/>
                <w:color w:val="auto"/>
                <w:sz w:val="21"/>
                <w:szCs w:val="21"/>
                <w:highlight w:val="none"/>
              </w:rPr>
              <w:t>意见及签署</w:t>
            </w:r>
          </w:p>
        </w:tc>
        <w:tc>
          <w:tcPr>
            <w:tcW w:w="2091"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经办人</w:t>
            </w:r>
          </w:p>
        </w:tc>
        <w:tc>
          <w:tcPr>
            <w:tcW w:w="3675" w:type="dxa"/>
            <w:gridSpan w:val="4"/>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519" w:type="dxa"/>
            <w:gridSpan w:val="3"/>
            <w:vMerge w:val="continue"/>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p>
        </w:tc>
        <w:tc>
          <w:tcPr>
            <w:tcW w:w="2091"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运营项目</w:t>
            </w:r>
            <w:r>
              <w:rPr>
                <w:rFonts w:hint="eastAsia" w:ascii="宋体" w:hAnsi="宋体" w:eastAsia="宋体" w:cs="宋体"/>
                <w:bCs/>
                <w:color w:val="auto"/>
                <w:sz w:val="21"/>
                <w:szCs w:val="21"/>
                <w:highlight w:val="none"/>
              </w:rPr>
              <w:t>负责人</w:t>
            </w:r>
          </w:p>
        </w:tc>
        <w:tc>
          <w:tcPr>
            <w:tcW w:w="3675" w:type="dxa"/>
            <w:gridSpan w:val="4"/>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519" w:type="dxa"/>
            <w:gridSpan w:val="3"/>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备注</w:t>
            </w:r>
          </w:p>
        </w:tc>
        <w:tc>
          <w:tcPr>
            <w:tcW w:w="5766" w:type="dxa"/>
            <w:gridSpan w:val="6"/>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本次服务结合供应商履约评价表的评分情况进行费用结算：</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（1）当受托人的服务考核评分达到80分或以上的，服务费全额支付；</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（2）当受托人的服务考核评分分数低于80分、达到60分时，按所得分数与满分的百分比计算服务费；</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（3）当受托人的服务考核评分分数低于60分时，委托人只需支付该合同价的30%的费用，且委托人有权单方解除合同。</w:t>
            </w:r>
          </w:p>
        </w:tc>
      </w:tr>
    </w:tbl>
    <w:p>
      <w:pPr>
        <w:spacing w:line="360" w:lineRule="auto"/>
        <w:rPr>
          <w:rFonts w:ascii="宋体" w:hAnsi="宋体" w:eastAsia="宋体" w:cs="Times New Roman"/>
          <w:b/>
          <w:color w:val="auto"/>
          <w:szCs w:val="21"/>
          <w:highlight w:val="none"/>
          <w:lang w:val="zh-CN"/>
        </w:rPr>
      </w:pPr>
    </w:p>
    <w:p>
      <w:pPr>
        <w:spacing w:line="360" w:lineRule="auto"/>
        <w:rPr>
          <w:rFonts w:ascii="宋体" w:hAnsi="宋体" w:eastAsia="宋体" w:cs="Times New Roman"/>
          <w:color w:val="auto"/>
          <w:szCs w:val="21"/>
          <w:highlight w:val="none"/>
        </w:rPr>
      </w:pPr>
    </w:p>
    <w:p>
      <w:pPr>
        <w:rPr>
          <w:rFonts w:ascii="宋体" w:hAnsi="宋体" w:eastAsia="宋体" w:cs="Times New Roman"/>
          <w:b/>
          <w:color w:val="auto"/>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63" w:name="_Toc25251"/>
      <w:bookmarkStart w:id="564" w:name="_Toc486167707"/>
      <w:bookmarkStart w:id="565" w:name="_Toc23493"/>
      <w:bookmarkStart w:id="566" w:name="_Toc8351"/>
      <w:bookmarkStart w:id="567" w:name="_Toc20401"/>
      <w:bookmarkStart w:id="568" w:name="_Toc23347"/>
      <w:bookmarkStart w:id="569" w:name="_Toc16287"/>
      <w:bookmarkStart w:id="570" w:name="_Toc142508359"/>
      <w:bookmarkStart w:id="571" w:name="_Toc20520"/>
      <w:bookmarkStart w:id="572" w:name="_Toc450662892"/>
      <w:bookmarkStart w:id="573" w:name="_Toc11281_WPSOffice_Level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563"/>
      <w:bookmarkEnd w:id="564"/>
      <w:bookmarkEnd w:id="565"/>
      <w:bookmarkEnd w:id="566"/>
      <w:bookmarkEnd w:id="567"/>
      <w:bookmarkEnd w:id="568"/>
      <w:bookmarkEnd w:id="569"/>
      <w:bookmarkEnd w:id="570"/>
      <w:bookmarkEnd w:id="571"/>
      <w:bookmarkEnd w:id="572"/>
      <w:bookmarkEnd w:id="573"/>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东莞市水务集团净水有限公司2025年膜组件清洗服务采购项目</w:t>
      </w:r>
    </w:p>
    <w:p>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autoSpaceDE w:val="0"/>
        <w:autoSpaceDN w:val="0"/>
        <w:adjustRightInd w:val="0"/>
        <w:jc w:val="left"/>
        <w:rPr>
          <w:rFonts w:ascii="宋体" w:hAnsi="宋体" w:eastAsia="宋体" w:cs="宋体"/>
          <w:b/>
          <w:bCs/>
          <w:color w:val="auto"/>
          <w:kern w:val="0"/>
          <w:sz w:val="28"/>
          <w:szCs w:val="28"/>
          <w:highlight w:val="none"/>
        </w:rPr>
      </w:pPr>
    </w:p>
    <w:p>
      <w:pPr>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br w:type="page"/>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r>
        <w:rPr>
          <w:rFonts w:hint="eastAsia" w:ascii="宋体" w:hAnsi="宋体" w:eastAsia="宋体" w:cs="宋体"/>
          <w:color w:val="auto"/>
          <w:sz w:val="21"/>
          <w:szCs w:val="21"/>
          <w:highlight w:val="none"/>
          <w:u w:val="single"/>
        </w:rPr>
        <w:t xml:space="preserve">                          </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pPr>
        <w:snapToGrid w:val="0"/>
        <w:spacing w:line="360" w:lineRule="auto"/>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日通知的</w:t>
      </w:r>
      <w:r>
        <w:rPr>
          <w:rFonts w:hint="eastAsia" w:ascii="宋体" w:hAnsi="宋体" w:eastAsia="宋体" w:cs="宋体"/>
          <w:color w:val="auto"/>
          <w:sz w:val="21"/>
          <w:szCs w:val="21"/>
          <w:highlight w:val="none"/>
          <w:u w:val="single"/>
          <w:lang w:eastAsia="zh-CN"/>
        </w:rPr>
        <w:t>东莞市水务集团净水有限公司2025年膜组件清洗服务采购项目</w:t>
      </w:r>
      <w:r>
        <w:rPr>
          <w:rFonts w:hint="eastAsia" w:ascii="宋体" w:hAnsi="宋体" w:eastAsia="宋体" w:cs="宋体"/>
          <w:color w:val="auto"/>
          <w:sz w:val="21"/>
          <w:szCs w:val="21"/>
          <w:highlight w:val="none"/>
        </w:rPr>
        <w:t>中标结果（招标编号：</w:t>
      </w:r>
      <w:r>
        <w:rPr>
          <w:rFonts w:hint="eastAsia" w:ascii="宋体" w:hAnsi="宋体" w:eastAsia="宋体" w:cs="宋体"/>
          <w:color w:val="auto"/>
          <w:sz w:val="21"/>
          <w:szCs w:val="21"/>
          <w:highlight w:val="none"/>
          <w:u w:val="single"/>
          <w:lang w:eastAsia="zh-CN"/>
        </w:rPr>
        <w:t>0832-SFCX24DG116C</w:t>
      </w:r>
      <w:r>
        <w:rPr>
          <w:rFonts w:hint="eastAsia" w:ascii="宋体" w:hAnsi="宋体" w:eastAsia="宋体" w:cs="宋体"/>
          <w:color w:val="auto"/>
          <w:sz w:val="21"/>
          <w:szCs w:val="21"/>
          <w:highlight w:val="none"/>
        </w:rPr>
        <w:t>）和招标文件的要求，经双方协商一致，签订本合同。</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服务内容</w:t>
      </w:r>
    </w:p>
    <w:p>
      <w:p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乙方向甲方7家运营项目（麻涌二期、中堂二期、大朗松南二期、虎门一期提标、松南一期提标、塘厦石桥头提标、凤岗虾公潭提标）提供</w:t>
      </w:r>
      <w:r>
        <w:rPr>
          <w:rFonts w:hint="eastAsia" w:ascii="宋体" w:hAnsi="宋体" w:eastAsia="宋体" w:cs="宋体"/>
          <w:color w:val="auto"/>
          <w:sz w:val="21"/>
          <w:szCs w:val="21"/>
          <w:highlight w:val="none"/>
          <w:lang w:bidi="ar"/>
        </w:rPr>
        <w:t>人工清洗膜组件服务，维持膜组件的正常通量，保证MBR膜系统正常运行。</w:t>
      </w:r>
      <w:r>
        <w:rPr>
          <w:rFonts w:hint="eastAsia" w:ascii="宋体" w:hAnsi="宋体" w:eastAsia="宋体" w:cs="宋体"/>
          <w:color w:val="auto"/>
          <w:kern w:val="2"/>
          <w:sz w:val="21"/>
          <w:szCs w:val="21"/>
          <w:highlight w:val="none"/>
        </w:rPr>
        <w:t>详细内容如下：</w:t>
      </w:r>
    </w:p>
    <w:tbl>
      <w:tblPr>
        <w:tblStyle w:val="36"/>
        <w:tblW w:w="92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
        <w:gridCol w:w="1398"/>
        <w:gridCol w:w="1137"/>
        <w:gridCol w:w="1605"/>
        <w:gridCol w:w="1770"/>
        <w:gridCol w:w="1345"/>
        <w:gridCol w:w="10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65" w:type="dxa"/>
            <w:tcBorders>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8"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3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规模（万吨/日）</w:t>
            </w:r>
          </w:p>
        </w:tc>
        <w:tc>
          <w:tcPr>
            <w:tcW w:w="160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膜组件数量（个）</w:t>
            </w:r>
          </w:p>
        </w:tc>
        <w:tc>
          <w:tcPr>
            <w:tcW w:w="177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项目地址</w:t>
            </w:r>
          </w:p>
        </w:tc>
        <w:tc>
          <w:tcPr>
            <w:tcW w:w="1345" w:type="dxa"/>
            <w:tcBorders>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施工要求</w:t>
            </w:r>
          </w:p>
        </w:tc>
        <w:tc>
          <w:tcPr>
            <w:tcW w:w="1067" w:type="dxa"/>
            <w:tcBorders>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965"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麻涌二期</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东莞市麻涌镇漳澎村</w:t>
            </w:r>
          </w:p>
        </w:tc>
        <w:tc>
          <w:tcPr>
            <w:tcW w:w="1345" w:type="dxa"/>
            <w:vMerge w:val="restart"/>
            <w:tcBorders>
              <w:top w:val="single" w:color="000000" w:sz="4" w:space="0"/>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含各运营项目所有膜组件的起吊、拆卸、清洗、组装、安装及所有膜廊道池底的清淤等工作</w:t>
            </w:r>
          </w:p>
        </w:tc>
        <w:tc>
          <w:tcPr>
            <w:tcW w:w="10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65"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中堂二期</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东莞市中堂镇东向村水闸口</w:t>
            </w:r>
          </w:p>
        </w:tc>
        <w:tc>
          <w:tcPr>
            <w:tcW w:w="1345"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65"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大朗</w:t>
            </w:r>
            <w:r>
              <w:rPr>
                <w:rFonts w:hint="eastAsia" w:ascii="宋体" w:hAnsi="宋体" w:eastAsia="宋体" w:cs="宋体"/>
                <w:color w:val="auto"/>
                <w:sz w:val="21"/>
                <w:szCs w:val="21"/>
                <w:highlight w:val="none"/>
              </w:rPr>
              <w:t>松南二期</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东莞市大朗镇水口村以东</w:t>
            </w:r>
          </w:p>
        </w:tc>
        <w:tc>
          <w:tcPr>
            <w:tcW w:w="1345"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65"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虎门一期提标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东莞市虎门镇南栅路东社区</w:t>
            </w:r>
          </w:p>
        </w:tc>
        <w:tc>
          <w:tcPr>
            <w:tcW w:w="1345"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65"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松南一期提标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东莞市大朗镇水口村以东</w:t>
            </w:r>
          </w:p>
        </w:tc>
        <w:tc>
          <w:tcPr>
            <w:tcW w:w="1345"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65"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塘厦石桥头提标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东莞市塘厦镇凤凰岗村</w:t>
            </w:r>
          </w:p>
        </w:tc>
        <w:tc>
          <w:tcPr>
            <w:tcW w:w="1345"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65" w:type="dxa"/>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凤岗</w:t>
            </w:r>
            <w:r>
              <w:rPr>
                <w:rFonts w:hint="eastAsia" w:ascii="宋体" w:hAnsi="宋体" w:eastAsia="宋体" w:cs="宋体"/>
                <w:color w:val="auto"/>
                <w:sz w:val="21"/>
                <w:szCs w:val="21"/>
                <w:highlight w:val="none"/>
              </w:rPr>
              <w:t>虾公潭提标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东莞市凤岗镇油甘埔村</w:t>
            </w:r>
          </w:p>
        </w:tc>
        <w:tc>
          <w:tcPr>
            <w:tcW w:w="1345" w:type="dxa"/>
            <w:vMerge w:val="continue"/>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500" w:type="dxa"/>
            <w:gridSpan w:val="3"/>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4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287" w:type="dxa"/>
            <w:gridSpan w:val="7"/>
            <w:tcBorders>
              <w:top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备注：以上为2025年暂需洗膜项目，不作为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最终采购数量保证。实际膜清洗项目及数量，根据2025年度运营项目生产情况，结合项目需要，以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运营项目书面发出的通知单为准，服务费用按实际洗膜项目、数量结算。</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实际采购数量的减少或增加而要求提供任何形式的补偿或赔偿，或要求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按暂定数量采购相应服务。</w:t>
            </w:r>
          </w:p>
        </w:tc>
      </w:tr>
    </w:tbl>
    <w:p>
      <w:pPr>
        <w:spacing w:line="360" w:lineRule="auto"/>
        <w:ind w:firstLine="422" w:firstLineChars="200"/>
        <w:rPr>
          <w:rFonts w:hint="eastAsia" w:ascii="宋体" w:hAnsi="宋体" w:eastAsia="宋体" w:cs="宋体"/>
          <w:b/>
          <w:color w:val="auto"/>
          <w:sz w:val="21"/>
          <w:szCs w:val="21"/>
          <w:highlight w:val="none"/>
        </w:rPr>
      </w:pPr>
    </w:p>
    <w:p>
      <w:pPr>
        <w:spacing w:line="360" w:lineRule="auto"/>
        <w:ind w:firstLine="373" w:firstLineChars="177"/>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第二条 服务期限、服务要求及施工人员要求</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服务期限</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合同期为合同签订之日起至</w:t>
      </w:r>
      <w:r>
        <w:rPr>
          <w:rFonts w:hint="eastAsia" w:ascii="宋体" w:hAnsi="宋体" w:eastAsia="宋体" w:cs="宋体"/>
          <w:color w:val="auto"/>
          <w:sz w:val="21"/>
          <w:szCs w:val="21"/>
          <w:highlight w:val="none"/>
          <w:lang w:val="en-US" w:eastAsia="zh-CN" w:bidi="ar"/>
        </w:rPr>
        <w:t>双方合同义务全部履行完毕为止</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乙方</w:t>
      </w:r>
      <w:r>
        <w:rPr>
          <w:rFonts w:hint="eastAsia" w:ascii="宋体" w:hAnsi="宋体" w:eastAsia="宋体" w:cs="宋体"/>
          <w:color w:val="auto"/>
          <w:sz w:val="21"/>
          <w:szCs w:val="21"/>
          <w:highlight w:val="none"/>
          <w:lang w:bidi="ar"/>
        </w:rPr>
        <w:t>需按各运营项目制定的清洗计划和顺序要求开展工作，具体合同工期以</w:t>
      </w:r>
      <w:r>
        <w:rPr>
          <w:rFonts w:hint="eastAsia" w:ascii="宋体" w:hAnsi="宋体" w:eastAsia="宋体" w:cs="宋体"/>
          <w:color w:val="auto"/>
          <w:sz w:val="21"/>
          <w:szCs w:val="21"/>
          <w:highlight w:val="none"/>
          <w:lang w:val="en-US" w:eastAsia="zh-CN" w:bidi="ar"/>
        </w:rPr>
        <w:t>2025年</w:t>
      </w:r>
      <w:r>
        <w:rPr>
          <w:rFonts w:hint="eastAsia" w:ascii="宋体" w:hAnsi="宋体" w:eastAsia="宋体" w:cs="宋体"/>
          <w:color w:val="auto"/>
          <w:sz w:val="21"/>
          <w:szCs w:val="21"/>
          <w:highlight w:val="none"/>
          <w:lang w:bidi="ar"/>
        </w:rPr>
        <w:t>运营项目</w:t>
      </w:r>
      <w:r>
        <w:rPr>
          <w:rFonts w:hint="eastAsia" w:ascii="宋体" w:hAnsi="宋体" w:eastAsia="宋体" w:cs="宋体"/>
          <w:color w:val="auto"/>
          <w:sz w:val="21"/>
          <w:szCs w:val="21"/>
          <w:highlight w:val="none"/>
          <w:lang w:val="en-US" w:eastAsia="zh-CN" w:bidi="ar"/>
        </w:rPr>
        <w:t>发出的书面通知单</w:t>
      </w:r>
      <w:r>
        <w:rPr>
          <w:rFonts w:hint="eastAsia" w:ascii="宋体" w:hAnsi="宋体" w:eastAsia="宋体" w:cs="宋体"/>
          <w:color w:val="auto"/>
          <w:sz w:val="21"/>
          <w:szCs w:val="21"/>
          <w:highlight w:val="none"/>
          <w:lang w:bidi="ar"/>
        </w:rPr>
        <w:t>清洗计划为准，原则上清洗计划时间不超过30日（包括休息日及工作日）。</w:t>
      </w:r>
    </w:p>
    <w:p>
      <w:pPr>
        <w:spacing w:line="360" w:lineRule="auto"/>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2、服务要求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膜组件清洗</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每个膜组件从廊道内拆卸下来并起吊至廊道外清洗工作平台，后将各膜帘从膜组件中拆卸下来，用清水将其表面板结的污泥、垃圾等杂物清洗干净，膜帘清净重新组装回完整膜组件，并安装回膜廊道内。对带有曝气盒的膜组，还需冲洗膜组底部曝气盒。若膜廊道底部有淤泥残留，还需进行池底冲洗。膜组件在清洗全过程中膜丝需保持湿润，避免晾干、太阳直晒。膜组当日无法完成清洗，存在施工空窗期的，需采用防水布将膜组整体包裹，减少水分流失。</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（2）膜组件清洗质量要求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膜组件需彻底清洗干净，组件框架及膜丝干净清洁，膜丝呈自然松动状态。每个膜组件清洗完毕后，需由运营项目进行验收，每天由运营项目定时检查膜组件是否按照质量要求清洗，验收合格后方可安放至膜廊道，检验不合格</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需无条件按运营项目要求进行整改。</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恢复性药剂浸泡清洗</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在人工清洗后，恢复性药剂浸泡清洗由运营项目操作，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配合运营项目完成相关的膜组件起吊移动等工作。</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（4）膜组件的保护</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过程中，严禁发生人为原因导致膜组件二次损坏，包括但不限于因使用蛮力、锋利器具、吊装不规范等人为原因造成的膜丝断裂或相关配件（曝气盒、膜组件框架、膜帘接头、产水管、曝气管、管路法兰等）损坏。</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的施工人员若发现膜组件有损坏情况，需及时通知运营项目至现场查看情况，人为操作不当导致损坏的，由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承担膜组件维修或更换费用。若操作不当导致膜组件损坏，但隐瞒不报影响后续膜组件使用功能，造成不良后果的，运营项目有权追究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相关责任。</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（5）膜组件的起吊</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现场少部分膜组件由于含泥量超过最大起吊吨位导致起重机无法进行操作。为保证现场施工安全及清洗过程的顺利进行，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需对少部分无法用起重机吊起的膜组件提前用高压水枪进行冲洗或其他更有效的方法对膜组件重量降至最大起吊吨位以下时方可起吊。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需安排吊车将膜组件移至运营项目周围空地处清洗。</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（6）污泥输送</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清洗膜组件过程中会出现多余的垃圾和污泥，由于提标项目现场无污泥脱水处理设备，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需将多余的污泥收集输送至就近运营项目进行处置。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需将清洗过程中产生的垃圾用运营项目提供的垃圾袋收集存放，待垃圾车收集运走。</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①应保证项目施工现场的整洁，周边构筑物、草坪等应提前布置好防水防撞等防护用品，以减少清洗工作对现场环境的影响。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应提前布置好污水集水设施，避免清洗现场污水横流。</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②施工前，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需对现场周边构筑物及设施情况进行拍照、视频或文字描述签字留底，施工过程中若导致周边构筑物或设施损坏的（如施工过程中移动行车出现故障、栏杆出现损坏等），需根据运营项目要求按时完成修复工作。</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③施工结束后，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应负责将施工现场恢复原貌。</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④运营项目应做好人工清洗及恢复性药洗前后的跨膜压差记录，清洗后跨膜压差应有明显变化。</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⑤历史资料表明，运营项目在人工及恢复性清洗完跨膜压差均能恢复至正常范围，清洗后效果持续时间一般为4-9个月。</w:t>
      </w: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在完成合同约定服务内容后，除外部因素（如进水水质、天气条件等），应保证两个月内不出现某组膜池明显跨膜压差过大的情况。若出现此情况，</w:t>
      </w: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应无偿进行重新清洗。</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应做好拆装过程中紧固件的保护，留存拆装过程中使用的紧固件，如紧固件出现破损或拆装过程中遗失，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需提供与该紧固件一致材质、标准及镀层的紧固件进行安装。</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施工人员要求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需按运营项目制定的清洗进度计划配置足够的施工人员，其中清洗过程需操作起重机，每个运营项目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须配备1名持有起重设备特种设备操作证人员，且该名人员的起重设备特种设备操作证需提交运营项目核查、复印件备案，服务期间，证件原件由运营项目暂行保管，在合同期满后归还。</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本项目负责人和技术负责人不得随意更换，如确需更换，须经运营项目同意。</w:t>
      </w:r>
    </w:p>
    <w:p>
      <w:pPr>
        <w:spacing w:line="360" w:lineRule="auto"/>
        <w:rPr>
          <w:rFonts w:hint="eastAsia" w:ascii="宋体" w:hAnsi="宋体" w:eastAsia="宋体" w:cs="宋体"/>
          <w:color w:val="auto"/>
          <w:sz w:val="21"/>
          <w:szCs w:val="21"/>
          <w:highlight w:val="none"/>
          <w:u w:val="single"/>
        </w:rPr>
      </w:pP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安全及其他要求</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1、安全要求</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在施工前需对施工人员做好施工安全培训、教育，施工期间严格执行有限空间作业、特</w:t>
      </w:r>
      <w:r>
        <w:rPr>
          <w:rFonts w:hint="eastAsia" w:ascii="宋体" w:hAnsi="宋体" w:eastAsia="宋体" w:cs="宋体"/>
          <w:color w:val="auto"/>
          <w:sz w:val="21"/>
          <w:szCs w:val="21"/>
          <w:highlight w:val="none"/>
          <w:lang w:val="en-US" w:eastAsia="zh-CN" w:bidi="ar"/>
        </w:rPr>
        <w:t>种</w:t>
      </w:r>
      <w:r>
        <w:rPr>
          <w:rFonts w:hint="eastAsia" w:ascii="宋体" w:hAnsi="宋体" w:eastAsia="宋体" w:cs="宋体"/>
          <w:color w:val="auto"/>
          <w:sz w:val="21"/>
          <w:szCs w:val="21"/>
          <w:highlight w:val="none"/>
          <w:lang w:bidi="ar"/>
        </w:rPr>
        <w:t>设备操作、用电安全等相关规范，并无条件接受运营项目监督。</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应当采取有效的职业卫生防护措施，为施工人员配备必要的防护用品（安全帽、护目镜、防水手套、安全带、救生衣等）。</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（3）施工人员需服从管理，未经允许不能进入不相关的生产作业区。</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（4）施工作业期间，施工人员严禁打闹嬉戏、抽烟，严禁酒后工作。</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（5）施工作业期间，施工人员需穿戴好安全防护用品，如护目镜，防水套装等，要求与池水接触的施工人员必须会游泳，且要佩戴安全带或穿救生衣才能作业。</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（6）运营项目有权要求</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对不称职人员进行更换，更换时间不超过2个工作日。</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须为每位施工人员购买保险。</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（8）施工过程中出现的安全事故由</w:t>
      </w:r>
      <w:r>
        <w:rPr>
          <w:rFonts w:hint="eastAsia" w:ascii="宋体" w:hAnsi="宋体" w:eastAsia="宋体" w:cs="宋体"/>
          <w:color w:val="auto"/>
          <w:sz w:val="21"/>
          <w:szCs w:val="21"/>
          <w:highlight w:val="none"/>
          <w:lang w:val="en-US" w:eastAsia="zh-CN" w:bidi="ar"/>
        </w:rPr>
        <w:t>乙方</w:t>
      </w:r>
      <w:r>
        <w:rPr>
          <w:rFonts w:hint="eastAsia" w:ascii="宋体" w:hAnsi="宋体" w:eastAsia="宋体" w:cs="宋体"/>
          <w:color w:val="auto"/>
          <w:sz w:val="21"/>
          <w:szCs w:val="21"/>
          <w:highlight w:val="none"/>
          <w:lang w:bidi="ar"/>
        </w:rPr>
        <w:t>自行承担。</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2、其他要求</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服务过程中涉及的起重设备，运营项目如现场配备，且不影响厂内生产和满足起吊要求的前提下，可由运营项目提供；若运营项目未配备、生产所需不能调用或起重设备不满足起吊要求，则由乙方自备。服务过程所需的其余设备、工器具等由乙方自备。</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（2）服务过程中涉及的用水、用电</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运营项目在厂内提供水、电接入点，由</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自行接入，</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需做好用水、用电安全防护措施，并无条件接受监督。水、电费用由运营项目承担。</w:t>
      </w:r>
    </w:p>
    <w:p>
      <w:pPr>
        <w:spacing w:line="360" w:lineRule="auto"/>
        <w:rPr>
          <w:rFonts w:hint="eastAsia" w:ascii="宋体" w:hAnsi="宋体" w:eastAsia="宋体" w:cs="宋体"/>
          <w:color w:val="auto"/>
          <w:sz w:val="21"/>
          <w:szCs w:val="21"/>
          <w:highlight w:val="none"/>
        </w:rPr>
      </w:pP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验收要求</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每个膜组件清洗完毕后，由运营项目进行单个膜组件检验，检查膜组件清洗效果是否达到清洗质量要求，检验不合格</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需无条件按要求进行整改。全部膜组件清洗完毕并投入使用后，由运营项目负责人组织对膜组件清洗效果进行现场验收。</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出具验收报告，由运营项目及</w:t>
      </w:r>
      <w:r>
        <w:rPr>
          <w:rFonts w:hint="eastAsia" w:ascii="宋体" w:hAnsi="宋体" w:eastAsia="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签名确认。</w:t>
      </w:r>
    </w:p>
    <w:p>
      <w:pPr>
        <w:autoSpaceDE/>
        <w:autoSpaceDN/>
        <w:adjustRightInd/>
        <w:spacing w:line="360" w:lineRule="auto"/>
        <w:ind w:firstLine="422" w:firstLineChars="200"/>
        <w:jc w:val="both"/>
        <w:rPr>
          <w:rFonts w:hint="eastAsia" w:ascii="宋体" w:hAnsi="宋体" w:eastAsia="宋体" w:cs="宋体"/>
          <w:b/>
          <w:color w:val="auto"/>
          <w:sz w:val="21"/>
          <w:szCs w:val="21"/>
          <w:highlight w:val="none"/>
        </w:rPr>
      </w:pP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综合单价、暂定合同价及付款方式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1、本项目综合单价（即销售额，不含销项税额）</w:t>
      </w:r>
      <w:r>
        <w:rPr>
          <w:rFonts w:hint="eastAsia" w:ascii="宋体" w:hAnsi="宋体" w:eastAsia="宋体" w:cs="宋体"/>
          <w:bCs/>
          <w:color w:val="auto"/>
          <w:sz w:val="21"/>
          <w:highlight w:val="none"/>
        </w:rPr>
        <w:t>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元/个（大写人民币每个</w:t>
      </w:r>
      <w:r>
        <w:rPr>
          <w:rFonts w:hint="eastAsia" w:ascii="宋体" w:hAnsi="宋体" w:eastAsia="宋体" w:cs="宋体"/>
          <w:bCs/>
          <w:color w:val="auto"/>
          <w:sz w:val="21"/>
          <w:highlight w:val="none"/>
          <w:u w:val="single"/>
        </w:rPr>
        <w:t xml:space="preserve">          </w:t>
      </w:r>
      <w:r>
        <w:rPr>
          <w:rFonts w:hint="eastAsia" w:ascii="宋体" w:hAnsi="宋体" w:eastAsia="宋体" w:cs="宋体"/>
          <w:color w:val="auto"/>
          <w:sz w:val="21"/>
          <w:szCs w:val="21"/>
          <w:highlight w:val="none"/>
        </w:rPr>
        <w:t>）服务期内暂定不含税合同价（即销售额，不含销项税额）</w:t>
      </w:r>
      <w:r>
        <w:rPr>
          <w:rFonts w:hint="eastAsia" w:ascii="宋体" w:hAnsi="宋体" w:eastAsia="宋体" w:cs="宋体"/>
          <w:bCs/>
          <w:color w:val="auto"/>
          <w:sz w:val="21"/>
          <w:highlight w:val="none"/>
        </w:rPr>
        <w:t>为</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元（大写人民币</w:t>
      </w:r>
      <w:r>
        <w:rPr>
          <w:rFonts w:hint="eastAsia" w:ascii="宋体" w:hAnsi="宋体" w:eastAsia="宋体" w:cs="宋体"/>
          <w:bCs/>
          <w:color w:val="auto"/>
          <w:sz w:val="21"/>
          <w:highlight w:val="none"/>
          <w:u w:val="single"/>
        </w:rPr>
        <w:t xml:space="preserve">          </w:t>
      </w:r>
      <w:r>
        <w:rPr>
          <w:rFonts w:hint="eastAsia" w:ascii="宋体" w:hAnsi="宋体" w:eastAsia="宋体" w:cs="宋体"/>
          <w:bCs/>
          <w:color w:val="auto"/>
          <w:sz w:val="21"/>
          <w:highlight w:val="none"/>
        </w:rPr>
        <w:t>），</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bidi="ar"/>
        </w:rPr>
        <w:t>应包括</w:t>
      </w:r>
      <w:r>
        <w:rPr>
          <w:rFonts w:hint="eastAsia" w:ascii="宋体" w:hAnsi="宋体" w:eastAsia="宋体" w:cs="宋体"/>
          <w:color w:val="auto"/>
          <w:sz w:val="21"/>
          <w:szCs w:val="21"/>
          <w:highlight w:val="none"/>
          <w:lang w:val="en-US" w:eastAsia="zh-CN" w:bidi="ar"/>
        </w:rPr>
        <w:t>乙方</w:t>
      </w:r>
      <w:r>
        <w:rPr>
          <w:rFonts w:hint="eastAsia" w:ascii="宋体" w:hAnsi="宋体" w:eastAsia="宋体" w:cs="宋体"/>
          <w:color w:val="auto"/>
          <w:sz w:val="21"/>
          <w:szCs w:val="21"/>
          <w:highlight w:val="none"/>
          <w:lang w:bidi="ar"/>
        </w:rPr>
        <w:t>完成膜组件清洗服务所需的全部费用</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包</w:t>
      </w:r>
      <w:r>
        <w:rPr>
          <w:rFonts w:hint="eastAsia" w:ascii="宋体" w:hAnsi="宋体" w:eastAsia="宋体" w:cs="宋体"/>
          <w:color w:val="auto"/>
          <w:sz w:val="21"/>
          <w:szCs w:val="21"/>
          <w:highlight w:val="none"/>
          <w:lang w:val="en-US" w:eastAsia="zh-CN" w:bidi="ar"/>
        </w:rPr>
        <w:t>括</w:t>
      </w:r>
      <w:r>
        <w:rPr>
          <w:rFonts w:hint="eastAsia" w:ascii="宋体" w:hAnsi="宋体" w:eastAsia="宋体" w:cs="宋体"/>
          <w:color w:val="auto"/>
          <w:sz w:val="21"/>
          <w:szCs w:val="21"/>
          <w:highlight w:val="none"/>
          <w:lang w:bidi="ar"/>
        </w:rPr>
        <w:t>但不限于人工费、污泥运送费用、吃住费用、管理费、培训费、服装费、设备及工器具采购费用、备品备件费用</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意外险、责任险、交通费用等全部费用。未经</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运营项目书面确认，乙方无权另行收取其它任何费用。</w:t>
      </w:r>
    </w:p>
    <w:p>
      <w:pPr>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合同履约过程中，</w:t>
      </w:r>
      <w:r>
        <w:rPr>
          <w:rFonts w:hint="eastAsia" w:ascii="宋体" w:hAnsi="宋体" w:eastAsia="宋体" w:cs="宋体"/>
          <w:color w:val="auto"/>
          <w:sz w:val="21"/>
          <w:szCs w:val="21"/>
          <w:highlight w:val="none"/>
          <w:lang w:bidi="ar"/>
        </w:rPr>
        <w:t>各个项目服务费用按照单个项目结算，单个项目完成服务后，即可按照单个项目结算，结算费用以实际清洗数量为准，结算费用将结合</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运营项目对乙方的履约评价表的评分情况进行结算。</w:t>
      </w:r>
    </w:p>
    <w:p>
      <w:pPr>
        <w:pStyle w:val="15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2、依法计得并根据本合同约定确定的销项税额由甲方承担。根据《中华人民共和国增值税暂行条例》 （国务院令第691号修订版）及当前税务部门的相关规定，本合同项目的增值税税率为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，对应的销项税额为¥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bCs/>
          <w:color w:val="auto"/>
          <w:sz w:val="21"/>
          <w:highlight w:val="none"/>
        </w:rPr>
        <w:t>/个</w:t>
      </w:r>
      <w:r>
        <w:rPr>
          <w:rFonts w:hint="eastAsia" w:ascii="宋体" w:hAnsi="宋体" w:eastAsia="宋体" w:cs="宋体"/>
          <w:color w:val="auto"/>
          <w:sz w:val="21"/>
          <w:szCs w:val="21"/>
          <w:highlight w:val="none"/>
        </w:rPr>
        <w:t>（大写人民币</w:t>
      </w:r>
      <w:r>
        <w:rPr>
          <w:rFonts w:hint="eastAsia" w:ascii="宋体" w:hAnsi="宋体" w:eastAsia="宋体" w:cs="宋体"/>
          <w:bCs/>
          <w:color w:val="auto"/>
          <w:sz w:val="21"/>
          <w:highlight w:val="none"/>
        </w:rPr>
        <w:t>每个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本合同履行过程中，税收政策变动导致增值税税率调整，依法应调整销项税额的，依法调整；但因乙方未按甲方要求完成服务、未根据合同约定提供合法、完整的请款资料或其他原因导致销项税额增加的，相应损失由乙方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pPr>
        <w:numPr>
          <w:ilvl w:val="0"/>
          <w:numId w:val="0"/>
        </w:numPr>
        <w:spacing w:line="360" w:lineRule="auto"/>
        <w:ind w:left="0" w:lef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sz w:val="21"/>
          <w:szCs w:val="21"/>
          <w:highlight w:val="none"/>
        </w:rPr>
        <w:t>本项目综合单价价税合计为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元/个（大写人民币每个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），本合同项下暂定服务总数量在服务期内对应的合同暂定总价价税合计为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在履约过程中，乙方根据本合同约定需向甲方支付违约金、赔偿金或其他应付费用等款项时，甲方有权要求乙方向甲方支付完前述款项后，甲方才根据本合同向乙方支付合同价及税额，由此造成逾期付款的，甲方不构成违约；或者，甲方有权直接从未付合同款项中扣除前述款项，且乙方仍必须按照前述款项要求开具相应增值税专用发票，保证增值税税额符合法律规定。</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bidi="ar"/>
        </w:rPr>
        <w:t>应付服务费不足以扣减前述费用的，乙方应就不足的部分在</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运营项目发出通知后7日内向</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运营项目支付。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highlight w:val="none"/>
        </w:rPr>
        <w:t>5、</w:t>
      </w:r>
      <w:r>
        <w:rPr>
          <w:rFonts w:hint="eastAsia" w:ascii="宋体" w:hAnsi="宋体" w:eastAsia="宋体" w:cs="宋体"/>
          <w:color w:val="auto"/>
          <w:sz w:val="21"/>
          <w:szCs w:val="21"/>
          <w:highlight w:val="none"/>
          <w:lang w:bidi="ar"/>
        </w:rPr>
        <w:t>本次服务采购各个</w:t>
      </w:r>
      <w:r>
        <w:rPr>
          <w:rFonts w:hint="eastAsia" w:ascii="宋体" w:hAnsi="宋体" w:eastAsia="宋体" w:cs="宋体"/>
          <w:color w:val="auto"/>
          <w:sz w:val="21"/>
          <w:szCs w:val="21"/>
          <w:highlight w:val="none"/>
          <w:lang w:val="en-US" w:eastAsia="zh-CN" w:bidi="ar"/>
        </w:rPr>
        <w:t>运营</w:t>
      </w:r>
      <w:r>
        <w:rPr>
          <w:rFonts w:hint="eastAsia" w:ascii="宋体" w:hAnsi="宋体" w:eastAsia="宋体" w:cs="宋体"/>
          <w:color w:val="auto"/>
          <w:sz w:val="21"/>
          <w:szCs w:val="21"/>
          <w:highlight w:val="none"/>
          <w:lang w:bidi="ar"/>
        </w:rPr>
        <w:t>项目服务费用按照单个</w:t>
      </w:r>
      <w:r>
        <w:rPr>
          <w:rFonts w:hint="eastAsia" w:ascii="宋体" w:hAnsi="宋体" w:eastAsia="宋体" w:cs="宋体"/>
          <w:color w:val="auto"/>
          <w:sz w:val="21"/>
          <w:szCs w:val="21"/>
          <w:highlight w:val="none"/>
          <w:lang w:val="en-US" w:eastAsia="zh-CN" w:bidi="ar"/>
        </w:rPr>
        <w:t>运营</w:t>
      </w:r>
      <w:r>
        <w:rPr>
          <w:rFonts w:hint="eastAsia" w:ascii="宋体" w:hAnsi="宋体" w:eastAsia="宋体" w:cs="宋体"/>
          <w:color w:val="auto"/>
          <w:sz w:val="21"/>
          <w:szCs w:val="21"/>
          <w:highlight w:val="none"/>
          <w:lang w:bidi="ar"/>
        </w:rPr>
        <w:t>项目结算，</w:t>
      </w:r>
      <w:r>
        <w:rPr>
          <w:rFonts w:hint="eastAsia" w:ascii="宋体" w:hAnsi="宋体" w:eastAsia="宋体" w:cs="宋体"/>
          <w:color w:val="auto"/>
          <w:sz w:val="21"/>
          <w:szCs w:val="21"/>
          <w:highlight w:val="none"/>
          <w:lang w:val="en-US" w:eastAsia="zh-CN" w:bidi="ar"/>
        </w:rPr>
        <w:t>服务</w:t>
      </w:r>
      <w:r>
        <w:rPr>
          <w:rFonts w:hint="eastAsia" w:ascii="宋体" w:hAnsi="宋体" w:eastAsia="宋体" w:cs="宋体"/>
          <w:color w:val="auto"/>
          <w:sz w:val="21"/>
          <w:szCs w:val="21"/>
          <w:highlight w:val="none"/>
          <w:lang w:bidi="ar"/>
        </w:rPr>
        <w:t>费用以实际清洗数量为准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即服务费用=单个膜组件综合单价×膜组件清洗数量。同时服务</w:t>
      </w:r>
      <w:r>
        <w:rPr>
          <w:rFonts w:hint="eastAsia" w:ascii="宋体" w:hAnsi="宋体" w:eastAsia="宋体" w:cs="宋体"/>
          <w:color w:val="auto"/>
          <w:sz w:val="21"/>
          <w:szCs w:val="21"/>
          <w:highlight w:val="none"/>
          <w:lang w:bidi="ar"/>
        </w:rPr>
        <w:t>费用</w:t>
      </w:r>
      <w:r>
        <w:rPr>
          <w:rFonts w:hint="eastAsia" w:ascii="宋体" w:hAnsi="宋体" w:eastAsia="宋体" w:cs="宋体"/>
          <w:color w:val="auto"/>
          <w:sz w:val="21"/>
          <w:szCs w:val="21"/>
          <w:highlight w:val="none"/>
          <w:lang w:val="en-US" w:eastAsia="zh-CN" w:bidi="ar"/>
        </w:rPr>
        <w:t>还</w:t>
      </w:r>
      <w:r>
        <w:rPr>
          <w:rFonts w:hint="eastAsia" w:ascii="宋体" w:hAnsi="宋体" w:eastAsia="宋体" w:cs="宋体"/>
          <w:color w:val="auto"/>
          <w:sz w:val="21"/>
          <w:szCs w:val="21"/>
          <w:highlight w:val="none"/>
          <w:lang w:bidi="ar"/>
        </w:rPr>
        <w:t>将结合</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各</w:t>
      </w:r>
      <w:r>
        <w:rPr>
          <w:rFonts w:hint="eastAsia" w:ascii="宋体" w:hAnsi="宋体" w:eastAsia="宋体" w:cs="宋体"/>
          <w:color w:val="auto"/>
          <w:sz w:val="21"/>
          <w:szCs w:val="21"/>
          <w:highlight w:val="none"/>
          <w:lang w:val="en-US" w:eastAsia="zh-CN" w:bidi="ar"/>
        </w:rPr>
        <w:t>运营项目</w:t>
      </w:r>
      <w:r>
        <w:rPr>
          <w:rFonts w:hint="eastAsia" w:ascii="宋体" w:hAnsi="宋体" w:eastAsia="宋体" w:cs="宋体"/>
          <w:color w:val="auto"/>
          <w:sz w:val="21"/>
          <w:szCs w:val="21"/>
          <w:highlight w:val="none"/>
          <w:lang w:bidi="ar"/>
        </w:rPr>
        <w:t>对</w:t>
      </w:r>
      <w:r>
        <w:rPr>
          <w:rFonts w:hint="eastAsia" w:ascii="宋体" w:hAnsi="宋体" w:eastAsia="宋体" w:cs="宋体"/>
          <w:color w:val="auto"/>
          <w:sz w:val="21"/>
          <w:szCs w:val="21"/>
          <w:highlight w:val="none"/>
          <w:lang w:val="en-US" w:eastAsia="zh-CN" w:bidi="ar"/>
        </w:rPr>
        <w:t>乙方</w:t>
      </w:r>
      <w:r>
        <w:rPr>
          <w:rFonts w:hint="eastAsia" w:ascii="宋体" w:hAnsi="宋体" w:eastAsia="宋体" w:cs="宋体"/>
          <w:color w:val="auto"/>
          <w:sz w:val="21"/>
          <w:szCs w:val="21"/>
          <w:highlight w:val="none"/>
          <w:lang w:bidi="ar"/>
        </w:rPr>
        <w:t>的履约评价表的评分情况进行结算。</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在乙方完成所有服务内容后，对乙方进行履约评价，当乙方的服务考核评分达到80分或以上的，本项目的服务费用全额支付；当乙方的服务考核评分分数低于80分、达到60分时，按所得分数与满分的百分比计算本项目的服务费用；当乙方的服务考核评分分数低于60分时，</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val="en-US" w:eastAsia="zh-CN"/>
        </w:rPr>
        <w:t>运营项目</w:t>
      </w:r>
      <w:r>
        <w:rPr>
          <w:rFonts w:hint="eastAsia" w:ascii="宋体" w:hAnsi="宋体" w:eastAsia="宋体" w:cs="宋体"/>
          <w:color w:val="auto"/>
          <w:sz w:val="21"/>
          <w:szCs w:val="21"/>
          <w:highlight w:val="none"/>
          <w:lang w:bidi="ar"/>
        </w:rPr>
        <w:t>只需支付本项目服务费用的30%，且</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有权单方解除合同。</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bCs/>
          <w:color w:val="auto"/>
          <w:sz w:val="21"/>
          <w:highlight w:val="none"/>
        </w:rPr>
        <w:t>6、</w:t>
      </w:r>
      <w:r>
        <w:rPr>
          <w:rFonts w:hint="eastAsia" w:ascii="宋体" w:hAnsi="宋体" w:eastAsia="宋体" w:cs="宋体"/>
          <w:color w:val="auto"/>
          <w:sz w:val="21"/>
          <w:szCs w:val="21"/>
          <w:highlight w:val="none"/>
          <w:lang w:bidi="ar"/>
        </w:rPr>
        <w:t>乙方完成所有服务工作并经</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运营项目最终验收</w:t>
      </w:r>
      <w:r>
        <w:rPr>
          <w:rFonts w:hint="eastAsia" w:ascii="宋体" w:hAnsi="宋体" w:eastAsia="宋体" w:cs="宋体"/>
          <w:color w:val="auto"/>
          <w:sz w:val="21"/>
          <w:szCs w:val="21"/>
          <w:highlight w:val="none"/>
          <w:lang w:val="en-US" w:eastAsia="zh-CN" w:bidi="ar"/>
        </w:rPr>
        <w:t>合</w:t>
      </w:r>
      <w:r>
        <w:rPr>
          <w:rFonts w:hint="eastAsia" w:ascii="宋体" w:hAnsi="宋体" w:eastAsia="宋体" w:cs="宋体"/>
          <w:color w:val="auto"/>
          <w:sz w:val="21"/>
          <w:szCs w:val="21"/>
          <w:highlight w:val="none"/>
          <w:lang w:bidi="ar"/>
        </w:rPr>
        <w:t>格后，乙方向</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运营项目提交请款报告及等额、合法、有效的增值税专用发票，</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运营项目在收到前述材料并确认无误后</w:t>
      </w:r>
      <w:r>
        <w:rPr>
          <w:rFonts w:hint="eastAsia" w:ascii="宋体" w:hAnsi="宋体" w:eastAsia="宋体" w:cs="宋体"/>
          <w:color w:val="auto"/>
          <w:sz w:val="21"/>
          <w:szCs w:val="21"/>
          <w:highlight w:val="none"/>
          <w:lang w:val="en-US" w:eastAsia="zh-CN" w:bidi="ar"/>
        </w:rPr>
        <w:t>30</w:t>
      </w:r>
      <w:r>
        <w:rPr>
          <w:rFonts w:hint="eastAsia" w:ascii="宋体" w:hAnsi="宋体" w:eastAsia="宋体" w:cs="宋体"/>
          <w:color w:val="auto"/>
          <w:sz w:val="21"/>
          <w:szCs w:val="21"/>
          <w:highlight w:val="none"/>
          <w:lang w:bidi="ar"/>
        </w:rPr>
        <w:t>个工作日内，支付至</w:t>
      </w:r>
      <w:r>
        <w:rPr>
          <w:rFonts w:hint="eastAsia" w:ascii="宋体" w:hAnsi="宋体" w:eastAsia="宋体" w:cs="宋体"/>
          <w:color w:val="auto"/>
          <w:sz w:val="21"/>
          <w:szCs w:val="21"/>
          <w:highlight w:val="none"/>
          <w:lang w:val="en-US" w:eastAsia="zh-CN" w:bidi="ar"/>
        </w:rPr>
        <w:t>结算</w:t>
      </w:r>
      <w:r>
        <w:rPr>
          <w:rFonts w:hint="eastAsia" w:ascii="宋体" w:hAnsi="宋体" w:eastAsia="宋体" w:cs="宋体"/>
          <w:color w:val="auto"/>
          <w:sz w:val="21"/>
          <w:szCs w:val="21"/>
          <w:highlight w:val="none"/>
          <w:lang w:bidi="ar"/>
        </w:rPr>
        <w:t>价的100%及对应的税额给乙方。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逾期提交请款材料及增值税专用发票或提交材料及增值税专用发票不符合甲方要求的，甲方有权顺延支付相应款项，并不承担逾期付款的违约责任，由于乙方提供的发票不符合税法规定，给甲方造成的损失由乙方承担赔偿责任，乙方不得以此延迟而拒绝履行合同义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8、乙方指定收款账户：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户名：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开户行：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关。</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9、支付方式：支付方式为银行转账或银行承兑汇票，汇票期限不超过三个月，每期款项支付方式由甲方决定。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在合同的履行期间，乙方应按合同约定为甲方提供服务，如乙方被取消服务资格的，由此给甲方造成的一切损失（包括但不限于再行采购的费用、委托第三方继续履行时超出本合同费用部分的溢价等）由乙方承担。</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履约担保</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履约保证金（银行转账形式）金额为¥     元，大写人民币      ；</w:t>
      </w:r>
    </w:p>
    <w:p>
      <w:pPr>
        <w:adjustRightInd/>
        <w:spacing w:line="360" w:lineRule="auto"/>
        <w:ind w:firstLine="371" w:firstLineChars="177"/>
        <w:rPr>
          <w:rFonts w:hint="eastAsia" w:ascii="宋体" w:hAnsi="宋体" w:eastAsia="宋体" w:cs="宋体"/>
          <w:color w:val="auto"/>
          <w:sz w:val="21"/>
          <w:szCs w:val="21"/>
          <w:highlight w:val="none"/>
          <w:u w:val="single"/>
        </w:rPr>
      </w:pPr>
      <w:bookmarkStart w:id="574" w:name="_Hlk32915973"/>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不可撤销银行履约保函金额为¥     元，大写人民币      </w:t>
      </w:r>
      <w:bookmarkEnd w:id="574"/>
      <w:r>
        <w:rPr>
          <w:rFonts w:hint="eastAsia" w:ascii="宋体" w:hAnsi="宋体" w:eastAsia="宋体" w:cs="宋体"/>
          <w:color w:val="auto"/>
          <w:sz w:val="21"/>
          <w:szCs w:val="21"/>
          <w:highlight w:val="none"/>
          <w:u w:val="single"/>
        </w:rPr>
        <w:t>；</w:t>
      </w:r>
    </w:p>
    <w:p>
      <w:pPr>
        <w:pStyle w:val="2"/>
        <w:spacing w:line="360" w:lineRule="auto"/>
        <w:ind w:firstLine="371" w:firstLineChars="177"/>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single"/>
          <w:lang w:val="en-US"/>
        </w:rPr>
        <w:t xml:space="preserve">履约保证保险金额为¥     元，大写人民币      </w:t>
      </w:r>
      <w:r>
        <w:rPr>
          <w:rFonts w:hint="eastAsia" w:ascii="宋体" w:hAnsi="宋体" w:eastAsia="宋体" w:cs="宋体"/>
          <w:b w:val="0"/>
          <w:bCs w:val="0"/>
          <w:color w:val="auto"/>
          <w:sz w:val="21"/>
          <w:szCs w:val="21"/>
          <w:highlight w:val="none"/>
          <w:u w:val="single"/>
          <w:lang w:val="en-US" w:eastAsia="zh-CN"/>
        </w:rPr>
        <w:t>；</w:t>
      </w:r>
    </w:p>
    <w:p>
      <w:pPr>
        <w:pStyle w:val="2"/>
        <w:spacing w:line="360" w:lineRule="auto"/>
        <w:ind w:firstLine="371" w:firstLineChars="177"/>
        <w:jc w:val="left"/>
        <w:rPr>
          <w:rFonts w:hint="eastAsia" w:ascii="宋体" w:hAnsi="宋体" w:eastAsia="宋体" w:cs="宋体"/>
          <w:b w:val="0"/>
          <w:bCs w:val="0"/>
          <w:color w:val="auto"/>
          <w:sz w:val="21"/>
          <w:szCs w:val="21"/>
          <w:highlight w:val="none"/>
          <w:u w:val="single"/>
          <w:lang w:val="en-US"/>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single"/>
          <w:lang w:val="en-US"/>
        </w:rPr>
        <w:t>担保公司履约担保书金额为¥     元，大写人民币      。</w:t>
      </w:r>
    </w:p>
    <w:p>
      <w:pPr>
        <w:snapToGrid w:val="0"/>
        <w:spacing w:line="360" w:lineRule="auto"/>
        <w:ind w:firstLine="371" w:firstLineChars="177"/>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合同履行过程中，乙方给甲方造成的损失超过履约担保数额的，乙方还应当对超过部分予以赔偿，甲方并依法追究乙方的相应责任</w:t>
      </w:r>
      <w:r>
        <w:rPr>
          <w:rFonts w:hint="eastAsia" w:ascii="宋体" w:hAnsi="宋体" w:eastAsia="宋体" w:cs="宋体"/>
          <w:color w:val="auto"/>
          <w:szCs w:val="21"/>
          <w:highlight w:val="none"/>
          <w:lang w:eastAsia="zh-CN"/>
        </w:rPr>
        <w:t>。</w:t>
      </w:r>
    </w:p>
    <w:p>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2、履约担保用于补偿甲方因乙方不能完成其合同义务而蒙受的损失或其他合同约定的事项。如发生下列任一情况时，甲方有权依合同追究违约责任外，同时有权提取履约担保并进行相应处理：</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通知或要求承担违约金后仍拒不改正的，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可依法没收或适当扣除其履约担保。</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甲方人员人身财产损失、第三人人身财产损失等）、与其所雇用员工发生劳资纠纷、上访、闹事或其他影响甲方生产经营等情况而其未及时妥善处理的，甲方有权使用履约担保予以支付或作出相应处理，由此产生的一切法律后果由乙方承担。</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（6）其他根据本合同约定或法律规定，甲方可启用履约担保的情形。</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乙方以履约保证金（银行转账形式）提供履约担保的，在合同期限届满并且乙方完成本合同及本合同下所有补充协议的全部服务义务，甲方向乙方支付全部款项二十八（28）日后，经甲方确认，乙方可向甲方提交退回履约担保的申请</w:t>
      </w:r>
      <w:r>
        <w:rPr>
          <w:rFonts w:hint="eastAsia" w:ascii="宋体" w:hAnsi="宋体" w:eastAsia="宋体" w:cs="宋体"/>
          <w:color w:val="auto"/>
          <w:sz w:val="21"/>
          <w:szCs w:val="21"/>
          <w:highlight w:val="none"/>
        </w:rPr>
        <w:t>。甲方审核无异议后，办理履约担保退还手续，退回时一律以银行转账的形式无息退回到乙方的账户。</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乙方提供不可撤销银行履约保函（或履约保证保险或担保公司履约担保书）作为履约担保的，不可撤销银行履约保函（或履约保证保险或担保公司履约担保书）应从合同签订之日起(或签订合同前)至合同期限届满并完成合同及补充协议项下全部服务义务，甲方向乙方支付全部款项后二十八(28)日内保持有效。如不可撤销银行履约保函（或履约保证保险或担保公司履约担保书）到期时乙方尚未完成合同及补充协议项下全部服务义务或甲方未支付全部款项,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pPr>
        <w:spacing w:line="360" w:lineRule="auto"/>
        <w:ind w:firstLine="422" w:firstLineChars="200"/>
        <w:rPr>
          <w:rFonts w:hint="eastAsia" w:ascii="宋体" w:hAnsi="宋体" w:eastAsia="宋体" w:cs="宋体"/>
          <w:b/>
          <w:color w:val="auto"/>
          <w:sz w:val="21"/>
          <w:szCs w:val="21"/>
          <w:highlight w:val="none"/>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 xml:space="preserve">第七条 </w:t>
      </w:r>
      <w:r>
        <w:rPr>
          <w:rFonts w:hint="eastAsia" w:ascii="宋体" w:hAnsi="宋体" w:eastAsia="宋体" w:cs="宋体"/>
          <w:b/>
          <w:bCs/>
          <w:color w:val="auto"/>
          <w:sz w:val="21"/>
          <w:szCs w:val="21"/>
          <w:highlight w:val="none"/>
        </w:rPr>
        <w:t>违约责任</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1、乙方未在合同工期内完成清洗服务，并经甲方最终验收合格的，每逾期一日，应按合同第五条第三点的价税合计合同暂定总价的5‰向甲方支付违约金。乙方逾期超过_</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_日的，甲方可单方解除本合同，无论甲方是否单方解除本合同，乙方除支付前述逾期违约金外，还应按合同第五条第三点的价税合计合同暂定总价的5%向甲方支付赔偿金。该部分金额不足以弥补甲方损失的，甲方还有权另行追偿。</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2、项目经甲方验收不合格，由乙方返工，乙方未能在合同工期内完成并经甲方验收合格的，视为乙方未能在合同工期内完成清洗服务，由乙方按本合同第七条第一款的约定承担违约责任。</w:t>
      </w:r>
      <w:r>
        <w:rPr>
          <w:rFonts w:hint="eastAsia" w:ascii="宋体" w:hAnsi="宋体" w:eastAsia="宋体" w:cs="宋体"/>
          <w:b/>
          <w:color w:val="auto"/>
          <w:sz w:val="21"/>
          <w:szCs w:val="21"/>
          <w:highlight w:val="none"/>
        </w:rPr>
        <w:t>若项目连续两次经甲方验收不合格的，甲方有权单方解除本合同，另行委托其他清洗单位，由此带来的一切损失由乙方承担，乙方还应额外按合同第五条第三点的价税合计合同暂定总价的5%向甲方支付违约金。</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在乙方完成所有服务内容后，对乙方进行履约评价，当乙方的服务考核评分达到80分或以上的，本项目的服务费用全额支付；当乙方的服务考核评分分数低于80分、达到60分时，按所得分数与满分的百分比计算本项目的服务费用；当乙方的服务考核评分分数低于60分时，</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运营项目只需支付本项目服务费用的30%，且</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有权单方解除合同</w:t>
      </w:r>
      <w:r>
        <w:rPr>
          <w:rFonts w:hint="eastAsia" w:ascii="宋体" w:hAnsi="宋体" w:eastAsia="宋体" w:cs="宋体"/>
          <w:b/>
          <w:color w:val="auto"/>
          <w:sz w:val="21"/>
          <w:szCs w:val="21"/>
          <w:highlight w:val="none"/>
        </w:rPr>
        <w:t>，由此带来的一切损失由乙方承担，乙方还应额外按合同第五条第三点的价税合计合同暂定总价的5%向甲方支付违约金</w:t>
      </w:r>
      <w:r>
        <w:rPr>
          <w:rFonts w:hint="eastAsia" w:ascii="宋体" w:hAnsi="宋体" w:eastAsia="宋体" w:cs="宋体"/>
          <w:color w:val="auto"/>
          <w:sz w:val="21"/>
          <w:szCs w:val="21"/>
          <w:highlight w:val="none"/>
          <w:lang w:bidi="ar"/>
        </w:rPr>
        <w:t>。</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本合同履行过程中，乙方不得消极怠工或拒不履行合同义务，否则将视为乙方违约，甲方除可按本合同约定追究乙方违约责任外，甲方仍有权就违约事宜提出改正，如乙方在甲方限期内仍未完成整改的，甲方有权单方解除合同，要求乙方按合同</w:t>
      </w:r>
      <w:r>
        <w:rPr>
          <w:rFonts w:hint="eastAsia" w:ascii="宋体" w:hAnsi="宋体" w:eastAsia="宋体" w:cs="宋体"/>
          <w:b/>
          <w:color w:val="auto"/>
          <w:sz w:val="21"/>
          <w:szCs w:val="21"/>
          <w:highlight w:val="none"/>
        </w:rPr>
        <w:t>第五条第三点的价税合计合同暂定总价</w:t>
      </w:r>
      <w:r>
        <w:rPr>
          <w:rFonts w:hint="eastAsia" w:ascii="宋体" w:hAnsi="宋体" w:eastAsia="宋体" w:cs="宋体"/>
          <w:color w:val="auto"/>
          <w:sz w:val="21"/>
          <w:szCs w:val="21"/>
          <w:highlight w:val="none"/>
        </w:rPr>
        <w:t>的5%支付违约金或没收履约担保，并有权依法委托有资质的第三方继续履行本合同义务，由此造成的一切损失（包括但不限于再行采购的费用、委托第三人继续履行时超出本合同费用部分等）由乙方全部承担。</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6、甲方按本合同约定单方解除合同的，乙方应在收到单方解除合同书面通知之日起30日内与甲方共同确认已完成的工作量及金额，未经甲乙双方共同确认的工作量不得再要求结算。</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车辆在甲方运营项目厂区行驶时，必须严格遵守厂区道路限行，限速和限重要求，如因乙方未遵守前述要求，对厂区/甲方（含其人员）、乙方人员、第三方造成损失的，因此产生的相关法律责任均由乙方自行承担。</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8、在本合同履行期限内，乙方未经甲方书面同意即将本合同约定项下的全部项目或部分项目转包给第三方的，甲方有权单方解除本合同且要求乙方按合同总额的【20】%承担违约责任。</w:t>
      </w:r>
    </w:p>
    <w:p>
      <w:pPr>
        <w:spacing w:line="360" w:lineRule="auto"/>
        <w:ind w:firstLine="411" w:firstLineChars="19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9、因乙方违反本合同约定产生的违约金、赔偿金或其他应付费用等款项的，甲方有权在未付合同款中直接扣除，如造成甲方损失，且实际损失高于违约金的，甲方有权另行追偿。</w:t>
      </w:r>
    </w:p>
    <w:p>
      <w:pPr>
        <w:spacing w:line="360" w:lineRule="auto"/>
        <w:ind w:firstLine="422" w:firstLineChars="200"/>
        <w:rPr>
          <w:rFonts w:hint="eastAsia" w:ascii="宋体" w:hAnsi="宋体" w:eastAsia="宋体" w:cs="宋体"/>
          <w:b/>
          <w:bCs/>
          <w:color w:val="auto"/>
          <w:sz w:val="21"/>
          <w:szCs w:val="21"/>
          <w:highlight w:val="none"/>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 权利保证</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乙方应保证合同项下提供的服务及相关货物不侵犯任何第三方的专利、商标、版权以及其它权利，否则，乙方须承担因此产生的全部责任及费用，如因此造成甲方损失的，乙方应予以足额赔偿。如果任何第三方提出侵权主张，乙方须与第三方交涉并承担由此发生的一切责任、费用和经济赔偿。由于乙方提供的服务及货物的任何一部分不符合知识产权规定，由乙方承担因此给甲方造成的全部损失，包括但不限于本合同所约定的总价款、甲方为维护自身权益所支付的律师费、诉讼费、鉴定费、差旅费等全部费用。</w:t>
      </w:r>
    </w:p>
    <w:p>
      <w:pPr>
        <w:spacing w:line="360" w:lineRule="auto"/>
        <w:ind w:firstLine="422" w:firstLineChars="200"/>
        <w:rPr>
          <w:rFonts w:hint="eastAsia" w:ascii="宋体" w:hAnsi="宋体" w:eastAsia="宋体" w:cs="宋体"/>
          <w:b/>
          <w:bCs/>
          <w:color w:val="auto"/>
          <w:sz w:val="21"/>
          <w:szCs w:val="21"/>
          <w:highlight w:val="none"/>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 不可抗力</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 7 日内，提供政府相关部门出具的证明文件。如果不可抗力事件发生后，乙方不能按甲方的最迟完工期完工，则甲方有权单方解除本合同并不承担任何责任。</w:t>
      </w:r>
    </w:p>
    <w:p>
      <w:pPr>
        <w:spacing w:line="360" w:lineRule="auto"/>
        <w:rPr>
          <w:rFonts w:hint="eastAsia" w:ascii="宋体" w:hAnsi="宋体" w:eastAsia="宋体" w:cs="宋体"/>
          <w:b/>
          <w:color w:val="auto"/>
          <w:sz w:val="21"/>
          <w:szCs w:val="21"/>
          <w:highlight w:val="none"/>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送达地址及送达地址的约定</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1.本单位 / 人确认并声明以下送达信息为本单位负责人（代理人） / 本人所提供，且为协议项下所涉债务催收、诉讼（仲裁）法律文书送达地址和联系方式：</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甲方：送达地址：                 收件人（或代收人）：</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电子邮箱：</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乙方：送达地址：                 收件人（或代收人）：</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电子邮箱：</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双方或人民法院按上述送达地址向对方邮寄、发送相关文书时，若发生送达不成情形（包括但不限于收件人身份不明、无人签收、地址不详、地址搬迁、长期未自取、电子数据被退回、拒收等），以文书退回之日视为送达之日；按上述邮寄地址直接送达文书时，若发生送达不成情形（包括但不限于无人签收、地址不详、地址搬迁、拒收等），可以采用留置或张贴文书的方式送达，以留置或张贴文书之日视为送达之日。</w:t>
      </w:r>
    </w:p>
    <w:p>
      <w:pPr>
        <w:spacing w:line="360" w:lineRule="auto"/>
        <w:ind w:firstLine="422" w:firstLineChars="200"/>
        <w:rPr>
          <w:rFonts w:hint="eastAsia" w:ascii="宋体" w:hAnsi="宋体" w:eastAsia="宋体" w:cs="宋体"/>
          <w:b/>
          <w:bCs/>
          <w:color w:val="auto"/>
          <w:sz w:val="21"/>
          <w:szCs w:val="21"/>
          <w:highlight w:val="none"/>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 争议解决</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双方因合同履行相关事宜发生争议的，由双方友好协商解决，若协商不成，任何一方有权向甲方住所地有管辖权的人民法院提出诉讼解决。</w:t>
      </w:r>
    </w:p>
    <w:p>
      <w:pPr>
        <w:pStyle w:val="2"/>
        <w:jc w:val="left"/>
        <w:rPr>
          <w:rFonts w:hint="eastAsia" w:ascii="宋体" w:hAnsi="宋体" w:eastAsia="宋体" w:cs="宋体"/>
          <w:color w:val="auto"/>
          <w:sz w:val="21"/>
          <w:szCs w:val="21"/>
          <w:highlight w:val="none"/>
          <w:lang w:val="en-US"/>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 补充说明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1、本合同如有未尽事宜，由甲、乙双方签订补充协议，补充协议与本合同具有同等的法律效力。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2、合同所有附件及本项目的招标文件、答疑文件、投标文件、补充通知及相关承诺、协议等均为本合同有效组成部分，与本合同同具法律效力，该等文件与本合同正文约定不一致的，以有利于甲方的约定为准。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份，招标代理机构执壹份，均具有同等效力。本合同经双方法定代表人或负责人签名并盖章后生效。</w:t>
      </w:r>
    </w:p>
    <w:p>
      <w:pPr>
        <w:spacing w:line="360" w:lineRule="auto"/>
        <w:ind w:firstLine="422" w:firstLineChars="200"/>
        <w:rPr>
          <w:rFonts w:hint="eastAsia" w:ascii="宋体" w:hAnsi="宋体" w:eastAsia="宋体" w:cs="宋体"/>
          <w:b/>
          <w:color w:val="auto"/>
          <w:sz w:val="21"/>
          <w:szCs w:val="21"/>
          <w:highlight w:val="none"/>
        </w:rPr>
      </w:pP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附件1：供应商履约评价表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：清洗人员配置情况承诺书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：廉洁协议书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：安全生产管理协议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：用户需求书</w:t>
      </w:r>
    </w:p>
    <w:p>
      <w:pPr>
        <w:spacing w:line="360" w:lineRule="auto"/>
        <w:ind w:firstLine="420"/>
        <w:rPr>
          <w:rFonts w:hint="eastAsia" w:ascii="宋体" w:hAnsi="宋体" w:eastAsia="宋体" w:cs="宋体"/>
          <w:b/>
          <w:bCs/>
          <w:color w:val="auto"/>
          <w:sz w:val="21"/>
          <w:szCs w:val="21"/>
          <w:highlight w:val="none"/>
        </w:rPr>
      </w:pPr>
    </w:p>
    <w:p>
      <w:pPr>
        <w:spacing w:line="360" w:lineRule="auto"/>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（以下无正文）</w:t>
      </w:r>
    </w:p>
    <w:p>
      <w:pPr>
        <w:rPr>
          <w:rFonts w:hint="eastAsia" w:ascii="宋体" w:hAnsi="宋体" w:eastAsia="宋体" w:cs="宋体"/>
          <w:bCs/>
          <w:color w:val="auto"/>
          <w:sz w:val="21"/>
          <w:szCs w:val="21"/>
          <w:highlight w:val="none"/>
        </w:rPr>
      </w:pP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                                     乙方：</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法定代表（或负责）人：                     法定代表（或负责）人：</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                                     地址：</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联系电话：</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签订日期：                               </w:t>
      </w:r>
    </w:p>
    <w:p>
      <w:pPr>
        <w:ind w:firstLine="420" w:firstLineChars="200"/>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7" w:h="16839"/>
          <w:pgMar w:top="1418" w:right="1418" w:bottom="1418" w:left="1418" w:header="720" w:footer="1005" w:gutter="0"/>
          <w:cols w:space="720" w:num="1"/>
          <w:titlePg/>
          <w:docGrid w:linePitch="326" w:charSpace="0"/>
        </w:sectPr>
      </w:pPr>
      <w:r>
        <w:rPr>
          <w:rFonts w:hint="eastAsia" w:ascii="宋体" w:hAnsi="宋体" w:eastAsia="宋体" w:cs="宋体"/>
          <w:bCs/>
          <w:color w:val="auto"/>
          <w:sz w:val="21"/>
          <w:szCs w:val="21"/>
          <w:highlight w:val="none"/>
        </w:rPr>
        <w:t>本合同签订于广东省东莞市</w:t>
      </w:r>
    </w:p>
    <w:p>
      <w:pPr>
        <w:pageBreakBefore/>
        <w:tabs>
          <w:tab w:val="left" w:pos="567"/>
        </w:tabs>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附件1：供应商履约评价表</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供应商履约评价表</w:t>
      </w:r>
    </w:p>
    <w:tbl>
      <w:tblPr>
        <w:tblStyle w:val="36"/>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284"/>
        <w:gridCol w:w="2134"/>
        <w:gridCol w:w="1522"/>
        <w:gridCol w:w="809"/>
        <w:gridCol w:w="1887"/>
        <w:gridCol w:w="647"/>
        <w:gridCol w:w="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合同名称</w:t>
            </w:r>
          </w:p>
        </w:tc>
        <w:tc>
          <w:tcPr>
            <w:tcW w:w="8572"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合同编号</w:t>
            </w:r>
          </w:p>
        </w:tc>
        <w:tc>
          <w:tcPr>
            <w:tcW w:w="8572"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甲方（委托方）名称</w:t>
            </w:r>
          </w:p>
        </w:tc>
        <w:tc>
          <w:tcPr>
            <w:tcW w:w="8572"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w:t>
            </w:r>
            <w:r>
              <w:rPr>
                <w:rFonts w:hint="eastAsia" w:ascii="宋体" w:hAnsi="宋体" w:eastAsia="宋体" w:cs="宋体"/>
                <w:color w:val="auto"/>
                <w:sz w:val="21"/>
                <w:szCs w:val="21"/>
                <w:highlight w:val="none"/>
              </w:rPr>
              <w:t>名称</w:t>
            </w:r>
          </w:p>
        </w:tc>
        <w:tc>
          <w:tcPr>
            <w:tcW w:w="8572"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服务类型</w:t>
            </w:r>
          </w:p>
        </w:tc>
        <w:tc>
          <w:tcPr>
            <w:tcW w:w="8572"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2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履约评价项目</w:t>
            </w:r>
          </w:p>
        </w:tc>
        <w:tc>
          <w:tcPr>
            <w:tcW w:w="365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评价标准</w:t>
            </w:r>
          </w:p>
        </w:tc>
        <w:tc>
          <w:tcPr>
            <w:tcW w:w="26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评分说明</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实得分</w:t>
            </w:r>
          </w:p>
        </w:tc>
        <w:tc>
          <w:tcPr>
            <w:tcW w:w="92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（该项分值60%的分数）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2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服务质量</w:t>
            </w:r>
          </w:p>
        </w:tc>
        <w:tc>
          <w:tcPr>
            <w:tcW w:w="3656"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 w:val="21"/>
                <w:szCs w:val="21"/>
                <w:highlight w:val="none"/>
              </w:rPr>
              <w:t>膜组件需彻底清洗干净，组件框架及膜丝干净清洁，膜丝呈自然松动状态；</w:t>
            </w:r>
          </w:p>
          <w:p>
            <w:pPr>
              <w:keepNext w:val="0"/>
              <w:keepLines w:val="0"/>
              <w:pageBreakBefore w:val="0"/>
              <w:widowControl/>
              <w:numPr>
                <w:ilvl w:val="255"/>
                <w:numId w:val="0"/>
              </w:numPr>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（2）各膜帘清洗干净后原位装配回膜组件；</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（3）膜组件在清洗全过程中膜丝需保持湿润，避免晾干、太阳直晒；</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（4）施工过程中，严禁发生人为原因导致膜组件二次损坏。</w:t>
            </w:r>
          </w:p>
        </w:tc>
        <w:tc>
          <w:tcPr>
            <w:tcW w:w="26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达到标准的得满分，（1）-（3）项未达到标准的扣3分/次，（4）项未达到标准扣5分/次。</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92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2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工作成果交付时间</w:t>
            </w:r>
          </w:p>
        </w:tc>
        <w:tc>
          <w:tcPr>
            <w:tcW w:w="365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（1）按甲方整体进度要求开展相关工作；</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（2）按甲方确定的时间节点，每阶段按时完成阶段性成果；</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（3）按时完成清洗工作。</w:t>
            </w:r>
          </w:p>
        </w:tc>
        <w:tc>
          <w:tcPr>
            <w:tcW w:w="26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达到标准的得满分，每次有一项未达到标准的扣3分。</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92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2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工作配合</w:t>
            </w:r>
          </w:p>
        </w:tc>
        <w:tc>
          <w:tcPr>
            <w:tcW w:w="365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（1）按甲方要求，完成膜组件的清洗、拆装、安装、浸洗工作；</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（2）按照运营实际情况调整工作进度。</w:t>
            </w:r>
          </w:p>
        </w:tc>
        <w:tc>
          <w:tcPr>
            <w:tcW w:w="26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达到标准的得满分，每次有一项未达到标准的扣2分。</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92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2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人员素质及能力</w:t>
            </w:r>
          </w:p>
        </w:tc>
        <w:tc>
          <w:tcPr>
            <w:tcW w:w="365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（1）服务队伍稳定，人员充足、专业性强，充分配合甲方服务需求；</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（2）对接人员与甲方沟通良好、理解到位、执行力强，能及时发现、解决问题，并未雨绸缪地因应各项目服务情况提供合理化的建议；</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（3）未出现推诿，借故不肯签署合同规定的文件或者敷衍了事、置之不理等情况。</w:t>
            </w:r>
          </w:p>
        </w:tc>
        <w:tc>
          <w:tcPr>
            <w:tcW w:w="26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达到标准的得满分，每次有一项未达到标准的扣2分。</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92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284"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w:t>
            </w:r>
          </w:p>
        </w:tc>
        <w:tc>
          <w:tcPr>
            <w:tcW w:w="365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（1）在接到甲方派单通知后及时回复，响应速度快；</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（2）工作流程完善，售后服务跟踪到位；</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（3）无条件积极配合甲方、积极协助甲方</w:t>
            </w:r>
            <w:r>
              <w:rPr>
                <w:rFonts w:hint="eastAsia" w:ascii="宋体" w:hAnsi="宋体" w:eastAsia="宋体" w:cs="宋体"/>
                <w:color w:val="auto"/>
                <w:sz w:val="21"/>
                <w:szCs w:val="21"/>
                <w:highlight w:val="none"/>
              </w:rPr>
              <w:t>接受政府管理部门的检查工作及提供各类资质证明材料（如需）。</w:t>
            </w:r>
          </w:p>
        </w:tc>
        <w:tc>
          <w:tcPr>
            <w:tcW w:w="2696"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达到标准的得满分，每次有一项未达到标准的扣2分。</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92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48" w:type="dxa"/>
            <w:gridSpan w:val="6"/>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100</w:t>
            </w:r>
          </w:p>
        </w:tc>
        <w:tc>
          <w:tcPr>
            <w:tcW w:w="647"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p>
        </w:tc>
        <w:tc>
          <w:tcPr>
            <w:tcW w:w="926"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930" w:type="dxa"/>
            <w:gridSpan w:val="3"/>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评审结论</w:t>
            </w:r>
          </w:p>
        </w:tc>
        <w:tc>
          <w:tcPr>
            <w:tcW w:w="6438" w:type="dxa"/>
            <w:gridSpan w:val="6"/>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□每项实得分均不低于该项分值60%的，评审结论合格</w:t>
            </w:r>
          </w:p>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□评审结论不合格，说明：</w:t>
            </w:r>
            <w:r>
              <w:rPr>
                <w:rFonts w:hint="eastAsia" w:ascii="宋体" w:hAnsi="宋体" w:eastAsia="宋体" w:cs="宋体"/>
                <w:bCs/>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930" w:type="dxa"/>
            <w:gridSpan w:val="3"/>
            <w:vMerge w:val="restart"/>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履约评审</w:t>
            </w:r>
            <w:r>
              <w:rPr>
                <w:rFonts w:hint="eastAsia" w:ascii="宋体" w:hAnsi="宋体" w:eastAsia="宋体" w:cs="宋体"/>
                <w:bCs/>
                <w:color w:val="auto"/>
                <w:sz w:val="21"/>
                <w:szCs w:val="21"/>
                <w:highlight w:val="none"/>
                <w:lang w:eastAsia="zh-CN"/>
              </w:rPr>
              <w:t>运营项目</w:t>
            </w:r>
            <w:r>
              <w:rPr>
                <w:rFonts w:hint="eastAsia" w:ascii="宋体" w:hAnsi="宋体" w:eastAsia="宋体" w:cs="宋体"/>
                <w:color w:val="auto"/>
                <w:sz w:val="21"/>
                <w:szCs w:val="21"/>
                <w:highlight w:val="none"/>
              </w:rPr>
              <w:t>其他</w:t>
            </w:r>
            <w:r>
              <w:rPr>
                <w:rFonts w:hint="eastAsia" w:ascii="宋体" w:hAnsi="宋体" w:eastAsia="宋体" w:cs="宋体"/>
                <w:bCs/>
                <w:color w:val="auto"/>
                <w:sz w:val="21"/>
                <w:szCs w:val="21"/>
                <w:highlight w:val="none"/>
              </w:rPr>
              <w:t>意见及签署</w:t>
            </w:r>
          </w:p>
        </w:tc>
        <w:tc>
          <w:tcPr>
            <w:tcW w:w="2331"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经办人</w:t>
            </w:r>
          </w:p>
        </w:tc>
        <w:tc>
          <w:tcPr>
            <w:tcW w:w="4107" w:type="dxa"/>
            <w:gridSpan w:val="4"/>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930" w:type="dxa"/>
            <w:gridSpan w:val="3"/>
            <w:vMerge w:val="continue"/>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p>
        </w:tc>
        <w:tc>
          <w:tcPr>
            <w:tcW w:w="2331" w:type="dxa"/>
            <w:gridSpan w:val="2"/>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运营项目</w:t>
            </w:r>
            <w:r>
              <w:rPr>
                <w:rFonts w:hint="eastAsia" w:ascii="宋体" w:hAnsi="宋体" w:eastAsia="宋体" w:cs="宋体"/>
                <w:bCs/>
                <w:color w:val="auto"/>
                <w:sz w:val="21"/>
                <w:szCs w:val="21"/>
                <w:highlight w:val="none"/>
              </w:rPr>
              <w:t>负责人</w:t>
            </w:r>
          </w:p>
        </w:tc>
        <w:tc>
          <w:tcPr>
            <w:tcW w:w="4107" w:type="dxa"/>
            <w:gridSpan w:val="4"/>
            <w:vAlign w:val="center"/>
          </w:tcPr>
          <w:p>
            <w:pPr>
              <w:keepNext w:val="0"/>
              <w:keepLines w:val="0"/>
              <w:pageBreakBefore w:val="0"/>
              <w:widowControl/>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930" w:type="dxa"/>
            <w:gridSpan w:val="3"/>
            <w:vAlign w:val="center"/>
          </w:tcPr>
          <w:p>
            <w:pPr>
              <w:widowControl/>
              <w:snapToGrid w:val="0"/>
              <w:jc w:val="center"/>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u w:val="none"/>
              </w:rPr>
              <w:t>备注</w:t>
            </w:r>
          </w:p>
        </w:tc>
        <w:tc>
          <w:tcPr>
            <w:tcW w:w="6438" w:type="dxa"/>
            <w:gridSpan w:val="6"/>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本次服务结合供应商履约评价表的评分情况进行费用结算：</w:t>
            </w:r>
          </w:p>
          <w:p>
            <w:pPr>
              <w:widowControl/>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（1）当受托人的服务考核评分达到80分或以上的，服务费全额支付；</w:t>
            </w:r>
          </w:p>
          <w:p>
            <w:pPr>
              <w:widowControl/>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（2）当受托人的服务考核评分分数低于80分、达到60分时，按所得分数与满分的百分比计算服务费；</w:t>
            </w:r>
          </w:p>
          <w:p>
            <w:pPr>
              <w:widowControl/>
              <w:snapToGrid w:val="0"/>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（3）当受托人的服务考核评分分数低于60分时，委托人只需支付该合同价的30%的费用，且委托人有权单方解除合同。</w:t>
            </w:r>
          </w:p>
        </w:tc>
      </w:tr>
    </w:tbl>
    <w:p>
      <w:pPr>
        <w:rPr>
          <w:rFonts w:hint="eastAsia" w:ascii="宋体" w:hAnsi="宋体" w:eastAsia="宋体" w:cs="宋体"/>
          <w:color w:val="auto"/>
          <w:highlight w:val="none"/>
        </w:rPr>
      </w:pPr>
    </w:p>
    <w:p>
      <w:pPr>
        <w:pageBreakBefore/>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：廉洁协议书</w:t>
      </w: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廉洁协议书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 xml:space="preserve"> 东莞市水务集团净水有限公司2025年膜组件清洗服务采购项目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（招标编号：0832-SFCX24DG116C）</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甲方（业主单位）：</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甲乙双方的权利和义务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甲乙双方的廉洁从业行为由双方或双方上级单位的纪检、监察部门负责监督，对本协议履行情况进行检查。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3"/>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乙方（盖章）：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签订日期：    年  月  日         年  月  日</w:t>
      </w:r>
    </w:p>
    <w:p>
      <w:pPr>
        <w:rPr>
          <w:rFonts w:hint="eastAsia" w:ascii="宋体" w:hAnsi="宋体" w:eastAsia="宋体" w:cs="宋体"/>
          <w:color w:val="auto"/>
          <w:highlight w:val="none"/>
        </w:rPr>
      </w:pPr>
    </w:p>
    <w:p>
      <w:pPr>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：安全生产管理协议</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安全生产管理协议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3、乙方使用被派遣劳动者的，应当将被派遣劳动者纳入本单位从业人员统一管理，对被派遣劳动者进行岗位安全操作规程和安全操作技能的教育和培训。</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6、乙方应严格遵守国家、地方政府有关安全生产及劳动保护的法律法规、标准、规定，贯彻执行甲方的各项安全管理规章制度。</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7、乙方依法参加工伤保险，为从业人员缴纳保险费，并应当为从事危险作业的人员办理意外伤害保险。</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13、在施工过程中，需要进行动土、动火、登高、吊装、断路、进入限制性空间等危险性较高的作业时，乙方的施工负责人、专职或兼职安全员必须现场确认，确保安全后，方可开始施工。</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14、因乙方原因，造成乙方损失，由乙方自负，给甲方造成财产损失和人员伤害，乙方要负全部责任，并全额赔偿甲方。</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15、非因甲方原因，造成乙方损失的，甲方不承担任何责任，由乙方自行承担全部责任。</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16、乙方应严格遵守法律法规以及甲方的安全管理要求，并接受甲方的安全生产工作协调和监督，积极消除安全隐患。安全管理的基本要求包括但不限于以下条款：</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②焊接、气割作业时两瓶距离必须达到5M及以上，气瓶距可能产生火花的电器、设备和其它火源的间距必须达到10M及以上。</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③严禁在厂内道路、消防通道内搭建临时建筑或堆放物资。</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④施工场所的电动工具、电焊机等须有漏电保护器和相应的安全防护装置。</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⑤施工现场及居住室、办公室内的用电设施必须符合要求，严禁电线乱接、乱拉，刀闸和开关无盖，在电器设施上堆放物品。</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⑥防雷、防静电设施及用电设施要有良好接地。</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⑦施工现场的危险区域，如临边、深坑、土方堆填区等，必须设置围栏和危险标志，夜间要设信号灯。</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17、乙方必须接受甲方的检查与监督，并应主动配合，做好安全工作，凡有违反上述协议的即视为乙方违约，甲方有权视情况从工程结算款/服务价款中扣除（1000-2000）元/次作为违约金。</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如乙方因违反本条款规定，造成甲方损失或被第三方追偿的，甲方有权向乙方追偿，甲方可直接从应付款项中扣除。同时，乙方应按照合同暂定总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19、乙方对施工过程中潜在的安全风险不明确的，不可盲目施工，否则，造成的不良后果由乙方独自承担。</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20、本协议自双方法定代表人或负责人签字并盖章后生效。</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w:t>
      </w:r>
      <w:r>
        <w:rPr>
          <w:rFonts w:hint="eastAsia" w:ascii="宋体" w:hAnsi="宋体" w:eastAsia="宋体" w:cs="宋体"/>
          <w:b/>
          <w:bCs/>
          <w:color w:val="auto"/>
          <w:sz w:val="21"/>
          <w:szCs w:val="21"/>
          <w:highlight w:val="none"/>
          <w:u w:val="single"/>
          <w:lang w:eastAsia="zh-CN"/>
        </w:rPr>
        <w:t>东莞市水务集团净水有限公司2025年膜组件清洗服务采购项目</w:t>
      </w:r>
      <w:r>
        <w:rPr>
          <w:rFonts w:hint="eastAsia" w:ascii="宋体" w:hAnsi="宋体" w:eastAsia="宋体" w:cs="宋体"/>
          <w:b/>
          <w:bCs/>
          <w:color w:val="auto"/>
          <w:sz w:val="21"/>
          <w:szCs w:val="21"/>
          <w:highlight w:val="none"/>
        </w:rPr>
        <w:t>的安全管理要求、安全风险充分理解，并自愿承担因违约造成的一切后果。</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               法定代表人或负责人：</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签订地点：广东省东莞市</w:t>
      </w:r>
    </w:p>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575" w:name="_Toc25564"/>
      <w:bookmarkStart w:id="576" w:name="_Toc512353083"/>
      <w:bookmarkStart w:id="577" w:name="_Toc21212"/>
      <w:bookmarkStart w:id="578" w:name="_Toc447044603"/>
      <w:bookmarkStart w:id="579" w:name="_Toc13867"/>
      <w:bookmarkStart w:id="580" w:name="_Toc25580"/>
      <w:bookmarkStart w:id="581" w:name="_Toc447044479"/>
      <w:bookmarkStart w:id="582" w:name="_Toc447045090"/>
      <w:bookmarkStart w:id="583" w:name="_Toc3263"/>
      <w:bookmarkStart w:id="584" w:name="_Toc30025"/>
      <w:bookmarkStart w:id="585" w:name="_Toc142508360"/>
      <w:bookmarkStart w:id="586" w:name="_Toc24427_WPSOffice_Level1"/>
      <w:bookmarkStart w:id="587" w:name="_Toc12398"/>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575"/>
      <w:bookmarkEnd w:id="576"/>
      <w:bookmarkEnd w:id="577"/>
      <w:bookmarkEnd w:id="578"/>
      <w:bookmarkEnd w:id="579"/>
      <w:bookmarkEnd w:id="580"/>
      <w:bookmarkEnd w:id="581"/>
      <w:bookmarkEnd w:id="582"/>
      <w:bookmarkEnd w:id="583"/>
      <w:bookmarkEnd w:id="584"/>
      <w:bookmarkEnd w:id="585"/>
      <w:bookmarkEnd w:id="586"/>
      <w:bookmarkEnd w:id="587"/>
      <w:bookmarkStart w:id="588" w:name="_Toc447044480"/>
      <w:bookmarkStart w:id="589" w:name="_Toc447044604"/>
      <w:bookmarkStart w:id="590" w:name="_Toc447045091"/>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591" w:name="_Toc26521_WPSOffice_Level2"/>
      <w:r>
        <w:rPr>
          <w:rFonts w:hint="eastAsia" w:ascii="宋体" w:hAnsi="宋体" w:eastAsia="宋体" w:cs="Times New Roman"/>
          <w:b/>
          <w:color w:val="auto"/>
          <w:kern w:val="0"/>
          <w:sz w:val="28"/>
          <w:szCs w:val="28"/>
          <w:highlight w:val="none"/>
        </w:rPr>
        <w:t>一、不可撤销银行履约保函格式</w:t>
      </w:r>
      <w:bookmarkEnd w:id="588"/>
      <w:bookmarkEnd w:id="589"/>
      <w:bookmarkEnd w:id="590"/>
      <w:bookmarkEnd w:id="591"/>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应从合同签订之日起（或签订合同前）至合同期限届满并完成合同及补充协议项下全部服务义务，受益人向申请人支付全部款项后二十八（28）日内保持有效。</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9" w:type="first"/>
          <w:footerReference r:id="rId8"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应从合同签订之日起（或签订合同前）至合同期限届满并完成合同及补充协议项下全部服务义务，受益人向申请人支付全部款项后二十八（28）日内保持有效。</w:t>
      </w:r>
    </w:p>
    <w:p>
      <w:pPr>
        <w:numPr>
          <w:ilvl w:val="0"/>
          <w:numId w:val="0"/>
        </w:numPr>
        <w:outlineLvl w:val="9"/>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应从合同签订之日起（或签订合同前）至合同期限届满并完成合同及补充协议项下全部服务义务，受益人向申请人支付全部款项后二十八（28）日内保持有效。</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92" w:name="_Toc10093"/>
      <w:bookmarkStart w:id="593" w:name="_Toc9840"/>
      <w:bookmarkStart w:id="594" w:name="_Toc142508361"/>
      <w:bookmarkStart w:id="595" w:name="_Toc15817"/>
      <w:bookmarkStart w:id="596" w:name="_Toc30412"/>
      <w:bookmarkStart w:id="597" w:name="_Toc9285"/>
      <w:bookmarkStart w:id="598" w:name="_Toc10526"/>
      <w:bookmarkStart w:id="599" w:name="_Toc486167708"/>
      <w:bookmarkStart w:id="600" w:name="_Toc450662895"/>
      <w:bookmarkStart w:id="601" w:name="_Toc14958"/>
      <w:bookmarkStart w:id="602" w:name="_Toc32761_WPSOffice_Level1"/>
      <w:r>
        <w:rPr>
          <w:rFonts w:hint="eastAsia" w:ascii="宋体" w:hAnsi="宋体" w:eastAsia="宋体" w:cs="宋体"/>
          <w:b/>
          <w:bCs/>
          <w:color w:val="auto"/>
          <w:kern w:val="44"/>
          <w:sz w:val="32"/>
          <w:szCs w:val="32"/>
          <w:highlight w:val="none"/>
          <w:lang w:val="zh-CN"/>
        </w:rPr>
        <w:t>第六篇 投标文件格式</w:t>
      </w:r>
      <w:bookmarkEnd w:id="592"/>
      <w:bookmarkEnd w:id="593"/>
      <w:bookmarkEnd w:id="594"/>
      <w:bookmarkEnd w:id="595"/>
      <w:bookmarkEnd w:id="596"/>
      <w:bookmarkEnd w:id="597"/>
      <w:bookmarkEnd w:id="598"/>
      <w:bookmarkEnd w:id="599"/>
      <w:bookmarkEnd w:id="600"/>
      <w:bookmarkEnd w:id="601"/>
      <w:bookmarkEnd w:id="602"/>
    </w:p>
    <w:p>
      <w:pPr>
        <w:rPr>
          <w:rFonts w:hint="eastAsia" w:ascii="宋体" w:hAnsi="宋体" w:eastAsia="宋体" w:cs="宋体"/>
          <w:color w:val="auto"/>
          <w:sz w:val="84"/>
          <w:highlight w:val="none"/>
        </w:rPr>
      </w:pPr>
      <w:bookmarkStart w:id="603" w:name="_Toc94107202"/>
      <w:bookmarkStart w:id="604" w:name="_Toc486167709"/>
      <w:bookmarkStart w:id="605" w:name="_Toc142508362"/>
      <w:bookmarkStart w:id="606" w:name="_Toc533708121"/>
      <w:bookmarkStart w:id="607" w:name="_Toc104991868"/>
      <w:bookmarkStart w:id="608" w:name="_Toc1977721"/>
      <w:bookmarkStart w:id="609" w:name="_Toc140596921"/>
      <w:bookmarkStart w:id="610" w:name="_Toc102860411"/>
      <w:bookmarkStart w:id="611" w:name="_Toc102860067"/>
      <w:bookmarkStart w:id="612" w:name="_Toc21133_WPSOffice_Level2"/>
      <w:r>
        <w:rPr>
          <w:rFonts w:hint="eastAsia" w:ascii="宋体" w:hAnsi="宋体" w:eastAsia="宋体" w:cs="宋体"/>
          <w:b/>
          <w:color w:val="auto"/>
          <w:kern w:val="0"/>
          <w:sz w:val="32"/>
          <w:szCs w:val="32"/>
          <w:highlight w:val="none"/>
        </w:rPr>
        <w:br w:type="page"/>
      </w: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57" w:type="dxa"/>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59"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57"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auto"/>
                <w:szCs w:val="21"/>
                <w:highlight w:val="none"/>
              </w:rPr>
            </w:pPr>
          </w:p>
        </w:tc>
        <w:tc>
          <w:tcPr>
            <w:tcW w:w="2773" w:type="dxa"/>
            <w:vAlign w:val="center"/>
          </w:tcPr>
          <w:p>
            <w:pPr>
              <w:rPr>
                <w:rFonts w:hint="eastAsia" w:ascii="宋体" w:hAnsi="宋体" w:eastAsia="宋体" w:cs="宋体"/>
                <w:bCs/>
                <w:color w:val="auto"/>
                <w:szCs w:val="21"/>
                <w:highlight w:val="none"/>
              </w:rPr>
            </w:pPr>
          </w:p>
        </w:tc>
        <w:tc>
          <w:tcPr>
            <w:tcW w:w="2157" w:type="dxa"/>
            <w:vAlign w:val="center"/>
          </w:tcPr>
          <w:p>
            <w:pPr>
              <w:rPr>
                <w:rFonts w:hint="eastAsia" w:ascii="宋体" w:hAnsi="宋体" w:eastAsia="宋体" w:cs="宋体"/>
                <w:bCs/>
                <w:color w:val="auto"/>
                <w:szCs w:val="21"/>
                <w:highlight w:val="none"/>
              </w:rPr>
            </w:pPr>
          </w:p>
        </w:tc>
        <w:tc>
          <w:tcPr>
            <w:tcW w:w="4059"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rPr>
                <w:rFonts w:hint="eastAsia" w:ascii="宋体" w:hAnsi="宋体" w:eastAsia="宋体" w:cs="宋体"/>
                <w:bCs/>
                <w:color w:val="auto"/>
                <w:szCs w:val="21"/>
                <w:highlight w:val="none"/>
              </w:rPr>
            </w:pPr>
          </w:p>
        </w:tc>
        <w:tc>
          <w:tcPr>
            <w:tcW w:w="2157"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215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57"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bookmarkStart w:id="613" w:name="_Toc28237"/>
      <w:bookmarkStart w:id="614" w:name="_Toc32562"/>
      <w:bookmarkStart w:id="615" w:name="_Toc13281"/>
      <w:bookmarkStart w:id="616" w:name="_Toc2275"/>
      <w:bookmarkStart w:id="617" w:name="_Toc27679"/>
      <w:bookmarkStart w:id="618" w:name="_Toc23782"/>
      <w:r>
        <w:rPr>
          <w:rFonts w:hint="eastAsia" w:ascii="宋体" w:hAnsi="宋体" w:eastAsia="宋体" w:cs="宋体"/>
          <w:b/>
          <w:color w:val="auto"/>
          <w:kern w:val="0"/>
          <w:sz w:val="32"/>
          <w:szCs w:val="32"/>
          <w:highlight w:val="none"/>
        </w:rPr>
        <w:t>一、投标函格式</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619" w:name="_Toc16695_WPSOffice_Level3"/>
      <w:r>
        <w:rPr>
          <w:rFonts w:hint="eastAsia" w:ascii="宋体" w:hAnsi="宋体" w:eastAsia="宋体" w:cs="宋体"/>
          <w:b/>
          <w:bCs/>
          <w:color w:val="auto"/>
          <w:sz w:val="30"/>
          <w:szCs w:val="30"/>
          <w:highlight w:val="none"/>
          <w:lang w:val="zh-CN"/>
        </w:rPr>
        <w:t>投 标 函</w:t>
      </w:r>
      <w:bookmarkEnd w:id="619"/>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东莞市水务集团净水有限公司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东莞市水务集团净水有限公司2025年膜组件清洗服务采购项目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0832-SFCX24DG116C</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0832-SFCX24DG116C</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620" w:name="_Toc104991869"/>
      <w:bookmarkStart w:id="621" w:name="_Toc102860412"/>
      <w:bookmarkStart w:id="622" w:name="_Toc2671"/>
      <w:bookmarkStart w:id="623" w:name="_Toc30995"/>
      <w:bookmarkStart w:id="624" w:name="_Toc3104"/>
      <w:bookmarkStart w:id="625" w:name="_Toc1977722"/>
      <w:bookmarkStart w:id="626" w:name="_Toc140596922"/>
      <w:bookmarkStart w:id="627" w:name="_Toc142508363"/>
      <w:bookmarkStart w:id="628" w:name="_Toc9217"/>
      <w:bookmarkStart w:id="629" w:name="_Toc102860068"/>
      <w:bookmarkStart w:id="630" w:name="_Toc94107203"/>
      <w:bookmarkStart w:id="631" w:name="_Toc12417"/>
      <w:bookmarkStart w:id="632" w:name="_Toc533708122"/>
      <w:bookmarkStart w:id="633" w:name="_Toc486167710"/>
      <w:bookmarkStart w:id="634" w:name="_Toc28613_WPSOffice_Level2"/>
      <w:bookmarkStart w:id="635" w:name="_Toc5965"/>
      <w:r>
        <w:rPr>
          <w:rFonts w:hint="eastAsia" w:ascii="宋体" w:hAnsi="宋体" w:eastAsia="宋体" w:cs="宋体"/>
          <w:b/>
          <w:color w:val="auto"/>
          <w:kern w:val="0"/>
          <w:sz w:val="32"/>
          <w:szCs w:val="32"/>
          <w:highlight w:val="none"/>
        </w:rPr>
        <w:t>二、投标承诺书格式</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东莞市水务集团净水有限公司2025年膜组件清洗服务采购项目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0832-SFCX24DG116C</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636" w:name="_Toc326768876"/>
      <w:bookmarkStart w:id="637" w:name="_Toc316896755"/>
      <w:bookmarkStart w:id="638" w:name="_Toc311032584"/>
    </w:p>
    <w:p>
      <w:pPr>
        <w:pageBreakBefore/>
        <w:autoSpaceDE w:val="0"/>
        <w:autoSpaceDN w:val="0"/>
        <w:adjustRightInd w:val="0"/>
        <w:spacing w:line="360" w:lineRule="auto"/>
        <w:jc w:val="left"/>
        <w:outlineLvl w:val="9"/>
        <w:rPr>
          <w:rFonts w:ascii="宋体" w:hAnsi="宋体" w:eastAsia="宋体" w:cs="宋体"/>
          <w:b/>
          <w:color w:val="auto"/>
          <w:kern w:val="44"/>
          <w:sz w:val="32"/>
          <w:szCs w:val="32"/>
          <w:highlight w:val="none"/>
        </w:rPr>
      </w:pPr>
      <w:bookmarkStart w:id="639" w:name="_Toc104991870"/>
      <w:bookmarkStart w:id="640" w:name="_Toc86764083"/>
      <w:bookmarkStart w:id="641" w:name="_Toc24336"/>
      <w:bookmarkStart w:id="642" w:name="_Toc140596923"/>
      <w:bookmarkStart w:id="643" w:name="_Toc102860069"/>
      <w:bookmarkStart w:id="644" w:name="_Toc5792"/>
      <w:bookmarkStart w:id="645" w:name="_Toc29910"/>
      <w:bookmarkStart w:id="646" w:name="_Toc142508364"/>
      <w:bookmarkStart w:id="647" w:name="_Toc5075"/>
      <w:bookmarkStart w:id="648" w:name="_Toc94107204"/>
      <w:bookmarkStart w:id="649" w:name="_Toc2515"/>
      <w:bookmarkStart w:id="650" w:name="_Toc102860413"/>
      <w:bookmarkStart w:id="651" w:name="_Toc7250"/>
      <w:bookmarkStart w:id="652" w:name="_Toc82182546"/>
      <w:bookmarkStart w:id="653" w:name="_Toc1977723"/>
      <w:bookmarkStart w:id="654" w:name="_Toc486167711"/>
      <w:bookmarkStart w:id="655" w:name="_Toc7024_WPSOffice_Level2"/>
      <w:bookmarkStart w:id="656" w:name="_Toc533708123"/>
      <w:r>
        <w:rPr>
          <w:rFonts w:hint="eastAsia" w:ascii="宋体" w:hAnsi="宋体" w:eastAsia="宋体" w:cs="宋体"/>
          <w:b/>
          <w:color w:val="auto"/>
          <w:kern w:val="44"/>
          <w:sz w:val="32"/>
          <w:szCs w:val="32"/>
          <w:highlight w:val="none"/>
        </w:rPr>
        <w:t>三、供货及/或提供服务过程承诺函格式</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东莞市水务集团净水有限公司2025年膜组件清洗服务采购项目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0832-SFCX24DG116C</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spacing w:line="360" w:lineRule="auto"/>
        <w:ind w:right="420" w:firstLine="7710" w:firstLineChars="2400"/>
        <w:rPr>
          <w:rFonts w:hint="eastAsia" w:ascii="宋体" w:hAnsi="宋体" w:eastAsia="宋体" w:cs="宋体"/>
          <w:b/>
          <w:bCs/>
          <w:color w:val="auto"/>
          <w:kern w:val="2"/>
          <w:sz w:val="32"/>
          <w:szCs w:val="32"/>
          <w:highlight w:val="none"/>
          <w:lang w:val="zh-CN"/>
        </w:rPr>
      </w:pPr>
      <w:bookmarkStart w:id="657" w:name="_Toc1140"/>
      <w:bookmarkStart w:id="658" w:name="_Toc142508366"/>
      <w:bookmarkStart w:id="659" w:name="_Toc104991872"/>
      <w:bookmarkStart w:id="660" w:name="_Toc13416"/>
      <w:bookmarkStart w:id="661" w:name="_Toc18346"/>
      <w:bookmarkStart w:id="662" w:name="_Toc94107206"/>
      <w:bookmarkStart w:id="663" w:name="_Toc102860071"/>
      <w:bookmarkStart w:id="664" w:name="_Toc140596925"/>
      <w:bookmarkStart w:id="665" w:name="_Toc102860415"/>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pageBreakBefore/>
        <w:autoSpaceDE w:val="0"/>
        <w:autoSpaceDN w:val="0"/>
        <w:adjustRightInd w:val="0"/>
        <w:spacing w:line="360" w:lineRule="auto"/>
        <w:jc w:val="left"/>
        <w:outlineLvl w:val="9"/>
        <w:rPr>
          <w:rFonts w:ascii="宋体" w:hAnsi="宋体" w:eastAsia="宋体" w:cs="宋体"/>
          <w:b/>
          <w:color w:val="auto"/>
          <w:kern w:val="0"/>
          <w:sz w:val="32"/>
          <w:szCs w:val="32"/>
          <w:highlight w:val="none"/>
        </w:rPr>
      </w:pPr>
      <w:bookmarkStart w:id="666" w:name="_Toc25384"/>
      <w:bookmarkStart w:id="667" w:name="_Toc23787"/>
      <w:bookmarkStart w:id="668" w:name="_Toc4555"/>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东莞市水务集团净水有限公司2025年膜组件清洗服务采购项目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0832-SFCX24DG116C</w:t>
      </w:r>
    </w:p>
    <w:tbl>
      <w:tblPr>
        <w:tblStyle w:val="36"/>
        <w:tblW w:w="103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3976"/>
        <w:gridCol w:w="2443"/>
        <w:gridCol w:w="1852"/>
        <w:gridCol w:w="1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39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24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暂定清洗膜组件数量（个）</w:t>
            </w:r>
          </w:p>
        </w:tc>
        <w:tc>
          <w:tcPr>
            <w:tcW w:w="18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综合单价（元/个）</w:t>
            </w:r>
          </w:p>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（不含销项税）</w:t>
            </w: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39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东莞市水务集团净水有限公司2025年膜组件清洗服务采购项目</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60" w:lineRule="auto"/>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562</w:t>
            </w:r>
          </w:p>
        </w:tc>
        <w:tc>
          <w:tcPr>
            <w:tcW w:w="1852"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c>
          <w:tcPr>
            <w:tcW w:w="1180"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893" w:type="dxa"/>
            <w:gridSpan w:val="2"/>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投标报价（不含销项税，元）</w:t>
            </w:r>
          </w:p>
        </w:tc>
        <w:tc>
          <w:tcPr>
            <w:tcW w:w="5475" w:type="dxa"/>
            <w:gridSpan w:val="3"/>
            <w:tcBorders>
              <w:top w:val="single" w:color="auto" w:sz="4" w:space="0"/>
              <w:left w:val="single" w:color="auto" w:sz="4" w:space="0"/>
              <w:right w:val="single" w:color="auto" w:sz="4" w:space="0"/>
            </w:tcBorders>
            <w:vAlign w:val="center"/>
          </w:tcPr>
          <w:p>
            <w:pPr>
              <w:tabs>
                <w:tab w:val="left" w:pos="8610"/>
              </w:tabs>
              <w:spacing w:line="360" w:lineRule="auto"/>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u w:val="none"/>
                <w:lang w:val="en-US" w:eastAsia="zh-CN"/>
              </w:rPr>
              <w:t xml:space="preserve"> </w:t>
            </w:r>
            <w:r>
              <w:rPr>
                <w:rFonts w:hint="eastAsia" w:ascii="宋体" w:hAnsi="宋体" w:eastAsia="宋体" w:cs="Times New Roman"/>
                <w:color w:val="auto"/>
                <w:kern w:val="0"/>
                <w:szCs w:val="21"/>
                <w:highlight w:val="none"/>
                <w:u w:val="single"/>
                <w:lang w:val="en-US" w:eastAsia="zh-CN"/>
              </w:rPr>
              <w:t xml:space="preserve">                      </w:t>
            </w: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w:t>
      </w:r>
      <w:r>
        <w:rPr>
          <w:rFonts w:hint="eastAsia" w:ascii="宋体" w:hAnsi="宋体" w:eastAsia="宋体" w:cs="Times New Roman"/>
          <w:color w:val="auto"/>
          <w:szCs w:val="21"/>
          <w:highlight w:val="none"/>
          <w:lang w:val="zh-CN"/>
        </w:rPr>
        <w:t>不含税</w:t>
      </w:r>
      <w:r>
        <w:rPr>
          <w:rFonts w:hint="eastAsia" w:ascii="宋体" w:hAnsi="宋体" w:eastAsia="宋体" w:cs="Times New Roman"/>
          <w:color w:val="auto"/>
          <w:szCs w:val="21"/>
          <w:highlight w:val="none"/>
          <w:lang w:val="en-US" w:eastAsia="zh-CN"/>
        </w:rPr>
        <w:t>综合单</w:t>
      </w:r>
      <w:r>
        <w:rPr>
          <w:rFonts w:hint="eastAsia" w:ascii="宋体" w:hAnsi="宋体" w:eastAsia="宋体" w:cs="Times New Roman"/>
          <w:color w:val="auto"/>
          <w:szCs w:val="21"/>
          <w:highlight w:val="none"/>
          <w:lang w:val="zh-CN"/>
        </w:rPr>
        <w:t>价和</w:t>
      </w:r>
      <w:r>
        <w:rPr>
          <w:rFonts w:hint="eastAsia" w:ascii="宋体" w:hAnsi="宋体" w:eastAsia="宋体" w:cs="Times New Roman"/>
          <w:color w:val="auto"/>
          <w:szCs w:val="21"/>
          <w:highlight w:val="none"/>
          <w:lang w:val="en-US" w:eastAsia="zh-CN"/>
        </w:rPr>
        <w:t>暂定</w:t>
      </w:r>
      <w:r>
        <w:rPr>
          <w:rFonts w:hint="eastAsia" w:ascii="宋体" w:hAnsi="宋体" w:eastAsia="宋体" w:cs="Times New Roman"/>
          <w:color w:val="auto"/>
          <w:szCs w:val="21"/>
          <w:highlight w:val="none"/>
          <w:lang w:val="zh-CN"/>
        </w:rPr>
        <w:t>不含税合同价</w:t>
      </w:r>
      <w:r>
        <w:rPr>
          <w:rFonts w:hint="eastAsia" w:ascii="宋体" w:hAnsi="宋体" w:eastAsia="宋体" w:cs="Times New Roman"/>
          <w:color w:val="auto"/>
          <w:kern w:val="0"/>
          <w:szCs w:val="21"/>
          <w:highlight w:val="none"/>
        </w:rPr>
        <w:t>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）投标人的投标报价高于不含税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投标</w:t>
      </w:r>
      <w:r>
        <w:rPr>
          <w:rFonts w:hint="eastAsia" w:ascii="宋体" w:hAnsi="宋体" w:eastAsia="宋体" w:cs="Times New Roman"/>
          <w:b/>
          <w:bCs/>
          <w:color w:val="auto"/>
          <w:kern w:val="0"/>
          <w:szCs w:val="24"/>
          <w:highlight w:val="none"/>
          <w:u w:val="none"/>
        </w:rPr>
        <w:t>限价</w:t>
      </w:r>
      <w:r>
        <w:rPr>
          <w:rFonts w:hint="eastAsia" w:ascii="宋体" w:hAnsi="宋体" w:eastAsia="宋体" w:cs="Times New Roman"/>
          <w:b/>
          <w:bCs/>
          <w:color w:val="auto"/>
          <w:kern w:val="0"/>
          <w:szCs w:val="21"/>
          <w:highlight w:val="none"/>
        </w:rPr>
        <w:t>的或综合单价高于不含税预算综合单价的，该投标人的投标文件将被视为无效投标。</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w:t>
      </w:r>
      <w:r>
        <w:rPr>
          <w:rFonts w:hint="eastAsia" w:ascii="宋体" w:hAnsi="宋体" w:eastAsia="宋体" w:cs="Times New Roman"/>
          <w:color w:val="auto"/>
          <w:szCs w:val="21"/>
          <w:highlight w:val="none"/>
          <w:lang w:val="en-US" w:eastAsia="zh-CN"/>
        </w:rPr>
        <w:t>本表内</w:t>
      </w:r>
      <w:r>
        <w:rPr>
          <w:rFonts w:hint="eastAsia" w:ascii="宋体" w:hAnsi="宋体" w:eastAsia="宋体" w:cs="Times New Roman"/>
          <w:color w:val="auto"/>
          <w:szCs w:val="21"/>
          <w:highlight w:val="none"/>
          <w:lang w:val="zh-CN"/>
        </w:rPr>
        <w:t>以数字表示的金额与以文字表示的金额不一致时，以文字表示的金额为准；当</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val="zh-CN"/>
        </w:rPr>
        <w:t>报价金额与按综合单价计算的总价不一致的，以综合单价计算结果为准，综合单价金额小数点有明显错位的，应以总价为准，并修正综合单价。</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ascii="宋体" w:hAnsi="宋体" w:eastAsia="宋体" w:cs="Times New Roman"/>
          <w:bCs/>
          <w:color w:val="auto"/>
          <w:kern w:val="0"/>
          <w:szCs w:val="21"/>
          <w:highlight w:val="none"/>
          <w:lang w:val="zh-CN"/>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rPr>
        <w:t>综合单价、投标报价需保留小数点后两位，否则评标委员会按去“尾”或补“零”的方式进行修正为保留小数点后两位，投标人须接受被修正后的报价</w:t>
      </w:r>
      <w:r>
        <w:rPr>
          <w:rFonts w:hint="eastAsia" w:ascii="宋体" w:hAnsi="宋体" w:eastAsia="宋体" w:cs="Times New Roman"/>
          <w:b w:val="0"/>
          <w:bCs w:val="0"/>
          <w:color w:val="auto"/>
          <w:kern w:val="0"/>
          <w:szCs w:val="21"/>
          <w:highlight w:val="none"/>
        </w:rPr>
        <w:t>（例：如投标</w:t>
      </w:r>
      <w:r>
        <w:rPr>
          <w:rFonts w:hint="eastAsia" w:ascii="宋体" w:hAnsi="宋体" w:eastAsia="宋体" w:cs="Times New Roman"/>
          <w:b w:val="0"/>
          <w:bCs w:val="0"/>
          <w:color w:val="auto"/>
          <w:kern w:val="0"/>
          <w:szCs w:val="21"/>
          <w:highlight w:val="none"/>
          <w:lang w:val="en-US" w:eastAsia="zh-CN"/>
        </w:rPr>
        <w:t>报价</w:t>
      </w:r>
      <w:r>
        <w:rPr>
          <w:rFonts w:hint="eastAsia" w:ascii="宋体" w:hAnsi="宋体" w:eastAsia="宋体" w:cs="Times New Roman"/>
          <w:b w:val="0"/>
          <w:bCs w:val="0"/>
          <w:color w:val="auto"/>
          <w:kern w:val="0"/>
          <w:szCs w:val="21"/>
          <w:highlight w:val="none"/>
        </w:rPr>
        <w:t>为0.789，则被修正为0.78；如投标</w:t>
      </w:r>
      <w:r>
        <w:rPr>
          <w:rFonts w:hint="eastAsia" w:ascii="宋体" w:hAnsi="宋体" w:eastAsia="宋体" w:cs="Times New Roman"/>
          <w:b w:val="0"/>
          <w:bCs w:val="0"/>
          <w:color w:val="auto"/>
          <w:kern w:val="0"/>
          <w:szCs w:val="21"/>
          <w:highlight w:val="none"/>
          <w:lang w:val="en-US" w:eastAsia="zh-CN"/>
        </w:rPr>
        <w:t>报价</w:t>
      </w:r>
      <w:r>
        <w:rPr>
          <w:rFonts w:hint="eastAsia" w:ascii="宋体" w:hAnsi="宋体" w:eastAsia="宋体" w:cs="Times New Roman"/>
          <w:b w:val="0"/>
          <w:bCs w:val="0"/>
          <w:color w:val="auto"/>
          <w:kern w:val="0"/>
          <w:szCs w:val="21"/>
          <w:highlight w:val="none"/>
        </w:rPr>
        <w:t>为0.7，则被修正为0.70）</w:t>
      </w:r>
      <w:r>
        <w:rPr>
          <w:rFonts w:hint="eastAsia" w:ascii="宋体" w:hAnsi="宋体" w:eastAsia="宋体" w:cs="Times New Roman"/>
          <w:b/>
          <w:bCs/>
          <w:color w:val="auto"/>
          <w:kern w:val="0"/>
          <w:szCs w:val="21"/>
          <w:highlight w:val="none"/>
        </w:rPr>
        <w:t>。</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autoSpaceDE w:val="0"/>
        <w:autoSpaceDN w:val="0"/>
        <w:adjustRightInd w:val="0"/>
        <w:spacing w:line="360" w:lineRule="auto"/>
        <w:ind w:right="275" w:rightChars="131"/>
        <w:jc w:val="both"/>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669" w:name="_Toc23083"/>
      <w:bookmarkStart w:id="670" w:name="_Toc1977725"/>
      <w:bookmarkStart w:id="671" w:name="_Toc94107209"/>
      <w:bookmarkStart w:id="672" w:name="_Toc104991875"/>
      <w:bookmarkStart w:id="673" w:name="_Toc142508369"/>
      <w:bookmarkStart w:id="674" w:name="_Toc26516"/>
      <w:bookmarkStart w:id="675" w:name="_Toc140596928"/>
      <w:bookmarkStart w:id="676" w:name="_Toc6190"/>
      <w:bookmarkStart w:id="677" w:name="_Toc102860418"/>
      <w:bookmarkStart w:id="678" w:name="_Toc102860074"/>
      <w:bookmarkStart w:id="679" w:name="_Toc486167712"/>
      <w:bookmarkStart w:id="680" w:name="_Toc20759_WPSOffice_Level2"/>
      <w:bookmarkStart w:id="681"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669"/>
      <w:bookmarkEnd w:id="670"/>
      <w:bookmarkEnd w:id="671"/>
      <w:bookmarkEnd w:id="672"/>
      <w:bookmarkEnd w:id="673"/>
      <w:bookmarkEnd w:id="674"/>
      <w:bookmarkEnd w:id="675"/>
      <w:bookmarkEnd w:id="676"/>
      <w:bookmarkEnd w:id="677"/>
      <w:bookmarkEnd w:id="678"/>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682" w:name="_Toc104991876"/>
      <w:bookmarkStart w:id="683" w:name="_Toc140596929"/>
      <w:bookmarkStart w:id="684" w:name="_Toc94107210"/>
      <w:bookmarkStart w:id="685" w:name="_Toc142508370"/>
      <w:bookmarkStart w:id="686" w:name="_Toc28872"/>
      <w:bookmarkStart w:id="687" w:name="_Toc30989"/>
      <w:bookmarkStart w:id="688" w:name="_Toc25267"/>
      <w:bookmarkStart w:id="689" w:name="_Toc102860419"/>
      <w:bookmarkStart w:id="690" w:name="_Toc17358"/>
      <w:bookmarkStart w:id="691" w:name="_Toc22707"/>
      <w:bookmarkStart w:id="692" w:name="_Toc29874"/>
      <w:bookmarkStart w:id="693" w:name="_Toc102860075"/>
      <w:bookmarkStart w:id="694"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682"/>
      <w:bookmarkEnd w:id="683"/>
      <w:bookmarkEnd w:id="684"/>
      <w:bookmarkEnd w:id="685"/>
      <w:bookmarkEnd w:id="686"/>
      <w:bookmarkEnd w:id="687"/>
      <w:bookmarkEnd w:id="688"/>
      <w:bookmarkEnd w:id="689"/>
      <w:bookmarkEnd w:id="690"/>
      <w:bookmarkEnd w:id="691"/>
      <w:bookmarkEnd w:id="692"/>
      <w:bookmarkEnd w:id="693"/>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695" w:name="_Toc21703"/>
      <w:bookmarkStart w:id="696" w:name="_Toc102860420"/>
      <w:bookmarkStart w:id="697" w:name="_Toc140596930"/>
      <w:bookmarkStart w:id="698" w:name="_Toc102860076"/>
      <w:bookmarkStart w:id="699" w:name="_Toc27861"/>
      <w:bookmarkStart w:id="700" w:name="_Toc25013"/>
      <w:bookmarkStart w:id="701" w:name="_Toc104991877"/>
      <w:bookmarkStart w:id="702" w:name="_Toc17816"/>
      <w:bookmarkStart w:id="703" w:name="_Toc94107211"/>
      <w:bookmarkStart w:id="704" w:name="_Toc142508371"/>
      <w:bookmarkStart w:id="705" w:name="_Toc7756"/>
      <w:bookmarkStart w:id="706" w:name="_Toc31584"/>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95"/>
      <w:bookmarkEnd w:id="696"/>
      <w:bookmarkEnd w:id="697"/>
      <w:bookmarkEnd w:id="698"/>
      <w:bookmarkEnd w:id="699"/>
      <w:bookmarkEnd w:id="700"/>
      <w:bookmarkEnd w:id="701"/>
      <w:bookmarkEnd w:id="702"/>
      <w:bookmarkEnd w:id="703"/>
      <w:bookmarkEnd w:id="704"/>
      <w:bookmarkEnd w:id="705"/>
      <w:bookmarkEnd w:id="706"/>
    </w:p>
    <w:p>
      <w:pPr>
        <w:tabs>
          <w:tab w:val="left" w:pos="567"/>
        </w:tabs>
        <w:autoSpaceDE w:val="0"/>
        <w:autoSpaceDN w:val="0"/>
        <w:adjustRightInd w:val="0"/>
        <w:spacing w:line="360" w:lineRule="auto"/>
        <w:jc w:val="left"/>
        <w:outlineLvl w:val="9"/>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707" w:name="_Toc17499"/>
      <w:bookmarkStart w:id="708" w:name="_Toc94107212"/>
      <w:bookmarkStart w:id="709" w:name="_Toc102860077"/>
      <w:bookmarkStart w:id="710" w:name="_Toc102860421"/>
      <w:bookmarkStart w:id="711" w:name="_Toc142508372"/>
      <w:bookmarkStart w:id="712" w:name="_Toc140596931"/>
      <w:bookmarkStart w:id="713" w:name="_Toc11905"/>
      <w:bookmarkStart w:id="714" w:name="_Toc5711"/>
      <w:bookmarkStart w:id="715" w:name="_Toc945"/>
      <w:bookmarkStart w:id="716" w:name="_Toc104991878"/>
      <w:bookmarkStart w:id="717" w:name="_Toc9132"/>
      <w:bookmarkStart w:id="718" w:name="_Toc744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707"/>
      <w:bookmarkEnd w:id="708"/>
      <w:bookmarkEnd w:id="709"/>
      <w:bookmarkEnd w:id="710"/>
      <w:bookmarkEnd w:id="711"/>
      <w:bookmarkEnd w:id="712"/>
      <w:bookmarkEnd w:id="713"/>
      <w:bookmarkEnd w:id="714"/>
      <w:bookmarkEnd w:id="715"/>
      <w:bookmarkEnd w:id="716"/>
      <w:bookmarkEnd w:id="717"/>
      <w:bookmarkEnd w:id="718"/>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79"/>
      <w:bookmarkEnd w:id="680"/>
      <w:bookmarkEnd w:id="681"/>
      <w:bookmarkEnd w:id="694"/>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719" w:name="_Toc11033_WPSOffice_Level3"/>
      <w:r>
        <w:rPr>
          <w:rFonts w:hint="eastAsia" w:ascii="宋体" w:hAnsi="宋体" w:eastAsia="宋体" w:cs="宋体"/>
          <w:b/>
          <w:color w:val="auto"/>
          <w:sz w:val="30"/>
          <w:szCs w:val="30"/>
          <w:highlight w:val="none"/>
        </w:rPr>
        <w:t>法定代</w:t>
      </w:r>
      <w:bookmarkStart w:id="720" w:name="_Toc36971359"/>
      <w:bookmarkStart w:id="721" w:name="_Toc45995270"/>
      <w:r>
        <w:rPr>
          <w:rFonts w:hint="eastAsia" w:ascii="宋体" w:hAnsi="宋体" w:eastAsia="宋体" w:cs="宋体"/>
          <w:b/>
          <w:color w:val="auto"/>
          <w:sz w:val="30"/>
          <w:szCs w:val="30"/>
          <w:highlight w:val="none"/>
        </w:rPr>
        <w:t>表人身份证明书</w:t>
      </w:r>
      <w:bookmarkEnd w:id="719"/>
    </w:p>
    <w:bookmarkEnd w:id="720"/>
    <w:bookmarkEnd w:id="721"/>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636"/>
      <w:bookmarkEnd w:id="637"/>
      <w:bookmarkEnd w:id="638"/>
      <w:bookmarkStart w:id="722" w:name="_Toc533708125"/>
      <w:bookmarkStart w:id="723" w:name="_Toc486167713"/>
      <w:bookmarkStart w:id="724" w:name="_Toc1977727"/>
      <w:bookmarkStart w:id="725" w:name="_Toc6240_WPSOffice_Level2"/>
      <w:r>
        <w:rPr>
          <w:rFonts w:hint="eastAsia" w:ascii="宋体" w:hAnsi="宋体" w:eastAsia="宋体" w:cs="宋体"/>
          <w:b/>
          <w:color w:val="auto"/>
          <w:szCs w:val="24"/>
          <w:highlight w:val="none"/>
        </w:rPr>
        <w:t>（2）法定代表人授权书格式</w:t>
      </w:r>
      <w:bookmarkEnd w:id="722"/>
      <w:bookmarkEnd w:id="723"/>
      <w:bookmarkEnd w:id="724"/>
      <w:bookmarkEnd w:id="725"/>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26" w:name="_Toc29146_WPSOffice_Level3"/>
      <w:r>
        <w:rPr>
          <w:rFonts w:hint="eastAsia" w:ascii="宋体" w:hAnsi="宋体" w:eastAsia="宋体" w:cs="宋体"/>
          <w:b/>
          <w:bCs/>
          <w:color w:val="auto"/>
          <w:sz w:val="30"/>
          <w:szCs w:val="30"/>
          <w:highlight w:val="none"/>
          <w:lang w:val="zh-CN"/>
        </w:rPr>
        <w:t>法定代表人授权书</w:t>
      </w:r>
      <w:bookmarkEnd w:id="726"/>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东莞市水务集团净水有限公司2025年膜组件清洗服务采购项目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0832-SFCX24DG116C</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11" w:type="first"/>
          <w:footerReference r:id="rId10"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6"/>
        <w:pageBreakBefore/>
        <w:spacing w:line="360" w:lineRule="auto"/>
        <w:rPr>
          <w:rFonts w:hint="eastAsia" w:hAnsi="宋体" w:eastAsia="宋体"/>
          <w:b/>
          <w:color w:val="auto"/>
          <w:sz w:val="30"/>
          <w:szCs w:val="30"/>
          <w:highlight w:val="none"/>
          <w:lang w:val="en-US" w:eastAsia="zh-CN"/>
        </w:rPr>
      </w:pPr>
      <w:bookmarkStart w:id="727" w:name="_Toc32328"/>
      <w:bookmarkStart w:id="728" w:name="_Toc12400"/>
      <w:bookmarkStart w:id="729" w:name="_Toc15716"/>
      <w:bookmarkStart w:id="730" w:name="_Toc31022"/>
      <w:bookmarkStart w:id="731" w:name="_Toc18345"/>
      <w:bookmarkStart w:id="732" w:name="_Toc22010"/>
      <w:bookmarkStart w:id="733" w:name="_Toc11880"/>
      <w:bookmarkStart w:id="734" w:name="_Toc142508373"/>
      <w:bookmarkStart w:id="735" w:name="_Toc104991880"/>
      <w:bookmarkStart w:id="736" w:name="_Toc94107214"/>
      <w:bookmarkStart w:id="737" w:name="_Toc140596933"/>
      <w:bookmarkStart w:id="738" w:name="_Toc197773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【投标人提供一份</w:t>
      </w:r>
      <w:r>
        <w:rPr>
          <w:rFonts w:hint="eastAsia" w:hAnsi="宋体"/>
          <w:b/>
          <w:bCs/>
          <w:color w:val="auto"/>
          <w:sz w:val="32"/>
          <w:szCs w:val="32"/>
          <w:highlight w:val="none"/>
          <w:lang w:val="en-US" w:eastAsia="zh-CN"/>
        </w:rPr>
        <w:t>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日以来膜组件清洗服务</w:t>
      </w:r>
      <w:r>
        <w:rPr>
          <w:rFonts w:hint="eastAsia" w:ascii="宋体" w:hAnsi="宋体" w:eastAsia="宋体" w:cs="宋体"/>
          <w:b/>
          <w:bCs/>
          <w:color w:val="auto"/>
          <w:sz w:val="32"/>
          <w:szCs w:val="32"/>
          <w:highlight w:val="none"/>
        </w:rPr>
        <w:t>业绩</w:t>
      </w:r>
      <w:r>
        <w:rPr>
          <w:rFonts w:hint="eastAsia" w:ascii="宋体" w:hAnsi="宋体" w:eastAsia="宋体"/>
          <w:b/>
          <w:bCs/>
          <w:color w:val="auto"/>
          <w:sz w:val="32"/>
          <w:szCs w:val="32"/>
          <w:highlight w:val="none"/>
        </w:rPr>
        <w:t>（合同签订日期为</w:t>
      </w:r>
      <w:r>
        <w:rPr>
          <w:rFonts w:hint="eastAsia" w:hAnsi="宋体"/>
          <w:b/>
          <w:bCs/>
          <w:color w:val="auto"/>
          <w:sz w:val="32"/>
          <w:szCs w:val="32"/>
          <w:highlight w:val="none"/>
          <w:lang w:val="en-US" w:eastAsia="zh-CN"/>
        </w:rPr>
        <w:t>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日或以后）</w:t>
      </w:r>
      <w:bookmarkEnd w:id="727"/>
      <w:bookmarkEnd w:id="728"/>
      <w:bookmarkEnd w:id="729"/>
      <w:r>
        <w:rPr>
          <w:rFonts w:hint="eastAsia" w:hAnsi="宋体"/>
          <w:b/>
          <w:bCs/>
          <w:color w:val="auto"/>
          <w:sz w:val="32"/>
          <w:szCs w:val="32"/>
          <w:highlight w:val="none"/>
          <w:lang w:eastAsia="zh-CN"/>
        </w:rPr>
        <w:t>】</w:t>
      </w:r>
      <w:bookmarkEnd w:id="730"/>
      <w:bookmarkEnd w:id="731"/>
      <w:bookmarkEnd w:id="732"/>
      <w:bookmarkEnd w:id="733"/>
    </w:p>
    <w:p>
      <w:pPr>
        <w:spacing w:line="360" w:lineRule="auto"/>
        <w:rPr>
          <w:rFonts w:hint="eastAsia" w:ascii="宋体" w:hAnsi="宋体" w:eastAsia="宋体" w:cs="宋体"/>
          <w:b/>
          <w:color w:val="auto"/>
          <w:szCs w:val="21"/>
          <w:highlight w:val="none"/>
          <w:lang w:val="zh-CN"/>
        </w:rPr>
      </w:pPr>
    </w:p>
    <w:tbl>
      <w:tblPr>
        <w:tblStyle w:val="36"/>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50"/>
        <w:gridCol w:w="940"/>
        <w:gridCol w:w="940"/>
        <w:gridCol w:w="942"/>
        <w:gridCol w:w="942"/>
        <w:gridCol w:w="1097"/>
        <w:gridCol w:w="942"/>
        <w:gridCol w:w="942"/>
        <w:gridCol w:w="942"/>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38" w:hRule="exact"/>
          <w:jc w:val="center"/>
        </w:trPr>
        <w:tc>
          <w:tcPr>
            <w:tcW w:w="65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9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09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9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9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5" w:hRule="exact"/>
          <w:jc w:val="center"/>
        </w:trPr>
        <w:tc>
          <w:tcPr>
            <w:tcW w:w="65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40"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1097"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top"/>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7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5" w:hRule="exact"/>
          <w:jc w:val="center"/>
        </w:trPr>
        <w:tc>
          <w:tcPr>
            <w:tcW w:w="65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40"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1097"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top"/>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7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5" w:hRule="exact"/>
          <w:jc w:val="center"/>
        </w:trPr>
        <w:tc>
          <w:tcPr>
            <w:tcW w:w="65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40"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1097"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top"/>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7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75" w:hRule="exact"/>
          <w:jc w:val="center"/>
        </w:trPr>
        <w:tc>
          <w:tcPr>
            <w:tcW w:w="650" w:type="dxa"/>
            <w:noWrap w:val="0"/>
            <w:vAlign w:val="center"/>
          </w:tcPr>
          <w:p>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940" w:type="dxa"/>
            <w:noWrap w:val="0"/>
            <w:vAlign w:val="center"/>
          </w:tcPr>
          <w:p>
            <w:pPr>
              <w:jc w:val="center"/>
              <w:rPr>
                <w:rFonts w:hint="eastAsia" w:ascii="宋体" w:hAnsi="宋体" w:eastAsia="宋体" w:cs="宋体"/>
                <w:color w:val="auto"/>
                <w:sz w:val="21"/>
                <w:szCs w:val="21"/>
                <w:highlight w:val="none"/>
              </w:rPr>
            </w:pPr>
          </w:p>
        </w:tc>
        <w:tc>
          <w:tcPr>
            <w:tcW w:w="940"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1097"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top"/>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942" w:type="dxa"/>
            <w:noWrap w:val="0"/>
            <w:vAlign w:val="center"/>
          </w:tcPr>
          <w:p>
            <w:pPr>
              <w:jc w:val="center"/>
              <w:rPr>
                <w:rFonts w:hint="eastAsia" w:ascii="宋体" w:hAnsi="宋体" w:eastAsia="宋体" w:cs="宋体"/>
                <w:color w:val="auto"/>
                <w:sz w:val="21"/>
                <w:szCs w:val="21"/>
                <w:highlight w:val="none"/>
              </w:rPr>
            </w:pPr>
          </w:p>
        </w:tc>
        <w:tc>
          <w:tcPr>
            <w:tcW w:w="775" w:type="dxa"/>
            <w:noWrap w:val="0"/>
            <w:vAlign w:val="center"/>
          </w:tcPr>
          <w:p>
            <w:pPr>
              <w:jc w:val="center"/>
              <w:rPr>
                <w:rFonts w:hint="eastAsia" w:ascii="宋体" w:hAnsi="宋体" w:eastAsia="宋体" w:cs="宋体"/>
                <w:color w:val="auto"/>
                <w:sz w:val="21"/>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bookmarkStart w:id="739" w:name="_Toc12931"/>
      <w:bookmarkStart w:id="740" w:name="_Toc20010"/>
      <w:bookmarkStart w:id="741" w:name="_Toc24862"/>
      <w:r>
        <w:rPr>
          <w:rFonts w:hint="eastAsia" w:ascii="宋体" w:hAnsi="宋体" w:eastAsia="宋体" w:cs="宋体"/>
          <w:b/>
          <w:color w:val="auto"/>
          <w:szCs w:val="21"/>
          <w:highlight w:val="none"/>
          <w:lang w:val="zh-CN"/>
        </w:rPr>
        <w:t>（1）业绩须附合同复印件（合同服务提供方为投标人）；</w:t>
      </w:r>
    </w:p>
    <w:p>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（2）若合同无法反映资格</w:t>
      </w:r>
      <w:r>
        <w:rPr>
          <w:rFonts w:hint="eastAsia" w:ascii="宋体" w:hAnsi="宋体" w:eastAsia="宋体" w:cs="宋体"/>
          <w:b/>
          <w:color w:val="auto"/>
          <w:szCs w:val="21"/>
          <w:highlight w:val="none"/>
          <w:lang w:val="en-US" w:eastAsia="zh-CN"/>
        </w:rPr>
        <w:t>业绩</w:t>
      </w:r>
      <w:r>
        <w:rPr>
          <w:rFonts w:hint="eastAsia" w:ascii="宋体" w:hAnsi="宋体" w:eastAsia="宋体" w:cs="宋体"/>
          <w:b/>
          <w:color w:val="auto"/>
          <w:szCs w:val="21"/>
          <w:highlight w:val="none"/>
          <w:lang w:val="zh-CN"/>
        </w:rPr>
        <w:t>条件（合同签订日期为202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年1月1日或以后、合同服务内容必须体现膜组件清洗服务）的，还需提供服务购买方出具的书面补充说明文件复印件作为辅助证明（补充说明文件复印件能显示服务购买方公章）；</w:t>
      </w: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（3）</w:t>
      </w:r>
      <w:bookmarkEnd w:id="739"/>
      <w:bookmarkEnd w:id="740"/>
      <w:bookmarkEnd w:id="74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742" w:name="_Toc8121"/>
      <w:bookmarkStart w:id="743" w:name="_Toc3833"/>
      <w:bookmarkStart w:id="744" w:name="_Toc7508"/>
      <w:bookmarkStart w:id="745" w:name="_Toc8890"/>
      <w:bookmarkStart w:id="746" w:name="_Toc21843"/>
      <w:bookmarkStart w:id="747" w:name="_Toc13333"/>
      <w:bookmarkStart w:id="748" w:name="_Toc17151"/>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734"/>
      <w:bookmarkEnd w:id="735"/>
      <w:bookmarkEnd w:id="736"/>
      <w:bookmarkEnd w:id="737"/>
      <w:bookmarkEnd w:id="738"/>
      <w:bookmarkEnd w:id="742"/>
      <w:bookmarkEnd w:id="743"/>
      <w:bookmarkEnd w:id="744"/>
      <w:bookmarkEnd w:id="745"/>
      <w:bookmarkEnd w:id="746"/>
      <w:bookmarkEnd w:id="747"/>
      <w:bookmarkEnd w:id="748"/>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bookmarkStart w:id="749" w:name="_Toc104991881"/>
      <w:bookmarkStart w:id="750" w:name="_Toc2031_WPSOffice_Level2"/>
      <w:bookmarkStart w:id="751" w:name="_Toc1977731"/>
      <w:bookmarkStart w:id="752" w:name="_Toc30939"/>
      <w:bookmarkStart w:id="753" w:name="_Toc533708126"/>
      <w:bookmarkStart w:id="754" w:name="_Toc102860423"/>
      <w:bookmarkStart w:id="755" w:name="_Toc142508374"/>
      <w:bookmarkStart w:id="756" w:name="_Toc486167714"/>
      <w:bookmarkStart w:id="757" w:name="_Toc94107215"/>
      <w:bookmarkStart w:id="758" w:name="_Toc6412"/>
      <w:bookmarkStart w:id="759" w:name="_Toc140596934"/>
      <w:bookmarkStart w:id="760" w:name="_Toc102860079"/>
      <w:r>
        <w:rPr>
          <w:rFonts w:ascii="宋体" w:hAnsi="宋体" w:eastAsia="宋体" w:cs="宋体"/>
          <w:color w:val="auto"/>
          <w:szCs w:val="24"/>
          <w:highlight w:val="none"/>
          <w:lang w:val="zh-CN"/>
        </w:rPr>
        <w:br w:type="page"/>
      </w:r>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761" w:name="_Toc8078"/>
      <w:bookmarkStart w:id="762" w:name="_Toc13319"/>
      <w:bookmarkStart w:id="763" w:name="_Toc17508"/>
      <w:bookmarkStart w:id="764" w:name="_Toc6461"/>
      <w:bookmarkStart w:id="765" w:name="_Toc30559"/>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766" w:name="_Toc2773_WPSOffice_Level3"/>
      <w:r>
        <w:rPr>
          <w:rFonts w:hint="eastAsia" w:ascii="宋体" w:hAnsi="宋体" w:eastAsia="宋体" w:cs="宋体"/>
          <w:b/>
          <w:bCs/>
          <w:color w:val="auto"/>
          <w:sz w:val="30"/>
          <w:szCs w:val="30"/>
          <w:highlight w:val="none"/>
          <w:lang w:val="zh-CN"/>
        </w:rPr>
        <w:t>投标人基本情况一览表</w:t>
      </w:r>
      <w:bookmarkEnd w:id="766"/>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67" w:name="_Toc102860080"/>
      <w:bookmarkStart w:id="768" w:name="_Toc31637"/>
      <w:bookmarkStart w:id="769" w:name="_Toc102860424"/>
      <w:bookmarkStart w:id="770" w:name="_Toc142508375"/>
      <w:bookmarkStart w:id="771" w:name="_Toc94107216"/>
      <w:bookmarkStart w:id="772" w:name="_Toc10443"/>
      <w:bookmarkStart w:id="773" w:name="_Toc8171"/>
      <w:bookmarkStart w:id="774" w:name="_Toc26618"/>
      <w:bookmarkStart w:id="775" w:name="_Toc140596935"/>
      <w:bookmarkStart w:id="776" w:name="_Toc4023"/>
      <w:bookmarkStart w:id="777" w:name="_Toc30209"/>
      <w:bookmarkStart w:id="778" w:name="_Toc29014"/>
      <w:bookmarkStart w:id="779" w:name="_Toc104991882"/>
      <w:bookmarkStart w:id="780" w:name="_Toc486167715"/>
      <w:bookmarkStart w:id="781" w:name="_Toc533708128"/>
      <w:bookmarkStart w:id="782" w:name="_Toc9051_WPSOffice_Level2"/>
      <w:bookmarkStart w:id="783" w:name="_Toc1977733"/>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767"/>
      <w:bookmarkEnd w:id="768"/>
      <w:bookmarkEnd w:id="769"/>
      <w:bookmarkEnd w:id="770"/>
      <w:bookmarkEnd w:id="771"/>
      <w:bookmarkEnd w:id="772"/>
      <w:bookmarkEnd w:id="773"/>
      <w:bookmarkEnd w:id="774"/>
      <w:bookmarkEnd w:id="775"/>
      <w:bookmarkEnd w:id="776"/>
      <w:bookmarkEnd w:id="777"/>
      <w:bookmarkEnd w:id="778"/>
      <w:bookmarkEnd w:id="779"/>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12"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80"/>
    <w:bookmarkEnd w:id="781"/>
    <w:bookmarkEnd w:id="782"/>
    <w:bookmarkEnd w:id="783"/>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784" w:name="_Toc486167716"/>
      <w:bookmarkStart w:id="785" w:name="_Toc12116"/>
      <w:bookmarkStart w:id="786" w:name="_Toc333"/>
      <w:bookmarkStart w:id="787" w:name="_Toc26821"/>
      <w:bookmarkStart w:id="788" w:name="_Toc17995"/>
      <w:bookmarkStart w:id="789" w:name="_Toc1977736"/>
      <w:bookmarkStart w:id="790" w:name="_Toc533708130"/>
      <w:bookmarkStart w:id="791" w:name="_Toc140596936"/>
      <w:bookmarkStart w:id="792" w:name="_Toc94107217"/>
      <w:bookmarkStart w:id="793" w:name="_Toc104991883"/>
      <w:bookmarkStart w:id="794" w:name="_Toc3446"/>
      <w:bookmarkStart w:id="795" w:name="_Toc102860081"/>
      <w:bookmarkStart w:id="796" w:name="_Toc142508376"/>
      <w:bookmarkStart w:id="797" w:name="_Toc22944"/>
      <w:bookmarkStart w:id="798" w:name="_Toc102860425"/>
      <w:bookmarkStart w:id="799" w:name="_Toc24418"/>
      <w:bookmarkStart w:id="800" w:name="_Toc739_WPSOffice_Level2"/>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801" w:name="_Toc26412_WPSOffice_Level3"/>
      <w:r>
        <w:rPr>
          <w:rFonts w:hint="eastAsia" w:ascii="宋体" w:hAnsi="宋体" w:eastAsia="宋体" w:cs="宋体"/>
          <w:b/>
          <w:bCs/>
          <w:color w:val="auto"/>
          <w:kern w:val="0"/>
          <w:sz w:val="28"/>
          <w:szCs w:val="30"/>
          <w:highlight w:val="none"/>
          <w:lang w:val="zh-CN"/>
        </w:rPr>
        <w:t>东莞市水务集团净水有限公司2025年膜组件清洗服务采购项目合同条款偏离表</w:t>
      </w:r>
      <w:bookmarkEnd w:id="801"/>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第一条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服务内容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第二条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服务期限、服务要求及施工人员要求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第三条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安全及其他要求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第四条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验收要求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第五条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综合单价、暂定合同价及付款方式</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第六条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履约担保</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第七条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违约责任</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第八条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权利保证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第九条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不可抗力</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送达地址及送达地址的约定</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第十一条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争议解决</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第十二条</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补充说明</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附件1</w:t>
            </w:r>
          </w:p>
        </w:tc>
        <w:tc>
          <w:tcPr>
            <w:tcW w:w="3055" w:type="dxa"/>
            <w:vAlign w:val="center"/>
          </w:tcPr>
          <w:p>
            <w:pPr>
              <w:pStyle w:val="62"/>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sz w:val="21"/>
                <w:szCs w:val="21"/>
                <w:highlight w:val="none"/>
              </w:rPr>
              <w:t>供应商履约评价表</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1425" w:type="dxa"/>
            <w:vAlign w:val="center"/>
          </w:tcPr>
          <w:p>
            <w:pPr>
              <w:pStyle w:val="62"/>
              <w:snapToGrid w:val="0"/>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附件</w:t>
            </w:r>
            <w:r>
              <w:rPr>
                <w:rFonts w:hint="eastAsia" w:ascii="宋体" w:eastAsia="宋体" w:cs="宋体"/>
                <w:color w:val="auto"/>
                <w:sz w:val="21"/>
                <w:szCs w:val="21"/>
                <w:highlight w:val="none"/>
                <w:lang w:val="en-US" w:eastAsia="zh-CN"/>
              </w:rPr>
              <w:t>2</w:t>
            </w:r>
          </w:p>
        </w:tc>
        <w:tc>
          <w:tcPr>
            <w:tcW w:w="3055" w:type="dxa"/>
            <w:vAlign w:val="center"/>
          </w:tcPr>
          <w:p>
            <w:pPr>
              <w:pStyle w:val="62"/>
              <w:snapToGrid w:val="0"/>
              <w:spacing w:line="24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清洗人员配置情况承诺书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p>
        </w:tc>
        <w:tc>
          <w:tcPr>
            <w:tcW w:w="1425" w:type="dxa"/>
            <w:vAlign w:val="center"/>
          </w:tcPr>
          <w:p>
            <w:pPr>
              <w:pStyle w:val="62"/>
              <w:snapToGrid w:val="0"/>
              <w:spacing w:line="240" w:lineRule="auto"/>
              <w:ind w:firstLine="0" w:firstLineChars="0"/>
              <w:jc w:val="center"/>
              <w:rPr>
                <w:rFonts w:hint="eastAsia" w:ascii="宋体" w:hAnsi="宋体" w:eastAsia="宋体" w:cs="宋体"/>
                <w:color w:val="auto"/>
                <w:kern w:val="0"/>
                <w:szCs w:val="21"/>
                <w:highlight w:val="none"/>
                <w:lang w:eastAsia="zh-CN"/>
              </w:rPr>
            </w:pPr>
            <w:r>
              <w:rPr>
                <w:rFonts w:hint="eastAsia" w:ascii="宋体" w:eastAsia="宋体" w:cs="宋体"/>
                <w:color w:val="auto"/>
                <w:sz w:val="21"/>
                <w:szCs w:val="21"/>
                <w:highlight w:val="none"/>
              </w:rPr>
              <w:t>附件</w:t>
            </w:r>
            <w:r>
              <w:rPr>
                <w:rFonts w:hint="eastAsia" w:ascii="宋体" w:eastAsia="宋体" w:cs="宋体"/>
                <w:color w:val="auto"/>
                <w:sz w:val="21"/>
                <w:szCs w:val="21"/>
                <w:highlight w:val="none"/>
                <w:lang w:val="en-US" w:eastAsia="zh-CN"/>
              </w:rPr>
              <w:t>3</w:t>
            </w:r>
          </w:p>
        </w:tc>
        <w:tc>
          <w:tcPr>
            <w:tcW w:w="3055" w:type="dxa"/>
            <w:vAlign w:val="center"/>
          </w:tcPr>
          <w:p>
            <w:pPr>
              <w:pStyle w:val="62"/>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廉洁协议书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6</w:t>
            </w:r>
          </w:p>
        </w:tc>
        <w:tc>
          <w:tcPr>
            <w:tcW w:w="1425" w:type="dxa"/>
            <w:vAlign w:val="center"/>
          </w:tcPr>
          <w:p>
            <w:pPr>
              <w:pStyle w:val="62"/>
              <w:snapToGrid w:val="0"/>
              <w:spacing w:line="240" w:lineRule="auto"/>
              <w:ind w:firstLine="0" w:firstLineChars="0"/>
              <w:jc w:val="center"/>
              <w:rPr>
                <w:rFonts w:hint="eastAsia" w:ascii="宋体" w:hAnsi="宋体" w:eastAsia="宋体" w:cs="宋体"/>
                <w:color w:val="auto"/>
                <w:kern w:val="0"/>
                <w:szCs w:val="21"/>
                <w:highlight w:val="none"/>
                <w:lang w:eastAsia="zh-CN"/>
              </w:rPr>
            </w:pPr>
            <w:r>
              <w:rPr>
                <w:rFonts w:hint="eastAsia" w:ascii="宋体" w:eastAsia="宋体" w:cs="宋体"/>
                <w:color w:val="auto"/>
                <w:sz w:val="21"/>
                <w:szCs w:val="21"/>
                <w:highlight w:val="none"/>
              </w:rPr>
              <w:t>附件</w:t>
            </w:r>
            <w:r>
              <w:rPr>
                <w:rFonts w:hint="eastAsia" w:ascii="宋体" w:eastAsia="宋体" w:cs="宋体"/>
                <w:color w:val="auto"/>
                <w:sz w:val="21"/>
                <w:szCs w:val="21"/>
                <w:highlight w:val="none"/>
                <w:lang w:val="en-US" w:eastAsia="zh-CN"/>
              </w:rPr>
              <w:t>4</w:t>
            </w:r>
          </w:p>
        </w:tc>
        <w:tc>
          <w:tcPr>
            <w:tcW w:w="3055" w:type="dxa"/>
            <w:vAlign w:val="center"/>
          </w:tcPr>
          <w:p>
            <w:pPr>
              <w:pStyle w:val="62"/>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安全生产管理协议</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一</w:t>
            </w:r>
          </w:p>
        </w:tc>
        <w:tc>
          <w:tcPr>
            <w:tcW w:w="3055" w:type="dxa"/>
            <w:vAlign w:val="center"/>
          </w:tcPr>
          <w:p>
            <w:pPr>
              <w:pStyle w:val="62"/>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二</w:t>
            </w:r>
          </w:p>
        </w:tc>
        <w:tc>
          <w:tcPr>
            <w:tcW w:w="3055" w:type="dxa"/>
            <w:vAlign w:val="center"/>
          </w:tcPr>
          <w:p>
            <w:pPr>
              <w:pStyle w:val="62"/>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履约保证保险</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pStyle w:val="62"/>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三</w:t>
            </w:r>
          </w:p>
        </w:tc>
        <w:tc>
          <w:tcPr>
            <w:tcW w:w="3055" w:type="dxa"/>
            <w:vAlign w:val="center"/>
          </w:tcPr>
          <w:p>
            <w:pPr>
              <w:pStyle w:val="62"/>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802" w:name="_Toc13179"/>
      <w:bookmarkStart w:id="803" w:name="_Toc19835"/>
      <w:bookmarkStart w:id="804" w:name="_Toc29505"/>
      <w:bookmarkStart w:id="805" w:name="_Toc5473"/>
      <w:bookmarkStart w:id="806" w:name="_Toc140596937"/>
      <w:bookmarkStart w:id="807" w:name="_Toc13408"/>
      <w:bookmarkStart w:id="808" w:name="_Toc104991884"/>
      <w:bookmarkStart w:id="809" w:name="_Toc142508377"/>
      <w:bookmarkStart w:id="810" w:name="_Toc3463"/>
      <w:bookmarkStart w:id="811" w:name="_Toc102860082"/>
      <w:bookmarkStart w:id="812" w:name="_Toc1193"/>
      <w:bookmarkStart w:id="813" w:name="_Toc94107218"/>
      <w:bookmarkStart w:id="814" w:name="_Toc102860426"/>
      <w:bookmarkStart w:id="815" w:name="_Toc486167717"/>
      <w:bookmarkStart w:id="816"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802"/>
      <w:bookmarkEnd w:id="803"/>
      <w:bookmarkEnd w:id="804"/>
      <w:bookmarkEnd w:id="805"/>
      <w:bookmarkEnd w:id="806"/>
      <w:bookmarkEnd w:id="807"/>
      <w:bookmarkEnd w:id="808"/>
      <w:bookmarkEnd w:id="809"/>
      <w:bookmarkEnd w:id="810"/>
      <w:bookmarkEnd w:id="811"/>
      <w:bookmarkEnd w:id="812"/>
      <w:bookmarkEnd w:id="813"/>
      <w:bookmarkEnd w:id="814"/>
    </w:p>
    <w:p>
      <w:pPr>
        <w:tabs>
          <w:tab w:val="left" w:pos="567"/>
        </w:tabs>
        <w:autoSpaceDE w:val="0"/>
        <w:autoSpaceDN w:val="0"/>
        <w:adjustRightInd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投标人</w:t>
      </w:r>
      <w:r>
        <w:rPr>
          <w:rFonts w:hint="eastAsia" w:ascii="宋体" w:hAnsi="宋体" w:eastAsia="宋体" w:cs="宋体"/>
          <w:b/>
          <w:color w:val="auto"/>
          <w:kern w:val="0"/>
          <w:sz w:val="32"/>
          <w:szCs w:val="32"/>
          <w:highlight w:val="none"/>
          <w:lang w:val="en-US" w:eastAsia="zh-CN"/>
        </w:rPr>
        <w:t>2021</w:t>
      </w:r>
      <w:r>
        <w:rPr>
          <w:rFonts w:hint="eastAsia" w:ascii="宋体" w:hAnsi="宋体" w:eastAsia="宋体" w:cs="宋体"/>
          <w:b/>
          <w:color w:val="auto"/>
          <w:kern w:val="0"/>
          <w:sz w:val="32"/>
          <w:szCs w:val="32"/>
          <w:highlight w:val="none"/>
          <w:lang w:val="zh-CN"/>
        </w:rPr>
        <w:t>年</w:t>
      </w:r>
      <w:r>
        <w:rPr>
          <w:rFonts w:hint="eastAsia" w:ascii="宋体" w:hAnsi="宋体" w:eastAsia="宋体" w:cs="宋体"/>
          <w:b/>
          <w:color w:val="auto"/>
          <w:kern w:val="0"/>
          <w:sz w:val="32"/>
          <w:szCs w:val="32"/>
          <w:highlight w:val="none"/>
          <w:lang w:val="en-US" w:eastAsia="zh-CN"/>
        </w:rPr>
        <w:t>1</w:t>
      </w:r>
      <w:r>
        <w:rPr>
          <w:rFonts w:hint="eastAsia" w:ascii="宋体" w:hAnsi="宋体" w:eastAsia="宋体" w:cs="宋体"/>
          <w:b/>
          <w:color w:val="auto"/>
          <w:kern w:val="0"/>
          <w:sz w:val="32"/>
          <w:szCs w:val="32"/>
          <w:highlight w:val="none"/>
          <w:lang w:val="zh-CN"/>
        </w:rPr>
        <w:t>月</w:t>
      </w:r>
      <w:r>
        <w:rPr>
          <w:rFonts w:hint="eastAsia" w:ascii="宋体" w:hAnsi="宋体" w:eastAsia="宋体" w:cs="宋体"/>
          <w:b/>
          <w:color w:val="auto"/>
          <w:kern w:val="0"/>
          <w:sz w:val="32"/>
          <w:szCs w:val="32"/>
          <w:highlight w:val="none"/>
          <w:lang w:val="en-US" w:eastAsia="zh-CN"/>
        </w:rPr>
        <w:t>1</w:t>
      </w:r>
      <w:r>
        <w:rPr>
          <w:rFonts w:hint="eastAsia" w:ascii="宋体" w:hAnsi="宋体" w:eastAsia="宋体" w:cs="宋体"/>
          <w:b/>
          <w:color w:val="auto"/>
          <w:kern w:val="0"/>
          <w:sz w:val="32"/>
          <w:szCs w:val="32"/>
          <w:highlight w:val="none"/>
          <w:lang w:val="zh-CN"/>
        </w:rPr>
        <w:t>日以来</w:t>
      </w:r>
      <w:r>
        <w:rPr>
          <w:rFonts w:hint="eastAsia" w:ascii="宋体" w:hAnsi="宋体" w:eastAsia="宋体" w:cs="宋体"/>
          <w:b/>
          <w:color w:val="auto"/>
          <w:kern w:val="0"/>
          <w:sz w:val="32"/>
          <w:szCs w:val="32"/>
          <w:highlight w:val="none"/>
          <w:lang w:val="zh-CN" w:eastAsia="zh-CN"/>
        </w:rPr>
        <w:t>具有</w:t>
      </w:r>
      <w:r>
        <w:rPr>
          <w:rFonts w:hint="eastAsia" w:ascii="宋体" w:hAnsi="宋体" w:eastAsia="宋体" w:cs="宋体"/>
          <w:b/>
          <w:color w:val="auto"/>
          <w:kern w:val="0"/>
          <w:sz w:val="32"/>
          <w:szCs w:val="32"/>
          <w:highlight w:val="none"/>
          <w:lang w:val="en-US" w:eastAsia="zh-CN"/>
        </w:rPr>
        <w:t>的</w:t>
      </w:r>
      <w:r>
        <w:rPr>
          <w:rFonts w:hint="eastAsia" w:ascii="宋体" w:hAnsi="宋体" w:eastAsia="宋体" w:cs="宋体"/>
          <w:b/>
          <w:color w:val="auto"/>
          <w:kern w:val="0"/>
          <w:sz w:val="32"/>
          <w:szCs w:val="32"/>
          <w:highlight w:val="none"/>
          <w:lang w:val="zh-CN"/>
        </w:rPr>
        <w:t>膜组件清洗服务业绩表</w:t>
      </w:r>
    </w:p>
    <w:tbl>
      <w:tblPr>
        <w:tblStyle w:val="36"/>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6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5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5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95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95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5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11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5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95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95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8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pPr>
              <w:jc w:val="center"/>
              <w:rPr>
                <w:rFonts w:hint="eastAsia" w:ascii="宋体" w:hAnsi="宋体" w:eastAsia="宋体" w:cs="宋体"/>
                <w:color w:val="auto"/>
                <w:sz w:val="21"/>
                <w:szCs w:val="21"/>
                <w:highlight w:val="none"/>
              </w:rPr>
            </w:pPr>
          </w:p>
        </w:tc>
        <w:tc>
          <w:tcPr>
            <w:tcW w:w="954" w:type="dxa"/>
            <w:noWrap w:val="0"/>
            <w:vAlign w:val="center"/>
          </w:tcPr>
          <w:p>
            <w:pPr>
              <w:jc w:val="center"/>
              <w:rPr>
                <w:rFonts w:hint="eastAsia" w:ascii="宋体" w:hAnsi="宋体" w:eastAsia="宋体" w:cs="宋体"/>
                <w:color w:val="auto"/>
                <w:sz w:val="21"/>
                <w:szCs w:val="21"/>
                <w:highlight w:val="none"/>
              </w:rPr>
            </w:pPr>
          </w:p>
        </w:tc>
        <w:tc>
          <w:tcPr>
            <w:tcW w:w="954"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1114"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top"/>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788"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pPr>
              <w:jc w:val="center"/>
              <w:rPr>
                <w:rFonts w:hint="eastAsia" w:ascii="宋体" w:hAnsi="宋体" w:eastAsia="宋体" w:cs="宋体"/>
                <w:color w:val="auto"/>
                <w:sz w:val="21"/>
                <w:szCs w:val="21"/>
                <w:highlight w:val="none"/>
              </w:rPr>
            </w:pPr>
          </w:p>
        </w:tc>
        <w:tc>
          <w:tcPr>
            <w:tcW w:w="954" w:type="dxa"/>
            <w:noWrap w:val="0"/>
            <w:vAlign w:val="center"/>
          </w:tcPr>
          <w:p>
            <w:pPr>
              <w:jc w:val="center"/>
              <w:rPr>
                <w:rFonts w:hint="eastAsia" w:ascii="宋体" w:hAnsi="宋体" w:eastAsia="宋体" w:cs="宋体"/>
                <w:color w:val="auto"/>
                <w:sz w:val="21"/>
                <w:szCs w:val="21"/>
                <w:highlight w:val="none"/>
              </w:rPr>
            </w:pPr>
          </w:p>
        </w:tc>
        <w:tc>
          <w:tcPr>
            <w:tcW w:w="954"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1114"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top"/>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788"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pPr>
              <w:jc w:val="center"/>
              <w:rPr>
                <w:rFonts w:hint="eastAsia" w:ascii="宋体" w:hAnsi="宋体" w:eastAsia="宋体" w:cs="宋体"/>
                <w:color w:val="auto"/>
                <w:sz w:val="21"/>
                <w:szCs w:val="21"/>
                <w:highlight w:val="none"/>
              </w:rPr>
            </w:pPr>
          </w:p>
        </w:tc>
        <w:tc>
          <w:tcPr>
            <w:tcW w:w="954" w:type="dxa"/>
            <w:noWrap w:val="0"/>
            <w:vAlign w:val="center"/>
          </w:tcPr>
          <w:p>
            <w:pPr>
              <w:jc w:val="center"/>
              <w:rPr>
                <w:rFonts w:hint="eastAsia" w:ascii="宋体" w:hAnsi="宋体" w:eastAsia="宋体" w:cs="宋体"/>
                <w:color w:val="auto"/>
                <w:sz w:val="21"/>
                <w:szCs w:val="21"/>
                <w:highlight w:val="none"/>
              </w:rPr>
            </w:pPr>
          </w:p>
        </w:tc>
        <w:tc>
          <w:tcPr>
            <w:tcW w:w="954"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1114"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top"/>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788"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noWrap w:val="0"/>
            <w:vAlign w:val="center"/>
          </w:tcPr>
          <w:p>
            <w:pPr>
              <w:jc w:val="center"/>
              <w:rPr>
                <w:rFonts w:hint="eastAsia" w:ascii="宋体" w:hAnsi="宋体" w:eastAsia="宋体" w:cs="宋体"/>
                <w:color w:val="auto"/>
                <w:sz w:val="21"/>
                <w:szCs w:val="21"/>
                <w:highlight w:val="none"/>
              </w:rPr>
            </w:pPr>
          </w:p>
        </w:tc>
        <w:tc>
          <w:tcPr>
            <w:tcW w:w="954" w:type="dxa"/>
            <w:noWrap w:val="0"/>
            <w:vAlign w:val="center"/>
          </w:tcPr>
          <w:p>
            <w:pPr>
              <w:jc w:val="center"/>
              <w:rPr>
                <w:rFonts w:hint="eastAsia" w:ascii="宋体" w:hAnsi="宋体" w:eastAsia="宋体" w:cs="宋体"/>
                <w:color w:val="auto"/>
                <w:sz w:val="21"/>
                <w:szCs w:val="21"/>
                <w:highlight w:val="none"/>
              </w:rPr>
            </w:pPr>
          </w:p>
        </w:tc>
        <w:tc>
          <w:tcPr>
            <w:tcW w:w="954"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1114"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top"/>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956" w:type="dxa"/>
            <w:noWrap w:val="0"/>
            <w:vAlign w:val="center"/>
          </w:tcPr>
          <w:p>
            <w:pPr>
              <w:jc w:val="center"/>
              <w:rPr>
                <w:rFonts w:hint="eastAsia" w:ascii="宋体" w:hAnsi="宋体" w:eastAsia="宋体" w:cs="宋体"/>
                <w:color w:val="auto"/>
                <w:sz w:val="21"/>
                <w:szCs w:val="21"/>
                <w:highlight w:val="none"/>
              </w:rPr>
            </w:pPr>
          </w:p>
        </w:tc>
        <w:tc>
          <w:tcPr>
            <w:tcW w:w="788" w:type="dxa"/>
            <w:noWrap w:val="0"/>
            <w:vAlign w:val="center"/>
          </w:tcPr>
          <w:p>
            <w:pPr>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numPr>
          <w:ilvl w:val="0"/>
          <w:numId w:val="0"/>
        </w:numPr>
        <w:autoSpaceDE w:val="0"/>
        <w:autoSpaceDN w:val="0"/>
        <w:adjustRightInd w:val="0"/>
        <w:snapToGrid w:val="0"/>
        <w:spacing w:line="360" w:lineRule="auto"/>
        <w:ind w:left="481" w:leftChars="-41" w:hanging="567" w:hangingChars="270"/>
        <w:jc w:val="left"/>
        <w:rPr>
          <w:rFonts w:ascii="宋体" w:hAnsi="宋体" w:eastAsia="宋体" w:cs="Times New Roman"/>
          <w:b w:val="0"/>
          <w:bCs w:val="0"/>
          <w:color w:val="auto"/>
          <w:szCs w:val="24"/>
          <w:highlight w:val="none"/>
          <w:lang w:val="zh-CN"/>
        </w:rPr>
      </w:pPr>
      <w:r>
        <w:rPr>
          <w:rFonts w:hint="eastAsia" w:ascii="宋体" w:hAnsi="宋体" w:eastAsia="宋体" w:cs="Times New Roman"/>
          <w:b w:val="0"/>
          <w:bCs w:val="0"/>
          <w:color w:val="auto"/>
          <w:szCs w:val="24"/>
          <w:highlight w:val="none"/>
          <w:lang w:val="zh-CN"/>
        </w:rPr>
        <w:t>备注：</w:t>
      </w:r>
    </w:p>
    <w:p>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val="0"/>
          <w:color w:val="auto"/>
          <w:szCs w:val="24"/>
          <w:highlight w:val="none"/>
          <w:lang w:val="zh-CN"/>
        </w:rPr>
      </w:pPr>
      <w:r>
        <w:rPr>
          <w:rFonts w:hint="eastAsia" w:ascii="宋体" w:hAnsi="宋体" w:eastAsia="宋体" w:cs="Times New Roman"/>
          <w:b w:val="0"/>
          <w:bCs w:val="0"/>
          <w:color w:val="auto"/>
          <w:szCs w:val="24"/>
          <w:highlight w:val="none"/>
          <w:lang w:val="zh-CN" w:eastAsia="zh-CN"/>
        </w:rPr>
        <w:t>（1）</w:t>
      </w:r>
      <w:r>
        <w:rPr>
          <w:rFonts w:ascii="宋体" w:hAnsi="宋体" w:eastAsia="宋体" w:cs="Times New Roman"/>
          <w:b w:val="0"/>
          <w:bCs w:val="0"/>
          <w:color w:val="auto"/>
          <w:szCs w:val="24"/>
          <w:highlight w:val="none"/>
          <w:lang w:val="zh-CN"/>
        </w:rPr>
        <w:t>业绩按单项合同采购金额从高到低的方式排列</w:t>
      </w:r>
      <w:r>
        <w:rPr>
          <w:rFonts w:hint="eastAsia" w:ascii="宋体" w:hAnsi="宋体" w:eastAsia="宋体" w:cs="Times New Roman"/>
          <w:b w:val="0"/>
          <w:bCs w:val="0"/>
          <w:color w:val="auto"/>
          <w:szCs w:val="24"/>
          <w:highlight w:val="none"/>
          <w:lang w:val="zh-CN"/>
        </w:rPr>
        <w:t>；同一个单项合同的业绩可以同时在资格业绩和评分业绩重复放置；</w:t>
      </w:r>
    </w:p>
    <w:p>
      <w:pPr>
        <w:numPr>
          <w:ilvl w:val="0"/>
          <w:numId w:val="0"/>
        </w:num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val="0"/>
          <w:color w:val="auto"/>
          <w:szCs w:val="24"/>
          <w:highlight w:val="none"/>
          <w:lang w:val="zh-CN"/>
        </w:rPr>
      </w:pPr>
      <w:r>
        <w:rPr>
          <w:rFonts w:hint="eastAsia" w:ascii="宋体" w:hAnsi="宋体" w:eastAsia="宋体" w:cs="Times New Roman"/>
          <w:b w:val="0"/>
          <w:bCs w:val="0"/>
          <w:color w:val="auto"/>
          <w:szCs w:val="24"/>
          <w:highlight w:val="none"/>
          <w:lang w:val="zh-CN"/>
        </w:rPr>
        <w:t>（2）业绩须附合同复印件（合同服务提供方为投标人），否则不得分；</w:t>
      </w:r>
    </w:p>
    <w:p>
      <w:pPr>
        <w:numPr>
          <w:ilvl w:val="0"/>
          <w:numId w:val="0"/>
        </w:numPr>
        <w:autoSpaceDE w:val="0"/>
        <w:autoSpaceDN w:val="0"/>
        <w:adjustRightInd w:val="0"/>
        <w:snapToGrid w:val="0"/>
        <w:spacing w:line="360" w:lineRule="auto"/>
        <w:ind w:left="481" w:leftChars="-41" w:hanging="567" w:hangingChars="270"/>
        <w:jc w:val="left"/>
        <w:rPr>
          <w:rFonts w:ascii="宋体" w:hAnsi="宋体" w:eastAsia="宋体" w:cs="Times New Roman"/>
          <w:b w:val="0"/>
          <w:bCs w:val="0"/>
          <w:color w:val="auto"/>
          <w:szCs w:val="24"/>
          <w:highlight w:val="none"/>
          <w:lang w:val="zh-CN"/>
        </w:rPr>
      </w:pPr>
      <w:r>
        <w:rPr>
          <w:rFonts w:hint="eastAsia" w:ascii="宋体" w:hAnsi="宋体" w:eastAsia="宋体" w:cs="Times New Roman"/>
          <w:b w:val="0"/>
          <w:bCs w:val="0"/>
          <w:color w:val="auto"/>
          <w:szCs w:val="24"/>
          <w:highlight w:val="none"/>
          <w:lang w:val="zh-CN"/>
        </w:rPr>
        <w:t>（3）若合同无法反映评分条件（合同签订日期为202</w:t>
      </w:r>
      <w:r>
        <w:rPr>
          <w:rFonts w:hint="eastAsia" w:ascii="宋体" w:hAnsi="宋体" w:eastAsia="宋体" w:cs="Times New Roman"/>
          <w:b w:val="0"/>
          <w:bCs w:val="0"/>
          <w:color w:val="auto"/>
          <w:szCs w:val="24"/>
          <w:highlight w:val="none"/>
          <w:lang w:val="en-US" w:eastAsia="zh-CN"/>
        </w:rPr>
        <w:t>1</w:t>
      </w:r>
      <w:r>
        <w:rPr>
          <w:rFonts w:hint="eastAsia" w:ascii="宋体" w:hAnsi="宋体" w:eastAsia="宋体" w:cs="Times New Roman"/>
          <w:b w:val="0"/>
          <w:bCs w:val="0"/>
          <w:color w:val="auto"/>
          <w:szCs w:val="24"/>
          <w:highlight w:val="none"/>
          <w:lang w:val="zh-CN"/>
        </w:rPr>
        <w:t>年1月1日或以后、合同服务内容必须体现膜组件清洗服务、合同金额</w:t>
      </w:r>
      <w:r>
        <w:rPr>
          <w:rFonts w:hint="eastAsia" w:ascii="宋体" w:hAnsi="宋体" w:eastAsia="宋体" w:cs="宋体"/>
          <w:b w:val="0"/>
          <w:bCs w:val="0"/>
          <w:color w:val="auto"/>
          <w:sz w:val="21"/>
          <w:szCs w:val="21"/>
          <w:highlight w:val="none"/>
        </w:rPr>
        <w:t>）的，还需提供服务购</w:t>
      </w:r>
      <w:r>
        <w:rPr>
          <w:rFonts w:hint="eastAsia" w:ascii="宋体" w:hAnsi="宋体" w:eastAsia="宋体" w:cs="Times New Roman"/>
          <w:b w:val="0"/>
          <w:bCs w:val="0"/>
          <w:color w:val="auto"/>
          <w:szCs w:val="24"/>
          <w:highlight w:val="none"/>
          <w:lang w:val="zh-CN"/>
        </w:rPr>
        <w:t>买方出具的书面补充说明文件复印件作为辅助证明（</w:t>
      </w:r>
      <w:r>
        <w:rPr>
          <w:rFonts w:hint="eastAsia" w:ascii="宋体" w:hAnsi="宋体" w:eastAsia="宋体" w:cs="Times New Roman"/>
          <w:b w:val="0"/>
          <w:bCs w:val="0"/>
          <w:color w:val="auto"/>
          <w:szCs w:val="24"/>
          <w:highlight w:val="none"/>
          <w:lang w:val="en-US" w:eastAsia="zh-CN"/>
        </w:rPr>
        <w:t>补充说明文件复印件能显示</w:t>
      </w:r>
      <w:r>
        <w:rPr>
          <w:rFonts w:hint="eastAsia" w:ascii="宋体" w:hAnsi="宋体" w:eastAsia="宋体" w:cs="Times New Roman"/>
          <w:b w:val="0"/>
          <w:bCs w:val="0"/>
          <w:color w:val="auto"/>
          <w:szCs w:val="24"/>
          <w:highlight w:val="none"/>
          <w:lang w:val="zh-CN"/>
        </w:rPr>
        <w:t>服务购买方公章），否则不得分；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val="0"/>
          <w:color w:val="auto"/>
          <w:szCs w:val="24"/>
          <w:highlight w:val="none"/>
          <w:lang w:val="zh-CN" w:eastAsia="zh-CN"/>
        </w:rPr>
      </w:pPr>
      <w:r>
        <w:rPr>
          <w:rFonts w:hint="eastAsia" w:ascii="宋体" w:hAnsi="宋体" w:eastAsia="宋体" w:cs="Times New Roman"/>
          <w:b w:val="0"/>
          <w:bCs w:val="0"/>
          <w:color w:val="auto"/>
          <w:szCs w:val="24"/>
          <w:highlight w:val="none"/>
          <w:lang w:val="zh-CN"/>
        </w:rPr>
        <w:t>（</w:t>
      </w:r>
      <w:r>
        <w:rPr>
          <w:rFonts w:ascii="宋体" w:hAnsi="宋体" w:eastAsia="宋体" w:cs="Times New Roman"/>
          <w:b w:val="0"/>
          <w:bCs w:val="0"/>
          <w:color w:val="auto"/>
          <w:szCs w:val="24"/>
          <w:highlight w:val="none"/>
          <w:lang w:val="zh-CN"/>
        </w:rPr>
        <w:t>4</w:t>
      </w:r>
      <w:r>
        <w:rPr>
          <w:rFonts w:hint="eastAsia" w:ascii="宋体" w:hAnsi="宋体" w:eastAsia="宋体" w:cs="Times New Roman"/>
          <w:b w:val="0"/>
          <w:bCs w:val="0"/>
          <w:color w:val="auto"/>
          <w:szCs w:val="24"/>
          <w:highlight w:val="none"/>
          <w:lang w:val="zh-CN"/>
        </w:rPr>
        <w:t>）</w:t>
      </w:r>
      <w:r>
        <w:rPr>
          <w:rFonts w:hint="eastAsia" w:ascii="宋体" w:hAnsi="宋体" w:eastAsia="宋体" w:cs="宋体"/>
          <w:b w:val="0"/>
          <w:bCs w:val="0"/>
          <w:color w:val="auto"/>
          <w:sz w:val="21"/>
          <w:szCs w:val="21"/>
          <w:highlight w:val="none"/>
        </w:rPr>
        <w:t>若业绩为框架式协议或资格入围无明确金额的合同，必须同时提供合同期限内已服务发票金额统计表和发票复印件</w:t>
      </w:r>
      <w:r>
        <w:rPr>
          <w:rFonts w:hint="eastAsia" w:ascii="宋体" w:hAnsi="宋体" w:eastAsia="宋体" w:cs="宋体"/>
          <w:b w:val="0"/>
          <w:bCs w:val="0"/>
          <w:color w:val="auto"/>
          <w:sz w:val="21"/>
          <w:szCs w:val="21"/>
          <w:highlight w:val="none"/>
          <w:lang w:eastAsia="zh-CN"/>
        </w:rPr>
        <w:t>；</w:t>
      </w:r>
    </w:p>
    <w:p>
      <w:pPr>
        <w:autoSpaceDE w:val="0"/>
        <w:autoSpaceDN w:val="0"/>
        <w:adjustRightInd w:val="0"/>
        <w:snapToGrid w:val="0"/>
        <w:spacing w:line="360" w:lineRule="auto"/>
        <w:ind w:left="481" w:leftChars="-41" w:hanging="567" w:hangingChars="270"/>
        <w:jc w:val="left"/>
        <w:rPr>
          <w:rFonts w:ascii="宋体" w:hAnsi="宋体" w:eastAsia="宋体" w:cs="宋体"/>
          <w:b w:val="0"/>
          <w:bCs w:val="0"/>
          <w:color w:val="auto"/>
          <w:kern w:val="0"/>
          <w:szCs w:val="21"/>
          <w:highlight w:val="none"/>
        </w:rPr>
      </w:pPr>
      <w:r>
        <w:rPr>
          <w:rFonts w:hint="eastAsia" w:ascii="宋体" w:hAnsi="宋体" w:eastAsia="宋体" w:cs="Times New Roman"/>
          <w:b w:val="0"/>
          <w:bCs w:val="0"/>
          <w:color w:val="auto"/>
          <w:szCs w:val="24"/>
          <w:highlight w:val="none"/>
          <w:lang w:val="zh-CN"/>
        </w:rPr>
        <w:t>（</w:t>
      </w:r>
      <w:r>
        <w:rPr>
          <w:rFonts w:hint="eastAsia" w:ascii="宋体" w:hAnsi="宋体" w:eastAsia="宋体" w:cs="Times New Roman"/>
          <w:b w:val="0"/>
          <w:bCs w:val="0"/>
          <w:color w:val="auto"/>
          <w:szCs w:val="24"/>
          <w:highlight w:val="none"/>
          <w:lang w:val="en-US" w:eastAsia="zh-CN"/>
        </w:rPr>
        <w:t>5</w:t>
      </w:r>
      <w:r>
        <w:rPr>
          <w:rFonts w:hint="eastAsia" w:ascii="宋体" w:hAnsi="宋体" w:eastAsia="宋体" w:cs="Times New Roman"/>
          <w:b w:val="0"/>
          <w:bCs w:val="0"/>
          <w:color w:val="auto"/>
          <w:szCs w:val="24"/>
          <w:highlight w:val="none"/>
          <w:lang w:val="zh-CN"/>
        </w:rPr>
        <w:t>）未按上述要求在此格式下提供证明材料的业绩，或在此格式下所附材料无法证明填报项目符合本项评分要求的业绩，在评标时将不予考虑。</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rPr>
          <w:rFonts w:ascii="宋体" w:hAnsi="宋体" w:eastAsia="宋体" w:cs="Times New Roman"/>
          <w:b/>
          <w:bCs/>
          <w:color w:val="auto"/>
          <w:sz w:val="30"/>
          <w:szCs w:val="30"/>
          <w:highlight w:val="none"/>
          <w:lang w:val="zh-CN"/>
        </w:rPr>
      </w:pPr>
    </w:p>
    <w:p>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815"/>
    <w:bookmarkEnd w:id="816"/>
    <w:p>
      <w:pPr>
        <w:rPr>
          <w:rFonts w:hint="eastAsia" w:ascii="宋体" w:hAnsi="宋体" w:eastAsia="宋体" w:cs="宋体"/>
          <w:b/>
          <w:bCs/>
          <w:color w:val="auto"/>
          <w:kern w:val="0"/>
          <w:sz w:val="32"/>
          <w:szCs w:val="32"/>
          <w:highlight w:val="none"/>
          <w:lang w:val="zh-CN"/>
        </w:rPr>
      </w:pPr>
      <w:bookmarkStart w:id="817" w:name="_Toc94107220"/>
      <w:bookmarkStart w:id="818" w:name="_Toc140596938"/>
      <w:bookmarkStart w:id="819" w:name="_Toc31965"/>
      <w:bookmarkStart w:id="820" w:name="_Toc18175_WPSOffice_Level2"/>
      <w:bookmarkStart w:id="821" w:name="_Toc533708132"/>
      <w:bookmarkStart w:id="822" w:name="_Toc102860083"/>
      <w:bookmarkStart w:id="823" w:name="_Toc19890"/>
      <w:bookmarkStart w:id="824" w:name="_Toc104991885"/>
      <w:bookmarkStart w:id="825" w:name="_Toc486167719"/>
      <w:bookmarkStart w:id="826" w:name="_Toc142508378"/>
      <w:bookmarkStart w:id="827" w:name="_Toc102860427"/>
      <w:bookmarkStart w:id="828" w:name="_Toc1977737"/>
      <w:bookmarkStart w:id="829" w:name="_Toc18413"/>
      <w:r>
        <w:rPr>
          <w:rFonts w:hint="eastAsia" w:ascii="宋体" w:hAnsi="宋体" w:eastAsia="宋体" w:cs="宋体"/>
          <w:b/>
          <w:bCs/>
          <w:color w:val="auto"/>
          <w:kern w:val="0"/>
          <w:sz w:val="32"/>
          <w:szCs w:val="32"/>
          <w:highlight w:val="none"/>
          <w:lang w:val="zh-CN"/>
        </w:rPr>
        <w:br w:type="page"/>
      </w:r>
    </w:p>
    <w:p>
      <w:pPr>
        <w:pageBreakBefore/>
        <w:snapToGrid w:val="0"/>
        <w:spacing w:line="360" w:lineRule="auto"/>
        <w:ind w:left="671" w:leftChars="-58" w:hanging="793" w:hangingChars="247"/>
        <w:rPr>
          <w:rFonts w:hint="eastAsia" w:ascii="宋体" w:hAnsi="宋体" w:eastAsia="宋体" w:cs="宋体"/>
          <w:b/>
          <w:color w:val="auto"/>
          <w:kern w:val="2"/>
          <w:sz w:val="32"/>
          <w:szCs w:val="32"/>
          <w:highlight w:val="none"/>
          <w:lang w:val="zh-CN"/>
        </w:rPr>
      </w:pPr>
      <w:r>
        <w:rPr>
          <w:rFonts w:hint="eastAsia" w:ascii="宋体" w:hAnsi="宋体" w:eastAsia="宋体" w:cs="宋体"/>
          <w:b/>
          <w:color w:val="auto"/>
          <w:kern w:val="2"/>
          <w:sz w:val="32"/>
          <w:szCs w:val="32"/>
          <w:highlight w:val="none"/>
          <w:lang w:val="zh-CN"/>
        </w:rPr>
        <w:t>附表：已</w:t>
      </w:r>
      <w:r>
        <w:rPr>
          <w:rFonts w:hint="eastAsia" w:ascii="宋体" w:hAnsi="宋体" w:eastAsia="宋体" w:cs="宋体"/>
          <w:b/>
          <w:color w:val="auto"/>
          <w:kern w:val="2"/>
          <w:sz w:val="32"/>
          <w:szCs w:val="32"/>
          <w:highlight w:val="none"/>
          <w:lang w:val="en-US" w:eastAsia="zh-CN"/>
        </w:rPr>
        <w:t>服务</w:t>
      </w:r>
      <w:r>
        <w:rPr>
          <w:rFonts w:hint="eastAsia" w:ascii="宋体" w:hAnsi="宋体" w:eastAsia="宋体" w:cs="宋体"/>
          <w:b/>
          <w:color w:val="auto"/>
          <w:kern w:val="2"/>
          <w:sz w:val="32"/>
          <w:szCs w:val="32"/>
          <w:highlight w:val="none"/>
          <w:lang w:val="zh-CN"/>
        </w:rPr>
        <w:t>发票金额统计表</w:t>
      </w:r>
    </w:p>
    <w:tbl>
      <w:tblPr>
        <w:tblStyle w:val="36"/>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466"/>
        <w:gridCol w:w="1531"/>
        <w:gridCol w:w="1377"/>
        <w:gridCol w:w="1686"/>
        <w:gridCol w:w="1344"/>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13" w:type="dxa"/>
            <w:gridSpan w:val="2"/>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5955" w:type="dxa"/>
            <w:gridSpan w:val="5"/>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3" w:type="dxa"/>
            <w:gridSpan w:val="2"/>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合同约定的</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期</w:t>
            </w:r>
          </w:p>
        </w:tc>
        <w:tc>
          <w:tcPr>
            <w:tcW w:w="5955" w:type="dxa"/>
            <w:gridSpan w:val="5"/>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3" w:type="dxa"/>
            <w:gridSpan w:val="2"/>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发票抬头（</w:t>
            </w:r>
            <w:r>
              <w:rPr>
                <w:rFonts w:hint="eastAsia" w:ascii="宋体" w:hAnsi="宋体" w:eastAsia="宋体" w:cs="宋体"/>
                <w:color w:val="auto"/>
                <w:kern w:val="2"/>
                <w:sz w:val="21"/>
                <w:highlight w:val="none"/>
              </w:rPr>
              <w:t>合同服务购买方）</w:t>
            </w:r>
          </w:p>
        </w:tc>
        <w:tc>
          <w:tcPr>
            <w:tcW w:w="5955" w:type="dxa"/>
            <w:gridSpan w:val="5"/>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94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346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发票名目</w:t>
            </w:r>
          </w:p>
        </w:tc>
        <w:tc>
          <w:tcPr>
            <w:tcW w:w="1531"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发票金额（单位：万元）</w:t>
            </w:r>
          </w:p>
        </w:tc>
        <w:tc>
          <w:tcPr>
            <w:tcW w:w="137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发票号码</w:t>
            </w:r>
          </w:p>
        </w:tc>
        <w:tc>
          <w:tcPr>
            <w:tcW w:w="168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发票所属时期</w:t>
            </w:r>
          </w:p>
        </w:tc>
        <w:tc>
          <w:tcPr>
            <w:tcW w:w="1344"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94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346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531"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37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68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344"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94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346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531"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37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68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344"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94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346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531"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37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68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344"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94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346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531"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377"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686"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c>
          <w:tcPr>
            <w:tcW w:w="1344" w:type="dxa"/>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4413" w:type="dxa"/>
            <w:gridSpan w:val="2"/>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发票金额合计（单位：万元）</w:t>
            </w:r>
          </w:p>
        </w:tc>
        <w:tc>
          <w:tcPr>
            <w:tcW w:w="5938" w:type="dxa"/>
            <w:gridSpan w:val="4"/>
            <w:noWrap w:val="0"/>
            <w:vAlign w:val="center"/>
          </w:tcPr>
          <w:p>
            <w:pPr>
              <w:pStyle w:val="20"/>
              <w:keepNext w:val="0"/>
              <w:keepLines w:val="0"/>
              <w:suppressLineNumbers w:val="0"/>
              <w:snapToGrid w:val="0"/>
              <w:spacing w:before="0" w:beforeAutospacing="0" w:after="0" w:afterAutospacing="0" w:line="400" w:lineRule="exact"/>
              <w:ind w:left="0" w:leftChars="0" w:right="0"/>
              <w:jc w:val="center"/>
              <w:rPr>
                <w:rFonts w:hint="eastAsia" w:ascii="宋体" w:hAnsi="宋体" w:eastAsia="宋体" w:cs="宋体"/>
                <w:color w:val="auto"/>
                <w:kern w:val="2"/>
                <w:sz w:val="21"/>
                <w:szCs w:val="21"/>
                <w:highlight w:val="none"/>
              </w:rPr>
            </w:pPr>
          </w:p>
        </w:tc>
      </w:tr>
    </w:tbl>
    <w:p>
      <w:pPr>
        <w:snapToGrid w:val="0"/>
        <w:spacing w:line="360" w:lineRule="auto"/>
        <w:ind w:left="491" w:leftChars="-57" w:hanging="611" w:hangingChars="291"/>
        <w:rPr>
          <w:rFonts w:hint="eastAsia" w:ascii="宋体" w:hAnsi="宋体" w:eastAsia="宋体" w:cs="宋体"/>
          <w:color w:val="auto"/>
          <w:kern w:val="2"/>
          <w:sz w:val="21"/>
          <w:highlight w:val="none"/>
        </w:rPr>
      </w:pPr>
    </w:p>
    <w:p>
      <w:pPr>
        <w:snapToGrid w:val="0"/>
        <w:spacing w:line="360" w:lineRule="auto"/>
        <w:ind w:left="611"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（1）投标人提供框架式协议或资格入围无明确金额的合同时，须同时提供本统计表及发票复印件，本统计表及发票复印件应后附于合同复印件。</w:t>
      </w:r>
    </w:p>
    <w:p>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（2）发票抬头应为合同服务购买方，销售方应为投标人，且发票名目、所属时期应与合同约定内容一致，否则不计分。</w:t>
      </w:r>
    </w:p>
    <w:p>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（3）发票合计金额视为投标人所提供该项服务业绩的服务金额，并按此金额进行评审。</w:t>
      </w:r>
    </w:p>
    <w:p>
      <w:p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pPr>
        <w:pageBreakBefore w:val="0"/>
        <w:autoSpaceDE w:val="0"/>
        <w:autoSpaceDN w:val="0"/>
        <w:adjustRightInd w:val="0"/>
        <w:spacing w:before="0" w:after="0" w:line="360" w:lineRule="auto"/>
        <w:ind w:firstLine="0" w:firstLineChars="0"/>
        <w:jc w:val="left"/>
        <w:outlineLvl w:val="9"/>
        <w:rPr>
          <w:rFonts w:ascii="宋体" w:hAnsi="宋体" w:eastAsia="宋体" w:cs="宋体"/>
          <w:b/>
          <w:bCs/>
          <w:color w:val="auto"/>
          <w:kern w:val="0"/>
          <w:sz w:val="32"/>
          <w:szCs w:val="32"/>
          <w:highlight w:val="none"/>
          <w:lang w:val="zh-CN"/>
        </w:rPr>
      </w:pPr>
      <w:bookmarkStart w:id="830" w:name="_Toc27371"/>
      <w:bookmarkStart w:id="831" w:name="_Toc31897"/>
      <w:r>
        <w:rPr>
          <w:rFonts w:hint="eastAsia" w:ascii="宋体" w:hAnsi="宋体" w:eastAsia="宋体" w:cs="宋体"/>
          <w:b/>
          <w:bCs/>
          <w:color w:val="auto"/>
          <w:kern w:val="0"/>
          <w:sz w:val="32"/>
          <w:szCs w:val="32"/>
          <w:highlight w:val="none"/>
          <w:lang w:val="zh-CN"/>
        </w:rPr>
        <w:t>十、投标保证金汇入情况说明</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832" w:name="_Toc31832_WPSOffice_Level3"/>
      <w:r>
        <w:rPr>
          <w:rFonts w:hint="eastAsia" w:ascii="宋体" w:hAnsi="宋体" w:eastAsia="宋体" w:cs="宋体"/>
          <w:b/>
          <w:bCs/>
          <w:color w:val="auto"/>
          <w:kern w:val="0"/>
          <w:sz w:val="24"/>
          <w:szCs w:val="24"/>
          <w:highlight w:val="none"/>
        </w:rPr>
        <w:t>投标保证金汇入情况说明</w:t>
      </w:r>
      <w:bookmarkEnd w:id="832"/>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东莞市水务集团净水有限公司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东莞市水务集团净水有限公司2025年膜组件清洗服务采购项目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0832-SFCX24DG116C</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833" w:name="_Toc26208_WPSOffice_Level3"/>
      <w:r>
        <w:rPr>
          <w:rFonts w:hint="eastAsia" w:ascii="宋体" w:hAnsi="宋体" w:eastAsia="宋体" w:cs="宋体"/>
          <w:b/>
          <w:bCs/>
          <w:color w:val="auto"/>
          <w:szCs w:val="21"/>
          <w:highlight w:val="none"/>
        </w:rPr>
        <w:t>附：1、我方投标保证金汇款凭证（复印件）</w:t>
      </w:r>
      <w:bookmarkEnd w:id="833"/>
    </w:p>
    <w:p>
      <w:pPr>
        <w:spacing w:line="360" w:lineRule="auto"/>
        <w:ind w:left="340" w:leftChars="162" w:firstLine="839" w:firstLineChars="398"/>
        <w:rPr>
          <w:rFonts w:ascii="宋体" w:hAnsi="宋体" w:eastAsia="宋体" w:cs="宋体"/>
          <w:b/>
          <w:bCs/>
          <w:color w:val="auto"/>
          <w:szCs w:val="21"/>
          <w:highlight w:val="none"/>
        </w:rPr>
      </w:pPr>
      <w:bookmarkStart w:id="834" w:name="_Toc12992_WPSOffice_Level3"/>
      <w:r>
        <w:rPr>
          <w:rFonts w:hint="eastAsia" w:ascii="宋体" w:hAnsi="宋体" w:eastAsia="宋体" w:cs="宋体"/>
          <w:b/>
          <w:bCs/>
          <w:color w:val="auto"/>
          <w:szCs w:val="21"/>
          <w:highlight w:val="none"/>
        </w:rPr>
        <w:t>2、我方基本账户开户许可证（复印件）</w:t>
      </w:r>
      <w:bookmarkEnd w:id="834"/>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rPr>
          <w:rFonts w:ascii="宋体" w:hAnsi="宋体" w:eastAsia="宋体" w:cs="宋体"/>
          <w:b/>
          <w:color w:val="auto"/>
          <w:kern w:val="0"/>
          <w:szCs w:val="21"/>
          <w:highlight w:val="none"/>
        </w:rPr>
      </w:pPr>
      <w:bookmarkStart w:id="835" w:name="_Toc533708134"/>
      <w:bookmarkStart w:id="836" w:name="_Toc486167721"/>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837" w:name="_Toc104991886"/>
      <w:bookmarkStart w:id="838" w:name="_Toc24616"/>
      <w:bookmarkStart w:id="839" w:name="_Toc94107221"/>
      <w:bookmarkStart w:id="840" w:name="_Toc102860084"/>
      <w:bookmarkStart w:id="841" w:name="_Toc102860428"/>
      <w:bookmarkStart w:id="842" w:name="_Toc140596939"/>
      <w:bookmarkStart w:id="843" w:name="_Toc1977738"/>
      <w:bookmarkStart w:id="844" w:name="_Toc142508379"/>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845" w:name="_Toc30947"/>
      <w:bookmarkStart w:id="846" w:name="_Toc23005"/>
      <w:bookmarkStart w:id="847" w:name="_Toc29652"/>
      <w:bookmarkStart w:id="848" w:name="_Toc3906"/>
      <w:bookmarkStart w:id="849" w:name="_Toc22992"/>
      <w:bookmarkStart w:id="850" w:name="_Toc200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851" w:name="_Toc140596940"/>
      <w:bookmarkStart w:id="852" w:name="_Toc142508380"/>
      <w:bookmarkStart w:id="853" w:name="_Toc29364"/>
      <w:bookmarkStart w:id="854" w:name="_Toc18038"/>
      <w:bookmarkStart w:id="855" w:name="_Toc102860085"/>
      <w:bookmarkStart w:id="856" w:name="_Toc1977739"/>
      <w:bookmarkStart w:id="857" w:name="_Toc31916"/>
      <w:bookmarkStart w:id="858" w:name="_Toc94107222"/>
      <w:bookmarkStart w:id="859" w:name="_Toc27482"/>
      <w:bookmarkStart w:id="860" w:name="_Toc102860429"/>
      <w:bookmarkStart w:id="861" w:name="_Toc3828"/>
      <w:bookmarkStart w:id="862" w:name="_Toc11408"/>
      <w:bookmarkStart w:id="863" w:name="_Toc20438"/>
      <w:bookmarkStart w:id="864" w:name="_Toc104991887"/>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835"/>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、清洗人员配置情况承诺书</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清洗服务方案</w:t>
      </w:r>
      <w:r>
        <w:rPr>
          <w:rFonts w:hint="eastAsia" w:ascii="宋体" w:hAnsi="宋体" w:eastAsia="宋体" w:cs="宋体"/>
          <w:color w:val="auto"/>
          <w:kern w:val="0"/>
          <w:szCs w:val="21"/>
          <w:highlight w:val="none"/>
        </w:rPr>
        <w:t>；</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进度计划及保证措施</w:t>
      </w:r>
      <w:r>
        <w:rPr>
          <w:rFonts w:hint="eastAsia" w:ascii="宋体" w:hAnsi="宋体" w:eastAsia="宋体" w:cs="宋体"/>
          <w:color w:val="auto"/>
          <w:kern w:val="0"/>
          <w:szCs w:val="21"/>
          <w:highlight w:val="none"/>
        </w:rPr>
        <w:t>；</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安全、文明施工组织方案</w:t>
      </w:r>
      <w:r>
        <w:rPr>
          <w:rFonts w:hint="eastAsia" w:ascii="宋体" w:hAnsi="宋体" w:eastAsia="宋体" w:cs="宋体"/>
          <w:color w:val="auto"/>
          <w:kern w:val="0"/>
          <w:szCs w:val="21"/>
          <w:highlight w:val="none"/>
        </w:rPr>
        <w:t>；</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pStyle w:val="2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836"/>
      <w:bookmarkStart w:id="865" w:name="_Toc104991888"/>
      <w:bookmarkStart w:id="866" w:name="_Toc140596941"/>
      <w:bookmarkStart w:id="867" w:name="_Toc102860430"/>
      <w:bookmarkStart w:id="868" w:name="_Toc102860086"/>
      <w:bookmarkStart w:id="869" w:name="_Toc142508381"/>
      <w:bookmarkStart w:id="870" w:name="_Toc94107223"/>
      <w:bookmarkStart w:id="871" w:name="_Toc1977740"/>
      <w:bookmarkStart w:id="872" w:name="_Toc533708135"/>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71" w:type="dxa"/>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45"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71"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auto"/>
                <w:szCs w:val="21"/>
                <w:highlight w:val="none"/>
              </w:rPr>
            </w:pPr>
          </w:p>
        </w:tc>
        <w:tc>
          <w:tcPr>
            <w:tcW w:w="2773" w:type="dxa"/>
            <w:vAlign w:val="center"/>
          </w:tcPr>
          <w:p>
            <w:pPr>
              <w:rPr>
                <w:rFonts w:hint="eastAsia" w:ascii="宋体" w:hAnsi="宋体" w:eastAsia="宋体" w:cs="宋体"/>
                <w:bCs/>
                <w:color w:val="auto"/>
                <w:szCs w:val="21"/>
                <w:highlight w:val="none"/>
              </w:rPr>
            </w:pPr>
          </w:p>
        </w:tc>
        <w:tc>
          <w:tcPr>
            <w:tcW w:w="2171" w:type="dxa"/>
            <w:vAlign w:val="center"/>
          </w:tcPr>
          <w:p>
            <w:pPr>
              <w:rPr>
                <w:rFonts w:hint="eastAsia" w:ascii="宋体" w:hAnsi="宋体" w:eastAsia="宋体" w:cs="宋体"/>
                <w:bCs/>
                <w:color w:val="auto"/>
                <w:szCs w:val="21"/>
                <w:highlight w:val="none"/>
              </w:rPr>
            </w:pPr>
          </w:p>
        </w:tc>
        <w:tc>
          <w:tcPr>
            <w:tcW w:w="4045"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rPr>
                <w:rFonts w:hint="eastAsia" w:ascii="宋体" w:hAnsi="宋体" w:eastAsia="宋体" w:cs="宋体"/>
                <w:bCs/>
                <w:color w:val="auto"/>
                <w:szCs w:val="21"/>
                <w:highlight w:val="none"/>
              </w:rPr>
            </w:pPr>
          </w:p>
        </w:tc>
        <w:tc>
          <w:tcPr>
            <w:tcW w:w="2171"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2171"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71"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873" w:name="_Toc30448"/>
      <w:bookmarkStart w:id="874" w:name="_Toc30742"/>
      <w:bookmarkStart w:id="875" w:name="_Toc18999"/>
      <w:bookmarkStart w:id="876" w:name="_Toc27934"/>
      <w:bookmarkStart w:id="877" w:name="_Toc7383"/>
      <w:bookmarkStart w:id="878" w:name="_Toc13264"/>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pPr>
        <w:spacing w:before="120" w:after="120" w:line="360" w:lineRule="auto"/>
        <w:jc w:val="center"/>
        <w:rPr>
          <w:rFonts w:ascii="宋体" w:hAnsi="宋体" w:eastAsia="宋体" w:cs="Times New Roman"/>
          <w:color w:val="auto"/>
          <w:kern w:val="0"/>
          <w:szCs w:val="21"/>
          <w:highlight w:val="none"/>
        </w:rPr>
      </w:pPr>
      <w:bookmarkStart w:id="879" w:name="_Toc17449_WPSOffice_Level3"/>
      <w:r>
        <w:rPr>
          <w:rFonts w:hint="eastAsia" w:ascii="宋体" w:hAnsi="宋体" w:eastAsia="宋体" w:cs="宋体"/>
          <w:b/>
          <w:color w:val="auto"/>
          <w:kern w:val="0"/>
          <w:sz w:val="30"/>
          <w:szCs w:val="30"/>
          <w:highlight w:val="none"/>
          <w:lang w:val="zh-CN"/>
        </w:rPr>
        <w:t>用户需求偏离表</w:t>
      </w:r>
      <w:bookmarkEnd w:id="879"/>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857"/>
        <w:gridCol w:w="6673"/>
        <w:gridCol w:w="810"/>
        <w:gridCol w:w="87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46" w:type="dxa"/>
            <w:vMerge w:val="restart"/>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7530" w:type="dxa"/>
            <w:gridSpan w:val="2"/>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494" w:type="dxa"/>
            <w:gridSpan w:val="3"/>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346" w:type="dxa"/>
            <w:vMerge w:val="continue"/>
            <w:tcMar>
              <w:top w:w="57" w:type="dxa"/>
              <w:left w:w="57" w:type="dxa"/>
              <w:bottom w:w="57" w:type="dxa"/>
              <w:right w:w="57" w:type="dxa"/>
            </w:tcMar>
            <w:vAlign w:val="center"/>
          </w:tcPr>
          <w:p>
            <w:pPr>
              <w:keepNext/>
              <w:keepLines/>
              <w:spacing w:line="240" w:lineRule="auto"/>
              <w:jc w:val="center"/>
              <w:outlineLvl w:val="0"/>
              <w:rPr>
                <w:rFonts w:ascii="宋体" w:hAnsi="宋体" w:eastAsia="宋体" w:cs="宋体"/>
                <w:color w:val="auto"/>
                <w:kern w:val="0"/>
                <w:sz w:val="18"/>
                <w:szCs w:val="18"/>
                <w:highlight w:val="none"/>
              </w:rPr>
            </w:pPr>
          </w:p>
        </w:tc>
        <w:tc>
          <w:tcPr>
            <w:tcW w:w="857"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6673"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810"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870"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814"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857" w:type="dxa"/>
            <w:tcMar>
              <w:top w:w="57" w:type="dxa"/>
              <w:left w:w="57" w:type="dxa"/>
              <w:bottom w:w="57" w:type="dxa"/>
              <w:right w:w="57" w:type="dxa"/>
            </w:tcMar>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三</w:t>
            </w:r>
          </w:p>
        </w:tc>
        <w:tc>
          <w:tcPr>
            <w:tcW w:w="6673" w:type="dxa"/>
            <w:tcMar>
              <w:top w:w="57" w:type="dxa"/>
              <w:left w:w="57" w:type="dxa"/>
              <w:bottom w:w="57" w:type="dxa"/>
              <w:right w:w="57" w:type="dxa"/>
            </w:tcMar>
            <w:vAlign w:val="center"/>
          </w:tcPr>
          <w:p>
            <w:pPr>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服务项目及要求</w:t>
            </w:r>
          </w:p>
        </w:tc>
        <w:tc>
          <w:tcPr>
            <w:tcW w:w="81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7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14"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57" w:type="dxa"/>
            <w:tcMar>
              <w:top w:w="57" w:type="dxa"/>
              <w:left w:w="57" w:type="dxa"/>
              <w:bottom w:w="57" w:type="dxa"/>
              <w:right w:w="57" w:type="dxa"/>
            </w:tcMar>
            <w:vAlign w:val="center"/>
          </w:tcPr>
          <w:p>
            <w:pPr>
              <w:spacing w:line="240" w:lineRule="auto"/>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lang w:val="en-US" w:eastAsia="zh-CN"/>
              </w:rPr>
              <w:t>四</w:t>
            </w:r>
          </w:p>
        </w:tc>
        <w:tc>
          <w:tcPr>
            <w:tcW w:w="6673" w:type="dxa"/>
            <w:tcMar>
              <w:top w:w="57" w:type="dxa"/>
              <w:left w:w="57" w:type="dxa"/>
              <w:bottom w:w="57" w:type="dxa"/>
              <w:right w:w="57" w:type="dxa"/>
            </w:tcMar>
            <w:vAlign w:val="center"/>
          </w:tcPr>
          <w:p>
            <w:pPr>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安全及其他要求</w:t>
            </w:r>
          </w:p>
        </w:tc>
        <w:tc>
          <w:tcPr>
            <w:tcW w:w="81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7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14"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57" w:type="dxa"/>
            <w:tcMar>
              <w:top w:w="57" w:type="dxa"/>
              <w:left w:w="57" w:type="dxa"/>
              <w:bottom w:w="57" w:type="dxa"/>
              <w:right w:w="57" w:type="dxa"/>
            </w:tcMar>
            <w:vAlign w:val="center"/>
          </w:tcPr>
          <w:p>
            <w:pPr>
              <w:spacing w:line="240" w:lineRule="auto"/>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lang w:val="en-US" w:eastAsia="zh-CN"/>
              </w:rPr>
              <w:t>五</w:t>
            </w:r>
          </w:p>
        </w:tc>
        <w:tc>
          <w:tcPr>
            <w:tcW w:w="6673" w:type="dxa"/>
            <w:tcMar>
              <w:top w:w="57" w:type="dxa"/>
              <w:left w:w="57" w:type="dxa"/>
              <w:bottom w:w="57" w:type="dxa"/>
              <w:right w:w="57" w:type="dxa"/>
            </w:tcMar>
            <w:vAlign w:val="center"/>
          </w:tcPr>
          <w:p>
            <w:pPr>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验收要求</w:t>
            </w:r>
          </w:p>
        </w:tc>
        <w:tc>
          <w:tcPr>
            <w:tcW w:w="81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7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14"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346"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857" w:type="dxa"/>
            <w:tcMar>
              <w:top w:w="57" w:type="dxa"/>
              <w:left w:w="57" w:type="dxa"/>
              <w:bottom w:w="57" w:type="dxa"/>
              <w:right w:w="57" w:type="dxa"/>
            </w:tcMar>
            <w:vAlign w:val="center"/>
          </w:tcPr>
          <w:p>
            <w:pPr>
              <w:spacing w:line="240" w:lineRule="auto"/>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lang w:val="en-US" w:eastAsia="zh-CN"/>
              </w:rPr>
              <w:t>六</w:t>
            </w:r>
          </w:p>
        </w:tc>
        <w:tc>
          <w:tcPr>
            <w:tcW w:w="6673" w:type="dxa"/>
            <w:tcMar>
              <w:top w:w="57" w:type="dxa"/>
              <w:left w:w="57" w:type="dxa"/>
              <w:bottom w:w="57" w:type="dxa"/>
              <w:right w:w="57" w:type="dxa"/>
            </w:tcMar>
            <w:vAlign w:val="center"/>
          </w:tcPr>
          <w:p>
            <w:pPr>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价款要求</w:t>
            </w:r>
          </w:p>
        </w:tc>
        <w:tc>
          <w:tcPr>
            <w:tcW w:w="81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7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14"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6" w:type="dxa"/>
            <w:tcMar>
              <w:top w:w="57" w:type="dxa"/>
              <w:left w:w="57" w:type="dxa"/>
              <w:bottom w:w="57" w:type="dxa"/>
              <w:right w:w="57" w:type="dxa"/>
            </w:tcMar>
            <w:vAlign w:val="center"/>
          </w:tcPr>
          <w:p>
            <w:pPr>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857" w:type="dxa"/>
            <w:tcMar>
              <w:top w:w="57" w:type="dxa"/>
              <w:left w:w="57" w:type="dxa"/>
              <w:bottom w:w="57" w:type="dxa"/>
              <w:right w:w="57" w:type="dxa"/>
            </w:tcMar>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附表1</w:t>
            </w:r>
          </w:p>
        </w:tc>
        <w:tc>
          <w:tcPr>
            <w:tcW w:w="6673" w:type="dxa"/>
            <w:tcMar>
              <w:top w:w="57" w:type="dxa"/>
              <w:left w:w="57" w:type="dxa"/>
              <w:bottom w:w="57" w:type="dxa"/>
              <w:right w:w="57" w:type="dxa"/>
            </w:tcMar>
            <w:vAlign w:val="center"/>
          </w:tcPr>
          <w:p>
            <w:pPr>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供应商履约评价表</w:t>
            </w:r>
          </w:p>
        </w:tc>
        <w:tc>
          <w:tcPr>
            <w:tcW w:w="81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70"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c>
          <w:tcPr>
            <w:tcW w:w="814" w:type="dxa"/>
            <w:tcMar>
              <w:top w:w="57" w:type="dxa"/>
              <w:left w:w="57" w:type="dxa"/>
              <w:bottom w:w="57" w:type="dxa"/>
              <w:right w:w="57" w:type="dxa"/>
            </w:tcMar>
            <w:vAlign w:val="center"/>
          </w:tcPr>
          <w:p>
            <w:pPr>
              <w:keepNext/>
              <w:keepLines/>
              <w:spacing w:line="240" w:lineRule="auto"/>
              <w:jc w:val="center"/>
              <w:outlineLvl w:val="2"/>
              <w:rPr>
                <w:rFonts w:ascii="宋体" w:hAnsi="宋体" w:eastAsia="宋体" w:cs="宋体"/>
                <w:color w:val="auto"/>
                <w:kern w:val="0"/>
                <w:sz w:val="18"/>
                <w:szCs w:val="18"/>
                <w:highlight w:val="none"/>
              </w:rPr>
            </w:pPr>
          </w:p>
        </w:tc>
      </w:tr>
    </w:tbl>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（其中“一、项目信息”“二、项目概况”除外）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br w:type="page"/>
      </w:r>
      <w:bookmarkStart w:id="880" w:name="_Toc94107224"/>
      <w:bookmarkStart w:id="881" w:name="_Toc102860087"/>
      <w:bookmarkStart w:id="882" w:name="_Toc140596942"/>
      <w:bookmarkStart w:id="883" w:name="_Toc102860431"/>
      <w:bookmarkStart w:id="884" w:name="_Toc5046"/>
      <w:bookmarkStart w:id="885" w:name="_Toc104991889"/>
      <w:bookmarkStart w:id="886" w:name="_Toc142508382"/>
      <w:bookmarkStart w:id="887" w:name="_Toc3593"/>
      <w:bookmarkStart w:id="888" w:name="_Toc23150"/>
      <w:bookmarkStart w:id="889" w:name="_Toc358"/>
      <w:bookmarkStart w:id="890" w:name="_Toc16451"/>
      <w:bookmarkStart w:id="891" w:name="_Toc3945"/>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hint="eastAsia" w:ascii="宋体" w:hAnsi="宋体" w:eastAsia="宋体" w:cs="宋体"/>
          <w:b/>
          <w:color w:val="auto"/>
          <w:kern w:val="0"/>
          <w:sz w:val="30"/>
          <w:szCs w:val="30"/>
          <w:highlight w:val="none"/>
          <w:lang w:val="en-US" w:eastAsia="zh-CN"/>
        </w:rPr>
        <w:t xml:space="preserve"> </w:t>
      </w:r>
      <w:r>
        <w:rPr>
          <w:rFonts w:hint="eastAsia" w:ascii="宋体" w:hAnsi="宋体" w:eastAsia="宋体" w:cs="宋体"/>
          <w:b/>
          <w:bCs/>
          <w:color w:val="auto"/>
          <w:sz w:val="30"/>
          <w:szCs w:val="30"/>
          <w:highlight w:val="none"/>
          <w:lang w:val="zh-CN"/>
        </w:rPr>
        <w:t>清洗人员配置情况承诺书</w:t>
      </w:r>
    </w:p>
    <w:p>
      <w:pPr>
        <w:spacing w:line="360" w:lineRule="auto"/>
        <w:jc w:val="center"/>
        <w:rPr>
          <w:rFonts w:hint="eastAsia" w:ascii="宋体" w:hAnsi="宋体" w:eastAsia="宋体" w:cs="宋体"/>
          <w:b/>
          <w:bCs/>
          <w:color w:val="auto"/>
          <w:sz w:val="30"/>
          <w:szCs w:val="30"/>
          <w:highlight w:val="none"/>
          <w:lang w:val="zh-CN"/>
        </w:rPr>
      </w:pPr>
    </w:p>
    <w:p>
      <w:pPr>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清洗人员配置情况承诺书</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东莞市水务集团净水有限公司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我方承诺在履行合同过程中</w:t>
      </w:r>
      <w:r>
        <w:rPr>
          <w:rFonts w:hint="eastAsia" w:ascii="宋体" w:hAnsi="宋体" w:eastAsia="宋体" w:cs="宋体"/>
          <w:color w:val="auto"/>
          <w:szCs w:val="21"/>
          <w:highlight w:val="none"/>
          <w:lang w:eastAsia="zh-CN"/>
        </w:rPr>
        <w:t>投入</w:t>
      </w:r>
      <w:r>
        <w:rPr>
          <w:rFonts w:hint="eastAsia" w:ascii="宋体" w:hAnsi="宋体" w:eastAsia="宋体" w:cs="宋体"/>
          <w:color w:val="auto"/>
          <w:szCs w:val="21"/>
          <w:highlight w:val="none"/>
          <w:lang w:val="en-US" w:eastAsia="zh-CN"/>
        </w:rPr>
        <w:t>清洗人员</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w:t>
      </w:r>
    </w:p>
    <w:p>
      <w:pPr>
        <w:autoSpaceDE/>
        <w:autoSpaceDN/>
        <w:adjustRightInd/>
        <w:spacing w:line="360" w:lineRule="auto"/>
        <w:ind w:firstLine="420" w:firstLineChars="200"/>
        <w:jc w:val="left"/>
        <w:outlineLvl w:val="9"/>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本承诺事顶若与投标文件其他地方表述不一致的，以本承诺为准。</w:t>
      </w:r>
    </w:p>
    <w:p>
      <w:pPr>
        <w:autoSpaceDE/>
        <w:autoSpaceDN/>
        <w:adjustRightInd/>
        <w:spacing w:line="240" w:lineRule="auto"/>
        <w:jc w:val="left"/>
        <w:outlineLvl w:val="9"/>
        <w:rPr>
          <w:rFonts w:hint="eastAsia" w:ascii="宋体" w:hAnsi="宋体" w:eastAsia="宋体" w:cs="宋体"/>
          <w:b/>
          <w:color w:val="auto"/>
          <w:kern w:val="0"/>
          <w:sz w:val="30"/>
          <w:szCs w:val="30"/>
          <w:highlight w:val="none"/>
        </w:rPr>
      </w:pPr>
    </w:p>
    <w:p>
      <w:pPr>
        <w:wordWrap w:val="0"/>
        <w:autoSpaceDE w:val="0"/>
        <w:autoSpaceDN w:val="0"/>
        <w:adjustRightInd w:val="0"/>
        <w:spacing w:line="360" w:lineRule="auto"/>
        <w:jc w:val="righ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9"/>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3</w:t>
      </w:r>
      <w:r>
        <w:rPr>
          <w:rFonts w:ascii="宋体" w:hAnsi="宋体" w:eastAsia="宋体" w:cs="宋体"/>
          <w:b/>
          <w:color w:val="auto"/>
          <w:kern w:val="0"/>
          <w:sz w:val="30"/>
          <w:szCs w:val="30"/>
          <w:highlight w:val="none"/>
        </w:rPr>
        <w:t xml:space="preserve"> </w:t>
      </w:r>
      <w:bookmarkEnd w:id="880"/>
      <w:bookmarkEnd w:id="881"/>
      <w:bookmarkEnd w:id="882"/>
      <w:bookmarkEnd w:id="883"/>
      <w:bookmarkEnd w:id="884"/>
      <w:bookmarkEnd w:id="885"/>
      <w:bookmarkEnd w:id="886"/>
      <w:bookmarkEnd w:id="887"/>
      <w:bookmarkEnd w:id="888"/>
      <w:r>
        <w:rPr>
          <w:rFonts w:hint="eastAsia" w:ascii="宋体" w:hAnsi="宋体" w:eastAsia="宋体" w:cs="宋体"/>
          <w:b/>
          <w:color w:val="auto"/>
          <w:kern w:val="0"/>
          <w:sz w:val="30"/>
          <w:szCs w:val="30"/>
          <w:highlight w:val="none"/>
        </w:rPr>
        <w:t>清洗服务方案</w:t>
      </w:r>
      <w:bookmarkEnd w:id="889"/>
      <w:bookmarkEnd w:id="890"/>
      <w:bookmarkEnd w:id="891"/>
    </w:p>
    <w:p>
      <w:pPr>
        <w:widowControl/>
        <w:jc w:val="left"/>
        <w:rPr>
          <w:rFonts w:ascii="宋体" w:hAnsi="宋体" w:eastAsia="宋体" w:cs="Times New Roman"/>
          <w:color w:val="auto"/>
          <w:kern w:val="0"/>
          <w:szCs w:val="21"/>
          <w:highlight w:val="none"/>
        </w:rPr>
      </w:pPr>
      <w:bookmarkStart w:id="892" w:name="_Toc94107225"/>
      <w:r>
        <w:rPr>
          <w:rFonts w:ascii="宋体" w:hAnsi="宋体" w:eastAsia="宋体" w:cs="Times New Roman"/>
          <w:color w:val="auto"/>
          <w:kern w:val="0"/>
          <w:szCs w:val="21"/>
          <w:highlight w:val="none"/>
        </w:rPr>
        <w:br w:type="page"/>
      </w:r>
    </w:p>
    <w:bookmarkEnd w:id="892"/>
    <w:p>
      <w:pPr>
        <w:outlineLvl w:val="9"/>
        <w:rPr>
          <w:rFonts w:hint="eastAsia" w:ascii="宋体" w:hAnsi="宋体" w:eastAsia="宋体" w:cs="宋体"/>
          <w:b/>
          <w:color w:val="auto"/>
          <w:kern w:val="0"/>
          <w:sz w:val="30"/>
          <w:szCs w:val="30"/>
          <w:highlight w:val="none"/>
          <w:lang w:val="en-US" w:eastAsia="zh-CN"/>
        </w:rPr>
      </w:pPr>
      <w:bookmarkStart w:id="893" w:name="_Toc22859"/>
      <w:bookmarkStart w:id="894" w:name="_Toc14322"/>
      <w:bookmarkStart w:id="895" w:name="_Toc15418"/>
      <w:bookmarkStart w:id="896" w:name="_Toc104991896"/>
      <w:bookmarkStart w:id="897" w:name="_Toc102860094"/>
      <w:bookmarkStart w:id="898" w:name="_Toc140596949"/>
      <w:bookmarkStart w:id="899" w:name="_Toc142508389"/>
      <w:bookmarkStart w:id="900" w:name="_Toc102860438"/>
      <w:bookmarkStart w:id="901" w:name="_Toc533708139"/>
      <w:r>
        <w:rPr>
          <w:rFonts w:hint="eastAsia" w:ascii="宋体" w:hAnsi="宋体" w:eastAsia="宋体" w:cs="宋体"/>
          <w:b/>
          <w:color w:val="auto"/>
          <w:kern w:val="0"/>
          <w:sz w:val="30"/>
          <w:szCs w:val="30"/>
          <w:highlight w:val="none"/>
          <w:lang w:val="en-US" w:eastAsia="zh-CN"/>
        </w:rPr>
        <w:t>12.4 进度计划及保证措施</w:t>
      </w:r>
      <w:r>
        <w:rPr>
          <w:rFonts w:hint="eastAsia" w:ascii="宋体" w:hAnsi="宋体" w:eastAsia="宋体" w:cs="宋体"/>
          <w:b/>
          <w:color w:val="auto"/>
          <w:kern w:val="0"/>
          <w:sz w:val="30"/>
          <w:szCs w:val="30"/>
          <w:highlight w:val="none"/>
          <w:lang w:val="en-US" w:eastAsia="zh-CN"/>
        </w:rPr>
        <w:br w:type="page"/>
      </w:r>
      <w:bookmarkEnd w:id="893"/>
      <w:bookmarkEnd w:id="894"/>
      <w:bookmarkEnd w:id="895"/>
    </w:p>
    <w:p>
      <w:pPr>
        <w:outlineLvl w:val="9"/>
        <w:rPr>
          <w:rFonts w:hint="eastAsia" w:ascii="宋体" w:hAnsi="宋体" w:eastAsia="宋体" w:cs="宋体"/>
          <w:b/>
          <w:color w:val="auto"/>
          <w:kern w:val="0"/>
          <w:sz w:val="30"/>
          <w:szCs w:val="30"/>
          <w:highlight w:val="none"/>
          <w:lang w:val="en-US" w:eastAsia="zh-CN"/>
        </w:rPr>
      </w:pPr>
      <w:bookmarkStart w:id="902" w:name="_Toc30753"/>
      <w:bookmarkStart w:id="903" w:name="_Toc1217"/>
      <w:bookmarkStart w:id="904" w:name="_Toc1034"/>
      <w:r>
        <w:rPr>
          <w:rFonts w:hint="eastAsia" w:ascii="宋体" w:hAnsi="宋体" w:eastAsia="宋体" w:cs="宋体"/>
          <w:b/>
          <w:color w:val="auto"/>
          <w:kern w:val="0"/>
          <w:sz w:val="30"/>
          <w:szCs w:val="30"/>
          <w:highlight w:val="none"/>
          <w:lang w:val="en-US" w:eastAsia="zh-CN"/>
        </w:rPr>
        <w:t>12.5 安全、文明施工组织方案</w:t>
      </w:r>
      <w:r>
        <w:rPr>
          <w:rFonts w:hint="eastAsia" w:ascii="宋体" w:hAnsi="宋体" w:eastAsia="宋体" w:cs="宋体"/>
          <w:b/>
          <w:color w:val="auto"/>
          <w:kern w:val="0"/>
          <w:sz w:val="30"/>
          <w:szCs w:val="30"/>
          <w:highlight w:val="none"/>
          <w:lang w:val="en-US" w:eastAsia="zh-CN"/>
        </w:rPr>
        <w:br w:type="page"/>
      </w:r>
      <w:bookmarkEnd w:id="902"/>
      <w:bookmarkEnd w:id="903"/>
      <w:bookmarkEnd w:id="904"/>
    </w:p>
    <w:p>
      <w:pPr>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905" w:name="_Toc3750"/>
      <w:bookmarkStart w:id="906" w:name="_Toc27956"/>
      <w:bookmarkStart w:id="907" w:name="_Toc18180"/>
      <w:bookmarkStart w:id="908" w:name="_Toc15192"/>
      <w:bookmarkStart w:id="909" w:name="_Toc18852"/>
      <w:bookmarkStart w:id="910" w:name="_Toc30545"/>
      <w:r>
        <w:rPr>
          <w:rFonts w:hint="eastAsia" w:ascii="宋体" w:hAnsi="宋体" w:eastAsia="宋体" w:cs="宋体"/>
          <w:b/>
          <w:color w:val="auto"/>
          <w:kern w:val="0"/>
          <w:sz w:val="30"/>
          <w:szCs w:val="30"/>
          <w:highlight w:val="none"/>
          <w:lang w:val="en-US" w:eastAsia="zh-CN"/>
        </w:rPr>
        <w:t xml:space="preserve">12.6 </w:t>
      </w:r>
      <w:r>
        <w:rPr>
          <w:rFonts w:hint="eastAsia" w:ascii="宋体" w:hAnsi="宋体" w:eastAsia="宋体" w:cs="宋体"/>
          <w:b/>
          <w:color w:val="auto"/>
          <w:kern w:val="0"/>
          <w:sz w:val="30"/>
          <w:szCs w:val="30"/>
          <w:highlight w:val="none"/>
        </w:rPr>
        <w:t>投标人认为有必要提供的其它材料（不做强制要求）</w:t>
      </w:r>
      <w:bookmarkEnd w:id="896"/>
      <w:bookmarkEnd w:id="897"/>
      <w:bookmarkEnd w:id="898"/>
      <w:bookmarkEnd w:id="899"/>
      <w:bookmarkEnd w:id="900"/>
      <w:bookmarkEnd w:id="905"/>
      <w:bookmarkEnd w:id="906"/>
      <w:bookmarkEnd w:id="907"/>
      <w:bookmarkEnd w:id="908"/>
      <w:bookmarkEnd w:id="909"/>
      <w:bookmarkEnd w:id="910"/>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911" w:name="_Toc15518"/>
      <w:bookmarkStart w:id="912" w:name="_Toc14977"/>
      <w:bookmarkStart w:id="913" w:name="_Toc30548"/>
      <w:bookmarkStart w:id="914" w:name="_Toc2517"/>
      <w:bookmarkStart w:id="915" w:name="_Toc25687"/>
      <w:bookmarkStart w:id="916" w:name="_Toc15852"/>
      <w:bookmarkStart w:id="917" w:name="_Toc142508390"/>
      <w:bookmarkStart w:id="918" w:name="_Toc21059"/>
      <w:bookmarkStart w:id="919" w:name="_Toc522047402"/>
      <w:bookmarkStart w:id="920" w:name="_Toc521918141"/>
      <w:bookmarkStart w:id="921" w:name="_Toc22601_WPSOffice_Level1"/>
      <w:r>
        <w:rPr>
          <w:rFonts w:hint="eastAsia" w:ascii="宋体" w:hAnsi="宋体" w:eastAsia="宋体" w:cs="宋体"/>
          <w:b/>
          <w:bCs/>
          <w:color w:val="auto"/>
          <w:kern w:val="44"/>
          <w:sz w:val="32"/>
          <w:szCs w:val="32"/>
          <w:highlight w:val="none"/>
          <w:lang w:val="zh-CN"/>
        </w:rPr>
        <w:t>附件一：评标工作大纲</w:t>
      </w:r>
      <w:bookmarkEnd w:id="911"/>
      <w:bookmarkEnd w:id="912"/>
      <w:bookmarkEnd w:id="913"/>
      <w:bookmarkEnd w:id="914"/>
      <w:bookmarkEnd w:id="915"/>
      <w:bookmarkEnd w:id="916"/>
      <w:bookmarkEnd w:id="917"/>
      <w:bookmarkEnd w:id="918"/>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东莞市水务集团净水有限公司2025年膜组件清洗服务采购项目</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922" w:name="_Toc14752_WPSOffice_Level1"/>
      <w:r>
        <w:rPr>
          <w:rFonts w:hint="eastAsia" w:ascii="宋体" w:hAnsi="宋体" w:eastAsia="宋体" w:cs="宋体"/>
          <w:b/>
          <w:bCs/>
          <w:color w:val="auto"/>
          <w:sz w:val="36"/>
          <w:szCs w:val="36"/>
          <w:highlight w:val="none"/>
          <w:lang w:val="zh-CN"/>
        </w:rPr>
        <w:t>（招标编号：0832-SFCX24DG116C）</w:t>
      </w:r>
      <w:bookmarkEnd w:id="922"/>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923" w:name="_Toc18947_WPSOffice_Level2"/>
      <w:r>
        <w:rPr>
          <w:rFonts w:hint="eastAsia" w:ascii="宋体" w:hAnsi="宋体" w:eastAsia="宋体" w:cs="宋体"/>
          <w:b/>
          <w:bCs/>
          <w:color w:val="auto"/>
          <w:sz w:val="72"/>
          <w:szCs w:val="72"/>
          <w:highlight w:val="none"/>
          <w:lang w:val="zh-CN"/>
        </w:rPr>
        <w:t>评标工作大纲</w:t>
      </w:r>
      <w:bookmarkEnd w:id="923"/>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924" w:name="_Toc32395_WPSOffice_Level1"/>
      <w:r>
        <w:rPr>
          <w:rFonts w:hint="eastAsia" w:ascii="宋体" w:hAnsi="宋体" w:eastAsia="宋体" w:cs="宋体"/>
          <w:b/>
          <w:bCs/>
          <w:color w:val="auto"/>
          <w:sz w:val="36"/>
          <w:szCs w:val="36"/>
          <w:highlight w:val="none"/>
          <w:lang w:val="zh-CN"/>
        </w:rPr>
        <w:t>目录</w:t>
      </w:r>
      <w:bookmarkEnd w:id="924"/>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925"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925"/>
    </w:p>
    <w:p>
      <w:pPr>
        <w:autoSpaceDE w:val="0"/>
        <w:autoSpaceDN w:val="0"/>
        <w:adjustRightInd w:val="0"/>
        <w:spacing w:line="360" w:lineRule="auto"/>
        <w:ind w:left="567" w:hanging="567"/>
        <w:rPr>
          <w:rFonts w:ascii="宋体" w:hAnsi="宋体" w:eastAsia="宋体" w:cs="宋体"/>
          <w:color w:val="auto"/>
          <w:szCs w:val="30"/>
          <w:highlight w:val="none"/>
        </w:rPr>
      </w:pPr>
      <w:bookmarkStart w:id="926"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926"/>
    </w:p>
    <w:p>
      <w:pPr>
        <w:autoSpaceDE w:val="0"/>
        <w:autoSpaceDN w:val="0"/>
        <w:adjustRightInd w:val="0"/>
        <w:spacing w:line="360" w:lineRule="auto"/>
        <w:ind w:left="567" w:hanging="567"/>
        <w:rPr>
          <w:rFonts w:ascii="宋体" w:hAnsi="宋体" w:eastAsia="宋体" w:cs="宋体"/>
          <w:color w:val="auto"/>
          <w:szCs w:val="30"/>
          <w:highlight w:val="none"/>
        </w:rPr>
      </w:pPr>
      <w:bookmarkStart w:id="927"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927"/>
    </w:p>
    <w:p>
      <w:pPr>
        <w:autoSpaceDE w:val="0"/>
        <w:autoSpaceDN w:val="0"/>
        <w:adjustRightInd w:val="0"/>
        <w:spacing w:line="360" w:lineRule="auto"/>
        <w:ind w:left="567" w:hanging="567"/>
        <w:rPr>
          <w:rFonts w:ascii="宋体" w:hAnsi="宋体" w:eastAsia="宋体" w:cs="宋体"/>
          <w:color w:val="auto"/>
          <w:szCs w:val="30"/>
          <w:highlight w:val="none"/>
        </w:rPr>
      </w:pPr>
      <w:bookmarkStart w:id="928" w:name="_Toc1206_WPSOffice_Level1"/>
      <w:r>
        <w:rPr>
          <w:rFonts w:hint="eastAsia" w:ascii="宋体" w:hAnsi="宋体" w:eastAsia="宋体" w:cs="宋体"/>
          <w:color w:val="auto"/>
          <w:szCs w:val="30"/>
          <w:highlight w:val="none"/>
        </w:rPr>
        <w:t>四、 比较和评价</w:t>
      </w:r>
      <w:bookmarkEnd w:id="928"/>
    </w:p>
    <w:p>
      <w:pPr>
        <w:autoSpaceDE w:val="0"/>
        <w:autoSpaceDN w:val="0"/>
        <w:adjustRightInd w:val="0"/>
        <w:spacing w:line="360" w:lineRule="auto"/>
        <w:ind w:left="567" w:hanging="567"/>
        <w:rPr>
          <w:rFonts w:ascii="宋体" w:hAnsi="宋体" w:eastAsia="宋体" w:cs="宋体"/>
          <w:color w:val="auto"/>
          <w:szCs w:val="30"/>
          <w:highlight w:val="none"/>
        </w:rPr>
      </w:pPr>
      <w:bookmarkStart w:id="929"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929"/>
    </w:p>
    <w:p>
      <w:pPr>
        <w:autoSpaceDE w:val="0"/>
        <w:autoSpaceDN w:val="0"/>
        <w:adjustRightInd w:val="0"/>
        <w:spacing w:line="360" w:lineRule="auto"/>
        <w:ind w:left="567" w:hanging="567"/>
        <w:rPr>
          <w:rFonts w:ascii="宋体" w:hAnsi="宋体" w:eastAsia="宋体" w:cs="宋体"/>
          <w:color w:val="auto"/>
          <w:szCs w:val="30"/>
          <w:highlight w:val="none"/>
        </w:rPr>
      </w:pPr>
      <w:bookmarkStart w:id="930"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930"/>
    </w:p>
    <w:p>
      <w:pPr>
        <w:autoSpaceDE w:val="0"/>
        <w:autoSpaceDN w:val="0"/>
        <w:adjustRightInd w:val="0"/>
        <w:spacing w:line="360" w:lineRule="auto"/>
        <w:ind w:left="567" w:hanging="567"/>
        <w:rPr>
          <w:rFonts w:ascii="宋体" w:hAnsi="宋体" w:eastAsia="宋体" w:cs="宋体"/>
          <w:color w:val="auto"/>
          <w:szCs w:val="30"/>
          <w:highlight w:val="none"/>
        </w:rPr>
      </w:pPr>
      <w:bookmarkStart w:id="931"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931"/>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932"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932"/>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东莞市水务集团净水有限公司2025年膜组件清洗服务采购项目</w:t>
      </w:r>
      <w:r>
        <w:rPr>
          <w:rFonts w:hint="eastAsia" w:ascii="宋体" w:hAnsi="宋体" w:eastAsia="宋体" w:cs="宋体"/>
          <w:color w:val="auto"/>
          <w:szCs w:val="21"/>
          <w:highlight w:val="none"/>
          <w:lang w:val="zh-CN"/>
        </w:rPr>
        <w:t>(招标编号：0832-SFCX24DG116C</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2"/>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933" w:name="_Toc19435_WPSOffice_Level1"/>
      <w:r>
        <w:rPr>
          <w:rFonts w:hint="eastAsia" w:ascii="宋体" w:hAnsi="宋体" w:eastAsia="宋体" w:cs="宋体"/>
          <w:b/>
          <w:bCs/>
          <w:color w:val="auto"/>
          <w:sz w:val="28"/>
          <w:szCs w:val="28"/>
          <w:highlight w:val="none"/>
          <w:lang w:val="zh-CN"/>
        </w:rPr>
        <w:t>二、投标文件的初审</w:t>
      </w:r>
      <w:bookmarkEnd w:id="933"/>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投标文件中的投标报价高于不含税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投标</w:t>
      </w:r>
      <w:r>
        <w:rPr>
          <w:rFonts w:hint="eastAsia" w:ascii="宋体" w:hAnsi="宋体" w:eastAsia="宋体" w:cs="Times New Roman"/>
          <w:b/>
          <w:bCs/>
          <w:color w:val="auto"/>
          <w:kern w:val="0"/>
          <w:szCs w:val="24"/>
          <w:highlight w:val="none"/>
          <w:u w:val="none"/>
        </w:rPr>
        <w:t>限价</w:t>
      </w:r>
      <w:r>
        <w:rPr>
          <w:rFonts w:hint="eastAsia" w:ascii="宋体" w:hAnsi="宋体" w:eastAsia="宋体" w:cs="宋体"/>
          <w:b/>
          <w:color w:val="auto"/>
          <w:kern w:val="0"/>
          <w:szCs w:val="21"/>
          <w:highlight w:val="none"/>
        </w:rPr>
        <w:t>的</w:t>
      </w:r>
      <w:r>
        <w:rPr>
          <w:rFonts w:hint="eastAsia" w:ascii="宋体" w:eastAsia="宋体" w:cs="宋体"/>
          <w:b/>
          <w:color w:val="auto"/>
          <w:sz w:val="21"/>
          <w:szCs w:val="21"/>
          <w:highlight w:val="none"/>
        </w:rPr>
        <w:t>或综合单价高于不含税预算综合单价的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934" w:name="_Toc4109_WPSOffice_Level1"/>
      <w:r>
        <w:rPr>
          <w:rFonts w:hint="eastAsia" w:ascii="宋体" w:hAnsi="宋体" w:eastAsia="宋体" w:cs="宋体"/>
          <w:b/>
          <w:bCs/>
          <w:color w:val="auto"/>
          <w:sz w:val="28"/>
          <w:szCs w:val="28"/>
          <w:highlight w:val="none"/>
          <w:lang w:val="zh-CN"/>
        </w:rPr>
        <w:t>三、澄清有关问题</w:t>
      </w:r>
      <w:bookmarkEnd w:id="934"/>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lang w:val="zh-CN"/>
        </w:rPr>
        <w:t>报价金额与按综合单价计算的总</w:t>
      </w:r>
      <w:r>
        <w:rPr>
          <w:rFonts w:hint="eastAsia" w:ascii="宋体" w:hAnsi="宋体" w:eastAsia="宋体" w:cs="宋体"/>
          <w:color w:val="auto"/>
          <w:kern w:val="0"/>
          <w:szCs w:val="21"/>
          <w:highlight w:val="none"/>
          <w:lang w:val="en-US" w:eastAsia="zh-CN"/>
        </w:rPr>
        <w:t>金额</w:t>
      </w:r>
      <w:r>
        <w:rPr>
          <w:rFonts w:hint="eastAsia" w:ascii="宋体" w:hAnsi="宋体" w:eastAsia="宋体" w:cs="宋体"/>
          <w:color w:val="auto"/>
          <w:kern w:val="0"/>
          <w:szCs w:val="21"/>
          <w:highlight w:val="none"/>
          <w:lang w:val="zh-CN"/>
        </w:rPr>
        <w:t>不一致的，以综合单价计算结果为准，</w:t>
      </w:r>
      <w:r>
        <w:rPr>
          <w:rFonts w:hint="eastAsia" w:ascii="宋体" w:hAnsi="宋体" w:eastAsia="宋体" w:cs="宋体"/>
          <w:color w:val="auto"/>
          <w:szCs w:val="21"/>
          <w:highlight w:val="none"/>
          <w:lang w:val="zh-CN"/>
        </w:rPr>
        <w:t>综合单价金额小数点有明显错位的，应以总价为准，并修正综合单价</w:t>
      </w:r>
      <w:r>
        <w:rPr>
          <w:rFonts w:hint="eastAsia" w:ascii="宋体" w:hAnsi="宋体" w:eastAsia="宋体" w:cs="宋体"/>
          <w:color w:val="auto"/>
          <w:kern w:val="0"/>
          <w:szCs w:val="21"/>
          <w:highlight w:val="none"/>
          <w:lang w:val="zh-CN"/>
        </w:rPr>
        <w:t>；</w:t>
      </w:r>
    </w:p>
    <w:p>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935"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935"/>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936"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936"/>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33"/>
        <w:gridCol w:w="765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2"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8"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7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lang w:val="zh-CN"/>
              </w:rPr>
              <w:t>年三个年度，每具有1个年度盈利的得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分。</w:t>
            </w:r>
          </w:p>
          <w:p>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备注：</w:t>
            </w:r>
          </w:p>
          <w:p>
            <w:pPr>
              <w:keepNext w:val="0"/>
              <w:keepLines w:val="0"/>
              <w:pageBreakBefore w:val="0"/>
              <w:widowControl w:val="0"/>
              <w:kinsoku/>
              <w:wordWrap/>
              <w:overflowPunct/>
              <w:topLinePunct w:val="0"/>
              <w:bidi w:val="0"/>
              <w:snapToGrid/>
              <w:spacing w:line="360" w:lineRule="auto"/>
              <w:jc w:val="both"/>
              <w:textAlignment w:val="auto"/>
              <w:rPr>
                <w:rFonts w:ascii="宋体" w:hAnsi="宋体" w:eastAsia="宋体" w:cs="Times New Roman"/>
                <w:b/>
                <w:color w:val="auto"/>
                <w:kern w:val="0"/>
                <w:szCs w:val="21"/>
                <w:highlight w:val="none"/>
                <w:lang w:val="zh-CN"/>
              </w:rPr>
            </w:pPr>
            <w:r>
              <w:rPr>
                <w:rFonts w:hint="eastAsia" w:ascii="宋体" w:hAnsi="宋体" w:eastAsia="宋体" w:cs="宋体"/>
                <w:b/>
                <w:color w:val="auto"/>
                <w:kern w:val="0"/>
                <w:sz w:val="21"/>
                <w:szCs w:val="21"/>
                <w:highlight w:val="none"/>
                <w:lang w:val="en-US" w:eastAsia="zh-CN"/>
              </w:rPr>
              <w:t>盈利指净利润为正数（非零、非负数），</w:t>
            </w:r>
            <w:r>
              <w:rPr>
                <w:rFonts w:hint="eastAsia" w:ascii="宋体" w:hAnsi="宋体" w:eastAsia="宋体" w:cs="宋体"/>
                <w:b/>
                <w:color w:val="auto"/>
                <w:kern w:val="0"/>
                <w:sz w:val="21"/>
                <w:szCs w:val="21"/>
                <w:highlight w:val="none"/>
                <w:lang w:val="zh-CN"/>
              </w:rPr>
              <w:t>投标人应提供</w:t>
            </w:r>
            <w:r>
              <w:rPr>
                <w:rFonts w:hint="eastAsia" w:ascii="宋体" w:hAnsi="宋体" w:eastAsia="宋体" w:cs="宋体"/>
                <w:b/>
                <w:color w:val="auto"/>
                <w:kern w:val="0"/>
                <w:sz w:val="21"/>
                <w:szCs w:val="21"/>
                <w:highlight w:val="none"/>
                <w:lang w:val="en-US" w:eastAsia="zh-CN"/>
              </w:rPr>
              <w:t>2021</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2022</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2023</w:t>
            </w:r>
            <w:r>
              <w:rPr>
                <w:rFonts w:hint="eastAsia" w:ascii="宋体" w:hAnsi="宋体" w:eastAsia="宋体" w:cs="宋体"/>
                <w:b/>
                <w:color w:val="auto"/>
                <w:kern w:val="0"/>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937" w:name="_Hlk104987354"/>
            <w:r>
              <w:rPr>
                <w:rFonts w:hint="eastAsia" w:ascii="宋体" w:hAnsi="宋体" w:eastAsia="宋体" w:cs="宋体"/>
                <w:color w:val="auto"/>
                <w:kern w:val="0"/>
                <w:szCs w:val="21"/>
                <w:highlight w:val="none"/>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7657"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2</w:t>
            </w:r>
            <w:r>
              <w:rPr>
                <w:rFonts w:hint="eastAsia" w:ascii="宋体" w:hAnsi="宋体" w:eastAsia="宋体"/>
                <w:b w:val="0"/>
                <w:bCs w:val="0"/>
                <w:color w:val="auto"/>
                <w:szCs w:val="21"/>
                <w:highlight w:val="none"/>
                <w:lang w:val="en-US" w:eastAsia="zh-CN"/>
              </w:rPr>
              <w:t>021</w:t>
            </w:r>
            <w:r>
              <w:rPr>
                <w:rFonts w:hint="eastAsia" w:ascii="宋体" w:hAnsi="宋体" w:eastAsia="宋体"/>
                <w:b w:val="0"/>
                <w:bCs w:val="0"/>
                <w:color w:val="auto"/>
                <w:szCs w:val="21"/>
                <w:highlight w:val="none"/>
              </w:rPr>
              <w:t>年</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rPr>
              <w:t>月</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rPr>
              <w:t>日以来</w:t>
            </w:r>
            <w:r>
              <w:rPr>
                <w:rFonts w:hint="eastAsia" w:ascii="宋体" w:hAnsi="宋体" w:eastAsia="宋体"/>
                <w:b w:val="0"/>
                <w:bCs w:val="0"/>
                <w:color w:val="auto"/>
                <w:szCs w:val="21"/>
                <w:highlight w:val="none"/>
                <w:lang w:val="en-US" w:eastAsia="zh-CN"/>
              </w:rPr>
              <w:t>具有的</w:t>
            </w:r>
            <w:r>
              <w:rPr>
                <w:rFonts w:hint="eastAsia" w:ascii="宋体" w:hAnsi="宋体" w:eastAsia="宋体"/>
                <w:b w:val="0"/>
                <w:bCs w:val="0"/>
                <w:color w:val="auto"/>
                <w:szCs w:val="21"/>
                <w:highlight w:val="none"/>
              </w:rPr>
              <w:t>膜组件清洗服务</w:t>
            </w:r>
            <w:r>
              <w:rPr>
                <w:rFonts w:hint="eastAsia" w:ascii="宋体" w:hAnsi="宋体" w:eastAsia="宋体" w:cs="宋体"/>
                <w:b w:val="0"/>
                <w:bCs w:val="0"/>
                <w:color w:val="auto"/>
                <w:szCs w:val="21"/>
                <w:highlight w:val="none"/>
              </w:rPr>
              <w:t>业绩</w:t>
            </w:r>
            <w:r>
              <w:rPr>
                <w:rFonts w:hint="eastAsia" w:ascii="宋体" w:hAnsi="宋体" w:eastAsia="宋体"/>
                <w:b w:val="0"/>
                <w:bCs w:val="0"/>
                <w:color w:val="auto"/>
                <w:szCs w:val="21"/>
                <w:highlight w:val="none"/>
              </w:rPr>
              <w:t>（合同签订日期为</w:t>
            </w:r>
            <w:r>
              <w:rPr>
                <w:rFonts w:hint="eastAsia" w:ascii="宋体" w:hAnsi="宋体" w:eastAsia="宋体"/>
                <w:b w:val="0"/>
                <w:bCs w:val="0"/>
                <w:color w:val="auto"/>
                <w:szCs w:val="21"/>
                <w:highlight w:val="none"/>
                <w:lang w:val="en-US" w:eastAsia="zh-CN"/>
              </w:rPr>
              <w:t>2021</w:t>
            </w:r>
            <w:r>
              <w:rPr>
                <w:rFonts w:hint="eastAsia" w:ascii="宋体" w:hAnsi="宋体" w:eastAsia="宋体"/>
                <w:b w:val="0"/>
                <w:bCs w:val="0"/>
                <w:color w:val="auto"/>
                <w:szCs w:val="21"/>
                <w:highlight w:val="none"/>
              </w:rPr>
              <w:t>年</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rPr>
              <w:t>月</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rPr>
              <w:t>日或以后）</w:t>
            </w:r>
            <w:r>
              <w:rPr>
                <w:rFonts w:hint="eastAsia" w:ascii="宋体" w:hAnsi="宋体" w:eastAsia="宋体" w:cs="宋体"/>
                <w:color w:val="auto"/>
                <w:sz w:val="21"/>
                <w:szCs w:val="21"/>
                <w:highlight w:val="none"/>
              </w:rPr>
              <w:t>，按下列情况评分：</w:t>
            </w:r>
          </w:p>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①单项合同金额≥</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6"/>
              <w:spacing w:line="360" w:lineRule="auto"/>
              <w:rPr>
                <w:rFonts w:hint="eastAsia" w:ascii="宋体" w:hAnsi="宋体" w:eastAsia="宋体" w:cs="宋体"/>
                <w:color w:val="auto"/>
                <w:sz w:val="21"/>
                <w:szCs w:val="21"/>
                <w:highlight w:val="none"/>
                <w:lang w:eastAsia="zh-CN"/>
              </w:rPr>
            </w:pPr>
            <w:bookmarkStart w:id="938" w:name="_Toc23189"/>
            <w:bookmarkStart w:id="939" w:name="_Toc5487"/>
            <w:bookmarkStart w:id="940" w:name="_Toc7640"/>
            <w:bookmarkStart w:id="941" w:name="_Toc12645"/>
            <w:r>
              <w:rPr>
                <w:rFonts w:hint="eastAsia" w:ascii="宋体" w:hAnsi="宋体" w:eastAsia="宋体" w:cs="宋体"/>
                <w:color w:val="auto"/>
                <w:sz w:val="21"/>
                <w:szCs w:val="21"/>
                <w:highlight w:val="none"/>
                <w:lang w:eastAsia="zh-CN"/>
              </w:rPr>
              <w:t>③</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万元≤单项合同金额＜</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万元的前述业绩，每项得2分，本子项满分</w:t>
            </w:r>
            <w:r>
              <w:rPr>
                <w:rFonts w:hint="default"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bookmarkEnd w:id="938"/>
            <w:bookmarkEnd w:id="939"/>
            <w:bookmarkEnd w:id="940"/>
            <w:bookmarkEnd w:id="941"/>
          </w:p>
          <w:p>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①业绩须附合同复印件（合同服务提供方为投标人），否则不得分；</w:t>
            </w:r>
          </w:p>
          <w:p>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②若合同无法反映评分条件（合同签订日期为202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年1月1日或以后、合同服务内容必须体现膜组件清洗服务、合同金额）的，还需提供服务购买方出具的书面补充说明文件复印件作为辅助证明（</w:t>
            </w:r>
            <w:r>
              <w:rPr>
                <w:rFonts w:hint="eastAsia" w:ascii="宋体" w:hAnsi="宋体" w:eastAsia="宋体" w:cs="宋体"/>
                <w:b/>
                <w:color w:val="auto"/>
                <w:sz w:val="21"/>
                <w:szCs w:val="21"/>
                <w:highlight w:val="none"/>
                <w:lang w:val="en-US" w:eastAsia="zh-CN"/>
              </w:rPr>
              <w:t>补充说明文件复印件能显示</w:t>
            </w:r>
            <w:r>
              <w:rPr>
                <w:rFonts w:hint="eastAsia" w:ascii="宋体" w:hAnsi="宋体" w:eastAsia="宋体" w:cs="宋体"/>
                <w:b/>
                <w:color w:val="auto"/>
                <w:sz w:val="21"/>
                <w:szCs w:val="21"/>
                <w:highlight w:val="none"/>
              </w:rPr>
              <w:t>服务购买方公章），否则不得分；</w:t>
            </w:r>
          </w:p>
          <w:p>
            <w:pPr>
              <w:tabs>
                <w:tab w:val="left" w:pos="134"/>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③若业绩为框架式协议或资格入围无明确金额的合同，必须同时提供合同期限内已服务发票金额统计表和发票复印件；</w:t>
            </w:r>
          </w:p>
          <w:p>
            <w:pPr>
              <w:tabs>
                <w:tab w:val="left" w:pos="134"/>
              </w:tabs>
              <w:spacing w:line="360" w:lineRule="auto"/>
              <w:jc w:val="both"/>
              <w:rPr>
                <w:rFonts w:hint="eastAsia" w:ascii="宋体" w:hAnsi="宋体" w:eastAsia="宋体" w:cs="宋体"/>
                <w:b/>
                <w:color w:val="auto"/>
                <w:kern w:val="0"/>
                <w:szCs w:val="21"/>
                <w:highlight w:val="none"/>
                <w:lang w:eastAsia="zh-CN"/>
              </w:rPr>
            </w:pPr>
            <w:r>
              <w:rPr>
                <w:rFonts w:hint="eastAsia" w:ascii="宋体" w:hAnsi="宋体" w:eastAsia="宋体" w:cs="宋体"/>
                <w:b/>
                <w:color w:val="auto"/>
                <w:sz w:val="21"/>
                <w:szCs w:val="21"/>
                <w:highlight w:val="none"/>
              </w:rPr>
              <w:t>④未按上述要求提供证明材料的业绩，或所附材料无法证明填报项目符合本项评分要求的业绩，在评标时将不予考虑。</w:t>
            </w:r>
          </w:p>
        </w:tc>
        <w:tc>
          <w:tcPr>
            <w:tcW w:w="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分</w:t>
            </w:r>
          </w:p>
        </w:tc>
      </w:tr>
      <w:bookmarkEnd w:id="937"/>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942" w:name="_Toc1163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942"/>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33"/>
        <w:gridCol w:w="766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bookmarkStart w:id="943" w:name="_Hlk104987779"/>
            <w:r>
              <w:rPr>
                <w:rFonts w:hint="eastAsia" w:ascii="宋体" w:hAnsi="宋体" w:eastAsia="宋体" w:cs="宋体"/>
                <w:b/>
                <w:color w:val="auto"/>
                <w:kern w:val="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用户需求的响应程度</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zh-CN"/>
              </w:rPr>
              <w:t>对用户需求偏离表的偏离情况进行评审计分，完全满足用户需求书的要求得满分；每一处负偏离扣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分；同时参照其投标文件中其它部分的内容进行对比，每发现一处投标人填写为无偏离或正偏离，但评标委员会评审认定其为负偏离的，每处扣5分；本项最低分为0分。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清洗人员配置情况</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val="zh-CN"/>
              </w:rPr>
              <w:t>投入清洗人员的数量进行评审：</w:t>
            </w:r>
          </w:p>
          <w:p>
            <w:pPr>
              <w:spacing w:line="360" w:lineRule="auto"/>
              <w:contextualSpacing/>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①投入清洗人员的数量</w:t>
            </w:r>
            <w:r>
              <w:rPr>
                <w:rFonts w:hint="eastAsia" w:ascii="宋体" w:hAnsi="宋体" w:eastAsia="宋体" w:cs="宋体"/>
                <w:color w:val="auto"/>
                <w:szCs w:val="21"/>
                <w:highlight w:val="none"/>
                <w:lang w:val="en-US" w:eastAsia="zh-CN"/>
              </w:rPr>
              <w:t>在所有投标人中最多的，得3分；</w:t>
            </w:r>
          </w:p>
          <w:p>
            <w:pPr>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②投入清洗人员的数量在所有投标人中最</w:t>
            </w:r>
            <w:r>
              <w:rPr>
                <w:rFonts w:hint="eastAsia" w:ascii="宋体" w:hAnsi="宋体" w:eastAsia="宋体" w:cs="宋体"/>
                <w:color w:val="auto"/>
                <w:szCs w:val="21"/>
                <w:highlight w:val="none"/>
                <w:lang w:val="en-US" w:eastAsia="zh-CN"/>
              </w:rPr>
              <w:t>少</w:t>
            </w:r>
            <w:r>
              <w:rPr>
                <w:rFonts w:hint="eastAsia" w:ascii="宋体" w:hAnsi="宋体" w:eastAsia="宋体" w:cs="宋体"/>
                <w:color w:val="auto"/>
                <w:szCs w:val="21"/>
                <w:highlight w:val="none"/>
                <w:lang w:val="zh-CN"/>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pPr>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③其他情况得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w:t>
            </w:r>
          </w:p>
          <w:p>
            <w:pPr>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备注：根据《清洗人员配置情况承诺书》进行评审。</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清洗</w:t>
            </w:r>
            <w:r>
              <w:rPr>
                <w:rFonts w:hint="eastAsia" w:ascii="宋体" w:hAnsi="宋体" w:eastAsia="宋体" w:cs="宋体"/>
                <w:color w:val="auto"/>
                <w:sz w:val="21"/>
                <w:szCs w:val="21"/>
                <w:highlight w:val="none"/>
                <w:lang w:val="zh-CN"/>
              </w:rPr>
              <w:t>服务方案</w:t>
            </w:r>
          </w:p>
        </w:tc>
        <w:tc>
          <w:tcPr>
            <w:tcW w:w="76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rPr>
              <w:t>清洗</w:t>
            </w:r>
            <w:r>
              <w:rPr>
                <w:rFonts w:hint="eastAsia" w:ascii="宋体" w:hAnsi="宋体" w:eastAsia="宋体" w:cs="宋体"/>
                <w:color w:val="auto"/>
                <w:sz w:val="21"/>
                <w:szCs w:val="21"/>
                <w:highlight w:val="none"/>
                <w:lang w:val="zh-CN"/>
              </w:rPr>
              <w:t>服务方案包括专业能力及经验、投入作业的设备配置及满足服务程度等具体</w:t>
            </w:r>
            <w:r>
              <w:rPr>
                <w:rFonts w:hint="eastAsia" w:ascii="宋体" w:hAnsi="宋体" w:eastAsia="宋体" w:cs="宋体"/>
                <w:color w:val="auto"/>
                <w:sz w:val="21"/>
                <w:szCs w:val="21"/>
                <w:highlight w:val="none"/>
              </w:rPr>
              <w:t>清洗</w:t>
            </w:r>
            <w:r>
              <w:rPr>
                <w:rFonts w:hint="eastAsia" w:ascii="宋体" w:hAnsi="宋体" w:eastAsia="宋体" w:cs="宋体"/>
                <w:color w:val="auto"/>
                <w:sz w:val="21"/>
                <w:szCs w:val="21"/>
                <w:highlight w:val="none"/>
                <w:lang w:val="zh-CN"/>
              </w:rPr>
              <w:t>作业</w:t>
            </w:r>
            <w:r>
              <w:rPr>
                <w:rFonts w:hint="eastAsia" w:ascii="宋体" w:hAnsi="宋体" w:eastAsia="宋体" w:cs="宋体"/>
                <w:color w:val="auto"/>
                <w:sz w:val="21"/>
                <w:szCs w:val="21"/>
                <w:highlight w:val="none"/>
              </w:rPr>
              <w:t>实施方案的科学性、专业性和技术可靠性进行评审</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专业能力强且服务经验丰富，</w:t>
            </w:r>
            <w:r>
              <w:rPr>
                <w:rFonts w:hint="eastAsia" w:ascii="宋体" w:hAnsi="宋体" w:eastAsia="宋体" w:cs="宋体"/>
                <w:color w:val="auto"/>
                <w:sz w:val="21"/>
                <w:szCs w:val="21"/>
                <w:highlight w:val="none"/>
                <w:lang w:val="zh-CN"/>
              </w:rPr>
              <w:t>投入作业的设备配置</w:t>
            </w:r>
            <w:r>
              <w:rPr>
                <w:rFonts w:hint="eastAsia" w:ascii="宋体" w:hAnsi="宋体" w:eastAsia="宋体" w:cs="宋体"/>
                <w:color w:val="auto"/>
                <w:sz w:val="21"/>
                <w:szCs w:val="21"/>
                <w:highlight w:val="none"/>
                <w:lang w:val="en-US" w:eastAsia="zh-CN"/>
              </w:rPr>
              <w:t>齐全，</w:t>
            </w:r>
            <w:r>
              <w:rPr>
                <w:rFonts w:hint="eastAsia" w:ascii="宋体" w:hAnsi="宋体" w:eastAsia="宋体" w:cs="宋体"/>
                <w:color w:val="auto"/>
                <w:sz w:val="21"/>
                <w:szCs w:val="21"/>
                <w:highlight w:val="none"/>
                <w:lang w:val="zh-CN"/>
              </w:rPr>
              <w:t>满足服务程度</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专业能力及服务经验一般，</w:t>
            </w:r>
            <w:r>
              <w:rPr>
                <w:rFonts w:hint="eastAsia" w:ascii="宋体" w:hAnsi="宋体" w:eastAsia="宋体" w:cs="宋体"/>
                <w:color w:val="auto"/>
                <w:sz w:val="21"/>
                <w:szCs w:val="21"/>
                <w:highlight w:val="none"/>
                <w:lang w:val="zh-CN"/>
              </w:rPr>
              <w:t>投入作业的设备配置</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val="zh-CN"/>
              </w:rPr>
              <w:t>满足服务程度</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专业能力差且服务经验少，</w:t>
            </w:r>
            <w:r>
              <w:rPr>
                <w:rFonts w:hint="eastAsia" w:ascii="宋体" w:hAnsi="宋体" w:eastAsia="宋体" w:cs="宋体"/>
                <w:color w:val="auto"/>
                <w:sz w:val="21"/>
                <w:szCs w:val="21"/>
                <w:highlight w:val="none"/>
                <w:lang w:val="zh-CN"/>
              </w:rPr>
              <w:t>投入作业的设备配置</w:t>
            </w:r>
            <w:r>
              <w:rPr>
                <w:rFonts w:hint="eastAsia" w:ascii="宋体" w:hAnsi="宋体" w:eastAsia="宋体" w:cs="宋体"/>
                <w:color w:val="auto"/>
                <w:sz w:val="21"/>
                <w:szCs w:val="21"/>
                <w:highlight w:val="none"/>
                <w:lang w:val="en-US" w:eastAsia="zh-CN"/>
              </w:rPr>
              <w:t>少，</w:t>
            </w:r>
            <w:r>
              <w:rPr>
                <w:rFonts w:hint="eastAsia" w:ascii="宋体" w:hAnsi="宋体" w:eastAsia="宋体" w:cs="宋体"/>
                <w:color w:val="auto"/>
                <w:sz w:val="21"/>
                <w:szCs w:val="21"/>
                <w:highlight w:val="none"/>
                <w:lang w:val="zh-CN"/>
              </w:rPr>
              <w:t>满足服务程度</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eastAsia="zh-CN"/>
              </w:rPr>
              <w:t>。</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85"/>
                <w:tab w:val="left" w:pos="680"/>
              </w:tabs>
              <w:autoSpaceDE/>
              <w:autoSpaceDN/>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进度计划及保证措施</w:t>
            </w:r>
          </w:p>
        </w:tc>
        <w:tc>
          <w:tcPr>
            <w:tcW w:w="7660" w:type="dxa"/>
            <w:tcBorders>
              <w:top w:val="single" w:color="auto" w:sz="4" w:space="0"/>
              <w:left w:val="single" w:color="auto" w:sz="4" w:space="0"/>
              <w:bottom w:val="single" w:color="auto" w:sz="4" w:space="0"/>
              <w:right w:val="single" w:color="auto" w:sz="4" w:space="0"/>
            </w:tcBorders>
            <w:vAlign w:val="center"/>
          </w:tcPr>
          <w:p>
            <w:pPr>
              <w:tabs>
                <w:tab w:val="left" w:pos="585"/>
                <w:tab w:val="left" w:pos="680"/>
              </w:tabs>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对进度计划是否满足本项目服务期要求、详细完善，安排合理可行、实施过程时间可控，且保证措施具体、可行进行评审</w:t>
            </w:r>
            <w:r>
              <w:rPr>
                <w:rFonts w:hint="eastAsia" w:ascii="宋体" w:hAnsi="宋体" w:eastAsia="宋体" w:cs="宋体"/>
                <w:color w:val="auto"/>
                <w:sz w:val="21"/>
                <w:szCs w:val="21"/>
                <w:highlight w:val="none"/>
                <w:lang w:eastAsia="zh-CN"/>
              </w:rPr>
              <w:t>：</w:t>
            </w:r>
          </w:p>
          <w:p>
            <w:pPr>
              <w:tabs>
                <w:tab w:val="left" w:pos="585"/>
                <w:tab w:val="left" w:pos="680"/>
              </w:tabs>
              <w:autoSpaceDE/>
              <w:autoSpaceDN/>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进度计划满足本项目服务期要求、详细完善，安排合理可行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实施过程时间</w:t>
            </w:r>
            <w:r>
              <w:rPr>
                <w:rFonts w:hint="eastAsia" w:ascii="宋体" w:hAnsi="宋体" w:eastAsia="宋体" w:cs="宋体"/>
                <w:color w:val="auto"/>
                <w:sz w:val="21"/>
                <w:szCs w:val="21"/>
                <w:highlight w:val="none"/>
                <w:lang w:val="en-US" w:eastAsia="zh-CN"/>
              </w:rPr>
              <w:t>科学</w:t>
            </w:r>
            <w:r>
              <w:rPr>
                <w:rFonts w:hint="eastAsia" w:ascii="宋体" w:hAnsi="宋体" w:eastAsia="宋体" w:cs="宋体"/>
                <w:color w:val="auto"/>
                <w:sz w:val="21"/>
                <w:szCs w:val="21"/>
                <w:highlight w:val="none"/>
              </w:rPr>
              <w:t>可控，且保证措施具体、可行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tabs>
                <w:tab w:val="left" w:pos="585"/>
                <w:tab w:val="left" w:pos="680"/>
              </w:tabs>
              <w:autoSpaceDE/>
              <w:autoSpaceDN/>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进度计划</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满足本项目服务期要求、</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完善，</w:t>
            </w:r>
            <w:r>
              <w:rPr>
                <w:rFonts w:hint="eastAsia" w:ascii="宋体" w:hAnsi="宋体" w:eastAsia="宋体" w:cs="宋体"/>
                <w:color w:val="auto"/>
                <w:sz w:val="21"/>
                <w:szCs w:val="21"/>
                <w:highlight w:val="none"/>
                <w:lang w:val="en-US" w:eastAsia="zh-CN"/>
              </w:rPr>
              <w:t>安排合理性及可行性一般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实施过程时间</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可控，且保证措施</w:t>
            </w:r>
            <w:r>
              <w:rPr>
                <w:rFonts w:hint="eastAsia" w:ascii="宋体" w:hAnsi="宋体" w:eastAsia="宋体" w:cs="宋体"/>
                <w:color w:val="auto"/>
                <w:sz w:val="21"/>
                <w:szCs w:val="21"/>
                <w:highlight w:val="none"/>
                <w:lang w:val="en-US" w:eastAsia="zh-CN"/>
              </w:rPr>
              <w:t>基本具体，</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tabs>
                <w:tab w:val="left" w:pos="585"/>
                <w:tab w:val="left" w:pos="680"/>
              </w:tabs>
              <w:autoSpaceDE/>
              <w:autoSpaceDN/>
              <w:adjustRightInd/>
              <w:spacing w:line="360" w:lineRule="auto"/>
              <w:jc w:val="both"/>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进度计划</w:t>
            </w:r>
            <w:r>
              <w:rPr>
                <w:rFonts w:hint="eastAsia" w:ascii="宋体" w:hAnsi="宋体" w:eastAsia="宋体" w:cs="宋体"/>
                <w:color w:val="auto"/>
                <w:sz w:val="21"/>
                <w:szCs w:val="21"/>
                <w:highlight w:val="none"/>
                <w:lang w:val="en-US" w:eastAsia="zh-CN"/>
              </w:rPr>
              <w:t>不能完全</w:t>
            </w:r>
            <w:r>
              <w:rPr>
                <w:rFonts w:hint="eastAsia" w:ascii="宋体" w:hAnsi="宋体" w:eastAsia="宋体" w:cs="宋体"/>
                <w:color w:val="auto"/>
                <w:sz w:val="21"/>
                <w:szCs w:val="21"/>
                <w:highlight w:val="none"/>
              </w:rPr>
              <w:t>满足本项目服务期要求、</w:t>
            </w:r>
            <w:r>
              <w:rPr>
                <w:rFonts w:hint="eastAsia" w:ascii="宋体" w:hAnsi="宋体" w:eastAsia="宋体" w:cs="宋体"/>
                <w:color w:val="auto"/>
                <w:sz w:val="21"/>
                <w:szCs w:val="21"/>
                <w:highlight w:val="none"/>
                <w:lang w:val="en-US" w:eastAsia="zh-CN"/>
              </w:rPr>
              <w:t>不详细不</w:t>
            </w:r>
            <w:r>
              <w:rPr>
                <w:rFonts w:hint="eastAsia" w:ascii="宋体" w:hAnsi="宋体" w:eastAsia="宋体" w:cs="宋体"/>
                <w:color w:val="auto"/>
                <w:sz w:val="21"/>
                <w:szCs w:val="21"/>
                <w:highlight w:val="none"/>
              </w:rPr>
              <w:t>完善，</w:t>
            </w:r>
            <w:r>
              <w:rPr>
                <w:rFonts w:hint="eastAsia" w:ascii="宋体" w:hAnsi="宋体" w:eastAsia="宋体" w:cs="宋体"/>
                <w:color w:val="auto"/>
                <w:sz w:val="21"/>
                <w:szCs w:val="21"/>
                <w:highlight w:val="none"/>
                <w:lang w:val="en-US" w:eastAsia="zh-CN"/>
              </w:rPr>
              <w:t>安排合理性及可行性差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实施过程时间</w:t>
            </w:r>
            <w:r>
              <w:rPr>
                <w:rFonts w:hint="eastAsia" w:ascii="宋体" w:hAnsi="宋体" w:eastAsia="宋体" w:cs="宋体"/>
                <w:color w:val="auto"/>
                <w:sz w:val="21"/>
                <w:szCs w:val="21"/>
                <w:highlight w:val="none"/>
                <w:lang w:val="en-US" w:eastAsia="zh-CN"/>
              </w:rPr>
              <w:t>不能完全</w:t>
            </w:r>
            <w:r>
              <w:rPr>
                <w:rFonts w:hint="eastAsia" w:ascii="宋体" w:hAnsi="宋体" w:eastAsia="宋体" w:cs="宋体"/>
                <w:color w:val="auto"/>
                <w:sz w:val="21"/>
                <w:szCs w:val="21"/>
                <w:highlight w:val="none"/>
              </w:rPr>
              <w:t>可控，且保证措施</w:t>
            </w:r>
            <w:r>
              <w:rPr>
                <w:rFonts w:hint="eastAsia" w:ascii="宋体" w:hAnsi="宋体" w:eastAsia="宋体" w:cs="宋体"/>
                <w:color w:val="auto"/>
                <w:sz w:val="21"/>
                <w:szCs w:val="21"/>
                <w:highlight w:val="none"/>
                <w:lang w:val="en-US" w:eastAsia="zh-CN"/>
              </w:rPr>
              <w:t>简单，</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eastAsia="zh-CN"/>
              </w:rPr>
              <w:t>。</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585"/>
                <w:tab w:val="left" w:pos="680"/>
              </w:tabs>
              <w:autoSpaceDE/>
              <w:autoSpaceDN/>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rPr>
              <w:t>安全、文明施工组织方案</w:t>
            </w:r>
          </w:p>
        </w:tc>
        <w:tc>
          <w:tcPr>
            <w:tcW w:w="7660" w:type="dxa"/>
            <w:tcBorders>
              <w:top w:val="single" w:color="auto" w:sz="4" w:space="0"/>
              <w:left w:val="single" w:color="auto" w:sz="4" w:space="0"/>
              <w:bottom w:val="single" w:color="auto" w:sz="4" w:space="0"/>
              <w:right w:val="single" w:color="auto" w:sz="4" w:space="0"/>
            </w:tcBorders>
            <w:vAlign w:val="center"/>
          </w:tcPr>
          <w:p>
            <w:pPr>
              <w:tabs>
                <w:tab w:val="left" w:pos="585"/>
                <w:tab w:val="left" w:pos="680"/>
              </w:tabs>
              <w:autoSpaceDE/>
              <w:autoSpaceDN/>
              <w:adjustRightInd/>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w:t>
            </w:r>
            <w:r>
              <w:rPr>
                <w:rFonts w:hint="eastAsia" w:ascii="宋体" w:hAnsi="宋体" w:eastAsia="宋体" w:cs="宋体"/>
                <w:bCs/>
                <w:color w:val="auto"/>
                <w:sz w:val="21"/>
                <w:szCs w:val="21"/>
                <w:highlight w:val="none"/>
              </w:rPr>
              <w:t>安全、文明施工组织方案</w:t>
            </w:r>
            <w:r>
              <w:rPr>
                <w:rFonts w:hint="eastAsia" w:ascii="宋体" w:hAnsi="宋体" w:eastAsia="宋体" w:cs="宋体"/>
                <w:color w:val="auto"/>
                <w:sz w:val="21"/>
                <w:szCs w:val="21"/>
                <w:highlight w:val="none"/>
                <w:lang w:val="zh-CN"/>
              </w:rPr>
              <w:t>是否</w:t>
            </w:r>
            <w:r>
              <w:rPr>
                <w:rFonts w:hint="eastAsia" w:ascii="宋体" w:hAnsi="宋体" w:eastAsia="宋体" w:cs="宋体"/>
                <w:bCs/>
                <w:color w:val="auto"/>
                <w:sz w:val="21"/>
                <w:szCs w:val="21"/>
                <w:highlight w:val="none"/>
              </w:rPr>
              <w:t>满足国家、行业及相关技术规范</w:t>
            </w:r>
            <w:r>
              <w:rPr>
                <w:rFonts w:hint="eastAsia" w:ascii="宋体" w:hAnsi="宋体" w:eastAsia="宋体" w:cs="宋体"/>
                <w:color w:val="auto"/>
                <w:sz w:val="21"/>
                <w:szCs w:val="21"/>
                <w:highlight w:val="none"/>
                <w:lang w:val="zh-CN"/>
              </w:rPr>
              <w:t>的要求，</w:t>
            </w:r>
            <w:r>
              <w:rPr>
                <w:rFonts w:hint="eastAsia" w:ascii="宋体" w:hAnsi="宋体" w:eastAsia="宋体" w:cs="宋体"/>
                <w:bCs/>
                <w:color w:val="auto"/>
                <w:sz w:val="21"/>
                <w:szCs w:val="21"/>
                <w:highlight w:val="none"/>
              </w:rPr>
              <w:t>内容是否全面、详细、针对性强，</w:t>
            </w:r>
            <w:r>
              <w:rPr>
                <w:rFonts w:hint="eastAsia" w:ascii="宋体" w:hAnsi="宋体" w:eastAsia="宋体" w:cs="宋体"/>
                <w:color w:val="auto"/>
                <w:sz w:val="21"/>
                <w:szCs w:val="21"/>
                <w:highlight w:val="none"/>
                <w:lang w:val="zh-CN"/>
              </w:rPr>
              <w:t>是否制订了切实可行的安全文明施工保障措施</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w:t>
            </w:r>
          </w:p>
          <w:p>
            <w:pPr>
              <w:tabs>
                <w:tab w:val="left" w:pos="585"/>
                <w:tab w:val="left" w:pos="680"/>
              </w:tabs>
              <w:autoSpaceDE/>
              <w:autoSpaceDN/>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w:t>
            </w:r>
            <w:r>
              <w:rPr>
                <w:rFonts w:hint="eastAsia" w:ascii="宋体" w:hAnsi="宋体" w:eastAsia="宋体" w:cs="宋体"/>
                <w:bCs/>
                <w:color w:val="auto"/>
                <w:sz w:val="21"/>
                <w:szCs w:val="21"/>
                <w:highlight w:val="none"/>
              </w:rPr>
              <w:t>全、文明施工组织方案满足国家、行业及相关技术规范</w:t>
            </w:r>
            <w:r>
              <w:rPr>
                <w:rFonts w:hint="eastAsia" w:ascii="宋体" w:hAnsi="宋体" w:eastAsia="宋体" w:cs="宋体"/>
                <w:color w:val="auto"/>
                <w:sz w:val="21"/>
                <w:szCs w:val="21"/>
                <w:highlight w:val="none"/>
                <w:lang w:val="zh-CN"/>
              </w:rPr>
              <w:t>的要求，</w:t>
            </w:r>
            <w:r>
              <w:rPr>
                <w:rFonts w:hint="eastAsia" w:ascii="宋体" w:hAnsi="宋体" w:eastAsia="宋体" w:cs="宋体"/>
                <w:bCs/>
                <w:color w:val="auto"/>
                <w:sz w:val="21"/>
                <w:szCs w:val="21"/>
                <w:highlight w:val="none"/>
              </w:rPr>
              <w:t>内容全面、详细、针对性强，</w:t>
            </w:r>
            <w:r>
              <w:rPr>
                <w:rFonts w:hint="eastAsia" w:ascii="宋体" w:hAnsi="宋体" w:eastAsia="宋体" w:cs="宋体"/>
                <w:color w:val="auto"/>
                <w:sz w:val="21"/>
                <w:szCs w:val="21"/>
                <w:highlight w:val="none"/>
                <w:lang w:val="zh-CN"/>
              </w:rPr>
              <w:t>制订了切实可行的安全文明施工保障措施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tabs>
                <w:tab w:val="left" w:pos="585"/>
                <w:tab w:val="left" w:pos="680"/>
              </w:tabs>
              <w:autoSpaceDE/>
              <w:autoSpaceDN/>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w:t>
            </w:r>
            <w:r>
              <w:rPr>
                <w:rFonts w:hint="eastAsia" w:ascii="宋体" w:hAnsi="宋体" w:eastAsia="宋体" w:cs="宋体"/>
                <w:bCs/>
                <w:color w:val="auto"/>
                <w:sz w:val="21"/>
                <w:szCs w:val="21"/>
                <w:highlight w:val="none"/>
              </w:rPr>
              <w:t>全、文明施工组织方案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满足国家、行业及相关技术规范</w:t>
            </w:r>
            <w:r>
              <w:rPr>
                <w:rFonts w:hint="eastAsia" w:ascii="宋体" w:hAnsi="宋体" w:eastAsia="宋体" w:cs="宋体"/>
                <w:color w:val="auto"/>
                <w:sz w:val="21"/>
                <w:szCs w:val="21"/>
                <w:highlight w:val="none"/>
                <w:lang w:val="zh-CN"/>
              </w:rPr>
              <w:t>的要求，</w:t>
            </w:r>
            <w:r>
              <w:rPr>
                <w:rFonts w:hint="eastAsia" w:ascii="宋体" w:hAnsi="宋体" w:eastAsia="宋体" w:cs="宋体"/>
                <w:bCs/>
                <w:color w:val="auto"/>
                <w:sz w:val="21"/>
                <w:szCs w:val="21"/>
                <w:highlight w:val="none"/>
              </w:rPr>
              <w:t>内容</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全面、针对性</w:t>
            </w:r>
            <w:r>
              <w:rPr>
                <w:rFonts w:hint="eastAsia" w:ascii="宋体" w:hAnsi="宋体" w:eastAsia="宋体" w:cs="宋体"/>
                <w:bCs/>
                <w:color w:val="auto"/>
                <w:sz w:val="21"/>
                <w:szCs w:val="21"/>
                <w:highlight w:val="none"/>
                <w:lang w:val="en-US" w:eastAsia="zh-CN"/>
              </w:rPr>
              <w:t>一般</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制订了</w:t>
            </w:r>
            <w:r>
              <w:rPr>
                <w:rFonts w:hint="eastAsia" w:ascii="宋体" w:hAnsi="宋体" w:eastAsia="宋体" w:cs="宋体"/>
                <w:color w:val="auto"/>
                <w:sz w:val="21"/>
                <w:szCs w:val="21"/>
                <w:highlight w:val="none"/>
                <w:lang w:val="en-US" w:eastAsia="zh-CN"/>
              </w:rPr>
              <w:t>一定</w:t>
            </w:r>
            <w:r>
              <w:rPr>
                <w:rFonts w:hint="eastAsia" w:ascii="宋体" w:hAnsi="宋体" w:eastAsia="宋体" w:cs="宋体"/>
                <w:color w:val="auto"/>
                <w:sz w:val="21"/>
                <w:szCs w:val="21"/>
                <w:highlight w:val="none"/>
                <w:lang w:val="zh-CN"/>
              </w:rPr>
              <w:t>可行的安全文明施工保障措施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tabs>
                <w:tab w:val="left" w:pos="585"/>
                <w:tab w:val="left" w:pos="680"/>
              </w:tabs>
              <w:autoSpaceDE/>
              <w:autoSpaceDN/>
              <w:adjustRightInd/>
              <w:spacing w:line="360" w:lineRule="auto"/>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w:t>
            </w:r>
            <w:r>
              <w:rPr>
                <w:rFonts w:hint="eastAsia" w:ascii="宋体" w:hAnsi="宋体" w:eastAsia="宋体" w:cs="宋体"/>
                <w:bCs/>
                <w:color w:val="auto"/>
                <w:sz w:val="21"/>
                <w:szCs w:val="21"/>
                <w:highlight w:val="none"/>
              </w:rPr>
              <w:t>全、文明施工组织方案</w:t>
            </w:r>
            <w:r>
              <w:rPr>
                <w:rFonts w:hint="eastAsia" w:ascii="宋体" w:hAnsi="宋体" w:eastAsia="宋体" w:cs="宋体"/>
                <w:bCs/>
                <w:color w:val="auto"/>
                <w:sz w:val="21"/>
                <w:szCs w:val="21"/>
                <w:highlight w:val="none"/>
                <w:lang w:val="en-US" w:eastAsia="zh-CN"/>
              </w:rPr>
              <w:t>不能完全</w:t>
            </w:r>
            <w:r>
              <w:rPr>
                <w:rFonts w:hint="eastAsia" w:ascii="宋体" w:hAnsi="宋体" w:eastAsia="宋体" w:cs="宋体"/>
                <w:bCs/>
                <w:color w:val="auto"/>
                <w:sz w:val="21"/>
                <w:szCs w:val="21"/>
                <w:highlight w:val="none"/>
              </w:rPr>
              <w:t>满足国家、行业及相关技术规范</w:t>
            </w:r>
            <w:r>
              <w:rPr>
                <w:rFonts w:hint="eastAsia" w:ascii="宋体" w:hAnsi="宋体" w:eastAsia="宋体" w:cs="宋体"/>
                <w:color w:val="auto"/>
                <w:sz w:val="21"/>
                <w:szCs w:val="21"/>
                <w:highlight w:val="none"/>
                <w:lang w:val="zh-CN"/>
              </w:rPr>
              <w:t>的要求，</w:t>
            </w:r>
            <w:r>
              <w:rPr>
                <w:rFonts w:hint="eastAsia" w:ascii="宋体" w:hAnsi="宋体" w:eastAsia="宋体" w:cs="宋体"/>
                <w:bCs/>
                <w:color w:val="auto"/>
                <w:sz w:val="21"/>
                <w:szCs w:val="21"/>
                <w:highlight w:val="none"/>
              </w:rPr>
              <w:t>内容</w:t>
            </w:r>
            <w:r>
              <w:rPr>
                <w:rFonts w:hint="eastAsia" w:ascii="宋体" w:hAnsi="宋体" w:eastAsia="宋体" w:cs="宋体"/>
                <w:bCs/>
                <w:color w:val="auto"/>
                <w:sz w:val="21"/>
                <w:szCs w:val="21"/>
                <w:highlight w:val="none"/>
                <w:lang w:val="en-US" w:eastAsia="zh-CN"/>
              </w:rPr>
              <w:t>简单</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制订的安全文明施工保障措施</w:t>
            </w:r>
            <w:r>
              <w:rPr>
                <w:rFonts w:hint="eastAsia" w:ascii="宋体" w:hAnsi="宋体" w:eastAsia="宋体" w:cs="宋体"/>
                <w:color w:val="auto"/>
                <w:sz w:val="21"/>
                <w:szCs w:val="21"/>
                <w:highlight w:val="none"/>
                <w:lang w:val="en-US" w:eastAsia="zh-CN"/>
              </w:rPr>
              <w:t>可行性差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bookmarkEnd w:id="943"/>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ascii="宋体" w:hAnsi="宋体" w:eastAsia="宋体" w:cs="宋体"/>
          <w:color w:val="auto"/>
          <w:kern w:val="0"/>
          <w:szCs w:val="21"/>
          <w:highlight w:val="none"/>
          <w:lang w:val="zh-CN"/>
        </w:rPr>
      </w:pP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ascii="宋体" w:hAnsi="宋体" w:eastAsia="宋体" w:cs="宋体"/>
          <w:color w:val="auto"/>
          <w:kern w:val="0"/>
          <w:szCs w:val="28"/>
          <w:highlight w:val="none"/>
          <w:lang w:val="zh-CN"/>
        </w:rPr>
      </w:pPr>
      <w:bookmarkStart w:id="944" w:name="_Toc31624_WPSOffice_Level2"/>
      <w:r>
        <w:rPr>
          <w:rFonts w:hint="eastAsia" w:ascii="宋体" w:hAnsi="宋体" w:eastAsia="宋体" w:cs="宋体"/>
          <w:color w:val="auto"/>
          <w:kern w:val="0"/>
          <w:szCs w:val="28"/>
          <w:highlight w:val="none"/>
          <w:lang w:val="zh-CN"/>
        </w:rPr>
        <w:t>评标总得分=F1＋F2＋……+Fn</w:t>
      </w:r>
      <w:bookmarkEnd w:id="944"/>
    </w:p>
    <w:p>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945" w:name="_Toc13236_WPSOffice_Level2"/>
      <w:r>
        <w:rPr>
          <w:rFonts w:hint="eastAsia" w:ascii="宋体" w:hAnsi="宋体" w:eastAsia="宋体" w:cs="宋体"/>
          <w:color w:val="auto"/>
          <w:kern w:val="0"/>
          <w:szCs w:val="21"/>
          <w:highlight w:val="none"/>
        </w:rPr>
        <w:t>F1、F2、……Fn分别为各项评分因素的得分</w:t>
      </w:r>
      <w:bookmarkEnd w:id="945"/>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946" w:name="_Toc518_WPSOffice_Level1"/>
      <w:r>
        <w:rPr>
          <w:rFonts w:hint="eastAsia" w:ascii="宋体" w:hAnsi="宋体" w:eastAsia="宋体" w:cs="宋体"/>
          <w:b/>
          <w:bCs/>
          <w:color w:val="auto"/>
          <w:sz w:val="28"/>
          <w:szCs w:val="28"/>
          <w:highlight w:val="none"/>
          <w:lang w:val="zh-CN"/>
        </w:rPr>
        <w:t>五、推荐中标人</w:t>
      </w:r>
      <w:bookmarkEnd w:id="946"/>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947" w:name="_Toc22724_WPSOffice_Level1"/>
      <w:r>
        <w:rPr>
          <w:rFonts w:hint="eastAsia" w:ascii="宋体" w:hAnsi="宋体" w:eastAsia="宋体" w:cs="宋体"/>
          <w:b/>
          <w:bCs/>
          <w:color w:val="auto"/>
          <w:sz w:val="28"/>
          <w:szCs w:val="28"/>
          <w:highlight w:val="none"/>
          <w:lang w:val="zh-CN"/>
        </w:rPr>
        <w:t>六、编写评标报告</w:t>
      </w:r>
      <w:bookmarkEnd w:id="947"/>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948" w:name="_Toc23773_WPSOffice_Level1"/>
      <w:r>
        <w:rPr>
          <w:rFonts w:hint="eastAsia" w:ascii="宋体" w:hAnsi="宋体" w:eastAsia="宋体" w:cs="宋体"/>
          <w:b/>
          <w:bCs/>
          <w:color w:val="auto"/>
          <w:sz w:val="28"/>
          <w:szCs w:val="28"/>
          <w:highlight w:val="none"/>
          <w:lang w:val="zh-CN"/>
        </w:rPr>
        <w:t>七、注意事项</w:t>
      </w:r>
      <w:bookmarkEnd w:id="948"/>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901"/>
    <w:bookmarkEnd w:id="919"/>
    <w:bookmarkEnd w:id="920"/>
    <w:bookmarkEnd w:id="921"/>
    <w:p>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fldChar w:fldCharType="begin"/>
    </w:r>
    <w:r>
      <w:rPr>
        <w:rStyle w:val="40"/>
      </w:rPr>
      <w:instrText xml:space="preserve"> PAGE </w:instrText>
    </w:r>
    <w:r>
      <w:fldChar w:fldCharType="separate"/>
    </w:r>
    <w:r>
      <w:rPr>
        <w:rStyle w:val="40"/>
      </w:rPr>
      <w:t>38</w:t>
    </w:r>
    <w:r>
      <w:fldChar w:fldCharType="end"/>
    </w:r>
    <w:r>
      <w:rPr>
        <w:rStyle w:val="40"/>
        <w:rFonts w:hint="eastAsia"/>
      </w:rPr>
      <w:t>页，共</w:t>
    </w:r>
    <w:r>
      <w:fldChar w:fldCharType="begin"/>
    </w:r>
    <w:r>
      <w:rPr>
        <w:rStyle w:val="40"/>
      </w:rPr>
      <w:instrText xml:space="preserve"> NUMPAGES </w:instrText>
    </w:r>
    <w:r>
      <w:fldChar w:fldCharType="separate"/>
    </w:r>
    <w:r>
      <w:rPr>
        <w:rStyle w:val="40"/>
      </w:rPr>
      <w:t>91</w:t>
    </w:r>
    <w:r>
      <w:fldChar w:fldCharType="end"/>
    </w:r>
    <w:r>
      <w:rPr>
        <w:rStyle w:val="40"/>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end"/>
    </w:r>
  </w:p>
  <w:p>
    <w:pPr>
      <w:pStyle w:val="26"/>
      <w:ind w:right="360"/>
    </w:pPr>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fldChar w:fldCharType="begin"/>
    </w:r>
    <w:r>
      <w:rPr>
        <w:rStyle w:val="40"/>
      </w:rPr>
      <w:instrText xml:space="preserve"> PAGE </w:instrText>
    </w:r>
    <w:r>
      <w:fldChar w:fldCharType="separate"/>
    </w:r>
    <w:r>
      <w:rPr>
        <w:rStyle w:val="40"/>
      </w:rPr>
      <w:t>29</w:t>
    </w:r>
    <w:r>
      <w:fldChar w:fldCharType="end"/>
    </w:r>
    <w:r>
      <w:rPr>
        <w:rStyle w:val="40"/>
        <w:rFonts w:hint="eastAsia"/>
      </w:rPr>
      <w:t>页，共</w:t>
    </w:r>
    <w:r>
      <w:fldChar w:fldCharType="begin"/>
    </w:r>
    <w:r>
      <w:rPr>
        <w:rStyle w:val="40"/>
      </w:rPr>
      <w:instrText xml:space="preserve"> NUMPAGES </w:instrText>
    </w:r>
    <w:r>
      <w:fldChar w:fldCharType="separate"/>
    </w:r>
    <w:r>
      <w:rPr>
        <w:rStyle w:val="40"/>
      </w:rPr>
      <w:t>91</w:t>
    </w:r>
    <w:r>
      <w:fldChar w:fldCharType="end"/>
    </w:r>
    <w:r>
      <w:rPr>
        <w:rStyle w:val="40"/>
        <w:rFonts w:hint="eastAsia"/>
      </w:rPr>
      <w:t>页</w:t>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hAnsi="宋体" w:cs="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GM1YjU4MDVjYWQ2NTQ2NGRiNTI4NDNhMWNiOGIifQ=="/>
    <w:docVar w:name="KSO_WPS_MARK_KEY" w:val="30972ab2-8cba-4dcc-bde1-da13a624465b"/>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460FC"/>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F2533F"/>
    <w:rsid w:val="032F6654"/>
    <w:rsid w:val="04376B5D"/>
    <w:rsid w:val="058F7720"/>
    <w:rsid w:val="06A75D00"/>
    <w:rsid w:val="0A55590F"/>
    <w:rsid w:val="0B9A49EC"/>
    <w:rsid w:val="0E1C4151"/>
    <w:rsid w:val="0F241091"/>
    <w:rsid w:val="10BC03C7"/>
    <w:rsid w:val="130F4A87"/>
    <w:rsid w:val="139B7A75"/>
    <w:rsid w:val="14237C67"/>
    <w:rsid w:val="15A13C38"/>
    <w:rsid w:val="16B60189"/>
    <w:rsid w:val="1B0940FF"/>
    <w:rsid w:val="1BDF7DDD"/>
    <w:rsid w:val="1BF80F88"/>
    <w:rsid w:val="1DA208D3"/>
    <w:rsid w:val="1FD31248"/>
    <w:rsid w:val="207A1985"/>
    <w:rsid w:val="22C62CF4"/>
    <w:rsid w:val="23174323"/>
    <w:rsid w:val="23A06120"/>
    <w:rsid w:val="278C433A"/>
    <w:rsid w:val="286E02B3"/>
    <w:rsid w:val="28AC24C6"/>
    <w:rsid w:val="28CD7B64"/>
    <w:rsid w:val="28DA73F5"/>
    <w:rsid w:val="29AE6B2F"/>
    <w:rsid w:val="2A141CA3"/>
    <w:rsid w:val="2A4243A4"/>
    <w:rsid w:val="2A9E4307"/>
    <w:rsid w:val="2B912BDB"/>
    <w:rsid w:val="2C194753"/>
    <w:rsid w:val="2CFC2BFE"/>
    <w:rsid w:val="2D7F0571"/>
    <w:rsid w:val="2EF076BF"/>
    <w:rsid w:val="314D028A"/>
    <w:rsid w:val="355530AA"/>
    <w:rsid w:val="364631D7"/>
    <w:rsid w:val="368928C2"/>
    <w:rsid w:val="371D0266"/>
    <w:rsid w:val="37850378"/>
    <w:rsid w:val="38F00B77"/>
    <w:rsid w:val="3B1F29B6"/>
    <w:rsid w:val="3F2E3227"/>
    <w:rsid w:val="3F5B255F"/>
    <w:rsid w:val="40DC5A18"/>
    <w:rsid w:val="43B50E83"/>
    <w:rsid w:val="43D20BA7"/>
    <w:rsid w:val="44790FE1"/>
    <w:rsid w:val="45B22764"/>
    <w:rsid w:val="47CF0F0F"/>
    <w:rsid w:val="49A11F60"/>
    <w:rsid w:val="4BC8467F"/>
    <w:rsid w:val="4CFE53E3"/>
    <w:rsid w:val="4F0A4599"/>
    <w:rsid w:val="4FDF3A33"/>
    <w:rsid w:val="4FE63648"/>
    <w:rsid w:val="54F06565"/>
    <w:rsid w:val="56B37004"/>
    <w:rsid w:val="59633BAD"/>
    <w:rsid w:val="59FB128F"/>
    <w:rsid w:val="5AF60867"/>
    <w:rsid w:val="5BE12FA3"/>
    <w:rsid w:val="5C4D6613"/>
    <w:rsid w:val="5D8866EC"/>
    <w:rsid w:val="5EA7453C"/>
    <w:rsid w:val="5EBF421E"/>
    <w:rsid w:val="5EF900FE"/>
    <w:rsid w:val="62B13874"/>
    <w:rsid w:val="63672753"/>
    <w:rsid w:val="63F473B9"/>
    <w:rsid w:val="65E62E7A"/>
    <w:rsid w:val="66EC7F6C"/>
    <w:rsid w:val="67287B59"/>
    <w:rsid w:val="67BB5990"/>
    <w:rsid w:val="69661BA3"/>
    <w:rsid w:val="69F452BC"/>
    <w:rsid w:val="6AAD178D"/>
    <w:rsid w:val="6B4D452A"/>
    <w:rsid w:val="6CC649E7"/>
    <w:rsid w:val="6DDA5CDD"/>
    <w:rsid w:val="6F5F71DE"/>
    <w:rsid w:val="70F54A4E"/>
    <w:rsid w:val="71F65166"/>
    <w:rsid w:val="751D3132"/>
    <w:rsid w:val="77281627"/>
    <w:rsid w:val="78AE2B00"/>
    <w:rsid w:val="78CB64FA"/>
    <w:rsid w:val="790D22C6"/>
    <w:rsid w:val="7D630A43"/>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7"/>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2"/>
    <w:unhideWhenUsed/>
    <w:qFormat/>
    <w:uiPriority w:val="99"/>
    <w:pPr>
      <w:jc w:val="left"/>
    </w:pPr>
  </w:style>
  <w:style w:type="paragraph" w:styleId="19">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Body Text Indent"/>
    <w:basedOn w:val="1"/>
    <w:link w:val="91"/>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9"/>
    <w:qFormat/>
    <w:uiPriority w:val="0"/>
    <w:rPr>
      <w:rFonts w:ascii="宋体" w:hAnsi="Courier New" w:eastAsia="宋体"/>
    </w:rPr>
  </w:style>
  <w:style w:type="paragraph" w:styleId="23">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8"/>
    <w:next w:val="18"/>
    <w:link w:val="109"/>
    <w:qFormat/>
    <w:uiPriority w:val="99"/>
    <w:pPr>
      <w:autoSpaceDE w:val="0"/>
      <w:autoSpaceDN w:val="0"/>
      <w:adjustRightInd w:val="0"/>
    </w:pPr>
    <w:rPr>
      <w:rFonts w:ascii="宋体" w:hAnsi="Times New Roman" w:eastAsia="宋体" w:cs="Times New Roman"/>
      <w:b/>
      <w:bCs/>
      <w:kern w:val="0"/>
      <w:sz w:val="24"/>
      <w:szCs w:val="24"/>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qFormat/>
    <w:uiPriority w:val="0"/>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8"/>
    <w:qFormat/>
    <w:uiPriority w:val="0"/>
    <w:rPr>
      <w:b/>
      <w:bCs/>
      <w:kern w:val="44"/>
      <w:sz w:val="44"/>
      <w:szCs w:val="44"/>
    </w:rPr>
  </w:style>
  <w:style w:type="character" w:customStyle="1" w:styleId="47">
    <w:name w:val="标题 2 Char"/>
    <w:basedOn w:val="38"/>
    <w:link w:val="5"/>
    <w:qFormat/>
    <w:uiPriority w:val="0"/>
    <w:rPr>
      <w:rFonts w:ascii="宋体" w:hAnsi="Calibri" w:eastAsia="宋体" w:cs="Times New Roman"/>
      <w:kern w:val="0"/>
      <w:sz w:val="24"/>
      <w:szCs w:val="24"/>
    </w:rPr>
  </w:style>
  <w:style w:type="character" w:customStyle="1" w:styleId="48">
    <w:name w:val="标题 3 字符"/>
    <w:basedOn w:val="38"/>
    <w:qFormat/>
    <w:uiPriority w:val="0"/>
    <w:rPr>
      <w:b/>
      <w:bCs/>
      <w:sz w:val="32"/>
      <w:szCs w:val="32"/>
    </w:rPr>
  </w:style>
  <w:style w:type="character" w:customStyle="1" w:styleId="49">
    <w:name w:val="标题 4 Char1"/>
    <w:basedOn w:val="38"/>
    <w:link w:val="7"/>
    <w:qFormat/>
    <w:uiPriority w:val="9"/>
    <w:rPr>
      <w:rFonts w:ascii="Arial" w:hAnsi="Arial" w:eastAsia="黑体" w:cs="Times New Roman"/>
      <w:b/>
      <w:bCs/>
      <w:kern w:val="0"/>
      <w:sz w:val="28"/>
      <w:szCs w:val="28"/>
    </w:rPr>
  </w:style>
  <w:style w:type="character" w:customStyle="1" w:styleId="50">
    <w:name w:val="标题 5 字符"/>
    <w:basedOn w:val="38"/>
    <w:qFormat/>
    <w:uiPriority w:val="9"/>
    <w:rPr>
      <w:b/>
      <w:bCs/>
      <w:sz w:val="28"/>
      <w:szCs w:val="28"/>
    </w:rPr>
  </w:style>
  <w:style w:type="character" w:customStyle="1" w:styleId="51">
    <w:name w:val="标题 6 字符"/>
    <w:basedOn w:val="38"/>
    <w:qFormat/>
    <w:uiPriority w:val="0"/>
    <w:rPr>
      <w:rFonts w:asciiTheme="majorHAnsi" w:hAnsiTheme="majorHAnsi" w:eastAsiaTheme="majorEastAsia" w:cstheme="majorBidi"/>
      <w:b/>
      <w:bCs/>
      <w:sz w:val="24"/>
      <w:szCs w:val="24"/>
    </w:rPr>
  </w:style>
  <w:style w:type="character" w:customStyle="1" w:styleId="52">
    <w:name w:val="标题 7 Char"/>
    <w:basedOn w:val="38"/>
    <w:link w:val="11"/>
    <w:qFormat/>
    <w:uiPriority w:val="9"/>
    <w:rPr>
      <w:rFonts w:ascii="Times New Roman" w:hAnsi="Calibri" w:eastAsia="黑体" w:cs="Times New Roman"/>
      <w:b/>
      <w:bCs/>
      <w:kern w:val="0"/>
      <w:sz w:val="28"/>
      <w:szCs w:val="24"/>
    </w:rPr>
  </w:style>
  <w:style w:type="character" w:customStyle="1" w:styleId="53">
    <w:name w:val="标题 8 Char"/>
    <w:basedOn w:val="38"/>
    <w:link w:val="12"/>
    <w:qFormat/>
    <w:uiPriority w:val="9"/>
    <w:rPr>
      <w:rFonts w:ascii="Times New Roman" w:hAnsi="Calibri" w:eastAsia="黑体" w:cs="Times New Roman"/>
      <w:b/>
      <w:kern w:val="0"/>
      <w:sz w:val="28"/>
      <w:szCs w:val="24"/>
    </w:rPr>
  </w:style>
  <w:style w:type="character" w:customStyle="1" w:styleId="54">
    <w:name w:val="标题 9 Char"/>
    <w:basedOn w:val="38"/>
    <w:link w:val="13"/>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4"/>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5"/>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6"/>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5"/>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2"/>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6"/>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20"/>
    <w:qFormat/>
    <w:uiPriority w:val="0"/>
    <w:rPr>
      <w:rFonts w:ascii="Times New Roman" w:hAnsi="Times New Roman" w:eastAsia="宋体" w:cs="Times New Roman"/>
      <w:szCs w:val="20"/>
    </w:rPr>
  </w:style>
  <w:style w:type="character" w:customStyle="1" w:styleId="92">
    <w:name w:val="普通(网站) Char1"/>
    <w:link w:val="33"/>
    <w:qFormat/>
    <w:locked/>
    <w:uiPriority w:val="0"/>
    <w:rPr>
      <w:rFonts w:ascii="宋体" w:hAnsi="宋体"/>
      <w:sz w:val="15"/>
      <w:szCs w:val="15"/>
    </w:rPr>
  </w:style>
  <w:style w:type="character" w:customStyle="1" w:styleId="93">
    <w:name w:val="模板正文 Char"/>
    <w:link w:val="10"/>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2"/>
    <w:qFormat/>
    <w:uiPriority w:val="0"/>
    <w:rPr>
      <w:rFonts w:ascii="宋体" w:hAnsi="Courier New" w:eastAsia="宋体"/>
    </w:rPr>
  </w:style>
  <w:style w:type="character" w:customStyle="1" w:styleId="100">
    <w:name w:val="正文文本缩进 2 Char"/>
    <w:link w:val="24"/>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3"/>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5"/>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6"/>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2"/>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7"/>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8"/>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9"/>
    <w:qFormat/>
    <w:uiPriority w:val="9"/>
    <w:rPr>
      <w:rFonts w:ascii="Times New Roman" w:hAnsi="Calibri" w:eastAsia="黑体" w:cs="Times New Roman"/>
      <w:b/>
      <w:bCs/>
      <w:kern w:val="0"/>
      <w:sz w:val="28"/>
      <w:szCs w:val="24"/>
    </w:rPr>
  </w:style>
  <w:style w:type="character" w:customStyle="1" w:styleId="142">
    <w:name w:val="正文文本 2 Char"/>
    <w:link w:val="31"/>
    <w:qFormat/>
    <w:uiPriority w:val="0"/>
    <w:rPr>
      <w:rFonts w:ascii="Arial" w:hAnsi="Arial" w:eastAsia="宋体" w:cs="Times New Roman"/>
      <w:color w:val="000000"/>
      <w:szCs w:val="24"/>
    </w:rPr>
  </w:style>
  <w:style w:type="character" w:customStyle="1" w:styleId="143">
    <w:name w:val="标题 3 Char"/>
    <w:link w:val="6"/>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4"/>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30"/>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9"/>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8"/>
    <w:semiHidden/>
    <w:qFormat/>
    <w:uiPriority w:val="99"/>
    <w:rPr>
      <w:rFonts w:hAnsi="Courier New" w:cs="Courier New" w:asciiTheme="minorEastAsia"/>
    </w:rPr>
  </w:style>
  <w:style w:type="character" w:customStyle="1" w:styleId="162">
    <w:name w:val="批注文字 Char2"/>
    <w:basedOn w:val="38"/>
    <w:link w:val="18"/>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8"/>
    <w:qFormat/>
    <w:uiPriority w:val="10"/>
    <w:rPr>
      <w:rFonts w:asciiTheme="majorHAnsi" w:hAnsiTheme="majorHAnsi" w:eastAsiaTheme="majorEastAsia" w:cstheme="majorBidi"/>
      <w:b/>
      <w:bCs/>
      <w:sz w:val="32"/>
      <w:szCs w:val="32"/>
    </w:rPr>
  </w:style>
  <w:style w:type="character" w:customStyle="1" w:styleId="165">
    <w:name w:val="正文文本缩进 字符3"/>
    <w:basedOn w:val="38"/>
    <w:semiHidden/>
    <w:qFormat/>
    <w:uiPriority w:val="99"/>
  </w:style>
  <w:style w:type="character" w:customStyle="1" w:styleId="166">
    <w:name w:val="正文文本 字符4"/>
    <w:basedOn w:val="38"/>
    <w:semiHidden/>
    <w:qFormat/>
    <w:uiPriority w:val="99"/>
  </w:style>
  <w:style w:type="character" w:customStyle="1" w:styleId="167">
    <w:name w:val="正文文本缩进 3 字符2"/>
    <w:basedOn w:val="38"/>
    <w:semiHidden/>
    <w:qFormat/>
    <w:uiPriority w:val="99"/>
    <w:rPr>
      <w:sz w:val="16"/>
      <w:szCs w:val="16"/>
    </w:rPr>
  </w:style>
  <w:style w:type="character" w:customStyle="1" w:styleId="168">
    <w:name w:val="页眉 字符2"/>
    <w:basedOn w:val="38"/>
    <w:semiHidden/>
    <w:qFormat/>
    <w:uiPriority w:val="99"/>
    <w:rPr>
      <w:sz w:val="18"/>
      <w:szCs w:val="18"/>
    </w:rPr>
  </w:style>
  <w:style w:type="character" w:customStyle="1" w:styleId="169">
    <w:name w:val="批注框文本 字符2"/>
    <w:basedOn w:val="38"/>
    <w:semiHidden/>
    <w:qFormat/>
    <w:uiPriority w:val="99"/>
    <w:rPr>
      <w:sz w:val="18"/>
      <w:szCs w:val="18"/>
    </w:rPr>
  </w:style>
  <w:style w:type="character" w:customStyle="1" w:styleId="170">
    <w:name w:val="HTML 预设格式 字符2"/>
    <w:basedOn w:val="38"/>
    <w:semiHidden/>
    <w:qFormat/>
    <w:uiPriority w:val="99"/>
    <w:rPr>
      <w:rFonts w:ascii="Courier New" w:hAnsi="Courier New" w:cs="Courier New"/>
      <w:sz w:val="20"/>
      <w:szCs w:val="20"/>
    </w:rPr>
  </w:style>
  <w:style w:type="character" w:customStyle="1" w:styleId="171">
    <w:name w:val="页脚 字符2"/>
    <w:basedOn w:val="38"/>
    <w:semiHidden/>
    <w:qFormat/>
    <w:uiPriority w:val="99"/>
    <w:rPr>
      <w:sz w:val="18"/>
      <w:szCs w:val="18"/>
    </w:rPr>
  </w:style>
  <w:style w:type="character" w:customStyle="1" w:styleId="172">
    <w:name w:val="正文文本缩进 2 字符2"/>
    <w:basedOn w:val="38"/>
    <w:semiHidden/>
    <w:qFormat/>
    <w:uiPriority w:val="99"/>
  </w:style>
  <w:style w:type="character" w:customStyle="1" w:styleId="173">
    <w:name w:val="正文文本 3 字符2"/>
    <w:basedOn w:val="38"/>
    <w:semiHidden/>
    <w:qFormat/>
    <w:uiPriority w:val="99"/>
    <w:rPr>
      <w:sz w:val="16"/>
      <w:szCs w:val="16"/>
    </w:rPr>
  </w:style>
  <w:style w:type="character" w:customStyle="1" w:styleId="174">
    <w:name w:val="正文文本 2 字符2"/>
    <w:basedOn w:val="38"/>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8"/>
    <w:semiHidden/>
    <w:qFormat/>
    <w:uiPriority w:val="99"/>
    <w:rPr>
      <w:rFonts w:ascii="Microsoft YaHei UI" w:eastAsia="Microsoft YaHei UI"/>
      <w:sz w:val="18"/>
      <w:szCs w:val="18"/>
    </w:rPr>
  </w:style>
  <w:style w:type="character" w:customStyle="1" w:styleId="178">
    <w:name w:val="日期 字符2"/>
    <w:basedOn w:val="38"/>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53303</Words>
  <Characters>55570</Characters>
  <Lines>314</Lines>
  <Paragraphs>88</Paragraphs>
  <TotalTime>1</TotalTime>
  <ScaleCrop>false</ScaleCrop>
  <LinksUpToDate>false</LinksUpToDate>
  <CharactersWithSpaces>58497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柒</cp:lastModifiedBy>
  <dcterms:modified xsi:type="dcterms:W3CDTF">2024-11-25T08:37:39Z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1D8F37C90BDA4C168C5B457085B09C8D_13</vt:lpwstr>
  </property>
</Properties>
</file>